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231140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57"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2825115</wp:posOffset>
            </wp:positionH>
            <wp:positionV relativeFrom="paragraph">
              <wp:posOffset>184150</wp:posOffset>
            </wp:positionV>
            <wp:extent cx="149161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91615" cy="8255"/>
                    </a:xfrm>
                    <a:prstGeom prst="rect">
                      <a:avLst/>
                    </a:prstGeom>
                    <a:noFill/>
                  </pic:spPr>
                </pic:pic>
              </a:graphicData>
            </a:graphic>
          </wp:anchor>
        </w:drawing>
      </w:r>
    </w:p>
    <w:p>
      <w:pPr>
        <w:spacing w:after="0" w:line="200" w:lineRule="exact"/>
        <w:rPr>
          <w:sz w:val="24"/>
          <w:szCs w:val="24"/>
          <w:color w:val="auto"/>
        </w:rPr>
      </w:pPr>
    </w:p>
    <w:p>
      <w:pPr>
        <w:spacing w:after="0" w:line="205"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2825115</wp:posOffset>
            </wp:positionH>
            <wp:positionV relativeFrom="paragraph">
              <wp:posOffset>203835</wp:posOffset>
            </wp:positionV>
            <wp:extent cx="149161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91615" cy="8890"/>
                    </a:xfrm>
                    <a:prstGeom prst="rect">
                      <a:avLst/>
                    </a:prstGeom>
                    <a:noFill/>
                  </pic:spPr>
                </pic:pic>
              </a:graphicData>
            </a:graphic>
          </wp:anchor>
        </w:drawing>
      </w:r>
    </w:p>
    <w:p>
      <w:pPr>
        <w:spacing w:after="0" w:line="200" w:lineRule="exact"/>
        <w:rPr>
          <w:sz w:val="24"/>
          <w:szCs w:val="24"/>
          <w:color w:val="auto"/>
        </w:rPr>
      </w:pPr>
    </w:p>
    <w:p>
      <w:pPr>
        <w:spacing w:after="0" w:line="262"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0" w:lineRule="exact"/>
        <w:rPr>
          <w:sz w:val="24"/>
          <w:szCs w:val="24"/>
          <w:color w:val="auto"/>
        </w:rPr>
      </w:pPr>
    </w:p>
    <w:p>
      <w:pPr>
        <w:ind w:left="460" w:right="300" w:hanging="452"/>
        <w:spacing w:after="0" w:line="236" w:lineRule="auto"/>
        <w:tabs>
          <w:tab w:leader="none" w:pos="46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17145</wp:posOffset>
            </wp:positionH>
            <wp:positionV relativeFrom="paragraph">
              <wp:posOffset>-290195</wp:posOffset>
            </wp:positionV>
            <wp:extent cx="104140" cy="1054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04140" cy="105410"/>
                    </a:xfrm>
                    <a:prstGeom prst="rect">
                      <a:avLst/>
                    </a:prstGeom>
                    <a:noFill/>
                  </pic:spPr>
                </pic:pic>
              </a:graphicData>
            </a:graphic>
          </wp:anchor>
        </w:drawing>
      </w:r>
    </w:p>
    <w:p>
      <w:pPr>
        <w:spacing w:after="0" w:line="120" w:lineRule="exact"/>
        <w:rPr>
          <w:sz w:val="24"/>
          <w:szCs w:val="24"/>
          <w:color w:val="auto"/>
        </w:rPr>
      </w:pPr>
    </w:p>
    <w:p>
      <w:pPr>
        <w:ind w:left="460"/>
        <w:spacing w:after="0"/>
        <w:rPr>
          <w:sz w:val="20"/>
          <w:szCs w:val="20"/>
          <w:color w:val="auto"/>
        </w:rPr>
      </w:pPr>
      <w:r>
        <w:rPr>
          <w:rFonts w:ascii="Arial" w:cs="Arial" w:eastAsia="Arial" w:hAnsi="Arial"/>
          <w:sz w:val="18"/>
          <w:szCs w:val="18"/>
          <w:b w:val="1"/>
          <w:bCs w:val="1"/>
          <w:color w:val="auto"/>
        </w:rPr>
        <w:t>FOR THE QUARTER ENDED MARCH 31, 2009</w:t>
      </w:r>
    </w:p>
    <w:p>
      <w:pPr>
        <w:spacing w:after="0" w:line="17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198" w:lineRule="exact"/>
        <w:rPr>
          <w:sz w:val="24"/>
          <w:szCs w:val="24"/>
          <w:color w:val="auto"/>
        </w:rPr>
      </w:pPr>
    </w:p>
    <w:p>
      <w:pPr>
        <w:ind w:left="460" w:right="280" w:hanging="452"/>
        <w:spacing w:after="0" w:line="256" w:lineRule="auto"/>
        <w:tabs>
          <w:tab w:leader="none" w:pos="46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17145</wp:posOffset>
            </wp:positionH>
            <wp:positionV relativeFrom="paragraph">
              <wp:posOffset>-301625</wp:posOffset>
            </wp:positionV>
            <wp:extent cx="104140" cy="1054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04140" cy="105410"/>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sectPr>
      </w:pPr>
    </w:p>
    <w:p>
      <w:pPr>
        <w:spacing w:after="0" w:line="121" w:lineRule="exact"/>
        <w:rPr>
          <w:sz w:val="24"/>
          <w:szCs w:val="24"/>
          <w:color w:val="auto"/>
        </w:rPr>
      </w:pPr>
    </w:p>
    <w:p>
      <w:pPr>
        <w:ind w:left="460"/>
        <w:spacing w:after="0"/>
        <w:rPr>
          <w:sz w:val="20"/>
          <w:szCs w:val="20"/>
          <w:color w:val="auto"/>
        </w:rPr>
      </w:pPr>
      <w:r>
        <w:rPr>
          <w:rFonts w:ascii="Arial" w:cs="Arial" w:eastAsia="Arial" w:hAnsi="Arial"/>
          <w:sz w:val="16"/>
          <w:szCs w:val="16"/>
          <w:b w:val="1"/>
          <w:bCs w:val="1"/>
          <w:color w:val="auto"/>
        </w:rPr>
        <w:t>FOR THE TRANSITION PERIOD FROM</w:t>
      </w:r>
    </w:p>
    <w:p>
      <w:pPr>
        <w:spacing w:after="0" w:line="20" w:lineRule="exact"/>
        <w:rPr>
          <w:sz w:val="24"/>
          <w:szCs w:val="24"/>
          <w:color w:val="auto"/>
        </w:rPr>
      </w:pPr>
      <w:r>
        <w:rPr>
          <w:sz w:val="24"/>
          <w:szCs w:val="24"/>
          <w:color w:val="auto"/>
        </w:rPr>
        <w:br w:type="column"/>
      </w:r>
    </w:p>
    <w:p>
      <w:pPr>
        <w:spacing w:after="0" w:line="101"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TO</w:t>
      </w:r>
    </w:p>
    <w:p>
      <w:pPr>
        <w:spacing w:after="0" w:line="194" w:lineRule="exact"/>
        <w:rPr>
          <w:sz w:val="24"/>
          <w:szCs w:val="24"/>
          <w:color w:val="auto"/>
        </w:rPr>
      </w:pPr>
    </w:p>
    <w:p>
      <w:pPr>
        <w:sectPr>
          <w:pgSz w:w="11900" w:h="16838" w:orient="portrait"/>
          <w:cols w:equalWidth="0" w:num="2">
            <w:col w:w="3700" w:space="620"/>
            <w:col w:w="6920"/>
          </w:cols>
          <w:pgMar w:left="320" w:top="230" w:right="339" w:bottom="1440" w:gutter="0" w:footer="0" w:header="0"/>
          <w:type w:val="continuous"/>
        </w:sectPr>
      </w:pPr>
    </w:p>
    <w:p>
      <w:pPr>
        <w:jc w:val="center"/>
        <w:spacing w:after="0"/>
        <w:rPr>
          <w:sz w:val="20"/>
          <w:szCs w:val="20"/>
          <w:color w:val="auto"/>
        </w:rPr>
      </w:pPr>
      <w:r>
        <w:rPr>
          <w:rFonts w:ascii="Arial" w:cs="Arial" w:eastAsia="Arial" w:hAnsi="Arial"/>
          <w:sz w:val="16"/>
          <w:szCs w:val="16"/>
          <w:b w:val="1"/>
          <w:bCs w:val="1"/>
          <w:color w:val="auto"/>
        </w:rPr>
        <w:t>COMMISSION FILE NUMBER: 814-00736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2825115</wp:posOffset>
            </wp:positionH>
            <wp:positionV relativeFrom="paragraph">
              <wp:posOffset>209550</wp:posOffset>
            </wp:positionV>
            <wp:extent cx="149161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91615" cy="8255"/>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type w:val="continuous"/>
        </w:sectPr>
      </w:pPr>
    </w:p>
    <w:p>
      <w:pPr>
        <w:spacing w:after="0" w:line="200" w:lineRule="exact"/>
        <w:rPr>
          <w:sz w:val="24"/>
          <w:szCs w:val="24"/>
          <w:color w:val="auto"/>
        </w:rPr>
      </w:pPr>
    </w:p>
    <w:p>
      <w:pPr>
        <w:spacing w:after="0" w:line="262"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PENNANTPARK INVESTMENT</w:t>
      </w:r>
    </w:p>
    <w:p>
      <w:pPr>
        <w:spacing w:after="0" w:line="55"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CORPORATION</w:t>
      </w:r>
    </w:p>
    <w:p>
      <w:pPr>
        <w:jc w:val="center"/>
        <w:spacing w:after="0"/>
        <w:rPr>
          <w:sz w:val="20"/>
          <w:szCs w:val="20"/>
          <w:color w:val="auto"/>
        </w:rPr>
      </w:pPr>
      <w:r>
        <w:rPr>
          <w:rFonts w:ascii="Arial" w:cs="Arial" w:eastAsia="Arial" w:hAnsi="Arial"/>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2825115</wp:posOffset>
            </wp:positionH>
            <wp:positionV relativeFrom="paragraph">
              <wp:posOffset>187325</wp:posOffset>
            </wp:positionV>
            <wp:extent cx="149161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91615" cy="8890"/>
                    </a:xfrm>
                    <a:prstGeom prst="rect">
                      <a:avLst/>
                    </a:prstGeom>
                    <a:noFill/>
                  </pic:spPr>
                </pic:pic>
              </a:graphicData>
            </a:graphic>
          </wp:anchor>
        </w:drawing>
      </w:r>
    </w:p>
    <w:p>
      <w:pPr>
        <w:spacing w:after="0" w:line="200" w:lineRule="exact"/>
        <w:rPr>
          <w:sz w:val="24"/>
          <w:szCs w:val="24"/>
          <w:color w:val="auto"/>
        </w:rPr>
      </w:pPr>
    </w:p>
    <w:p>
      <w:pPr>
        <w:spacing w:after="0" w:line="303" w:lineRule="exact"/>
        <w:rPr>
          <w:sz w:val="24"/>
          <w:szCs w:val="24"/>
          <w:color w:val="auto"/>
        </w:rPr>
      </w:pPr>
    </w:p>
    <w:tbl>
      <w:tblPr>
        <w:tblLayout w:type="fixed"/>
        <w:tblInd w:w="1640" w:type="dxa"/>
        <w:tblCellMar>
          <w:top w:w="0" w:type="dxa"/>
          <w:left w:w="0" w:type="dxa"/>
          <w:bottom w:w="0" w:type="dxa"/>
          <w:right w:w="0" w:type="dxa"/>
        </w:tblCellMar>
      </w:tblPr>
      <w:tr>
        <w:trPr>
          <w:trHeight w:val="218"/>
        </w:trPr>
        <w:tc>
          <w:tcPr>
            <w:tcW w:w="2380" w:type="dxa"/>
            <w:vAlign w:val="bottom"/>
          </w:tcPr>
          <w:p>
            <w:pPr>
              <w:jc w:val="center"/>
              <w:spacing w:after="0"/>
              <w:rPr>
                <w:sz w:val="20"/>
                <w:szCs w:val="20"/>
                <w:color w:val="auto"/>
              </w:rPr>
            </w:pPr>
            <w:r>
              <w:rPr>
                <w:rFonts w:ascii="Arial" w:cs="Arial" w:eastAsia="Arial" w:hAnsi="Arial"/>
                <w:sz w:val="18"/>
                <w:szCs w:val="18"/>
                <w:b w:val="1"/>
                <w:bCs w:val="1"/>
                <w:color w:val="auto"/>
              </w:rPr>
              <w:t>MARYLAND</w:t>
            </w:r>
          </w:p>
        </w:tc>
        <w:tc>
          <w:tcPr>
            <w:tcW w:w="5060" w:type="dxa"/>
            <w:vAlign w:val="bottom"/>
          </w:tcPr>
          <w:p>
            <w:pPr>
              <w:jc w:val="right"/>
              <w:ind w:right="24"/>
              <w:spacing w:after="0"/>
              <w:rPr>
                <w:sz w:val="20"/>
                <w:szCs w:val="20"/>
                <w:color w:val="auto"/>
              </w:rPr>
            </w:pPr>
            <w:r>
              <w:rPr>
                <w:rFonts w:ascii="Arial" w:cs="Arial" w:eastAsia="Arial" w:hAnsi="Arial"/>
                <w:sz w:val="18"/>
                <w:szCs w:val="18"/>
                <w:b w:val="1"/>
                <w:bCs w:val="1"/>
                <w:color w:val="auto"/>
              </w:rPr>
              <w:t>20-8250744</w:t>
            </w:r>
          </w:p>
        </w:tc>
      </w:tr>
      <w:tr>
        <w:trPr>
          <w:trHeight w:val="148"/>
        </w:trPr>
        <w:tc>
          <w:tcPr>
            <w:tcW w:w="2380" w:type="dxa"/>
            <w:vAlign w:val="bottom"/>
          </w:tcPr>
          <w:p>
            <w:pPr>
              <w:jc w:val="center"/>
              <w:spacing w:after="0"/>
              <w:rPr>
                <w:sz w:val="20"/>
                <w:szCs w:val="20"/>
                <w:color w:val="auto"/>
              </w:rPr>
            </w:pPr>
            <w:r>
              <w:rPr>
                <w:rFonts w:ascii="Arial" w:cs="Arial" w:eastAsia="Arial" w:hAnsi="Arial"/>
                <w:sz w:val="13"/>
                <w:szCs w:val="13"/>
                <w:b w:val="1"/>
                <w:bCs w:val="1"/>
                <w:color w:val="auto"/>
                <w:w w:val="94"/>
              </w:rPr>
              <w:t>(State or other jurisdiction of</w:t>
            </w:r>
          </w:p>
        </w:tc>
        <w:tc>
          <w:tcPr>
            <w:tcW w:w="5060" w:type="dxa"/>
            <w:vAlign w:val="bottom"/>
          </w:tcPr>
          <w:p>
            <w:pPr>
              <w:jc w:val="center"/>
              <w:ind w:left="3924"/>
              <w:spacing w:after="0"/>
              <w:rPr>
                <w:sz w:val="20"/>
                <w:szCs w:val="20"/>
                <w:color w:val="auto"/>
              </w:rPr>
            </w:pPr>
            <w:r>
              <w:rPr>
                <w:rFonts w:ascii="Arial" w:cs="Arial" w:eastAsia="Arial" w:hAnsi="Arial"/>
                <w:sz w:val="13"/>
                <w:szCs w:val="13"/>
                <w:b w:val="1"/>
                <w:bCs w:val="1"/>
                <w:color w:val="auto"/>
                <w:w w:val="98"/>
              </w:rPr>
              <w:t>(I.R.S. Employer</w:t>
            </w:r>
          </w:p>
        </w:tc>
      </w:tr>
      <w:tr>
        <w:trPr>
          <w:trHeight w:val="174"/>
        </w:trPr>
        <w:tc>
          <w:tcPr>
            <w:tcW w:w="2380" w:type="dxa"/>
            <w:vAlign w:val="bottom"/>
          </w:tcPr>
          <w:p>
            <w:pPr>
              <w:jc w:val="center"/>
              <w:spacing w:after="0"/>
              <w:rPr>
                <w:sz w:val="20"/>
                <w:szCs w:val="20"/>
                <w:color w:val="auto"/>
              </w:rPr>
            </w:pPr>
            <w:r>
              <w:rPr>
                <w:rFonts w:ascii="Arial" w:cs="Arial" w:eastAsia="Arial" w:hAnsi="Arial"/>
                <w:sz w:val="13"/>
                <w:szCs w:val="13"/>
                <w:b w:val="1"/>
                <w:bCs w:val="1"/>
                <w:color w:val="auto"/>
                <w:w w:val="94"/>
              </w:rPr>
              <w:t>incorporation or organization)</w:t>
            </w:r>
          </w:p>
        </w:tc>
        <w:tc>
          <w:tcPr>
            <w:tcW w:w="5060" w:type="dxa"/>
            <w:vAlign w:val="bottom"/>
          </w:tcPr>
          <w:p>
            <w:pPr>
              <w:jc w:val="center"/>
              <w:ind w:left="3924"/>
              <w:spacing w:after="0"/>
              <w:rPr>
                <w:sz w:val="20"/>
                <w:szCs w:val="20"/>
                <w:color w:val="auto"/>
              </w:rPr>
            </w:pPr>
            <w:r>
              <w:rPr>
                <w:rFonts w:ascii="Arial" w:cs="Arial" w:eastAsia="Arial" w:hAnsi="Arial"/>
                <w:sz w:val="13"/>
                <w:szCs w:val="13"/>
                <w:b w:val="1"/>
                <w:bCs w:val="1"/>
                <w:color w:val="auto"/>
                <w:w w:val="96"/>
              </w:rPr>
              <w:t>Identification No.)</w:t>
            </w:r>
          </w:p>
        </w:tc>
      </w:tr>
      <w:tr>
        <w:trPr>
          <w:trHeight w:val="418"/>
        </w:trPr>
        <w:tc>
          <w:tcPr>
            <w:tcW w:w="2380" w:type="dxa"/>
            <w:vAlign w:val="bottom"/>
          </w:tcPr>
          <w:p>
            <w:pPr>
              <w:jc w:val="center"/>
              <w:spacing w:after="0"/>
              <w:rPr>
                <w:sz w:val="20"/>
                <w:szCs w:val="20"/>
                <w:color w:val="auto"/>
              </w:rPr>
            </w:pPr>
            <w:r>
              <w:rPr>
                <w:rFonts w:ascii="Arial" w:cs="Arial" w:eastAsia="Arial" w:hAnsi="Arial"/>
                <w:sz w:val="18"/>
                <w:szCs w:val="18"/>
                <w:b w:val="1"/>
                <w:bCs w:val="1"/>
                <w:color w:val="auto"/>
                <w:w w:val="86"/>
              </w:rPr>
              <w:t>590 Madison Avenue, 15</w:t>
            </w:r>
            <w:r>
              <w:rPr>
                <w:rFonts w:ascii="Arial" w:cs="Arial" w:eastAsia="Arial" w:hAnsi="Arial"/>
                <w:sz w:val="22"/>
                <w:szCs w:val="22"/>
                <w:b w:val="1"/>
                <w:bCs w:val="1"/>
                <w:color w:val="auto"/>
                <w:w w:val="86"/>
                <w:vertAlign w:val="superscript"/>
              </w:rPr>
              <w:t>th</w:t>
            </w:r>
            <w:r>
              <w:rPr>
                <w:rFonts w:ascii="Arial" w:cs="Arial" w:eastAsia="Arial" w:hAnsi="Arial"/>
                <w:sz w:val="18"/>
                <w:szCs w:val="18"/>
                <w:b w:val="1"/>
                <w:bCs w:val="1"/>
                <w:color w:val="auto"/>
                <w:w w:val="86"/>
              </w:rPr>
              <w:t xml:space="preserve"> Floor</w:t>
            </w:r>
          </w:p>
        </w:tc>
        <w:tc>
          <w:tcPr>
            <w:tcW w:w="5060" w:type="dxa"/>
            <w:vAlign w:val="bottom"/>
          </w:tcPr>
          <w:p>
            <w:pPr>
              <w:spacing w:after="0"/>
              <w:rPr>
                <w:sz w:val="24"/>
                <w:szCs w:val="24"/>
                <w:color w:val="auto"/>
              </w:rPr>
            </w:pPr>
          </w:p>
        </w:tc>
      </w:tr>
      <w:tr>
        <w:trPr>
          <w:trHeight w:val="231"/>
        </w:trPr>
        <w:tc>
          <w:tcPr>
            <w:tcW w:w="2380" w:type="dxa"/>
            <w:vAlign w:val="bottom"/>
          </w:tcPr>
          <w:p>
            <w:pPr>
              <w:jc w:val="center"/>
              <w:spacing w:after="0"/>
              <w:rPr>
                <w:sz w:val="20"/>
                <w:szCs w:val="20"/>
                <w:color w:val="auto"/>
              </w:rPr>
            </w:pPr>
            <w:r>
              <w:rPr>
                <w:rFonts w:ascii="Arial" w:cs="Arial" w:eastAsia="Arial" w:hAnsi="Arial"/>
                <w:sz w:val="18"/>
                <w:szCs w:val="18"/>
                <w:b w:val="1"/>
                <w:bCs w:val="1"/>
                <w:color w:val="auto"/>
                <w:w w:val="91"/>
              </w:rPr>
              <w:t>New York, N.Y.</w:t>
            </w:r>
          </w:p>
        </w:tc>
        <w:tc>
          <w:tcPr>
            <w:tcW w:w="5060" w:type="dxa"/>
            <w:vAlign w:val="bottom"/>
          </w:tcPr>
          <w:p>
            <w:pPr>
              <w:jc w:val="right"/>
              <w:ind w:right="244"/>
              <w:spacing w:after="0"/>
              <w:rPr>
                <w:sz w:val="20"/>
                <w:szCs w:val="20"/>
                <w:color w:val="auto"/>
              </w:rPr>
            </w:pPr>
            <w:r>
              <w:rPr>
                <w:rFonts w:ascii="Arial" w:cs="Arial" w:eastAsia="Arial" w:hAnsi="Arial"/>
                <w:sz w:val="18"/>
                <w:szCs w:val="18"/>
                <w:b w:val="1"/>
                <w:bCs w:val="1"/>
                <w:color w:val="auto"/>
              </w:rPr>
              <w:t>10022</w:t>
            </w:r>
          </w:p>
        </w:tc>
      </w:tr>
      <w:tr>
        <w:trPr>
          <w:trHeight w:val="174"/>
        </w:trPr>
        <w:tc>
          <w:tcPr>
            <w:tcW w:w="2380" w:type="dxa"/>
            <w:vAlign w:val="bottom"/>
          </w:tcPr>
          <w:p>
            <w:pPr>
              <w:jc w:val="center"/>
              <w:spacing w:after="0"/>
              <w:rPr>
                <w:sz w:val="20"/>
                <w:szCs w:val="20"/>
                <w:color w:val="auto"/>
              </w:rPr>
            </w:pPr>
            <w:r>
              <w:rPr>
                <w:rFonts w:ascii="Arial" w:cs="Arial" w:eastAsia="Arial" w:hAnsi="Arial"/>
                <w:sz w:val="13"/>
                <w:szCs w:val="13"/>
                <w:b w:val="1"/>
                <w:bCs w:val="1"/>
                <w:color w:val="auto"/>
                <w:w w:val="92"/>
              </w:rPr>
              <w:t>(Address of principal executive offices)</w:t>
            </w:r>
          </w:p>
        </w:tc>
        <w:tc>
          <w:tcPr>
            <w:tcW w:w="5060" w:type="dxa"/>
            <w:vAlign w:val="bottom"/>
          </w:tcPr>
          <w:p>
            <w:pPr>
              <w:jc w:val="center"/>
              <w:ind w:left="3924"/>
              <w:spacing w:after="0"/>
              <w:rPr>
                <w:sz w:val="20"/>
                <w:szCs w:val="20"/>
                <w:color w:val="auto"/>
              </w:rPr>
            </w:pPr>
            <w:r>
              <w:rPr>
                <w:rFonts w:ascii="Arial" w:cs="Arial" w:eastAsia="Arial" w:hAnsi="Arial"/>
                <w:sz w:val="13"/>
                <w:szCs w:val="13"/>
                <w:b w:val="1"/>
                <w:bCs w:val="1"/>
                <w:color w:val="auto"/>
                <w:w w:val="96"/>
              </w:rPr>
              <w:t>(Zip Code)</w:t>
            </w:r>
          </w:p>
        </w:tc>
      </w:tr>
      <w:tr>
        <w:trPr>
          <w:trHeight w:val="352"/>
        </w:trPr>
        <w:tc>
          <w:tcPr>
            <w:tcW w:w="2380" w:type="dxa"/>
            <w:vAlign w:val="bottom"/>
          </w:tcPr>
          <w:p>
            <w:pPr>
              <w:spacing w:after="0"/>
              <w:rPr>
                <w:sz w:val="24"/>
                <w:szCs w:val="24"/>
                <w:color w:val="auto"/>
              </w:rPr>
            </w:pPr>
          </w:p>
        </w:tc>
        <w:tc>
          <w:tcPr>
            <w:tcW w:w="5060" w:type="dxa"/>
            <w:vAlign w:val="bottom"/>
          </w:tcPr>
          <w:p>
            <w:pPr>
              <w:jc w:val="right"/>
              <w:ind w:right="2824"/>
              <w:spacing w:after="0"/>
              <w:rPr>
                <w:sz w:val="20"/>
                <w:szCs w:val="20"/>
                <w:color w:val="auto"/>
              </w:rPr>
            </w:pPr>
            <w:r>
              <w:rPr>
                <w:rFonts w:ascii="Arial" w:cs="Arial" w:eastAsia="Arial" w:hAnsi="Arial"/>
                <w:sz w:val="18"/>
                <w:szCs w:val="18"/>
                <w:b w:val="1"/>
                <w:bCs w:val="1"/>
                <w:color w:val="auto"/>
              </w:rPr>
              <w:t>(212)-905-1000</w:t>
            </w:r>
          </w:p>
        </w:tc>
      </w:tr>
      <w:tr>
        <w:trPr>
          <w:trHeight w:val="174"/>
        </w:trPr>
        <w:tc>
          <w:tcPr>
            <w:tcW w:w="2380" w:type="dxa"/>
            <w:vAlign w:val="bottom"/>
          </w:tcPr>
          <w:p>
            <w:pPr>
              <w:spacing w:after="0"/>
              <w:rPr>
                <w:sz w:val="15"/>
                <w:szCs w:val="15"/>
                <w:color w:val="auto"/>
              </w:rPr>
            </w:pPr>
          </w:p>
        </w:tc>
        <w:tc>
          <w:tcPr>
            <w:tcW w:w="5060" w:type="dxa"/>
            <w:vAlign w:val="bottom"/>
          </w:tcPr>
          <w:p>
            <w:pPr>
              <w:jc w:val="center"/>
              <w:ind w:right="1764"/>
              <w:spacing w:after="0"/>
              <w:rPr>
                <w:sz w:val="20"/>
                <w:szCs w:val="20"/>
                <w:color w:val="auto"/>
              </w:rPr>
            </w:pPr>
            <w:r>
              <w:rPr>
                <w:rFonts w:ascii="Arial" w:cs="Arial" w:eastAsia="Arial" w:hAnsi="Arial"/>
                <w:sz w:val="13"/>
                <w:szCs w:val="13"/>
                <w:b w:val="1"/>
                <w:bCs w:val="1"/>
                <w:color w:val="auto"/>
                <w:w w:val="93"/>
              </w:rPr>
              <w:t>(Registrant’s Telephone Number, Including Area Code)</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2825115</wp:posOffset>
            </wp:positionH>
            <wp:positionV relativeFrom="paragraph">
              <wp:posOffset>171450</wp:posOffset>
            </wp:positionV>
            <wp:extent cx="14916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491615" cy="8255"/>
                    </a:xfrm>
                    <a:prstGeom prst="rect">
                      <a:avLst/>
                    </a:prstGeom>
                    <a:noFill/>
                  </pic:spPr>
                </pic:pic>
              </a:graphicData>
            </a:graphic>
          </wp:anchor>
        </w:drawing>
      </w:r>
    </w:p>
    <w:p>
      <w:pPr>
        <w:spacing w:after="0" w:line="200" w:lineRule="exact"/>
        <w:rPr>
          <w:sz w:val="24"/>
          <w:szCs w:val="24"/>
          <w:color w:val="auto"/>
        </w:rPr>
      </w:pPr>
    </w:p>
    <w:p>
      <w:pPr>
        <w:spacing w:after="0" w:line="218" w:lineRule="exact"/>
        <w:rPr>
          <w:sz w:val="24"/>
          <w:szCs w:val="24"/>
          <w:color w:val="auto"/>
        </w:rPr>
      </w:pPr>
    </w:p>
    <w:p>
      <w:pPr>
        <w:ind w:right="120" w:firstLine="449"/>
        <w:spacing w:after="0" w:line="229"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r>
        <w:rPr>
          <w:rFonts w:ascii="Arial" w:cs="Arial" w:eastAsia="Arial" w:hAnsi="Arial"/>
          <w:sz w:val="16"/>
          <w:szCs w:val="16"/>
          <w:color w:val="auto"/>
        </w:rPr>
        <w:t>.</w:t>
      </w:r>
    </w:p>
    <w:p>
      <w:pPr>
        <w:spacing w:after="0" w:line="137" w:lineRule="exact"/>
        <w:rPr>
          <w:sz w:val="24"/>
          <w:szCs w:val="24"/>
          <w:color w:val="auto"/>
        </w:rPr>
      </w:pPr>
    </w:p>
    <w:p>
      <w:pPr>
        <w:ind w:right="360" w:firstLine="449"/>
        <w:spacing w:after="0" w:line="225"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7" w:lineRule="exact"/>
        <w:rPr>
          <w:sz w:val="24"/>
          <w:szCs w:val="24"/>
          <w:color w:val="auto"/>
        </w:rPr>
      </w:pPr>
    </w:p>
    <w:p>
      <w:pPr>
        <w:ind w:right="300" w:firstLine="449"/>
        <w:spacing w:after="0" w:line="268" w:lineRule="auto"/>
        <w:rPr>
          <w:sz w:val="20"/>
          <w:szCs w:val="20"/>
          <w:color w:val="auto"/>
        </w:rPr>
      </w:pPr>
      <w:r>
        <w:rPr>
          <w:rFonts w:ascii="Arial" w:cs="Arial" w:eastAsia="Arial" w:hAnsi="Arial"/>
          <w:sz w:val="18"/>
          <w:szCs w:val="18"/>
          <w:color w:val="auto"/>
        </w:rPr>
        <w:t>Indicate by check mark whether the registrant is a large accelerated filer, an accelerated filer, or a non-accelerated filer. See definition of “accelerated filer” and large accelerated filer” in Rule 12b-2 of the Exchange Act.</w:t>
      </w:r>
    </w:p>
    <w:p>
      <w:pPr>
        <w:sectPr>
          <w:pgSz w:w="11900" w:h="16838" w:orient="portrait"/>
          <w:cols w:equalWidth="0" w:num="1">
            <w:col w:w="11240"/>
          </w:cols>
          <w:pgMar w:left="320" w:top="230" w:right="339" w:bottom="1440" w:gutter="0" w:footer="0" w:header="0"/>
          <w:type w:val="continuous"/>
        </w:sectPr>
      </w:pPr>
    </w:p>
    <w:p>
      <w:pPr>
        <w:spacing w:after="0" w:line="172" w:lineRule="exact"/>
        <w:rPr>
          <w:sz w:val="24"/>
          <w:szCs w:val="24"/>
          <w:color w:val="auto"/>
        </w:rPr>
      </w:pPr>
    </w:p>
    <w:p>
      <w:pPr>
        <w:spacing w:after="0"/>
        <w:rPr>
          <w:sz w:val="20"/>
          <w:szCs w:val="20"/>
          <w:color w:val="auto"/>
        </w:rPr>
      </w:pPr>
      <w:r>
        <w:rPr>
          <w:rFonts w:ascii="Arial" w:cs="Arial" w:eastAsia="Arial" w:hAnsi="Arial"/>
          <w:sz w:val="15"/>
          <w:szCs w:val="15"/>
          <w:color w:val="auto"/>
        </w:rPr>
        <w:t>Large accelerated filer</w:t>
      </w:r>
    </w:p>
    <w:p>
      <w:pPr>
        <w:spacing w:after="0" w:line="20" w:lineRule="exact"/>
        <w:rPr>
          <w:sz w:val="24"/>
          <w:szCs w:val="24"/>
          <w:color w:val="auto"/>
        </w:rPr>
      </w:pPr>
      <w:r>
        <w:rPr>
          <w:sz w:val="24"/>
          <w:szCs w:val="24"/>
          <w:color w:val="auto"/>
        </w:rPr>
        <w:br w:type="column"/>
      </w:r>
    </w:p>
    <w:p>
      <w:pPr>
        <w:spacing w:after="0" w:line="120"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52"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w:t>
      </w:r>
    </w:p>
    <w:p>
      <w:pPr>
        <w:spacing w:after="0" w:line="20" w:lineRule="exact"/>
        <w:rPr>
          <w:sz w:val="24"/>
          <w:szCs w:val="24"/>
          <w:color w:val="auto"/>
        </w:rPr>
      </w:pPr>
      <w:r>
        <w:rPr>
          <w:sz w:val="24"/>
          <w:szCs w:val="24"/>
          <w:color w:val="auto"/>
        </w:rPr>
        <w:br w:type="column"/>
      </w:r>
    </w:p>
    <w:p>
      <w:pPr>
        <w:spacing w:after="0" w:line="120"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64" w:lineRule="exact"/>
        <w:rPr>
          <w:sz w:val="24"/>
          <w:szCs w:val="24"/>
          <w:color w:val="auto"/>
        </w:rPr>
      </w:pPr>
    </w:p>
    <w:p>
      <w:pPr>
        <w:sectPr>
          <w:pgSz w:w="11900" w:h="16838" w:orient="portrait"/>
          <w:cols w:equalWidth="0" w:num="4">
            <w:col w:w="1580" w:space="320"/>
            <w:col w:w="6100" w:space="720"/>
            <w:col w:w="1640" w:space="720"/>
            <w:col w:w="160"/>
          </w:cols>
          <w:pgMar w:left="320" w:top="230" w:right="339" w:bottom="1440" w:gutter="0" w:footer="0" w:header="0"/>
          <w:type w:val="continuous"/>
        </w:sectPr>
      </w:pPr>
    </w:p>
    <w:p>
      <w:pPr>
        <w:spacing w:after="0" w:line="32" w:lineRule="exact"/>
        <w:rPr>
          <w:sz w:val="24"/>
          <w:szCs w:val="24"/>
          <w:color w:val="auto"/>
        </w:rPr>
      </w:pPr>
    </w:p>
    <w:p>
      <w:pPr>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6"/>
          <w:szCs w:val="16"/>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18" w:lineRule="exact"/>
        <w:rPr>
          <w:sz w:val="24"/>
          <w:szCs w:val="24"/>
          <w:color w:val="auto"/>
        </w:rPr>
      </w:pPr>
    </w:p>
    <w:p>
      <w:pPr>
        <w:sectPr>
          <w:pgSz w:w="11900" w:h="16838" w:orient="portrait"/>
          <w:cols w:equalWidth="0" w:num="5">
            <w:col w:w="1500" w:space="400"/>
            <w:col w:w="160" w:space="80"/>
            <w:col w:w="5860" w:space="720"/>
            <w:col w:w="1920" w:space="440"/>
            <w:col w:w="160"/>
          </w:cols>
          <w:pgMar w:left="320" w:top="230" w:right="339" w:bottom="1440" w:gutter="0" w:footer="0" w:header="0"/>
          <w:type w:val="continuous"/>
        </w:sectPr>
      </w:pPr>
    </w:p>
    <w:p>
      <w:pPr>
        <w:spacing w:after="0" w:line="32" w:lineRule="exact"/>
        <w:rPr>
          <w:sz w:val="24"/>
          <w:szCs w:val="24"/>
          <w:color w:val="auto"/>
        </w:rPr>
      </w:pPr>
    </w:p>
    <w:p>
      <w:pPr>
        <w:ind w:left="460"/>
        <w:spacing w:after="0"/>
        <w:tabs>
          <w:tab w:leader="none" w:pos="8580" w:val="left"/>
        </w:tabs>
        <w:rPr>
          <w:sz w:val="20"/>
          <w:szCs w:val="20"/>
          <w:color w:val="auto"/>
        </w:rPr>
      </w:pPr>
      <w:r>
        <w:rPr>
          <w:rFonts w:ascii="Arial" w:cs="Arial" w:eastAsia="Arial" w:hAnsi="Arial"/>
          <w:sz w:val="16"/>
          <w:szCs w:val="16"/>
          <w:color w:val="auto"/>
        </w:rPr>
        <w:t>Indicate by check mark whether the registrant is a shell company (as defined in Rule 12b-2 of the Exchange Act).</w:t>
      </w:r>
      <w:r>
        <w:rPr>
          <w:sz w:val="20"/>
          <w:szCs w:val="20"/>
          <w:color w:val="auto"/>
        </w:rPr>
        <w:tab/>
      </w:r>
      <w:r>
        <w:rPr>
          <w:rFonts w:ascii="Arial" w:cs="Arial" w:eastAsia="Arial" w:hAnsi="Arial"/>
          <w:sz w:val="15"/>
          <w:szCs w:val="15"/>
          <w:color w:val="auto"/>
        </w:rPr>
        <w:t>Yes</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64" w:lineRule="exact"/>
        <w:rPr>
          <w:sz w:val="20"/>
          <w:szCs w:val="20"/>
          <w:color w:val="auto"/>
        </w:rPr>
      </w:pPr>
      <w:r>
        <w:rPr>
          <w:rFonts w:ascii="Arial" w:cs="Arial" w:eastAsia="Arial" w:hAnsi="Arial"/>
          <w:sz w:val="16"/>
          <w:szCs w:val="16"/>
          <w:color w:val="auto"/>
        </w:rPr>
        <w:t xml:space="preserve">No </w:t>
      </w:r>
      <w:r>
        <w:rPr>
          <w:rFonts w:ascii="MS PGothic" w:cs="MS PGothic" w:eastAsia="MS PGothic" w:hAnsi="MS PGothic"/>
          <w:sz w:val="16"/>
          <w:szCs w:val="16"/>
          <w:color w:val="auto"/>
        </w:rPr>
        <w:t>☒</w:t>
      </w:r>
      <w:r>
        <w:rPr>
          <w:rFonts w:ascii="Arial" w:cs="Arial" w:eastAsia="Arial" w:hAnsi="Arial"/>
          <w:sz w:val="16"/>
          <w:szCs w:val="16"/>
          <w:color w:val="auto"/>
        </w:rPr>
        <w:t>.</w:t>
      </w:r>
    </w:p>
    <w:p>
      <w:pPr>
        <w:spacing w:after="0" w:line="226" w:lineRule="exact"/>
        <w:rPr>
          <w:sz w:val="24"/>
          <w:szCs w:val="24"/>
          <w:color w:val="auto"/>
        </w:rPr>
      </w:pPr>
    </w:p>
    <w:p>
      <w:pPr>
        <w:sectPr>
          <w:pgSz w:w="11900" w:h="16838" w:orient="portrait"/>
          <w:cols w:equalWidth="0" w:num="3">
            <w:col w:w="8860" w:space="80"/>
            <w:col w:w="160" w:space="180"/>
            <w:col w:w="1960"/>
          </w:cols>
          <w:pgMar w:left="320" w:top="230" w:right="339" w:bottom="1440" w:gutter="0" w:footer="0" w:header="0"/>
          <w:type w:val="continuous"/>
        </w:sectPr>
      </w:pPr>
    </w:p>
    <w:p>
      <w:pPr>
        <w:ind w:left="460"/>
        <w:spacing w:after="0"/>
        <w:rPr>
          <w:sz w:val="20"/>
          <w:szCs w:val="20"/>
          <w:color w:val="auto"/>
        </w:rPr>
      </w:pPr>
      <w:r>
        <w:rPr>
          <w:rFonts w:ascii="Arial" w:cs="Arial" w:eastAsia="Arial" w:hAnsi="Arial"/>
          <w:sz w:val="15"/>
          <w:szCs w:val="15"/>
          <w:color w:val="auto"/>
        </w:rPr>
        <w:t>The number of shares of the issuer’s common stock, $0.001 par value, outstanding as of April 30, 2009 was 21,068,772.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109855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135890</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206375</wp:posOffset>
            </wp:positionH>
            <wp:positionV relativeFrom="page">
              <wp:posOffset>88900</wp:posOffset>
            </wp:positionV>
            <wp:extent cx="7153275" cy="279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32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INVESTMENT CORPORATION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10-Q</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QUARTER ENDED MARCH 31, 2009</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9280" w:type="dxa"/>
            <w:vAlign w:val="bottom"/>
          </w:tcPr>
          <w:p>
            <w:pPr>
              <w:ind w:left="3940"/>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PART I. FINANCIAL INFORMATION</w:t>
              </w:r>
            </w:hyperlink>
          </w:p>
        </w:tc>
        <w:tc>
          <w:tcPr>
            <w:tcW w:w="1960" w:type="dxa"/>
            <w:vAlign w:val="bottom"/>
          </w:tcPr>
          <w:p>
            <w:pPr>
              <w:spacing w:after="0"/>
              <w:rPr>
                <w:sz w:val="19"/>
                <w:szCs w:val="19"/>
                <w:color w:val="auto"/>
              </w:rPr>
            </w:pPr>
          </w:p>
        </w:tc>
      </w:tr>
      <w:tr>
        <w:trPr>
          <w:trHeight w:val="324"/>
        </w:trPr>
        <w:tc>
          <w:tcPr>
            <w:tcW w:w="9280" w:type="dxa"/>
            <w:vAlign w:val="bottom"/>
          </w:tcPr>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Item 1. Financial Statements</w:t>
              </w:r>
            </w:hyperlink>
          </w:p>
        </w:tc>
        <w:tc>
          <w:tcPr>
            <w:tcW w:w="1960" w:type="dxa"/>
            <w:vAlign w:val="bottom"/>
          </w:tcPr>
          <w:p>
            <w:pPr>
              <w:spacing w:after="0"/>
              <w:rPr>
                <w:sz w:val="24"/>
                <w:szCs w:val="24"/>
                <w:color w:val="auto"/>
              </w:rPr>
            </w:pPr>
          </w:p>
        </w:tc>
      </w:tr>
      <w:tr>
        <w:trPr>
          <w:trHeight w:val="324"/>
        </w:trPr>
        <w:tc>
          <w:tcPr>
            <w:tcW w:w="9280" w:type="dxa"/>
            <w:vAlign w:val="bottom"/>
          </w:tcPr>
          <w:p>
            <w:pPr>
              <w:ind w:left="44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Statements of Assets and Liabilities as of March 31, 2009 (unaudited) and September 30, 2008</w:t>
              </w:r>
            </w:hyperlink>
          </w:p>
        </w:tc>
        <w:tc>
          <w:tcPr>
            <w:tcW w:w="196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324"/>
        </w:trPr>
        <w:tc>
          <w:tcPr>
            <w:tcW w:w="9280" w:type="dxa"/>
            <w:vAlign w:val="bottom"/>
          </w:tcPr>
          <w:p>
            <w:pPr>
              <w:ind w:left="44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Statements of Operations for the three and six months ended March 31, 2009 and 2008 (unaudited)</w:t>
              </w:r>
            </w:hyperlink>
          </w:p>
        </w:tc>
        <w:tc>
          <w:tcPr>
            <w:tcW w:w="196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324"/>
        </w:trPr>
        <w:tc>
          <w:tcPr>
            <w:tcW w:w="9280" w:type="dxa"/>
            <w:vAlign w:val="bottom"/>
          </w:tcPr>
          <w:p>
            <w:pPr>
              <w:ind w:left="44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Statements of Changes in Net Assets for the six months ended March 31, 2009 and 2008 (unaudited)</w:t>
              </w:r>
            </w:hyperlink>
          </w:p>
        </w:tc>
        <w:tc>
          <w:tcPr>
            <w:tcW w:w="196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324"/>
        </w:trPr>
        <w:tc>
          <w:tcPr>
            <w:tcW w:w="9280" w:type="dxa"/>
            <w:vAlign w:val="bottom"/>
          </w:tcPr>
          <w:p>
            <w:pPr>
              <w:ind w:left="440"/>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Statements of Cash Flows for the six months ended March 31, 2009 and 2008 (unaudited)</w:t>
              </w:r>
            </w:hyperlink>
          </w:p>
        </w:tc>
        <w:tc>
          <w:tcPr>
            <w:tcW w:w="196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324"/>
        </w:trPr>
        <w:tc>
          <w:tcPr>
            <w:tcW w:w="9280" w:type="dxa"/>
            <w:vAlign w:val="bottom"/>
          </w:tcPr>
          <w:p>
            <w:pPr>
              <w:ind w:left="440"/>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Schedules of Investments as of March 31, 2009 (unaudited) and September 30, 2008</w:t>
              </w:r>
            </w:hyperlink>
          </w:p>
        </w:tc>
        <w:tc>
          <w:tcPr>
            <w:tcW w:w="196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324"/>
        </w:trPr>
        <w:tc>
          <w:tcPr>
            <w:tcW w:w="9280" w:type="dxa"/>
            <w:vAlign w:val="bottom"/>
          </w:tcPr>
          <w:p>
            <w:pPr>
              <w:ind w:left="440"/>
              <w:spacing w:after="0"/>
              <w:rPr>
                <w:rFonts w:ascii="Arial" w:cs="Arial" w:eastAsia="Arial" w:hAnsi="Arial"/>
                <w:sz w:val="18"/>
                <w:szCs w:val="18"/>
                <w:u w:val="single" w:color="auto"/>
                <w:color w:val="0000EE"/>
              </w:rPr>
            </w:pPr>
            <w:hyperlink w:anchor="page15">
              <w:r>
                <w:rPr>
                  <w:rFonts w:ascii="Arial" w:cs="Arial" w:eastAsia="Arial" w:hAnsi="Arial"/>
                  <w:sz w:val="18"/>
                  <w:szCs w:val="18"/>
                  <w:u w:val="single" w:color="auto"/>
                  <w:color w:val="0000EE"/>
                </w:rPr>
                <w:t>Notes to Financial Statements</w:t>
              </w:r>
            </w:hyperlink>
          </w:p>
        </w:tc>
        <w:tc>
          <w:tcPr>
            <w:tcW w:w="196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324"/>
        </w:trPr>
        <w:tc>
          <w:tcPr>
            <w:tcW w:w="9280" w:type="dxa"/>
            <w:vAlign w:val="bottom"/>
          </w:tcPr>
          <w:p>
            <w:pPr>
              <w:ind w:left="440"/>
              <w:spacing w:after="0"/>
              <w:rPr>
                <w:rFonts w:ascii="Arial" w:cs="Arial" w:eastAsia="Arial" w:hAnsi="Arial"/>
                <w:sz w:val="18"/>
                <w:szCs w:val="18"/>
                <w:u w:val="single" w:color="auto"/>
                <w:color w:val="0000EE"/>
              </w:rPr>
            </w:pPr>
            <w:hyperlink w:anchor="page25">
              <w:r>
                <w:rPr>
                  <w:rFonts w:ascii="Arial" w:cs="Arial" w:eastAsia="Arial" w:hAnsi="Arial"/>
                  <w:sz w:val="18"/>
                  <w:szCs w:val="18"/>
                  <w:u w:val="single" w:color="auto"/>
                  <w:color w:val="0000EE"/>
                </w:rPr>
                <w:t>Report of Independent Registered Public Accounting Firm</w:t>
              </w:r>
            </w:hyperlink>
          </w:p>
        </w:tc>
        <w:tc>
          <w:tcPr>
            <w:tcW w:w="196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324"/>
        </w:trPr>
        <w:tc>
          <w:tcPr>
            <w:tcW w:w="9280" w:type="dxa"/>
            <w:vAlign w:val="bottom"/>
          </w:tcPr>
          <w:p>
            <w:pPr>
              <w:spacing w:after="0"/>
              <w:rPr>
                <w:rFonts w:ascii="Arial" w:cs="Arial" w:eastAsia="Arial" w:hAnsi="Arial"/>
                <w:sz w:val="18"/>
                <w:szCs w:val="18"/>
                <w:b w:val="1"/>
                <w:bCs w:val="1"/>
                <w:u w:val="single" w:color="auto"/>
                <w:color w:val="0000EE"/>
              </w:rPr>
            </w:pPr>
            <w:hyperlink w:anchor="page26">
              <w:r>
                <w:rPr>
                  <w:rFonts w:ascii="Arial" w:cs="Arial" w:eastAsia="Arial" w:hAnsi="Arial"/>
                  <w:sz w:val="18"/>
                  <w:szCs w:val="18"/>
                  <w:b w:val="1"/>
                  <w:bCs w:val="1"/>
                  <w:u w:val="single" w:color="auto"/>
                  <w:color w:val="0000EE"/>
                </w:rPr>
                <w:t>Item 2. Management’s Discussion and Analysis of Financial Condition and Results of Operations</w:t>
              </w:r>
            </w:hyperlink>
          </w:p>
        </w:tc>
        <w:tc>
          <w:tcPr>
            <w:tcW w:w="196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324"/>
        </w:trPr>
        <w:tc>
          <w:tcPr>
            <w:tcW w:w="9280" w:type="dxa"/>
            <w:vAlign w:val="bottom"/>
          </w:tcPr>
          <w:p>
            <w:pPr>
              <w:spacing w:after="0"/>
              <w:rPr>
                <w:rFonts w:ascii="Arial" w:cs="Arial" w:eastAsia="Arial" w:hAnsi="Arial"/>
                <w:sz w:val="18"/>
                <w:szCs w:val="18"/>
                <w:b w:val="1"/>
                <w:bCs w:val="1"/>
                <w:u w:val="single" w:color="auto"/>
                <w:color w:val="0000EE"/>
              </w:rPr>
            </w:pPr>
            <w:hyperlink w:anchor="page35">
              <w:r>
                <w:rPr>
                  <w:rFonts w:ascii="Arial" w:cs="Arial" w:eastAsia="Arial" w:hAnsi="Arial"/>
                  <w:sz w:val="18"/>
                  <w:szCs w:val="18"/>
                  <w:b w:val="1"/>
                  <w:bCs w:val="1"/>
                  <w:u w:val="single" w:color="auto"/>
                  <w:color w:val="0000EE"/>
                </w:rPr>
                <w:t>Item 3. Quantitative And Qualitative Disclosures About Market Risk</w:t>
              </w:r>
            </w:hyperlink>
          </w:p>
        </w:tc>
        <w:tc>
          <w:tcPr>
            <w:tcW w:w="196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324"/>
        </w:trPr>
        <w:tc>
          <w:tcPr>
            <w:tcW w:w="9280" w:type="dxa"/>
            <w:vAlign w:val="bottom"/>
          </w:tcPr>
          <w:p>
            <w:pPr>
              <w:spacing w:after="0"/>
              <w:rPr>
                <w:rFonts w:ascii="Arial" w:cs="Arial" w:eastAsia="Arial" w:hAnsi="Arial"/>
                <w:sz w:val="18"/>
                <w:szCs w:val="18"/>
                <w:b w:val="1"/>
                <w:bCs w:val="1"/>
                <w:u w:val="single" w:color="auto"/>
                <w:color w:val="0000EE"/>
              </w:rPr>
            </w:pPr>
            <w:hyperlink w:anchor="page36">
              <w:r>
                <w:rPr>
                  <w:rFonts w:ascii="Arial" w:cs="Arial" w:eastAsia="Arial" w:hAnsi="Arial"/>
                  <w:sz w:val="18"/>
                  <w:szCs w:val="18"/>
                  <w:b w:val="1"/>
                  <w:bCs w:val="1"/>
                  <w:u w:val="single" w:color="auto"/>
                  <w:color w:val="0000EE"/>
                </w:rPr>
                <w:t>Item 4. Controls and Procedures</w:t>
              </w:r>
            </w:hyperlink>
          </w:p>
        </w:tc>
        <w:tc>
          <w:tcPr>
            <w:tcW w:w="196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432"/>
        </w:trPr>
        <w:tc>
          <w:tcPr>
            <w:tcW w:w="9280" w:type="dxa"/>
            <w:vAlign w:val="bottom"/>
          </w:tcPr>
          <w:p>
            <w:pPr>
              <w:ind w:left="4080"/>
              <w:spacing w:after="0"/>
              <w:rPr>
                <w:rFonts w:ascii="Arial" w:cs="Arial" w:eastAsia="Arial" w:hAnsi="Arial"/>
                <w:sz w:val="18"/>
                <w:szCs w:val="18"/>
                <w:b w:val="1"/>
                <w:bCs w:val="1"/>
                <w:u w:val="single" w:color="auto"/>
                <w:color w:val="0000EE"/>
              </w:rPr>
            </w:pPr>
            <w:hyperlink w:anchor="page37">
              <w:r>
                <w:rPr>
                  <w:rFonts w:ascii="Arial" w:cs="Arial" w:eastAsia="Arial" w:hAnsi="Arial"/>
                  <w:sz w:val="18"/>
                  <w:szCs w:val="18"/>
                  <w:b w:val="1"/>
                  <w:bCs w:val="1"/>
                  <w:u w:val="single" w:color="auto"/>
                  <w:color w:val="0000EE"/>
                </w:rPr>
                <w:t>PART II. OTHER INFORMATION</w:t>
              </w:r>
            </w:hyperlink>
          </w:p>
        </w:tc>
        <w:tc>
          <w:tcPr>
            <w:tcW w:w="1960" w:type="dxa"/>
            <w:vAlign w:val="bottom"/>
          </w:tcPr>
          <w:p>
            <w:pPr>
              <w:spacing w:after="0"/>
              <w:rPr>
                <w:sz w:val="24"/>
                <w:szCs w:val="24"/>
                <w:color w:val="auto"/>
              </w:rPr>
            </w:pPr>
          </w:p>
        </w:tc>
      </w:tr>
      <w:tr>
        <w:trPr>
          <w:trHeight w:val="324"/>
        </w:trPr>
        <w:tc>
          <w:tcPr>
            <w:tcW w:w="9280" w:type="dxa"/>
            <w:vAlign w:val="bottom"/>
          </w:tcPr>
          <w:p>
            <w:pPr>
              <w:spacing w:after="0"/>
              <w:rPr>
                <w:rFonts w:ascii="Arial" w:cs="Arial" w:eastAsia="Arial" w:hAnsi="Arial"/>
                <w:sz w:val="18"/>
                <w:szCs w:val="18"/>
                <w:b w:val="1"/>
                <w:bCs w:val="1"/>
                <w:u w:val="single" w:color="auto"/>
                <w:color w:val="0000EE"/>
              </w:rPr>
            </w:pPr>
            <w:hyperlink w:anchor="page37">
              <w:r>
                <w:rPr>
                  <w:rFonts w:ascii="Arial" w:cs="Arial" w:eastAsia="Arial" w:hAnsi="Arial"/>
                  <w:sz w:val="18"/>
                  <w:szCs w:val="18"/>
                  <w:b w:val="1"/>
                  <w:bCs w:val="1"/>
                  <w:u w:val="single" w:color="auto"/>
                  <w:color w:val="0000EE"/>
                </w:rPr>
                <w:t>Item 1. Legal Proceedings</w:t>
              </w:r>
            </w:hyperlink>
          </w:p>
        </w:tc>
        <w:tc>
          <w:tcPr>
            <w:tcW w:w="196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324"/>
        </w:trPr>
        <w:tc>
          <w:tcPr>
            <w:tcW w:w="9280" w:type="dxa"/>
            <w:vAlign w:val="bottom"/>
          </w:tcPr>
          <w:p>
            <w:pPr>
              <w:spacing w:after="0"/>
              <w:rPr>
                <w:rFonts w:ascii="Arial" w:cs="Arial" w:eastAsia="Arial" w:hAnsi="Arial"/>
                <w:sz w:val="18"/>
                <w:szCs w:val="18"/>
                <w:b w:val="1"/>
                <w:bCs w:val="1"/>
                <w:u w:val="single" w:color="auto"/>
                <w:color w:val="0000EE"/>
              </w:rPr>
            </w:pPr>
            <w:hyperlink w:anchor="page37">
              <w:r>
                <w:rPr>
                  <w:rFonts w:ascii="Arial" w:cs="Arial" w:eastAsia="Arial" w:hAnsi="Arial"/>
                  <w:sz w:val="18"/>
                  <w:szCs w:val="18"/>
                  <w:b w:val="1"/>
                  <w:bCs w:val="1"/>
                  <w:u w:val="single" w:color="auto"/>
                  <w:color w:val="0000EE"/>
                </w:rPr>
                <w:t>Item 1A. Risk Factors</w:t>
              </w:r>
            </w:hyperlink>
          </w:p>
        </w:tc>
        <w:tc>
          <w:tcPr>
            <w:tcW w:w="196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324"/>
        </w:trPr>
        <w:tc>
          <w:tcPr>
            <w:tcW w:w="9280" w:type="dxa"/>
            <w:vAlign w:val="bottom"/>
          </w:tcPr>
          <w:p>
            <w:pPr>
              <w:spacing w:after="0"/>
              <w:rPr>
                <w:rFonts w:ascii="Arial" w:cs="Arial" w:eastAsia="Arial" w:hAnsi="Arial"/>
                <w:sz w:val="18"/>
                <w:szCs w:val="18"/>
                <w:b w:val="1"/>
                <w:bCs w:val="1"/>
                <w:u w:val="single" w:color="auto"/>
                <w:color w:val="0000EE"/>
              </w:rPr>
            </w:pPr>
            <w:hyperlink w:anchor="page38">
              <w:r>
                <w:rPr>
                  <w:rFonts w:ascii="Arial" w:cs="Arial" w:eastAsia="Arial" w:hAnsi="Arial"/>
                  <w:sz w:val="18"/>
                  <w:szCs w:val="18"/>
                  <w:b w:val="1"/>
                  <w:bCs w:val="1"/>
                  <w:u w:val="single" w:color="auto"/>
                  <w:color w:val="0000EE"/>
                </w:rPr>
                <w:t>Item 2. Unregistered Sales of Equity Securities and Use of Proceeds</w:t>
              </w:r>
            </w:hyperlink>
          </w:p>
        </w:tc>
        <w:tc>
          <w:tcPr>
            <w:tcW w:w="196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324"/>
        </w:trPr>
        <w:tc>
          <w:tcPr>
            <w:tcW w:w="9280" w:type="dxa"/>
            <w:vAlign w:val="bottom"/>
          </w:tcPr>
          <w:p>
            <w:pPr>
              <w:spacing w:after="0"/>
              <w:rPr>
                <w:rFonts w:ascii="Arial" w:cs="Arial" w:eastAsia="Arial" w:hAnsi="Arial"/>
                <w:sz w:val="18"/>
                <w:szCs w:val="18"/>
                <w:b w:val="1"/>
                <w:bCs w:val="1"/>
                <w:u w:val="single" w:color="auto"/>
                <w:color w:val="0000EE"/>
              </w:rPr>
            </w:pPr>
            <w:hyperlink w:anchor="page38">
              <w:r>
                <w:rPr>
                  <w:rFonts w:ascii="Arial" w:cs="Arial" w:eastAsia="Arial" w:hAnsi="Arial"/>
                  <w:sz w:val="18"/>
                  <w:szCs w:val="18"/>
                  <w:b w:val="1"/>
                  <w:bCs w:val="1"/>
                  <w:u w:val="single" w:color="auto"/>
                  <w:color w:val="0000EE"/>
                </w:rPr>
                <w:t>Item 3. Defaults Upon Senior Securities</w:t>
              </w:r>
            </w:hyperlink>
          </w:p>
        </w:tc>
        <w:tc>
          <w:tcPr>
            <w:tcW w:w="196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324"/>
        </w:trPr>
        <w:tc>
          <w:tcPr>
            <w:tcW w:w="9280" w:type="dxa"/>
            <w:vAlign w:val="bottom"/>
          </w:tcPr>
          <w:p>
            <w:pPr>
              <w:spacing w:after="0"/>
              <w:rPr>
                <w:rFonts w:ascii="Arial" w:cs="Arial" w:eastAsia="Arial" w:hAnsi="Arial"/>
                <w:sz w:val="18"/>
                <w:szCs w:val="18"/>
                <w:b w:val="1"/>
                <w:bCs w:val="1"/>
                <w:u w:val="single" w:color="auto"/>
                <w:color w:val="0000EE"/>
              </w:rPr>
            </w:pPr>
            <w:hyperlink w:anchor="page38">
              <w:r>
                <w:rPr>
                  <w:rFonts w:ascii="Arial" w:cs="Arial" w:eastAsia="Arial" w:hAnsi="Arial"/>
                  <w:sz w:val="18"/>
                  <w:szCs w:val="18"/>
                  <w:b w:val="1"/>
                  <w:bCs w:val="1"/>
                  <w:u w:val="single" w:color="auto"/>
                  <w:color w:val="0000EE"/>
                </w:rPr>
                <w:t>Item 4. Submission of Matters to a Vote of Security Holders</w:t>
              </w:r>
            </w:hyperlink>
          </w:p>
        </w:tc>
        <w:tc>
          <w:tcPr>
            <w:tcW w:w="196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324"/>
        </w:trPr>
        <w:tc>
          <w:tcPr>
            <w:tcW w:w="9280" w:type="dxa"/>
            <w:vAlign w:val="bottom"/>
          </w:tcPr>
          <w:p>
            <w:pPr>
              <w:spacing w:after="0"/>
              <w:rPr>
                <w:rFonts w:ascii="Arial" w:cs="Arial" w:eastAsia="Arial" w:hAnsi="Arial"/>
                <w:sz w:val="18"/>
                <w:szCs w:val="18"/>
                <w:b w:val="1"/>
                <w:bCs w:val="1"/>
                <w:u w:val="single" w:color="auto"/>
                <w:color w:val="0000EE"/>
              </w:rPr>
            </w:pPr>
            <w:hyperlink w:anchor="page38">
              <w:r>
                <w:rPr>
                  <w:rFonts w:ascii="Arial" w:cs="Arial" w:eastAsia="Arial" w:hAnsi="Arial"/>
                  <w:sz w:val="18"/>
                  <w:szCs w:val="18"/>
                  <w:b w:val="1"/>
                  <w:bCs w:val="1"/>
                  <w:u w:val="single" w:color="auto"/>
                  <w:color w:val="0000EE"/>
                </w:rPr>
                <w:t>Item 5. Other Information</w:t>
              </w:r>
            </w:hyperlink>
          </w:p>
        </w:tc>
        <w:tc>
          <w:tcPr>
            <w:tcW w:w="196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324"/>
        </w:trPr>
        <w:tc>
          <w:tcPr>
            <w:tcW w:w="9280" w:type="dxa"/>
            <w:vAlign w:val="bottom"/>
          </w:tcPr>
          <w:p>
            <w:pPr>
              <w:spacing w:after="0"/>
              <w:rPr>
                <w:rFonts w:ascii="Arial" w:cs="Arial" w:eastAsia="Arial" w:hAnsi="Arial"/>
                <w:sz w:val="18"/>
                <w:szCs w:val="18"/>
                <w:b w:val="1"/>
                <w:bCs w:val="1"/>
                <w:u w:val="single" w:color="auto"/>
                <w:color w:val="0000EE"/>
              </w:rPr>
            </w:pPr>
            <w:hyperlink w:anchor="page39">
              <w:r>
                <w:rPr>
                  <w:rFonts w:ascii="Arial" w:cs="Arial" w:eastAsia="Arial" w:hAnsi="Arial"/>
                  <w:sz w:val="18"/>
                  <w:szCs w:val="18"/>
                  <w:b w:val="1"/>
                  <w:bCs w:val="1"/>
                  <w:u w:val="single" w:color="auto"/>
                  <w:color w:val="0000EE"/>
                </w:rPr>
                <w:t>Item 6. Exhibits</w:t>
              </w:r>
            </w:hyperlink>
          </w:p>
        </w:tc>
        <w:tc>
          <w:tcPr>
            <w:tcW w:w="196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324"/>
        </w:trPr>
        <w:tc>
          <w:tcPr>
            <w:tcW w:w="9280" w:type="dxa"/>
            <w:vAlign w:val="bottom"/>
          </w:tcPr>
          <w:p>
            <w:pPr>
              <w:spacing w:after="0"/>
              <w:rPr>
                <w:rFonts w:ascii="Arial" w:cs="Arial" w:eastAsia="Arial" w:hAnsi="Arial"/>
                <w:sz w:val="18"/>
                <w:szCs w:val="18"/>
                <w:b w:val="1"/>
                <w:bCs w:val="1"/>
                <w:u w:val="single" w:color="auto"/>
                <w:color w:val="0000EE"/>
              </w:rPr>
            </w:pPr>
            <w:hyperlink w:anchor="page40">
              <w:r>
                <w:rPr>
                  <w:rFonts w:ascii="Arial" w:cs="Arial" w:eastAsia="Arial" w:hAnsi="Arial"/>
                  <w:sz w:val="18"/>
                  <w:szCs w:val="18"/>
                  <w:b w:val="1"/>
                  <w:bCs w:val="1"/>
                  <w:u w:val="single" w:color="auto"/>
                  <w:color w:val="0000EE"/>
                </w:rPr>
                <w:t>SIGNATURES</w:t>
              </w:r>
            </w:hyperlink>
          </w:p>
        </w:tc>
        <w:tc>
          <w:tcPr>
            <w:tcW w:w="1960" w:type="dxa"/>
            <w:vAlign w:val="bottom"/>
          </w:tcPr>
          <w:p>
            <w:pPr>
              <w:jc w:val="right"/>
              <w:spacing w:after="0"/>
              <w:rPr>
                <w:sz w:val="20"/>
                <w:szCs w:val="20"/>
                <w:color w:val="auto"/>
              </w:rPr>
            </w:pPr>
            <w:r>
              <w:rPr>
                <w:rFonts w:ascii="Arial" w:cs="Arial" w:eastAsia="Arial" w:hAnsi="Arial"/>
                <w:sz w:val="18"/>
                <w:szCs w:val="18"/>
                <w:color w:val="auto"/>
              </w:rPr>
              <w:t>38</w:t>
            </w:r>
          </w:p>
        </w:tc>
      </w:tr>
    </w:tbl>
    <w:p>
      <w:pPr>
        <w:sectPr>
          <w:pgSz w:w="11900" w:h="16838" w:orient="portrait"/>
          <w:cols w:equalWidth="0" w:num="1">
            <w:col w:w="11240"/>
          </w:cols>
          <w:pgMar w:left="320" w:top="459" w:right="3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206375</wp:posOffset>
            </wp:positionH>
            <wp:positionV relativeFrom="page">
              <wp:posOffset>88900</wp:posOffset>
            </wp:positionV>
            <wp:extent cx="7153275" cy="279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32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I—FINANCIAL INFORMATION</w:t>
      </w:r>
    </w:p>
    <w:p>
      <w:pPr>
        <w:spacing w:after="0" w:line="177"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We are filing this Report in compliance with Rule 13a-13 promulgated by the Securities and Exchange Commission (the “SEC”). In this Report, “PennantPark Investment”, “we”, “our” and “us” refer to PennantPark Investment Corporation unless the context otherwise requires.</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820" w:type="dxa"/>
            <w:vAlign w:val="bottom"/>
          </w:tcPr>
          <w:p>
            <w:pPr>
              <w:spacing w:after="0"/>
              <w:rPr>
                <w:sz w:val="20"/>
                <w:szCs w:val="20"/>
                <w:color w:val="auto"/>
              </w:rPr>
            </w:pPr>
            <w:r>
              <w:rPr>
                <w:rFonts w:ascii="Arial" w:cs="Arial" w:eastAsia="Arial" w:hAnsi="Arial"/>
                <w:sz w:val="18"/>
                <w:szCs w:val="18"/>
                <w:b w:val="1"/>
                <w:bCs w:val="1"/>
                <w:color w:val="auto"/>
              </w:rPr>
              <w:t>Item 1.</w:t>
            </w:r>
          </w:p>
        </w:tc>
        <w:tc>
          <w:tcPr>
            <w:tcW w:w="7860" w:type="dxa"/>
            <w:vAlign w:val="bottom"/>
          </w:tcPr>
          <w:p>
            <w:pPr>
              <w:ind w:left="300"/>
              <w:spacing w:after="0"/>
              <w:rPr>
                <w:sz w:val="20"/>
                <w:szCs w:val="20"/>
                <w:color w:val="auto"/>
              </w:rPr>
            </w:pPr>
            <w:r>
              <w:rPr>
                <w:rFonts w:ascii="Arial" w:cs="Arial" w:eastAsia="Arial" w:hAnsi="Arial"/>
                <w:sz w:val="18"/>
                <w:szCs w:val="18"/>
                <w:b w:val="1"/>
                <w:bCs w:val="1"/>
                <w:color w:val="auto"/>
              </w:rPr>
              <w:t>Financial Statements</w:t>
            </w:r>
          </w:p>
        </w:tc>
        <w:tc>
          <w:tcPr>
            <w:tcW w:w="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6"/>
        </w:trPr>
        <w:tc>
          <w:tcPr>
            <w:tcW w:w="820" w:type="dxa"/>
            <w:vAlign w:val="bottom"/>
          </w:tcPr>
          <w:p>
            <w:pPr>
              <w:spacing w:after="0"/>
              <w:rPr>
                <w:sz w:val="24"/>
                <w:szCs w:val="24"/>
                <w:color w:val="auto"/>
              </w:rPr>
            </w:pPr>
          </w:p>
        </w:tc>
        <w:tc>
          <w:tcPr>
            <w:tcW w:w="7860" w:type="dxa"/>
            <w:vAlign w:val="bottom"/>
          </w:tcPr>
          <w:p>
            <w:pPr>
              <w:ind w:left="2840"/>
              <w:spacing w:after="0"/>
              <w:rPr>
                <w:sz w:val="20"/>
                <w:szCs w:val="20"/>
                <w:color w:val="auto"/>
              </w:rPr>
            </w:pPr>
            <w:r>
              <w:rPr>
                <w:rFonts w:ascii="Arial" w:cs="Arial" w:eastAsia="Arial" w:hAnsi="Arial"/>
                <w:sz w:val="18"/>
                <w:szCs w:val="18"/>
                <w:b w:val="1"/>
                <w:bCs w:val="1"/>
                <w:color w:val="auto"/>
              </w:rPr>
              <w:t>PENNANTPARK INVESTMENT CORPORATION</w:t>
            </w: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820" w:type="dxa"/>
            <w:vAlign w:val="bottom"/>
          </w:tcPr>
          <w:p>
            <w:pPr>
              <w:spacing w:after="0"/>
              <w:rPr>
                <w:sz w:val="19"/>
                <w:szCs w:val="19"/>
                <w:color w:val="auto"/>
              </w:rPr>
            </w:pPr>
          </w:p>
        </w:tc>
        <w:tc>
          <w:tcPr>
            <w:tcW w:w="7860" w:type="dxa"/>
            <w:vAlign w:val="bottom"/>
          </w:tcPr>
          <w:p>
            <w:pPr>
              <w:ind w:left="2940"/>
              <w:spacing w:after="0"/>
              <w:rPr>
                <w:sz w:val="20"/>
                <w:szCs w:val="20"/>
                <w:color w:val="auto"/>
              </w:rPr>
            </w:pPr>
            <w:r>
              <w:rPr>
                <w:rFonts w:ascii="Arial" w:cs="Arial" w:eastAsia="Arial" w:hAnsi="Arial"/>
                <w:sz w:val="18"/>
                <w:szCs w:val="18"/>
                <w:b w:val="1"/>
                <w:bCs w:val="1"/>
                <w:color w:val="auto"/>
              </w:rPr>
              <w:t>STATEMENTS OF ASSETS AND LIABILITIES</w:t>
            </w:r>
          </w:p>
        </w:tc>
        <w:tc>
          <w:tcPr>
            <w:tcW w:w="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0"/>
        </w:trPr>
        <w:tc>
          <w:tcPr>
            <w:tcW w:w="820" w:type="dxa"/>
            <w:vAlign w:val="bottom"/>
          </w:tcPr>
          <w:p>
            <w:pPr>
              <w:spacing w:after="0"/>
              <w:rPr>
                <w:sz w:val="24"/>
                <w:szCs w:val="24"/>
                <w:color w:val="auto"/>
              </w:rPr>
            </w:pPr>
          </w:p>
        </w:tc>
        <w:tc>
          <w:tcPr>
            <w:tcW w:w="7860" w:type="dxa"/>
            <w:vAlign w:val="bottom"/>
          </w:tcPr>
          <w:p>
            <w:pPr>
              <w:spacing w:after="0"/>
              <w:rPr>
                <w:sz w:val="24"/>
                <w:szCs w:val="24"/>
                <w:color w:val="auto"/>
              </w:rPr>
            </w:pPr>
          </w:p>
        </w:tc>
        <w:tc>
          <w:tcPr>
            <w:tcW w:w="1200" w:type="dxa"/>
            <w:vAlign w:val="bottom"/>
            <w:gridSpan w:val="3"/>
          </w:tcPr>
          <w:p>
            <w:pPr>
              <w:jc w:val="right"/>
              <w:ind w:right="280"/>
              <w:spacing w:after="0"/>
              <w:rPr>
                <w:sz w:val="20"/>
                <w:szCs w:val="20"/>
                <w:color w:val="auto"/>
              </w:rPr>
            </w:pPr>
            <w:r>
              <w:rPr>
                <w:rFonts w:ascii="Arial" w:cs="Arial" w:eastAsia="Arial" w:hAnsi="Arial"/>
                <w:sz w:val="13"/>
                <w:szCs w:val="13"/>
                <w:b w:val="1"/>
                <w:bCs w:val="1"/>
                <w:color w:val="auto"/>
                <w:w w:val="97"/>
              </w:rPr>
              <w:t>March 31, 2009</w:t>
            </w: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1"/>
        </w:trPr>
        <w:tc>
          <w:tcPr>
            <w:tcW w:w="820" w:type="dxa"/>
            <w:vAlign w:val="bottom"/>
          </w:tcPr>
          <w:p>
            <w:pPr>
              <w:spacing w:after="0"/>
              <w:rPr>
                <w:sz w:val="14"/>
                <w:szCs w:val="14"/>
                <w:color w:val="auto"/>
              </w:rPr>
            </w:pPr>
          </w:p>
        </w:tc>
        <w:tc>
          <w:tcPr>
            <w:tcW w:w="7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gridSpan w:val="2"/>
          </w:tcPr>
          <w:p>
            <w:pPr>
              <w:jc w:val="right"/>
              <w:ind w:right="380"/>
              <w:spacing w:after="0"/>
              <w:rPr>
                <w:sz w:val="20"/>
                <w:szCs w:val="20"/>
                <w:color w:val="auto"/>
              </w:rPr>
            </w:pPr>
            <w:r>
              <w:rPr>
                <w:rFonts w:ascii="Arial" w:cs="Arial" w:eastAsia="Arial" w:hAnsi="Arial"/>
                <w:sz w:val="13"/>
                <w:szCs w:val="13"/>
                <w:b w:val="1"/>
                <w:bCs w:val="1"/>
                <w:color w:val="auto"/>
              </w:rPr>
              <w:t>(unaudited)</w:t>
            </w:r>
          </w:p>
        </w:tc>
        <w:tc>
          <w:tcPr>
            <w:tcW w:w="160" w:type="dxa"/>
            <w:vAlign w:val="bottom"/>
          </w:tcPr>
          <w:p>
            <w:pPr>
              <w:spacing w:after="0"/>
              <w:rPr>
                <w:sz w:val="14"/>
                <w:szCs w:val="14"/>
                <w:color w:val="auto"/>
              </w:rPr>
            </w:pPr>
          </w:p>
        </w:tc>
        <w:tc>
          <w:tcPr>
            <w:tcW w:w="1200" w:type="dxa"/>
            <w:vAlign w:val="bottom"/>
            <w:gridSpan w:val="3"/>
          </w:tcPr>
          <w:p>
            <w:pPr>
              <w:spacing w:after="0"/>
              <w:rPr>
                <w:sz w:val="20"/>
                <w:szCs w:val="20"/>
                <w:color w:val="auto"/>
              </w:rPr>
            </w:pPr>
            <w:r>
              <w:rPr>
                <w:rFonts w:ascii="Arial" w:cs="Arial" w:eastAsia="Arial" w:hAnsi="Arial"/>
                <w:sz w:val="13"/>
                <w:szCs w:val="13"/>
                <w:b w:val="1"/>
                <w:bCs w:val="1"/>
                <w:color w:val="auto"/>
                <w:w w:val="97"/>
              </w:rPr>
              <w:t>September 30, 2008</w:t>
            </w:r>
          </w:p>
        </w:tc>
        <w:tc>
          <w:tcPr>
            <w:tcW w:w="0" w:type="dxa"/>
            <w:vAlign w:val="bottom"/>
          </w:tcPr>
          <w:p>
            <w:pPr>
              <w:spacing w:after="0"/>
              <w:rPr>
                <w:sz w:val="1"/>
                <w:szCs w:val="1"/>
                <w:color w:val="auto"/>
              </w:rPr>
            </w:pPr>
          </w:p>
        </w:tc>
      </w:tr>
      <w:tr>
        <w:trPr>
          <w:trHeight w:val="210"/>
        </w:trPr>
        <w:tc>
          <w:tcPr>
            <w:tcW w:w="8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786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2"/>
          </w:tcPr>
          <w:p>
            <w:pPr>
              <w:spacing w:after="0"/>
              <w:rPr>
                <w:sz w:val="20"/>
                <w:szCs w:val="20"/>
                <w:color w:val="auto"/>
              </w:rPr>
            </w:pPr>
            <w:r>
              <w:rPr>
                <w:rFonts w:ascii="Arial" w:cs="Arial" w:eastAsia="Arial" w:hAnsi="Arial"/>
                <w:sz w:val="18"/>
                <w:szCs w:val="18"/>
                <w:color w:val="auto"/>
              </w:rPr>
              <w:t>Investments at fair value</w:t>
            </w: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w w:val="94"/>
              </w:rPr>
              <w:t>Non-controlled, non-affiliated investments, at fair value (cost—$433,594,451 and $427,481,745, respectively)</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347,599,004</w:t>
            </w:r>
          </w:p>
        </w:tc>
        <w:tc>
          <w:tcPr>
            <w:tcW w:w="240" w:type="dxa"/>
            <w:vAlign w:val="bottom"/>
            <w:shd w:val="clear" w:color="auto" w:fill="CCEEFF"/>
          </w:tcPr>
          <w:p>
            <w:pPr>
              <w:spacing w:after="0"/>
              <w:rPr>
                <w:sz w:val="18"/>
                <w:szCs w:val="18"/>
                <w:color w:val="auto"/>
              </w:rPr>
            </w:pPr>
          </w:p>
        </w:tc>
        <w:tc>
          <w:tcPr>
            <w:tcW w:w="3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354,261,950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680" w:type="dxa"/>
            <w:vAlign w:val="bottom"/>
            <w:gridSpan w:val="2"/>
          </w:tcPr>
          <w:p>
            <w:pPr>
              <w:ind w:left="440"/>
              <w:spacing w:after="0"/>
              <w:rPr>
                <w:sz w:val="20"/>
                <w:szCs w:val="20"/>
                <w:color w:val="auto"/>
              </w:rPr>
            </w:pPr>
            <w:r>
              <w:rPr>
                <w:rFonts w:ascii="Arial" w:cs="Arial" w:eastAsia="Arial" w:hAnsi="Arial"/>
                <w:sz w:val="18"/>
                <w:szCs w:val="18"/>
                <w:color w:val="auto"/>
              </w:rPr>
              <w:t>Non-controlled, affiliated investments, at fair value (cost—$17,024,962 and $16,692,261, respectively)</w:t>
            </w:r>
          </w:p>
        </w:tc>
        <w:tc>
          <w:tcPr>
            <w:tcW w:w="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15,898,202</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17,885,870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Total investments at fair value</w:t>
            </w: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363,497,206</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372,147,820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2"/>
          </w:tcPr>
          <w:p>
            <w:pPr>
              <w:spacing w:after="0"/>
              <w:rPr>
                <w:sz w:val="20"/>
                <w:szCs w:val="20"/>
                <w:color w:val="auto"/>
              </w:rPr>
            </w:pPr>
            <w:r>
              <w:rPr>
                <w:rFonts w:ascii="Arial" w:cs="Arial" w:eastAsia="Arial" w:hAnsi="Arial"/>
                <w:sz w:val="18"/>
                <w:szCs w:val="18"/>
                <w:color w:val="auto"/>
              </w:rPr>
              <w:t>Cash equivalents</w:t>
            </w: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5"/>
              </w:rPr>
              <w:t>29,906,268</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40,249,201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receivable</w:t>
            </w: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6,734,435</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6,046,199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680" w:type="dxa"/>
            <w:vAlign w:val="bottom"/>
            <w:gridSpan w:val="2"/>
          </w:tcPr>
          <w:p>
            <w:pPr>
              <w:spacing w:after="0"/>
              <w:rPr>
                <w:sz w:val="20"/>
                <w:szCs w:val="20"/>
                <w:color w:val="auto"/>
              </w:rPr>
            </w:pPr>
            <w:r>
              <w:rPr>
                <w:rFonts w:ascii="Arial" w:cs="Arial" w:eastAsia="Arial" w:hAnsi="Arial"/>
                <w:sz w:val="18"/>
                <w:szCs w:val="18"/>
                <w:color w:val="auto"/>
              </w:rPr>
              <w:t>Prepaid expenses and other assets</w:t>
            </w:r>
          </w:p>
        </w:tc>
        <w:tc>
          <w:tcPr>
            <w:tcW w:w="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1,110,498</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1,367,479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20" w:type="dxa"/>
            <w:vAlign w:val="bottom"/>
            <w:shd w:val="clear" w:color="auto" w:fill="CCEEFF"/>
          </w:tcPr>
          <w:p>
            <w:pPr>
              <w:spacing w:after="0"/>
              <w:rPr>
                <w:sz w:val="18"/>
                <w:szCs w:val="18"/>
                <w:color w:val="auto"/>
              </w:rPr>
            </w:pPr>
          </w:p>
        </w:tc>
        <w:tc>
          <w:tcPr>
            <w:tcW w:w="7860" w:type="dxa"/>
            <w:vAlign w:val="bottom"/>
            <w:shd w:val="clear" w:color="auto" w:fill="CCEEFF"/>
          </w:tcPr>
          <w:p>
            <w:pPr>
              <w:ind w:left="60"/>
              <w:spacing w:after="0"/>
              <w:rPr>
                <w:sz w:val="20"/>
                <w:szCs w:val="20"/>
                <w:color w:val="auto"/>
              </w:rPr>
            </w:pPr>
            <w:r>
              <w:rPr>
                <w:rFonts w:ascii="Arial" w:cs="Arial" w:eastAsia="Arial" w:hAnsi="Arial"/>
                <w:sz w:val="18"/>
                <w:szCs w:val="18"/>
                <w:b w:val="1"/>
                <w:bCs w:val="1"/>
                <w:color w:val="auto"/>
              </w:rPr>
              <w:t>Total assets</w:t>
            </w:r>
          </w:p>
        </w:tc>
        <w:tc>
          <w:tcPr>
            <w:tcW w:w="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401,248,407</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419,810,699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30"/>
        </w:trPr>
        <w:tc>
          <w:tcPr>
            <w:tcW w:w="820" w:type="dxa"/>
            <w:vAlign w:val="bottom"/>
          </w:tcPr>
          <w:p>
            <w:pPr>
              <w:spacing w:after="0"/>
              <w:rPr>
                <w:sz w:val="20"/>
                <w:szCs w:val="20"/>
                <w:color w:val="auto"/>
              </w:rPr>
            </w:pPr>
            <w:r>
              <w:rPr>
                <w:rFonts w:ascii="Arial" w:cs="Arial" w:eastAsia="Arial" w:hAnsi="Arial"/>
                <w:sz w:val="18"/>
                <w:szCs w:val="18"/>
                <w:b w:val="1"/>
                <w:bCs w:val="1"/>
                <w:color w:val="auto"/>
                <w:w w:val="96"/>
              </w:rPr>
              <w:t>Liabilities</w:t>
            </w:r>
          </w:p>
        </w:tc>
        <w:tc>
          <w:tcPr>
            <w:tcW w:w="7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Distributions payable</w:t>
            </w: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5,056,505</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5,056,505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2"/>
          </w:tcPr>
          <w:p>
            <w:pPr>
              <w:spacing w:after="0"/>
              <w:rPr>
                <w:sz w:val="20"/>
                <w:szCs w:val="20"/>
                <w:color w:val="auto"/>
              </w:rPr>
            </w:pPr>
            <w:r>
              <w:rPr>
                <w:rFonts w:ascii="Arial" w:cs="Arial" w:eastAsia="Arial" w:hAnsi="Arial"/>
                <w:sz w:val="18"/>
                <w:szCs w:val="18"/>
                <w:color w:val="auto"/>
              </w:rPr>
              <w:t>Payable for investments purchased</w:t>
            </w: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9,257,269</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Unfunded investments</w:t>
            </w: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4,665,231</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8680" w:type="dxa"/>
            <w:vAlign w:val="bottom"/>
            <w:gridSpan w:val="2"/>
          </w:tcPr>
          <w:p>
            <w:pPr>
              <w:spacing w:after="0"/>
              <w:rPr>
                <w:sz w:val="20"/>
                <w:szCs w:val="20"/>
                <w:color w:val="auto"/>
              </w:rPr>
            </w:pPr>
            <w:r>
              <w:rPr>
                <w:rFonts w:ascii="Arial" w:cs="Arial" w:eastAsia="Arial" w:hAnsi="Arial"/>
                <w:sz w:val="18"/>
                <w:szCs w:val="18"/>
                <w:color w:val="auto"/>
                <w:w w:val="92"/>
              </w:rPr>
              <w:t>Credit facility payable (fair value: $125,254,911 and $160,204,000, respectively) (see note 7) (cost: $187,700,000 and</w:t>
            </w: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680" w:type="dxa"/>
            <w:vAlign w:val="bottom"/>
            <w:gridSpan w:val="2"/>
          </w:tcPr>
          <w:p>
            <w:pPr>
              <w:ind w:left="220"/>
              <w:spacing w:after="0"/>
              <w:rPr>
                <w:sz w:val="20"/>
                <w:szCs w:val="20"/>
                <w:color w:val="auto"/>
              </w:rPr>
            </w:pPr>
            <w:r>
              <w:rPr>
                <w:rFonts w:ascii="Arial" w:cs="Arial" w:eastAsia="Arial" w:hAnsi="Arial"/>
                <w:sz w:val="18"/>
                <w:szCs w:val="18"/>
                <w:color w:val="auto"/>
              </w:rPr>
              <w:t>$202,000,000, respectively)</w:t>
            </w:r>
          </w:p>
        </w:tc>
        <w:tc>
          <w:tcPr>
            <w:tcW w:w="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85"/>
              </w:rPr>
              <w:t>125,254,911</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w w:val="93"/>
              </w:rPr>
              <w:t>202,000,000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payable on credit facility</w:t>
            </w: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74,128</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725,317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2"/>
          </w:tcPr>
          <w:p>
            <w:pPr>
              <w:spacing w:after="0"/>
              <w:rPr>
                <w:sz w:val="20"/>
                <w:szCs w:val="20"/>
                <w:color w:val="auto"/>
              </w:rPr>
            </w:pPr>
            <w:r>
              <w:rPr>
                <w:rFonts w:ascii="Arial" w:cs="Arial" w:eastAsia="Arial" w:hAnsi="Arial"/>
                <w:sz w:val="18"/>
                <w:szCs w:val="18"/>
                <w:color w:val="auto"/>
              </w:rPr>
              <w:t>Management fee payable (see note 3)</w:t>
            </w: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1,747,235</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85,896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Performance-based incentive fee payable (see note 3)</w:t>
            </w: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1,320,317</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123,033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680" w:type="dxa"/>
            <w:vAlign w:val="bottom"/>
            <w:gridSpan w:val="2"/>
          </w:tcPr>
          <w:p>
            <w:pPr>
              <w:spacing w:after="0"/>
              <w:rPr>
                <w:sz w:val="20"/>
                <w:szCs w:val="20"/>
                <w:color w:val="auto"/>
              </w:rPr>
            </w:pPr>
            <w:r>
              <w:rPr>
                <w:rFonts w:ascii="Arial" w:cs="Arial" w:eastAsia="Arial" w:hAnsi="Arial"/>
                <w:sz w:val="18"/>
                <w:szCs w:val="18"/>
                <w:color w:val="auto"/>
              </w:rPr>
              <w:t>Accrued other expenses</w:t>
            </w:r>
          </w:p>
        </w:tc>
        <w:tc>
          <w:tcPr>
            <w:tcW w:w="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1,019,296</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1,091,688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20" w:type="dxa"/>
            <w:vAlign w:val="bottom"/>
            <w:shd w:val="clear" w:color="auto" w:fill="CCEEFF"/>
          </w:tcPr>
          <w:p>
            <w:pPr>
              <w:spacing w:after="0"/>
              <w:rPr>
                <w:sz w:val="18"/>
                <w:szCs w:val="18"/>
                <w:color w:val="auto"/>
              </w:rPr>
            </w:pPr>
          </w:p>
        </w:tc>
        <w:tc>
          <w:tcPr>
            <w:tcW w:w="7860" w:type="dxa"/>
            <w:vAlign w:val="bottom"/>
            <w:shd w:val="clear" w:color="auto" w:fill="CCEEFF"/>
          </w:tcPr>
          <w:p>
            <w:pPr>
              <w:ind w:left="60"/>
              <w:spacing w:after="0"/>
              <w:rPr>
                <w:sz w:val="20"/>
                <w:szCs w:val="20"/>
                <w:color w:val="auto"/>
              </w:rPr>
            </w:pPr>
            <w:r>
              <w:rPr>
                <w:rFonts w:ascii="Arial" w:cs="Arial" w:eastAsia="Arial" w:hAnsi="Arial"/>
                <w:sz w:val="18"/>
                <w:szCs w:val="18"/>
                <w:b w:val="1"/>
                <w:bCs w:val="1"/>
                <w:color w:val="auto"/>
              </w:rPr>
              <w:t>Total liabilities</w:t>
            </w:r>
          </w:p>
        </w:tc>
        <w:tc>
          <w:tcPr>
            <w:tcW w:w="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148,394,892</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209,082,439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30"/>
        </w:trPr>
        <w:tc>
          <w:tcPr>
            <w:tcW w:w="820" w:type="dxa"/>
            <w:vAlign w:val="bottom"/>
          </w:tcPr>
          <w:p>
            <w:pPr>
              <w:spacing w:after="0"/>
              <w:rPr>
                <w:sz w:val="20"/>
                <w:szCs w:val="20"/>
                <w:color w:val="auto"/>
              </w:rPr>
            </w:pPr>
            <w:r>
              <w:rPr>
                <w:rFonts w:ascii="Arial" w:cs="Arial" w:eastAsia="Arial" w:hAnsi="Arial"/>
                <w:sz w:val="18"/>
                <w:szCs w:val="18"/>
                <w:b w:val="1"/>
                <w:bCs w:val="1"/>
                <w:color w:val="auto"/>
                <w:w w:val="85"/>
              </w:rPr>
              <w:t>Net Assets</w:t>
            </w:r>
          </w:p>
        </w:tc>
        <w:tc>
          <w:tcPr>
            <w:tcW w:w="7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7"/>
              </w:rPr>
              <w:t>Common stock, par value $0.001 per share, 100,000,000 shares authorized and 21,068,772 shares issued and</w:t>
            </w: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86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outstanding</w:t>
            </w:r>
          </w:p>
        </w:tc>
        <w:tc>
          <w:tcPr>
            <w:tcW w:w="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21,069</w:t>
            </w: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21,069</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680" w:type="dxa"/>
            <w:vAlign w:val="bottom"/>
            <w:gridSpan w:val="2"/>
          </w:tcPr>
          <w:p>
            <w:pPr>
              <w:spacing w:after="0"/>
              <w:rPr>
                <w:sz w:val="20"/>
                <w:szCs w:val="20"/>
                <w:color w:val="auto"/>
              </w:rPr>
            </w:pPr>
            <w:r>
              <w:rPr>
                <w:rFonts w:ascii="Arial" w:cs="Arial" w:eastAsia="Arial" w:hAnsi="Arial"/>
                <w:sz w:val="18"/>
                <w:szCs w:val="18"/>
                <w:color w:val="auto"/>
              </w:rPr>
              <w:t>Paid-in capital in excess of par</w:t>
            </w: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85"/>
              </w:rPr>
              <w:t>294,586,604</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w w:val="93"/>
              </w:rPr>
              <w:t>294,586,604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Undistributed (distributions in excess of) net investment income</w:t>
            </w: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318,791</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(602,660)</w:t>
            </w:r>
          </w:p>
        </w:tc>
        <w:tc>
          <w:tcPr>
            <w:tcW w:w="0" w:type="dxa"/>
            <w:vAlign w:val="bottom"/>
          </w:tcPr>
          <w:p>
            <w:pPr>
              <w:spacing w:after="0"/>
              <w:rPr>
                <w:sz w:val="1"/>
                <w:szCs w:val="1"/>
                <w:color w:val="auto"/>
              </w:rPr>
            </w:pPr>
          </w:p>
        </w:tc>
      </w:tr>
      <w:tr>
        <w:trPr>
          <w:trHeight w:val="216"/>
        </w:trPr>
        <w:tc>
          <w:tcPr>
            <w:tcW w:w="8680" w:type="dxa"/>
            <w:vAlign w:val="bottom"/>
            <w:gridSpan w:val="2"/>
          </w:tcPr>
          <w:p>
            <w:pPr>
              <w:spacing w:after="0"/>
              <w:rPr>
                <w:sz w:val="20"/>
                <w:szCs w:val="20"/>
                <w:color w:val="auto"/>
              </w:rPr>
            </w:pPr>
            <w:r>
              <w:rPr>
                <w:rFonts w:ascii="Arial" w:cs="Arial" w:eastAsia="Arial" w:hAnsi="Arial"/>
                <w:sz w:val="18"/>
                <w:szCs w:val="18"/>
                <w:color w:val="auto"/>
              </w:rPr>
              <w:t>Cumulative effect of adoption of fair value option (credit facility)</w:t>
            </w: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5"/>
              </w:rPr>
              <w:t>41,796,000</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Accumulated net realized loss on investments and cash equivalents</w:t>
            </w: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0"/>
              </w:rPr>
              <w:t>(17,395,831)</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7"/>
              </w:rPr>
              <w:t>(11,250,567)</w:t>
            </w:r>
          </w:p>
        </w:tc>
        <w:tc>
          <w:tcPr>
            <w:tcW w:w="0" w:type="dxa"/>
            <w:vAlign w:val="bottom"/>
          </w:tcPr>
          <w:p>
            <w:pPr>
              <w:spacing w:after="0"/>
              <w:rPr>
                <w:sz w:val="1"/>
                <w:szCs w:val="1"/>
                <w:color w:val="auto"/>
              </w:rPr>
            </w:pPr>
          </w:p>
        </w:tc>
      </w:tr>
      <w:tr>
        <w:trPr>
          <w:trHeight w:val="216"/>
        </w:trPr>
        <w:tc>
          <w:tcPr>
            <w:tcW w:w="8680" w:type="dxa"/>
            <w:vAlign w:val="bottom"/>
            <w:gridSpan w:val="2"/>
          </w:tcPr>
          <w:p>
            <w:pPr>
              <w:spacing w:after="0"/>
              <w:rPr>
                <w:sz w:val="20"/>
                <w:szCs w:val="20"/>
                <w:color w:val="auto"/>
              </w:rPr>
            </w:pPr>
            <w:r>
              <w:rPr>
                <w:rFonts w:ascii="Arial" w:cs="Arial" w:eastAsia="Arial" w:hAnsi="Arial"/>
                <w:sz w:val="18"/>
                <w:szCs w:val="18"/>
                <w:color w:val="auto"/>
              </w:rPr>
              <w:t>Net unrealized depreciation on investments</w:t>
            </w:r>
          </w:p>
        </w:tc>
        <w:tc>
          <w:tcPr>
            <w:tcW w:w="8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w w:val="90"/>
              </w:rPr>
              <w:t>(87,122,207)</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w w:val="97"/>
              </w:rPr>
              <w:t>(72,026,186)</w:t>
            </w: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unrealized depreciation on credit facility</w:t>
            </w:r>
          </w:p>
        </w:tc>
        <w:tc>
          <w:tcPr>
            <w:tcW w:w="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20,649,089</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30"/>
        </w:trPr>
        <w:tc>
          <w:tcPr>
            <w:tcW w:w="820" w:type="dxa"/>
            <w:vAlign w:val="bottom"/>
          </w:tcPr>
          <w:p>
            <w:pPr>
              <w:spacing w:after="0"/>
              <w:rPr>
                <w:sz w:val="24"/>
                <w:szCs w:val="24"/>
                <w:color w:val="auto"/>
              </w:rPr>
            </w:pPr>
          </w:p>
        </w:tc>
        <w:tc>
          <w:tcPr>
            <w:tcW w:w="7860" w:type="dxa"/>
            <w:vAlign w:val="bottom"/>
          </w:tcPr>
          <w:p>
            <w:pPr>
              <w:ind w:left="60"/>
              <w:spacing w:after="0"/>
              <w:rPr>
                <w:sz w:val="20"/>
                <w:szCs w:val="20"/>
                <w:color w:val="auto"/>
              </w:rPr>
            </w:pPr>
            <w:r>
              <w:rPr>
                <w:rFonts w:ascii="Arial" w:cs="Arial" w:eastAsia="Arial" w:hAnsi="Arial"/>
                <w:sz w:val="18"/>
                <w:szCs w:val="18"/>
                <w:b w:val="1"/>
                <w:bCs w:val="1"/>
                <w:color w:val="auto"/>
              </w:rPr>
              <w:t>Total net assets</w:t>
            </w: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w w:val="85"/>
              </w:rPr>
              <w:t>252,853,515</w:t>
            </w:r>
          </w:p>
        </w:tc>
        <w:tc>
          <w:tcPr>
            <w:tcW w:w="240" w:type="dxa"/>
            <w:vAlign w:val="bottom"/>
          </w:tcPr>
          <w:p>
            <w:pPr>
              <w:spacing w:after="0"/>
              <w:rPr>
                <w:sz w:val="24"/>
                <w:szCs w:val="24"/>
                <w:color w:val="auto"/>
              </w:rPr>
            </w:pPr>
          </w:p>
        </w:tc>
        <w:tc>
          <w:tcPr>
            <w:tcW w:w="34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w w:val="93"/>
              </w:rPr>
              <w:t>210,728,260</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
        </w:trPr>
        <w:tc>
          <w:tcPr>
            <w:tcW w:w="820" w:type="dxa"/>
            <w:vAlign w:val="bottom"/>
          </w:tcPr>
          <w:p>
            <w:pPr>
              <w:spacing w:after="0"/>
              <w:rPr>
                <w:sz w:val="2"/>
                <w:szCs w:val="2"/>
                <w:color w:val="auto"/>
              </w:rPr>
            </w:pPr>
          </w:p>
        </w:tc>
        <w:tc>
          <w:tcPr>
            <w:tcW w:w="78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20" w:type="dxa"/>
            <w:vAlign w:val="bottom"/>
            <w:shd w:val="clear" w:color="auto" w:fill="CCEEFF"/>
          </w:tcPr>
          <w:p>
            <w:pPr>
              <w:spacing w:after="0"/>
              <w:rPr>
                <w:sz w:val="18"/>
                <w:szCs w:val="18"/>
                <w:color w:val="auto"/>
              </w:rPr>
            </w:pPr>
          </w:p>
        </w:tc>
        <w:tc>
          <w:tcPr>
            <w:tcW w:w="7860" w:type="dxa"/>
            <w:vAlign w:val="bottom"/>
            <w:shd w:val="clear" w:color="auto" w:fill="CCEEFF"/>
          </w:tcPr>
          <w:p>
            <w:pPr>
              <w:ind w:left="60"/>
              <w:spacing w:after="0"/>
              <w:rPr>
                <w:sz w:val="20"/>
                <w:szCs w:val="20"/>
                <w:color w:val="auto"/>
              </w:rPr>
            </w:pPr>
            <w:r>
              <w:rPr>
                <w:rFonts w:ascii="Arial" w:cs="Arial" w:eastAsia="Arial" w:hAnsi="Arial"/>
                <w:sz w:val="18"/>
                <w:szCs w:val="18"/>
                <w:b w:val="1"/>
                <w:bCs w:val="1"/>
                <w:color w:val="auto"/>
              </w:rPr>
              <w:t>Total liabilities and net assets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401,248,407</w:t>
            </w:r>
          </w:p>
        </w:tc>
        <w:tc>
          <w:tcPr>
            <w:tcW w:w="240" w:type="dxa"/>
            <w:vAlign w:val="bottom"/>
            <w:shd w:val="clear" w:color="auto" w:fill="CCEEFF"/>
          </w:tcPr>
          <w:p>
            <w:pPr>
              <w:spacing w:after="0"/>
              <w:rPr>
                <w:sz w:val="18"/>
                <w:szCs w:val="18"/>
                <w:color w:val="auto"/>
              </w:rPr>
            </w:pPr>
          </w:p>
        </w:tc>
        <w:tc>
          <w:tcPr>
            <w:tcW w:w="3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419,810,699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6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Net asset value per share</w:t>
            </w:r>
          </w:p>
        </w:tc>
        <w:tc>
          <w:tcPr>
            <w:tcW w:w="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8680" w:type="dxa"/>
            <w:vAlign w:val="bottom"/>
            <w:gridSpan w:val="2"/>
            <w:vMerge w:val="continue"/>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12.00</w:t>
            </w:r>
          </w:p>
        </w:tc>
        <w:tc>
          <w:tcPr>
            <w:tcW w:w="240" w:type="dxa"/>
            <w:vAlign w:val="bottom"/>
          </w:tcPr>
          <w:p>
            <w:pPr>
              <w:spacing w:after="0"/>
              <w:rPr>
                <w:sz w:val="19"/>
                <w:szCs w:val="19"/>
                <w:color w:val="auto"/>
              </w:rPr>
            </w:pPr>
          </w:p>
        </w:tc>
        <w:tc>
          <w:tcPr>
            <w:tcW w:w="34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10.00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78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40"/>
          </w:cols>
          <w:pgMar w:left="320" w:top="459" w:right="3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206375</wp:posOffset>
            </wp:positionH>
            <wp:positionV relativeFrom="page">
              <wp:posOffset>88900</wp:posOffset>
            </wp:positionV>
            <wp:extent cx="7153275" cy="279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32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INVESTMENT CORPORATION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320" w:type="dxa"/>
            <w:vAlign w:val="bottom"/>
            <w:gridSpan w:val="6"/>
          </w:tcPr>
          <w:p>
            <w:pPr>
              <w:jc w:val="right"/>
              <w:ind w:right="760"/>
              <w:spacing w:after="0"/>
              <w:rPr>
                <w:sz w:val="20"/>
                <w:szCs w:val="20"/>
                <w:color w:val="auto"/>
              </w:rPr>
            </w:pPr>
            <w:r>
              <w:rPr>
                <w:rFonts w:ascii="Arial" w:cs="Arial" w:eastAsia="Arial" w:hAnsi="Arial"/>
                <w:sz w:val="13"/>
                <w:szCs w:val="13"/>
                <w:b w:val="1"/>
                <w:bCs w:val="1"/>
                <w:color w:val="auto"/>
              </w:rPr>
              <w:t>Three months ended</w:t>
            </w:r>
          </w:p>
        </w:tc>
        <w:tc>
          <w:tcPr>
            <w:tcW w:w="100" w:type="dxa"/>
            <w:vAlign w:val="bottom"/>
          </w:tcPr>
          <w:p>
            <w:pPr>
              <w:spacing w:after="0"/>
              <w:rPr>
                <w:sz w:val="14"/>
                <w:szCs w:val="14"/>
                <w:color w:val="auto"/>
              </w:rPr>
            </w:pPr>
          </w:p>
        </w:tc>
        <w:tc>
          <w:tcPr>
            <w:tcW w:w="2140" w:type="dxa"/>
            <w:vAlign w:val="bottom"/>
            <w:gridSpan w:val="6"/>
          </w:tcPr>
          <w:p>
            <w:pPr>
              <w:jc w:val="right"/>
              <w:ind w:right="640"/>
              <w:spacing w:after="0"/>
              <w:rPr>
                <w:sz w:val="20"/>
                <w:szCs w:val="20"/>
                <w:color w:val="auto"/>
              </w:rPr>
            </w:pPr>
            <w:r>
              <w:rPr>
                <w:rFonts w:ascii="Arial" w:cs="Arial" w:eastAsia="Arial" w:hAnsi="Arial"/>
                <w:sz w:val="13"/>
                <w:szCs w:val="13"/>
                <w:b w:val="1"/>
                <w:bCs w:val="1"/>
                <w:color w:val="auto"/>
              </w:rPr>
              <w:t>Six months ended</w:t>
            </w:r>
          </w:p>
        </w:tc>
        <w:tc>
          <w:tcPr>
            <w:tcW w:w="0" w:type="dxa"/>
            <w:vAlign w:val="bottom"/>
          </w:tcPr>
          <w:p>
            <w:pPr>
              <w:spacing w:after="0"/>
              <w:rPr>
                <w:sz w:val="1"/>
                <w:szCs w:val="1"/>
                <w:color w:val="auto"/>
              </w:rPr>
            </w:pPr>
          </w:p>
        </w:tc>
      </w:tr>
      <w:tr>
        <w:trPr>
          <w:trHeight w:val="142"/>
        </w:trPr>
        <w:tc>
          <w:tcPr>
            <w:tcW w:w="63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80" w:type="dxa"/>
            <w:vAlign w:val="bottom"/>
            <w:tcBorders>
              <w:top w:val="single" w:sz="8" w:color="auto"/>
            </w:tcBorders>
            <w:gridSpan w:val="3"/>
          </w:tcPr>
          <w:p>
            <w:pPr>
              <w:spacing w:after="0" w:line="142" w:lineRule="exact"/>
              <w:rPr>
                <w:sz w:val="20"/>
                <w:szCs w:val="20"/>
                <w:color w:val="auto"/>
              </w:rPr>
            </w:pPr>
            <w:r>
              <w:rPr>
                <w:rFonts w:ascii="Arial" w:cs="Arial" w:eastAsia="Arial" w:hAnsi="Arial"/>
                <w:sz w:val="13"/>
                <w:szCs w:val="13"/>
                <w:b w:val="1"/>
                <w:bCs w:val="1"/>
                <w:color w:val="auto"/>
              </w:rPr>
              <w:t>March 31, 2009</w:t>
            </w:r>
          </w:p>
        </w:tc>
        <w:tc>
          <w:tcPr>
            <w:tcW w:w="12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3"/>
                <w:szCs w:val="13"/>
                <w:b w:val="1"/>
                <w:bCs w:val="1"/>
                <w:color w:val="auto"/>
                <w:w w:val="95"/>
              </w:rPr>
              <w:t>March 31, 2008</w:t>
            </w:r>
          </w:p>
        </w:tc>
        <w:tc>
          <w:tcPr>
            <w:tcW w:w="280" w:type="dxa"/>
            <w:vAlign w:val="bottom"/>
          </w:tcPr>
          <w:p>
            <w:pPr>
              <w:spacing w:after="0"/>
              <w:rPr>
                <w:sz w:val="12"/>
                <w:szCs w:val="12"/>
                <w:color w:val="auto"/>
              </w:rPr>
            </w:pPr>
          </w:p>
        </w:tc>
        <w:tc>
          <w:tcPr>
            <w:tcW w:w="1120" w:type="dxa"/>
            <w:vAlign w:val="bottom"/>
            <w:tcBorders>
              <w:top w:val="single" w:sz="8" w:color="auto"/>
            </w:tcBorders>
            <w:gridSpan w:val="3"/>
          </w:tcPr>
          <w:p>
            <w:pPr>
              <w:jc w:val="right"/>
              <w:ind w:right="200"/>
              <w:spacing w:after="0" w:line="142" w:lineRule="exact"/>
              <w:rPr>
                <w:sz w:val="20"/>
                <w:szCs w:val="20"/>
                <w:color w:val="auto"/>
              </w:rPr>
            </w:pPr>
            <w:r>
              <w:rPr>
                <w:rFonts w:ascii="Arial" w:cs="Arial" w:eastAsia="Arial" w:hAnsi="Arial"/>
                <w:sz w:val="13"/>
                <w:szCs w:val="13"/>
                <w:b w:val="1"/>
                <w:bCs w:val="1"/>
                <w:color w:val="auto"/>
                <w:w w:val="97"/>
              </w:rPr>
              <w:t>March 31, 2009</w:t>
            </w:r>
          </w:p>
        </w:tc>
        <w:tc>
          <w:tcPr>
            <w:tcW w:w="10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3"/>
                <w:szCs w:val="13"/>
                <w:b w:val="1"/>
                <w:bCs w:val="1"/>
                <w:color w:val="auto"/>
                <w:w w:val="97"/>
              </w:rPr>
              <w:t>March 31, 2008</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6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Investment income:</w:t>
            </w:r>
          </w:p>
        </w:tc>
        <w:tc>
          <w:tcPr>
            <w:tcW w:w="2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00" w:type="dxa"/>
            <w:vAlign w:val="bottom"/>
          </w:tcPr>
          <w:p>
            <w:pPr>
              <w:spacing w:after="0"/>
              <w:rPr>
                <w:sz w:val="20"/>
                <w:szCs w:val="20"/>
                <w:color w:val="auto"/>
              </w:rPr>
            </w:pPr>
            <w:r>
              <w:rPr>
                <w:rFonts w:ascii="Arial" w:cs="Arial" w:eastAsia="Arial" w:hAnsi="Arial"/>
                <w:sz w:val="18"/>
                <w:szCs w:val="18"/>
                <w:color w:val="auto"/>
              </w:rPr>
              <w:t>From non-controlled, non-affiliated investments:</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Interest</w:t>
            </w:r>
          </w:p>
        </w:tc>
        <w:tc>
          <w:tcPr>
            <w:tcW w:w="3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7"/>
              </w:rPr>
              <w:t>9,987,157</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9,315,802</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0"/>
              </w:rPr>
              <w:t>21,583,410</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17,917,677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00" w:type="dxa"/>
            <w:vAlign w:val="bottom"/>
          </w:tcPr>
          <w:p>
            <w:pPr>
              <w:ind w:left="440"/>
              <w:spacing w:after="0"/>
              <w:rPr>
                <w:sz w:val="20"/>
                <w:szCs w:val="20"/>
                <w:color w:val="auto"/>
              </w:rPr>
            </w:pPr>
            <w:r>
              <w:rPr>
                <w:rFonts w:ascii="Arial" w:cs="Arial" w:eastAsia="Arial" w:hAnsi="Arial"/>
                <w:sz w:val="18"/>
                <w:szCs w:val="18"/>
                <w:color w:val="auto"/>
              </w:rPr>
              <w:t>Other</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111,737</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35,910</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227,494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55,882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From non-controlled, affiliated investments:</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00" w:type="dxa"/>
            <w:vAlign w:val="bottom"/>
          </w:tcPr>
          <w:p>
            <w:pPr>
              <w:ind w:left="440"/>
              <w:spacing w:after="0"/>
              <w:rPr>
                <w:sz w:val="20"/>
                <w:szCs w:val="20"/>
                <w:color w:val="auto"/>
              </w:rPr>
            </w:pPr>
            <w:r>
              <w:rPr>
                <w:rFonts w:ascii="Arial" w:cs="Arial" w:eastAsia="Arial" w:hAnsi="Arial"/>
                <w:sz w:val="18"/>
                <w:szCs w:val="18"/>
                <w:color w:val="auto"/>
              </w:rPr>
              <w:t>Interest</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325,820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362,210</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690,319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743,791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6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300" w:type="dxa"/>
            <w:vAlign w:val="bottom"/>
            <w:shd w:val="clear" w:color="auto" w:fill="CCEEFF"/>
          </w:tcPr>
          <w:p>
            <w:pPr>
              <w:ind w:left="880"/>
              <w:spacing w:after="0"/>
              <w:rPr>
                <w:sz w:val="20"/>
                <w:szCs w:val="20"/>
                <w:color w:val="auto"/>
              </w:rPr>
            </w:pPr>
            <w:r>
              <w:rPr>
                <w:rFonts w:ascii="Arial" w:cs="Arial" w:eastAsia="Arial" w:hAnsi="Arial"/>
                <w:sz w:val="18"/>
                <w:szCs w:val="18"/>
                <w:b w:val="1"/>
                <w:bCs w:val="1"/>
                <w:color w:val="auto"/>
              </w:rPr>
              <w:t>Total investment income</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6"/>
              </w:rPr>
              <w:t>10,424,714</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9,713,922</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0"/>
              </w:rPr>
              <w:t>22,501,223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18,717,530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300" w:type="dxa"/>
            <w:vAlign w:val="bottom"/>
          </w:tcPr>
          <w:p>
            <w:pPr>
              <w:spacing w:after="0"/>
              <w:rPr>
                <w:sz w:val="20"/>
                <w:szCs w:val="20"/>
                <w:color w:val="auto"/>
              </w:rPr>
            </w:pPr>
            <w:r>
              <w:rPr>
                <w:rFonts w:ascii="Arial" w:cs="Arial" w:eastAsia="Arial" w:hAnsi="Arial"/>
                <w:sz w:val="18"/>
                <w:szCs w:val="18"/>
                <w:b w:val="1"/>
                <w:bCs w:val="1"/>
                <w:color w:val="auto"/>
              </w:rPr>
              <w:t>Expenses:</w:t>
            </w:r>
          </w:p>
        </w:tc>
        <w:tc>
          <w:tcPr>
            <w:tcW w:w="2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63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Base management fee (see note 3)</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7"/>
              </w:rPr>
              <w:t>1,747,235</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1,725,466</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3,567,423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3,365,841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00" w:type="dxa"/>
            <w:vAlign w:val="bottom"/>
          </w:tcPr>
          <w:p>
            <w:pPr>
              <w:ind w:left="440"/>
              <w:spacing w:after="0"/>
              <w:rPr>
                <w:sz w:val="20"/>
                <w:szCs w:val="20"/>
                <w:color w:val="auto"/>
              </w:rPr>
            </w:pPr>
            <w:r>
              <w:rPr>
                <w:rFonts w:ascii="Arial" w:cs="Arial" w:eastAsia="Arial" w:hAnsi="Arial"/>
                <w:sz w:val="18"/>
                <w:szCs w:val="18"/>
                <w:color w:val="auto"/>
              </w:rPr>
              <w:t>Performance-based incentive fee (see note 3)</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w w:val="97"/>
              </w:rPr>
              <w:t>1,320,317</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1,000,725</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2,762,299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1,448,107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Interest and other credit facility expenses</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7"/>
              </w:rPr>
              <w:t>1,188,326</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1,669,296</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3,025,546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2,766,403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00" w:type="dxa"/>
            <w:vAlign w:val="bottom"/>
          </w:tcPr>
          <w:p>
            <w:pPr>
              <w:ind w:left="440"/>
              <w:spacing w:after="0"/>
              <w:rPr>
                <w:sz w:val="20"/>
                <w:szCs w:val="20"/>
                <w:color w:val="auto"/>
              </w:rPr>
            </w:pPr>
            <w:r>
              <w:rPr>
                <w:rFonts w:ascii="Arial" w:cs="Arial" w:eastAsia="Arial" w:hAnsi="Arial"/>
                <w:sz w:val="18"/>
                <w:szCs w:val="18"/>
                <w:color w:val="auto"/>
              </w:rPr>
              <w:t>Administrative services expenses (see note 3)</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356,093</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548,631</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976,495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1,212,321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Other general and administrative expenses</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546,210</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536,614</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1,134,998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1,164,836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ind w:left="440"/>
              <w:spacing w:after="0"/>
              <w:rPr>
                <w:sz w:val="20"/>
                <w:szCs w:val="20"/>
                <w:color w:val="auto"/>
              </w:rPr>
            </w:pPr>
            <w:r>
              <w:rPr>
                <w:rFonts w:ascii="Arial" w:cs="Arial" w:eastAsia="Arial" w:hAnsi="Arial"/>
                <w:sz w:val="18"/>
                <w:szCs w:val="18"/>
                <w:b w:val="1"/>
                <w:bCs w:val="1"/>
                <w:color w:val="auto"/>
              </w:rPr>
              <w:t>Expenses before base management fee waiver</w:t>
            </w: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300" w:type="dxa"/>
            <w:vAlign w:val="bottom"/>
            <w:vMerge w:val="continue"/>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w w:val="97"/>
              </w:rPr>
              <w:t>5,158,181</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5,480,732</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w w:val="90"/>
              </w:rPr>
              <w:t>11,466,761</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9,957,508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6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3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Base management fee waiver</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(215,684)</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(420,731)</w:t>
            </w:r>
          </w:p>
        </w:tc>
        <w:tc>
          <w:tcPr>
            <w:tcW w:w="0" w:type="dxa"/>
            <w:vAlign w:val="bottom"/>
          </w:tcPr>
          <w:p>
            <w:pPr>
              <w:spacing w:after="0"/>
              <w:rPr>
                <w:sz w:val="1"/>
                <w:szCs w:val="1"/>
                <w:color w:val="auto"/>
              </w:rPr>
            </w:pPr>
          </w:p>
        </w:tc>
      </w:tr>
      <w:tr>
        <w:trPr>
          <w:trHeight w:val="20"/>
        </w:trPr>
        <w:tc>
          <w:tcPr>
            <w:tcW w:w="6300" w:type="dxa"/>
            <w:vAlign w:val="bottom"/>
            <w:vMerge w:val="restart"/>
          </w:tcPr>
          <w:p>
            <w:pPr>
              <w:ind w:left="440"/>
              <w:spacing w:after="0"/>
              <w:rPr>
                <w:sz w:val="20"/>
                <w:szCs w:val="20"/>
                <w:color w:val="auto"/>
              </w:rPr>
            </w:pPr>
            <w:r>
              <w:rPr>
                <w:rFonts w:ascii="Arial" w:cs="Arial" w:eastAsia="Arial" w:hAnsi="Arial"/>
                <w:sz w:val="18"/>
                <w:szCs w:val="18"/>
                <w:b w:val="1"/>
                <w:bCs w:val="1"/>
                <w:color w:val="auto"/>
              </w:rPr>
              <w:t>Net expenses</w:t>
            </w: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300" w:type="dxa"/>
            <w:vAlign w:val="bottom"/>
            <w:vMerge w:val="continue"/>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w w:val="97"/>
              </w:rPr>
              <w:t>5,158,181</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5,265,048</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w w:val="90"/>
              </w:rPr>
              <w:t>11,466,761</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9,536,777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6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300" w:type="dxa"/>
            <w:vAlign w:val="bottom"/>
            <w:shd w:val="clear" w:color="auto" w:fill="CCEEFF"/>
          </w:tcPr>
          <w:p>
            <w:pPr>
              <w:ind w:left="880"/>
              <w:spacing w:after="0"/>
              <w:rPr>
                <w:sz w:val="20"/>
                <w:szCs w:val="20"/>
                <w:color w:val="auto"/>
              </w:rPr>
            </w:pPr>
            <w:r>
              <w:rPr>
                <w:rFonts w:ascii="Arial" w:cs="Arial" w:eastAsia="Arial" w:hAnsi="Arial"/>
                <w:sz w:val="18"/>
                <w:szCs w:val="18"/>
                <w:b w:val="1"/>
                <w:bCs w:val="1"/>
                <w:color w:val="auto"/>
              </w:rPr>
              <w:t>Net investment income</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7"/>
              </w:rPr>
              <w:t>5,266,533</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4,448,874</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0"/>
              </w:rPr>
              <w:t>11,034,462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9,180,753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300" w:type="dxa"/>
            <w:vAlign w:val="bottom"/>
          </w:tcPr>
          <w:p>
            <w:pPr>
              <w:spacing w:after="0"/>
              <w:rPr>
                <w:sz w:val="20"/>
                <w:szCs w:val="20"/>
                <w:color w:val="auto"/>
              </w:rPr>
            </w:pPr>
            <w:r>
              <w:rPr>
                <w:rFonts w:ascii="Arial" w:cs="Arial" w:eastAsia="Arial" w:hAnsi="Arial"/>
                <w:sz w:val="18"/>
                <w:szCs w:val="18"/>
                <w:b w:val="1"/>
                <w:bCs w:val="1"/>
                <w:color w:val="auto"/>
                <w:w w:val="92"/>
              </w:rPr>
              <w:t>Realized and unrealized gain (loss) on investments, cash equivalents and credit</w:t>
            </w:r>
          </w:p>
        </w:tc>
        <w:tc>
          <w:tcPr>
            <w:tcW w:w="2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300" w:type="dxa"/>
            <w:vAlign w:val="bottom"/>
          </w:tcPr>
          <w:p>
            <w:pPr>
              <w:ind w:left="220"/>
              <w:spacing w:after="0"/>
              <w:rPr>
                <w:sz w:val="20"/>
                <w:szCs w:val="20"/>
                <w:color w:val="auto"/>
              </w:rPr>
            </w:pPr>
            <w:r>
              <w:rPr>
                <w:rFonts w:ascii="Arial" w:cs="Arial" w:eastAsia="Arial" w:hAnsi="Arial"/>
                <w:sz w:val="18"/>
                <w:szCs w:val="18"/>
                <w:b w:val="1"/>
                <w:bCs w:val="1"/>
                <w:color w:val="auto"/>
              </w:rPr>
              <w:t>facility:</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Net realized loss on investments and cash equivalents</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1"/>
              </w:rPr>
              <w:t>(5,258,194)</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(8,483)</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5"/>
              </w:rPr>
              <w:t>(6,145,264)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(219,374)</w:t>
            </w:r>
          </w:p>
        </w:tc>
        <w:tc>
          <w:tcPr>
            <w:tcW w:w="0" w:type="dxa"/>
            <w:vAlign w:val="bottom"/>
          </w:tcPr>
          <w:p>
            <w:pPr>
              <w:spacing w:after="0"/>
              <w:rPr>
                <w:sz w:val="1"/>
                <w:szCs w:val="1"/>
                <w:color w:val="auto"/>
              </w:rPr>
            </w:pPr>
          </w:p>
        </w:tc>
      </w:tr>
      <w:tr>
        <w:trPr>
          <w:trHeight w:val="216"/>
        </w:trPr>
        <w:tc>
          <w:tcPr>
            <w:tcW w:w="6300" w:type="dxa"/>
            <w:vAlign w:val="bottom"/>
          </w:tcPr>
          <w:p>
            <w:pPr>
              <w:spacing w:after="0"/>
              <w:rPr>
                <w:sz w:val="20"/>
                <w:szCs w:val="20"/>
                <w:color w:val="auto"/>
              </w:rPr>
            </w:pPr>
            <w:r>
              <w:rPr>
                <w:rFonts w:ascii="Arial" w:cs="Arial" w:eastAsia="Arial" w:hAnsi="Arial"/>
                <w:sz w:val="18"/>
                <w:szCs w:val="18"/>
                <w:color w:val="auto"/>
              </w:rPr>
              <w:t>Net change in unrealized appreciation/depreciation on:</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Non-controlled, non-affiliated investments and cash equivalents</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6"/>
              </w:rPr>
              <w:t>27,887,439</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8"/>
              </w:rPr>
              <w:t>(36,143,543)</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6"/>
              </w:rPr>
              <w:t>(12,775,652)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8"/>
              </w:rPr>
              <w:t>(51,843,132)</w:t>
            </w:r>
          </w:p>
        </w:tc>
        <w:tc>
          <w:tcPr>
            <w:tcW w:w="0" w:type="dxa"/>
            <w:vAlign w:val="bottom"/>
          </w:tcPr>
          <w:p>
            <w:pPr>
              <w:spacing w:after="0"/>
              <w:rPr>
                <w:sz w:val="1"/>
                <w:szCs w:val="1"/>
                <w:color w:val="auto"/>
              </w:rPr>
            </w:pPr>
          </w:p>
        </w:tc>
      </w:tr>
      <w:tr>
        <w:trPr>
          <w:trHeight w:val="216"/>
        </w:trPr>
        <w:tc>
          <w:tcPr>
            <w:tcW w:w="6300" w:type="dxa"/>
            <w:vAlign w:val="bottom"/>
          </w:tcPr>
          <w:p>
            <w:pPr>
              <w:ind w:left="440"/>
              <w:spacing w:after="0"/>
              <w:rPr>
                <w:sz w:val="20"/>
                <w:szCs w:val="20"/>
                <w:color w:val="auto"/>
              </w:rPr>
            </w:pPr>
            <w:r>
              <w:rPr>
                <w:rFonts w:ascii="Arial" w:cs="Arial" w:eastAsia="Arial" w:hAnsi="Arial"/>
                <w:sz w:val="18"/>
                <w:szCs w:val="18"/>
                <w:color w:val="auto"/>
              </w:rPr>
              <w:t>Non-controlled, affiliated investments</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(627,183)</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w w:val="97"/>
              </w:rPr>
              <w:t>(1,625,521)</w:t>
            </w:r>
          </w:p>
        </w:tc>
        <w:tc>
          <w:tcPr>
            <w:tcW w:w="10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w w:val="95"/>
              </w:rPr>
              <w:t>(2,320,369)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w w:val="97"/>
              </w:rPr>
              <w:t>(1,983,576)</w:t>
            </w:r>
          </w:p>
        </w:tc>
        <w:tc>
          <w:tcPr>
            <w:tcW w:w="0" w:type="dxa"/>
            <w:vAlign w:val="bottom"/>
          </w:tcPr>
          <w:p>
            <w:pPr>
              <w:spacing w:after="0"/>
              <w:rPr>
                <w:sz w:val="1"/>
                <w:szCs w:val="1"/>
                <w:color w:val="auto"/>
              </w:rPr>
            </w:pPr>
          </w:p>
        </w:tc>
      </w:tr>
      <w:tr>
        <w:trPr>
          <w:trHeight w:val="216"/>
        </w:trPr>
        <w:tc>
          <w:tcPr>
            <w:tcW w:w="63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Credit facility</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6"/>
              </w:rPr>
              <w:t>14,930,395</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0"/>
              </w:rPr>
              <w:t>20,649,089</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6300" w:type="dxa"/>
            <w:vAlign w:val="bottom"/>
            <w:vMerge w:val="restart"/>
          </w:tcPr>
          <w:p>
            <w:pPr>
              <w:ind w:left="440"/>
              <w:spacing w:after="0"/>
              <w:rPr>
                <w:sz w:val="20"/>
                <w:szCs w:val="20"/>
                <w:color w:val="auto"/>
              </w:rPr>
            </w:pPr>
            <w:r>
              <w:rPr>
                <w:rFonts w:ascii="Arial" w:cs="Arial" w:eastAsia="Arial" w:hAnsi="Arial"/>
                <w:sz w:val="18"/>
                <w:szCs w:val="18"/>
                <w:color w:val="auto"/>
              </w:rPr>
              <w:t>Net change in unrealized appreciation (depreciation)</w:t>
            </w: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6300" w:type="dxa"/>
            <w:vAlign w:val="bottom"/>
            <w:vMerge w:val="continue"/>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w w:val="86"/>
              </w:rPr>
              <w:t>42,190,651</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w w:val="88"/>
              </w:rPr>
              <w:t>(37,769,064)</w:t>
            </w:r>
          </w:p>
        </w:tc>
        <w:tc>
          <w:tcPr>
            <w:tcW w:w="100" w:type="dxa"/>
            <w:vAlign w:val="bottom"/>
          </w:tcPr>
          <w:p>
            <w:pPr>
              <w:spacing w:after="0"/>
              <w:rPr>
                <w:sz w:val="20"/>
                <w:szCs w:val="20"/>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5,553,068</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w w:val="88"/>
              </w:rPr>
              <w:t>(53,826,708)</w:t>
            </w:r>
          </w:p>
        </w:tc>
        <w:tc>
          <w:tcPr>
            <w:tcW w:w="0" w:type="dxa"/>
            <w:vAlign w:val="bottom"/>
          </w:tcPr>
          <w:p>
            <w:pPr>
              <w:spacing w:after="0"/>
              <w:rPr>
                <w:sz w:val="1"/>
                <w:szCs w:val="1"/>
                <w:color w:val="auto"/>
              </w:rPr>
            </w:pPr>
          </w:p>
        </w:tc>
      </w:tr>
      <w:tr>
        <w:trPr>
          <w:trHeight w:val="208"/>
        </w:trPr>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w w:val="92"/>
              </w:rPr>
              <w:t>Net realized and unrealized gain (loss) from investments, cash equivalents, and credit</w:t>
            </w:r>
          </w:p>
        </w:tc>
        <w:tc>
          <w:tcPr>
            <w:tcW w:w="2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63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facility</w:t>
            </w:r>
          </w:p>
        </w:tc>
        <w:tc>
          <w:tcPr>
            <w:tcW w:w="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6"/>
              </w:rPr>
              <w:t>36,932,457</w:t>
            </w: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8"/>
              </w:rPr>
              <w:t>(37,777,547)</w:t>
            </w:r>
          </w:p>
        </w:tc>
        <w:tc>
          <w:tcPr>
            <w:tcW w:w="1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(592,196)</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8"/>
              </w:rPr>
              <w:t>(54,046,082)</w:t>
            </w:r>
          </w:p>
        </w:tc>
        <w:tc>
          <w:tcPr>
            <w:tcW w:w="0" w:type="dxa"/>
            <w:vAlign w:val="bottom"/>
          </w:tcPr>
          <w:p>
            <w:pPr>
              <w:spacing w:after="0"/>
              <w:rPr>
                <w:sz w:val="1"/>
                <w:szCs w:val="1"/>
                <w:color w:val="auto"/>
              </w:rPr>
            </w:pPr>
          </w:p>
        </w:tc>
      </w:tr>
      <w:tr>
        <w:trPr>
          <w:trHeight w:val="20"/>
        </w:trPr>
        <w:tc>
          <w:tcPr>
            <w:tcW w:w="6300" w:type="dxa"/>
            <w:vAlign w:val="bottom"/>
            <w:vMerge w:val="restart"/>
          </w:tcPr>
          <w:p>
            <w:pPr>
              <w:spacing w:after="0"/>
              <w:rPr>
                <w:sz w:val="20"/>
                <w:szCs w:val="20"/>
                <w:color w:val="auto"/>
              </w:rPr>
            </w:pPr>
            <w:r>
              <w:rPr>
                <w:rFonts w:ascii="Arial" w:cs="Arial" w:eastAsia="Arial" w:hAnsi="Arial"/>
                <w:sz w:val="18"/>
                <w:szCs w:val="18"/>
                <w:color w:val="auto"/>
              </w:rPr>
              <w:t>Net increase (decrease) in net assets resulting from operations</w:t>
            </w: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300" w:type="dxa"/>
            <w:vAlign w:val="bottom"/>
            <w:vMerge w:val="continue"/>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w w:val="86"/>
              </w:rPr>
              <w:t>42,198,990</w:t>
            </w:r>
          </w:p>
        </w:tc>
        <w:tc>
          <w:tcPr>
            <w:tcW w:w="20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w w:val="88"/>
              </w:rPr>
              <w:t>(33,328,673)</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w w:val="90"/>
              </w:rPr>
              <w:t>10,442,266</w:t>
            </w:r>
          </w:p>
        </w:tc>
        <w:tc>
          <w:tcPr>
            <w:tcW w:w="20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w w:val="88"/>
              </w:rPr>
              <w:t>(44,865,329)</w:t>
            </w:r>
          </w:p>
        </w:tc>
        <w:tc>
          <w:tcPr>
            <w:tcW w:w="0" w:type="dxa"/>
            <w:vAlign w:val="bottom"/>
          </w:tcPr>
          <w:p>
            <w:pPr>
              <w:spacing w:after="0"/>
              <w:rPr>
                <w:sz w:val="1"/>
                <w:szCs w:val="1"/>
                <w:color w:val="auto"/>
              </w:rPr>
            </w:pPr>
          </w:p>
        </w:tc>
      </w:tr>
      <w:tr>
        <w:trPr>
          <w:trHeight w:val="20"/>
        </w:trPr>
        <w:tc>
          <w:tcPr>
            <w:tcW w:w="6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Gain (loss) per common share (see note 5)</w:t>
            </w:r>
          </w:p>
        </w:tc>
        <w:tc>
          <w:tcPr>
            <w:tcW w:w="3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2.00</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(1.58)</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0.49</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(2.13)</w:t>
            </w:r>
          </w:p>
        </w:tc>
        <w:tc>
          <w:tcPr>
            <w:tcW w:w="0" w:type="dxa"/>
            <w:vAlign w:val="bottom"/>
          </w:tcPr>
          <w:p>
            <w:pPr>
              <w:spacing w:after="0"/>
              <w:rPr>
                <w:sz w:val="1"/>
                <w:szCs w:val="1"/>
                <w:color w:val="auto"/>
              </w:rPr>
            </w:pPr>
          </w:p>
        </w:tc>
      </w:tr>
    </w:tbl>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40"/>
          </w:cols>
          <w:pgMar w:left="320" w:top="459" w:right="3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206375</wp:posOffset>
            </wp:positionH>
            <wp:positionV relativeFrom="page">
              <wp:posOffset>88900</wp:posOffset>
            </wp:positionV>
            <wp:extent cx="7153275" cy="279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32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INVESTMENT CORPORATION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STATEMENTS OF CHANGES IN NET ASSETS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0" w:type="dxa"/>
            <w:vAlign w:val="bottom"/>
            <w:gridSpan w:val="6"/>
          </w:tcPr>
          <w:p>
            <w:pPr>
              <w:jc w:val="right"/>
              <w:ind w:right="680"/>
              <w:spacing w:after="0"/>
              <w:rPr>
                <w:sz w:val="20"/>
                <w:szCs w:val="20"/>
                <w:color w:val="auto"/>
              </w:rPr>
            </w:pPr>
            <w:r>
              <w:rPr>
                <w:rFonts w:ascii="Arial" w:cs="Arial" w:eastAsia="Arial" w:hAnsi="Arial"/>
                <w:sz w:val="13"/>
                <w:szCs w:val="13"/>
                <w:b w:val="1"/>
                <w:bCs w:val="1"/>
                <w:color w:val="auto"/>
              </w:rPr>
              <w:t>Six months ended</w:t>
            </w:r>
          </w:p>
        </w:tc>
      </w:tr>
      <w:tr>
        <w:trPr>
          <w:trHeight w:val="142"/>
        </w:trPr>
        <w:tc>
          <w:tcPr>
            <w:tcW w:w="8940" w:type="dxa"/>
            <w:vAlign w:val="bottom"/>
          </w:tcPr>
          <w:p>
            <w:pPr>
              <w:spacing w:after="0"/>
              <w:rPr>
                <w:sz w:val="12"/>
                <w:szCs w:val="12"/>
                <w:color w:val="auto"/>
              </w:rPr>
            </w:pPr>
          </w:p>
        </w:tc>
        <w:tc>
          <w:tcPr>
            <w:tcW w:w="1140" w:type="dxa"/>
            <w:vAlign w:val="bottom"/>
            <w:tcBorders>
              <w:top w:val="single" w:sz="8" w:color="auto"/>
            </w:tcBorders>
            <w:gridSpan w:val="3"/>
          </w:tcPr>
          <w:p>
            <w:pPr>
              <w:jc w:val="right"/>
              <w:ind w:right="200"/>
              <w:spacing w:after="0" w:line="142" w:lineRule="exact"/>
              <w:rPr>
                <w:sz w:val="20"/>
                <w:szCs w:val="20"/>
                <w:color w:val="auto"/>
              </w:rPr>
            </w:pPr>
            <w:r>
              <w:rPr>
                <w:rFonts w:ascii="Arial" w:cs="Arial" w:eastAsia="Arial" w:hAnsi="Arial"/>
                <w:sz w:val="13"/>
                <w:szCs w:val="13"/>
                <w:b w:val="1"/>
                <w:bCs w:val="1"/>
                <w:color w:val="auto"/>
                <w:w w:val="99"/>
              </w:rPr>
              <w:t>March 31, 2009</w:t>
            </w:r>
          </w:p>
        </w:tc>
        <w:tc>
          <w:tcPr>
            <w:tcW w:w="12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3"/>
                <w:szCs w:val="13"/>
                <w:b w:val="1"/>
                <w:bCs w:val="1"/>
                <w:color w:val="auto"/>
                <w:w w:val="99"/>
              </w:rPr>
              <w:t>March 31, 2008</w:t>
            </w:r>
          </w:p>
        </w:tc>
        <w:tc>
          <w:tcPr>
            <w:tcW w:w="60" w:type="dxa"/>
            <w:vAlign w:val="bottom"/>
          </w:tcPr>
          <w:p>
            <w:pPr>
              <w:spacing w:after="0"/>
              <w:rPr>
                <w:sz w:val="12"/>
                <w:szCs w:val="12"/>
                <w:color w:val="auto"/>
              </w:rPr>
            </w:pPr>
          </w:p>
        </w:tc>
      </w:tr>
      <w:tr>
        <w:trPr>
          <w:trHeight w:val="209"/>
        </w:trPr>
        <w:tc>
          <w:tcPr>
            <w:tcW w:w="8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Increase (decrease) in net assets from operations:</w:t>
            </w:r>
          </w:p>
        </w:tc>
        <w:tc>
          <w:tcPr>
            <w:tcW w:w="10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8940" w:type="dxa"/>
            <w:vAlign w:val="bottom"/>
          </w:tcPr>
          <w:p>
            <w:pPr>
              <w:ind w:left="440"/>
              <w:spacing w:after="0"/>
              <w:rPr>
                <w:sz w:val="20"/>
                <w:szCs w:val="20"/>
                <w:color w:val="auto"/>
              </w:rPr>
            </w:pPr>
            <w:r>
              <w:rPr>
                <w:rFonts w:ascii="Arial" w:cs="Arial" w:eastAsia="Arial" w:hAnsi="Arial"/>
                <w:sz w:val="18"/>
                <w:szCs w:val="18"/>
                <w:color w:val="auto"/>
              </w:rPr>
              <w:t>Net investment income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w w:val="95"/>
              </w:rPr>
              <w:t>11,034,462</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9,180,753</w:t>
            </w:r>
          </w:p>
        </w:tc>
        <w:tc>
          <w:tcPr>
            <w:tcW w:w="60" w:type="dxa"/>
            <w:vAlign w:val="bottom"/>
          </w:tcPr>
          <w:p>
            <w:pPr>
              <w:spacing w:after="0"/>
              <w:rPr>
                <w:sz w:val="18"/>
                <w:szCs w:val="18"/>
                <w:color w:val="auto"/>
              </w:rPr>
            </w:pPr>
          </w:p>
        </w:tc>
      </w:tr>
      <w:tr>
        <w:trPr>
          <w:trHeight w:val="216"/>
        </w:trPr>
        <w:tc>
          <w:tcPr>
            <w:tcW w:w="89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Net realized loss on investments and cash equivalents</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(6,145,264)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(219,374)</w:t>
            </w:r>
          </w:p>
        </w:tc>
      </w:tr>
      <w:tr>
        <w:trPr>
          <w:trHeight w:val="216"/>
        </w:trPr>
        <w:tc>
          <w:tcPr>
            <w:tcW w:w="8940" w:type="dxa"/>
            <w:vAlign w:val="bottom"/>
          </w:tcPr>
          <w:p>
            <w:pPr>
              <w:ind w:left="440"/>
              <w:spacing w:after="0"/>
              <w:rPr>
                <w:sz w:val="20"/>
                <w:szCs w:val="20"/>
                <w:color w:val="auto"/>
              </w:rPr>
            </w:pPr>
            <w:r>
              <w:rPr>
                <w:rFonts w:ascii="Arial" w:cs="Arial" w:eastAsia="Arial" w:hAnsi="Arial"/>
                <w:sz w:val="18"/>
                <w:szCs w:val="18"/>
                <w:color w:val="auto"/>
              </w:rPr>
              <w:t>Net change in unrealized depreciation on investments and cash equivalents</w:t>
            </w:r>
          </w:p>
        </w:tc>
        <w:tc>
          <w:tcPr>
            <w:tcW w:w="1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w w:val="90"/>
              </w:rPr>
              <w:t>(15,096,021)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w w:val="90"/>
              </w:rPr>
              <w:t>(53,826,708)</w:t>
            </w:r>
          </w:p>
        </w:tc>
      </w:tr>
      <w:tr>
        <w:trPr>
          <w:trHeight w:val="216"/>
        </w:trPr>
        <w:tc>
          <w:tcPr>
            <w:tcW w:w="89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Net change in unrealized depreciation on credit facility</w:t>
            </w:r>
          </w:p>
        </w:tc>
        <w:tc>
          <w:tcPr>
            <w:tcW w:w="1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20,649,089</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r>
      <w:tr>
        <w:trPr>
          <w:trHeight w:val="221"/>
        </w:trPr>
        <w:tc>
          <w:tcPr>
            <w:tcW w:w="8940" w:type="dxa"/>
            <w:vAlign w:val="bottom"/>
          </w:tcPr>
          <w:p>
            <w:pPr>
              <w:ind w:left="440"/>
              <w:spacing w:after="0"/>
              <w:rPr>
                <w:sz w:val="20"/>
                <w:szCs w:val="20"/>
                <w:color w:val="auto"/>
              </w:rPr>
            </w:pPr>
            <w:r>
              <w:rPr>
                <w:rFonts w:ascii="Arial" w:cs="Arial" w:eastAsia="Arial" w:hAnsi="Arial"/>
                <w:sz w:val="18"/>
                <w:szCs w:val="18"/>
                <w:b w:val="1"/>
                <w:bCs w:val="1"/>
                <w:color w:val="auto"/>
              </w:rPr>
              <w:t>Net increase (decrease) in net assets resulting from operations</w:t>
            </w:r>
          </w:p>
        </w:tc>
        <w:tc>
          <w:tcPr>
            <w:tcW w:w="10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w w:val="95"/>
              </w:rPr>
              <w:t>10,442,266</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w w:val="90"/>
              </w:rPr>
              <w:t>(44,865,329)</w:t>
            </w:r>
          </w:p>
        </w:tc>
      </w:tr>
      <w:tr>
        <w:trPr>
          <w:trHeight w:val="110"/>
        </w:trPr>
        <w:tc>
          <w:tcPr>
            <w:tcW w:w="89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80" w:type="dxa"/>
            <w:vAlign w:val="bottom"/>
          </w:tcPr>
          <w:p>
            <w:pPr>
              <w:spacing w:after="0"/>
              <w:rPr>
                <w:sz w:val="9"/>
                <w:szCs w:val="9"/>
                <w:color w:val="auto"/>
              </w:rPr>
            </w:pPr>
          </w:p>
        </w:tc>
        <w:tc>
          <w:tcPr>
            <w:tcW w:w="60" w:type="dxa"/>
            <w:vAlign w:val="bottom"/>
          </w:tcPr>
          <w:p>
            <w:pPr>
              <w:spacing w:after="0"/>
              <w:rPr>
                <w:sz w:val="9"/>
                <w:szCs w:val="9"/>
                <w:color w:val="auto"/>
              </w:rPr>
            </w:pPr>
          </w:p>
        </w:tc>
      </w:tr>
      <w:tr>
        <w:trPr>
          <w:trHeight w:val="216"/>
        </w:trPr>
        <w:tc>
          <w:tcPr>
            <w:tcW w:w="8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Dividends to Stockholders:</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8940" w:type="dxa"/>
            <w:vAlign w:val="bottom"/>
          </w:tcPr>
          <w:p>
            <w:pPr>
              <w:ind w:left="440"/>
              <w:spacing w:after="0"/>
              <w:rPr>
                <w:sz w:val="20"/>
                <w:szCs w:val="20"/>
                <w:color w:val="auto"/>
              </w:rPr>
            </w:pPr>
            <w:r>
              <w:rPr>
                <w:rFonts w:ascii="Arial" w:cs="Arial" w:eastAsia="Arial" w:hAnsi="Arial"/>
                <w:sz w:val="18"/>
                <w:szCs w:val="18"/>
                <w:color w:val="auto"/>
              </w:rPr>
              <w:t>Dividends from net investment income</w:t>
            </w:r>
          </w:p>
        </w:tc>
        <w:tc>
          <w:tcPr>
            <w:tcW w:w="1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w w:val="90"/>
              </w:rPr>
              <w:t>(10,113,011)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w w:val="99"/>
              </w:rPr>
              <w:t>(9,270,260)</w:t>
            </w:r>
          </w:p>
        </w:tc>
      </w:tr>
      <w:tr>
        <w:trPr>
          <w:trHeight w:val="27"/>
        </w:trPr>
        <w:tc>
          <w:tcPr>
            <w:tcW w:w="89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8940" w:type="dxa"/>
            <w:vAlign w:val="bottom"/>
            <w:shd w:val="clear" w:color="auto" w:fill="CCEEFF"/>
          </w:tcPr>
          <w:p>
            <w:pPr>
              <w:ind w:left="440"/>
              <w:spacing w:after="0"/>
              <w:rPr>
                <w:sz w:val="20"/>
                <w:szCs w:val="20"/>
                <w:color w:val="auto"/>
              </w:rPr>
            </w:pPr>
            <w:r>
              <w:rPr>
                <w:rFonts w:ascii="Arial" w:cs="Arial" w:eastAsia="Arial" w:hAnsi="Arial"/>
                <w:sz w:val="18"/>
                <w:szCs w:val="18"/>
                <w:b w:val="1"/>
                <w:bCs w:val="1"/>
                <w:color w:val="auto"/>
              </w:rPr>
              <w:t>Total dividends</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0"/>
              </w:rPr>
              <w:t>(10,113,011)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(9,270,260)</w:t>
            </w:r>
          </w:p>
        </w:tc>
      </w:tr>
      <w:tr>
        <w:trPr>
          <w:trHeight w:val="323"/>
        </w:trPr>
        <w:tc>
          <w:tcPr>
            <w:tcW w:w="8940" w:type="dxa"/>
            <w:vAlign w:val="bottom"/>
          </w:tcPr>
          <w:p>
            <w:pPr>
              <w:spacing w:after="0"/>
              <w:rPr>
                <w:sz w:val="20"/>
                <w:szCs w:val="20"/>
                <w:color w:val="auto"/>
              </w:rPr>
            </w:pPr>
            <w:r>
              <w:rPr>
                <w:rFonts w:ascii="Arial" w:cs="Arial" w:eastAsia="Arial" w:hAnsi="Arial"/>
                <w:sz w:val="18"/>
                <w:szCs w:val="18"/>
                <w:b w:val="1"/>
                <w:bCs w:val="1"/>
                <w:color w:val="auto"/>
              </w:rPr>
              <w:t>Capital share transactions:</w:t>
            </w: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17"/>
        </w:trPr>
        <w:tc>
          <w:tcPr>
            <w:tcW w:w="89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Cumulative effect of adoption of fair value option (credit facility) (see note 7)</w:t>
            </w:r>
          </w:p>
        </w:tc>
        <w:tc>
          <w:tcPr>
            <w:tcW w:w="1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41,796,000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r>
      <w:tr>
        <w:trPr>
          <w:trHeight w:val="221"/>
        </w:trPr>
        <w:tc>
          <w:tcPr>
            <w:tcW w:w="8940" w:type="dxa"/>
            <w:vAlign w:val="bottom"/>
          </w:tcPr>
          <w:p>
            <w:pPr>
              <w:ind w:left="440"/>
              <w:spacing w:after="0"/>
              <w:rPr>
                <w:sz w:val="20"/>
                <w:szCs w:val="20"/>
                <w:color w:val="auto"/>
              </w:rPr>
            </w:pPr>
            <w:r>
              <w:rPr>
                <w:rFonts w:ascii="Arial" w:cs="Arial" w:eastAsia="Arial" w:hAnsi="Arial"/>
                <w:sz w:val="18"/>
                <w:szCs w:val="18"/>
                <w:b w:val="1"/>
                <w:bCs w:val="1"/>
                <w:color w:val="auto"/>
              </w:rPr>
              <w:t>Net increase in net assets resulting from capital share transactions</w:t>
            </w:r>
          </w:p>
        </w:tc>
        <w:tc>
          <w:tcPr>
            <w:tcW w:w="10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w w:val="95"/>
              </w:rPr>
              <w:t>41,796,000</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110"/>
        </w:trPr>
        <w:tc>
          <w:tcPr>
            <w:tcW w:w="89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80" w:type="dxa"/>
            <w:vAlign w:val="bottom"/>
          </w:tcPr>
          <w:p>
            <w:pPr>
              <w:spacing w:after="0"/>
              <w:rPr>
                <w:sz w:val="9"/>
                <w:szCs w:val="9"/>
                <w:color w:val="auto"/>
              </w:rPr>
            </w:pPr>
          </w:p>
        </w:tc>
        <w:tc>
          <w:tcPr>
            <w:tcW w:w="60" w:type="dxa"/>
            <w:vAlign w:val="bottom"/>
          </w:tcPr>
          <w:p>
            <w:pPr>
              <w:spacing w:after="0"/>
              <w:rPr>
                <w:sz w:val="9"/>
                <w:szCs w:val="9"/>
                <w:color w:val="auto"/>
              </w:rPr>
            </w:pPr>
          </w:p>
        </w:tc>
      </w:tr>
      <w:tr>
        <w:trPr>
          <w:trHeight w:val="216"/>
        </w:trPr>
        <w:tc>
          <w:tcPr>
            <w:tcW w:w="8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increase (decrease) in net assets</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5"/>
              </w:rPr>
              <w:t>42,125,255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0"/>
              </w:rPr>
              <w:t>(54,135,589)</w:t>
            </w:r>
          </w:p>
        </w:tc>
      </w:tr>
      <w:tr>
        <w:trPr>
          <w:trHeight w:val="322"/>
        </w:trPr>
        <w:tc>
          <w:tcPr>
            <w:tcW w:w="8940" w:type="dxa"/>
            <w:vAlign w:val="bottom"/>
          </w:tcPr>
          <w:p>
            <w:pPr>
              <w:spacing w:after="0"/>
              <w:rPr>
                <w:sz w:val="20"/>
                <w:szCs w:val="20"/>
                <w:color w:val="auto"/>
              </w:rPr>
            </w:pPr>
            <w:r>
              <w:rPr>
                <w:rFonts w:ascii="Arial" w:cs="Arial" w:eastAsia="Arial" w:hAnsi="Arial"/>
                <w:sz w:val="18"/>
                <w:szCs w:val="18"/>
                <w:b w:val="1"/>
                <w:bCs w:val="1"/>
                <w:color w:val="auto"/>
              </w:rPr>
              <w:t>Net Assets:</w:t>
            </w: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110"/>
        </w:trPr>
        <w:tc>
          <w:tcPr>
            <w:tcW w:w="89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80" w:type="dxa"/>
            <w:vAlign w:val="bottom"/>
          </w:tcPr>
          <w:p>
            <w:pPr>
              <w:spacing w:after="0"/>
              <w:rPr>
                <w:sz w:val="9"/>
                <w:szCs w:val="9"/>
                <w:color w:val="auto"/>
              </w:rPr>
            </w:pPr>
          </w:p>
        </w:tc>
        <w:tc>
          <w:tcPr>
            <w:tcW w:w="60" w:type="dxa"/>
            <w:vAlign w:val="bottom"/>
          </w:tcPr>
          <w:p>
            <w:pPr>
              <w:spacing w:after="0"/>
              <w:rPr>
                <w:sz w:val="9"/>
                <w:szCs w:val="9"/>
                <w:color w:val="auto"/>
              </w:rPr>
            </w:pPr>
          </w:p>
        </w:tc>
      </w:tr>
      <w:tr>
        <w:trPr>
          <w:trHeight w:val="216"/>
        </w:trPr>
        <w:tc>
          <w:tcPr>
            <w:tcW w:w="8940" w:type="dxa"/>
            <w:vAlign w:val="bottom"/>
            <w:shd w:val="clear" w:color="auto" w:fill="CCEEFF"/>
          </w:tcPr>
          <w:p>
            <w:pPr>
              <w:spacing w:after="0"/>
              <w:rPr>
                <w:sz w:val="20"/>
                <w:szCs w:val="20"/>
                <w:color w:val="auto"/>
              </w:rPr>
            </w:pPr>
            <w:r>
              <w:rPr>
                <w:rFonts w:ascii="Arial" w:cs="Arial" w:eastAsia="Arial" w:hAnsi="Arial"/>
                <w:sz w:val="18"/>
                <w:szCs w:val="18"/>
                <w:color w:val="auto"/>
              </w:rPr>
              <w:t>Beginning of period</w:t>
            </w:r>
          </w:p>
        </w:tc>
        <w:tc>
          <w:tcPr>
            <w:tcW w:w="1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210,728,260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270,393,094</w:t>
            </w:r>
          </w:p>
        </w:tc>
        <w:tc>
          <w:tcPr>
            <w:tcW w:w="60" w:type="dxa"/>
            <w:vAlign w:val="bottom"/>
            <w:shd w:val="clear" w:color="auto" w:fill="CCEEFF"/>
          </w:tcPr>
          <w:p>
            <w:pPr>
              <w:spacing w:after="0"/>
              <w:rPr>
                <w:sz w:val="18"/>
                <w:szCs w:val="18"/>
                <w:color w:val="auto"/>
              </w:rPr>
            </w:pPr>
          </w:p>
        </w:tc>
      </w:tr>
      <w:tr>
        <w:trPr>
          <w:trHeight w:val="330"/>
        </w:trPr>
        <w:tc>
          <w:tcPr>
            <w:tcW w:w="8940" w:type="dxa"/>
            <w:vAlign w:val="bottom"/>
          </w:tcPr>
          <w:p>
            <w:pPr>
              <w:spacing w:after="0"/>
              <w:rPr>
                <w:sz w:val="20"/>
                <w:szCs w:val="20"/>
                <w:color w:val="auto"/>
              </w:rPr>
            </w:pPr>
            <w:r>
              <w:rPr>
                <w:rFonts w:ascii="Arial" w:cs="Arial" w:eastAsia="Arial" w:hAnsi="Arial"/>
                <w:sz w:val="18"/>
                <w:szCs w:val="18"/>
                <w:color w:val="auto"/>
              </w:rPr>
              <w:t>End of period</w:t>
            </w: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w w:val="85"/>
              </w:rPr>
              <w:t>252,853,515</w:t>
            </w:r>
          </w:p>
        </w:tc>
        <w:tc>
          <w:tcPr>
            <w:tcW w:w="22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w w:val="85"/>
              </w:rPr>
              <w:t>216,257,505</w:t>
            </w:r>
          </w:p>
        </w:tc>
        <w:tc>
          <w:tcPr>
            <w:tcW w:w="60" w:type="dxa"/>
            <w:vAlign w:val="bottom"/>
          </w:tcPr>
          <w:p>
            <w:pPr>
              <w:spacing w:after="0"/>
              <w:rPr>
                <w:sz w:val="24"/>
                <w:szCs w:val="24"/>
                <w:color w:val="auto"/>
              </w:rPr>
            </w:pPr>
          </w:p>
        </w:tc>
      </w:tr>
      <w:tr>
        <w:trPr>
          <w:trHeight w:val="20"/>
        </w:trPr>
        <w:tc>
          <w:tcPr>
            <w:tcW w:w="89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03"/>
        </w:trPr>
        <w:tc>
          <w:tcPr>
            <w:tcW w:w="89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8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216"/>
        </w:trPr>
        <w:tc>
          <w:tcPr>
            <w:tcW w:w="8940" w:type="dxa"/>
            <w:vAlign w:val="bottom"/>
            <w:shd w:val="clear" w:color="auto" w:fill="CCEEFF"/>
          </w:tcPr>
          <w:p>
            <w:pPr>
              <w:spacing w:after="0"/>
              <w:rPr>
                <w:sz w:val="20"/>
                <w:szCs w:val="20"/>
                <w:color w:val="auto"/>
              </w:rPr>
            </w:pPr>
            <w:r>
              <w:rPr>
                <w:rFonts w:ascii="Arial" w:cs="Arial" w:eastAsia="Arial" w:hAnsi="Arial"/>
                <w:sz w:val="18"/>
                <w:szCs w:val="18"/>
                <w:color w:val="auto"/>
              </w:rPr>
              <w:t>Undistributed (distribution in excess of ) net investment income, at period end</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318,791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(286,276)</w:t>
            </w:r>
          </w:p>
        </w:tc>
      </w:tr>
      <w:tr>
        <w:trPr>
          <w:trHeight w:val="376"/>
        </w:trPr>
        <w:tc>
          <w:tcPr>
            <w:tcW w:w="8940" w:type="dxa"/>
            <w:vAlign w:val="bottom"/>
          </w:tcPr>
          <w:p>
            <w:pPr>
              <w:ind w:left="3960"/>
              <w:spacing w:after="0"/>
              <w:rPr>
                <w:sz w:val="20"/>
                <w:szCs w:val="20"/>
                <w:color w:val="auto"/>
              </w:rPr>
            </w:pPr>
            <w:r>
              <w:rPr>
                <w:rFonts w:ascii="Arial" w:cs="Arial" w:eastAsia="Arial" w:hAnsi="Arial"/>
                <w:sz w:val="18"/>
                <w:szCs w:val="18"/>
                <w:color w:val="auto"/>
              </w:rPr>
              <w:t>SEE NOTES TO FINANCIAL STATEMENTS</w:t>
            </w: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365"/>
        </w:trPr>
        <w:tc>
          <w:tcPr>
            <w:tcW w:w="8940" w:type="dxa"/>
            <w:vAlign w:val="bottom"/>
          </w:tcPr>
          <w:p>
            <w:pPr>
              <w:ind w:left="5580"/>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1240"/>
          </w:cols>
          <w:pgMar w:left="320" w:top="459" w:right="3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206375</wp:posOffset>
            </wp:positionH>
            <wp:positionV relativeFrom="page">
              <wp:posOffset>88900</wp:posOffset>
            </wp:positionV>
            <wp:extent cx="7153275" cy="279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32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INVESTMENT CORPORATION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4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360" w:type="dxa"/>
            <w:vAlign w:val="bottom"/>
            <w:gridSpan w:val="5"/>
          </w:tcPr>
          <w:p>
            <w:pPr>
              <w:ind w:left="600"/>
              <w:spacing w:after="0"/>
              <w:rPr>
                <w:sz w:val="20"/>
                <w:szCs w:val="20"/>
                <w:color w:val="auto"/>
              </w:rPr>
            </w:pPr>
            <w:r>
              <w:rPr>
                <w:rFonts w:ascii="Arial" w:cs="Arial" w:eastAsia="Arial" w:hAnsi="Arial"/>
                <w:sz w:val="13"/>
                <w:szCs w:val="13"/>
                <w:b w:val="1"/>
                <w:bCs w:val="1"/>
                <w:color w:val="auto"/>
              </w:rPr>
              <w:t>Six months ended</w:t>
            </w:r>
          </w:p>
        </w:tc>
        <w:tc>
          <w:tcPr>
            <w:tcW w:w="0" w:type="dxa"/>
            <w:vAlign w:val="bottom"/>
          </w:tcPr>
          <w:p>
            <w:pPr>
              <w:spacing w:after="0"/>
              <w:rPr>
                <w:sz w:val="1"/>
                <w:szCs w:val="1"/>
                <w:color w:val="auto"/>
              </w:rPr>
            </w:pPr>
          </w:p>
        </w:tc>
      </w:tr>
      <w:tr>
        <w:trPr>
          <w:trHeight w:val="142"/>
        </w:trPr>
        <w:tc>
          <w:tcPr>
            <w:tcW w:w="84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340" w:type="dxa"/>
            <w:vAlign w:val="bottom"/>
            <w:tcBorders>
              <w:top w:val="single" w:sz="8" w:color="auto"/>
            </w:tcBorders>
            <w:gridSpan w:val="3"/>
          </w:tcPr>
          <w:p>
            <w:pPr>
              <w:jc w:val="right"/>
              <w:ind w:right="420"/>
              <w:spacing w:after="0" w:line="142" w:lineRule="exact"/>
              <w:rPr>
                <w:sz w:val="20"/>
                <w:szCs w:val="20"/>
                <w:color w:val="auto"/>
              </w:rPr>
            </w:pPr>
            <w:r>
              <w:rPr>
                <w:rFonts w:ascii="Arial" w:cs="Arial" w:eastAsia="Arial" w:hAnsi="Arial"/>
                <w:sz w:val="13"/>
                <w:szCs w:val="13"/>
                <w:b w:val="1"/>
                <w:bCs w:val="1"/>
                <w:color w:val="auto"/>
                <w:w w:val="97"/>
              </w:rPr>
              <w:t>March 31, 2009</w:t>
            </w:r>
          </w:p>
        </w:tc>
        <w:tc>
          <w:tcPr>
            <w:tcW w:w="104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3"/>
                <w:szCs w:val="13"/>
                <w:b w:val="1"/>
                <w:bCs w:val="1"/>
                <w:color w:val="auto"/>
              </w:rPr>
              <w:t>March 31, 2008</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8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40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00" w:type="dxa"/>
            <w:vAlign w:val="bottom"/>
          </w:tcPr>
          <w:p>
            <w:pPr>
              <w:ind w:left="440"/>
              <w:spacing w:after="0"/>
              <w:rPr>
                <w:sz w:val="20"/>
                <w:szCs w:val="20"/>
                <w:color w:val="auto"/>
              </w:rPr>
            </w:pPr>
            <w:r>
              <w:rPr>
                <w:rFonts w:ascii="Arial" w:cs="Arial" w:eastAsia="Arial" w:hAnsi="Arial"/>
                <w:sz w:val="18"/>
                <w:szCs w:val="18"/>
                <w:color w:val="auto"/>
              </w:rPr>
              <w:t>Net increase (decrease) in net assets resulting from operations</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w w:val="93"/>
              </w:rPr>
              <w:t>10,442,266</w:t>
            </w:r>
          </w:p>
        </w:tc>
        <w:tc>
          <w:tcPr>
            <w:tcW w:w="40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w w:val="97"/>
              </w:rPr>
              <w:t>(44,865,329)</w:t>
            </w:r>
          </w:p>
        </w:tc>
        <w:tc>
          <w:tcPr>
            <w:tcW w:w="0" w:type="dxa"/>
            <w:vAlign w:val="bottom"/>
          </w:tcPr>
          <w:p>
            <w:pPr>
              <w:spacing w:after="0"/>
              <w:rPr>
                <w:sz w:val="1"/>
                <w:szCs w:val="1"/>
                <w:color w:val="auto"/>
              </w:rPr>
            </w:pPr>
          </w:p>
        </w:tc>
      </w:tr>
      <w:tr>
        <w:trPr>
          <w:trHeight w:val="208"/>
        </w:trPr>
        <w:tc>
          <w:tcPr>
            <w:tcW w:w="8400" w:type="dxa"/>
            <w:vAlign w:val="bottom"/>
            <w:shd w:val="clear" w:color="auto" w:fill="CCEEFF"/>
          </w:tcPr>
          <w:p>
            <w:pPr>
              <w:ind w:left="440"/>
              <w:spacing w:after="0"/>
              <w:rPr>
                <w:sz w:val="20"/>
                <w:szCs w:val="20"/>
                <w:color w:val="auto"/>
              </w:rPr>
            </w:pPr>
            <w:r>
              <w:rPr>
                <w:rFonts w:ascii="Arial" w:cs="Arial" w:eastAsia="Arial" w:hAnsi="Arial"/>
                <w:sz w:val="18"/>
                <w:szCs w:val="18"/>
                <w:color w:val="auto"/>
                <w:w w:val="91"/>
              </w:rPr>
              <w:t>Adjustments to reconcile net increase (decrease) in net assets resulting from operations to net cash provided</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8400" w:type="dxa"/>
            <w:vAlign w:val="bottom"/>
            <w:shd w:val="clear" w:color="auto" w:fill="CCEEFF"/>
          </w:tcPr>
          <w:p>
            <w:pPr>
              <w:ind w:left="660"/>
              <w:spacing w:after="0"/>
              <w:rPr>
                <w:sz w:val="20"/>
                <w:szCs w:val="20"/>
                <w:color w:val="auto"/>
              </w:rPr>
            </w:pPr>
            <w:r>
              <w:rPr>
                <w:rFonts w:ascii="Arial" w:cs="Arial" w:eastAsia="Arial" w:hAnsi="Arial"/>
                <w:sz w:val="18"/>
                <w:szCs w:val="18"/>
                <w:color w:val="auto"/>
              </w:rPr>
              <w:t>(used) by operating activities:</w:t>
            </w:r>
          </w:p>
        </w:tc>
        <w:tc>
          <w:tcPr>
            <w:tcW w:w="4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400" w:type="dxa"/>
            <w:vAlign w:val="bottom"/>
          </w:tcPr>
          <w:p>
            <w:pPr>
              <w:ind w:left="880"/>
              <w:spacing w:after="0"/>
              <w:rPr>
                <w:sz w:val="20"/>
                <w:szCs w:val="20"/>
                <w:color w:val="auto"/>
              </w:rPr>
            </w:pPr>
            <w:r>
              <w:rPr>
                <w:rFonts w:ascii="Arial" w:cs="Arial" w:eastAsia="Arial" w:hAnsi="Arial"/>
                <w:sz w:val="18"/>
                <w:szCs w:val="18"/>
                <w:color w:val="auto"/>
              </w:rPr>
              <w:t>Net change in unrealized depreciation on investments and cash equivalents</w:t>
            </w: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w w:val="93"/>
              </w:rPr>
              <w:t>15,096,021</w:t>
            </w: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53,826,708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00" w:type="dxa"/>
            <w:vAlign w:val="bottom"/>
            <w:shd w:val="clear" w:color="auto" w:fill="CCEEFF"/>
          </w:tcPr>
          <w:p>
            <w:pPr>
              <w:ind w:left="880"/>
              <w:spacing w:after="0"/>
              <w:rPr>
                <w:sz w:val="20"/>
                <w:szCs w:val="20"/>
                <w:color w:val="auto"/>
              </w:rPr>
            </w:pPr>
            <w:r>
              <w:rPr>
                <w:rFonts w:ascii="Arial" w:cs="Arial" w:eastAsia="Arial" w:hAnsi="Arial"/>
                <w:sz w:val="18"/>
                <w:szCs w:val="18"/>
                <w:color w:val="auto"/>
              </w:rPr>
              <w:t>Net change in unrealized depreciation on credit facility</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8"/>
              </w:rPr>
              <w:t>(20,649,089)</w:t>
            </w: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400" w:type="dxa"/>
            <w:vAlign w:val="bottom"/>
          </w:tcPr>
          <w:p>
            <w:pPr>
              <w:ind w:left="880"/>
              <w:spacing w:after="0"/>
              <w:rPr>
                <w:sz w:val="20"/>
                <w:szCs w:val="20"/>
                <w:color w:val="auto"/>
              </w:rPr>
            </w:pPr>
            <w:r>
              <w:rPr>
                <w:rFonts w:ascii="Arial" w:cs="Arial" w:eastAsia="Arial" w:hAnsi="Arial"/>
                <w:sz w:val="18"/>
                <w:szCs w:val="18"/>
                <w:color w:val="auto"/>
              </w:rPr>
              <w:t>Net realized loss on investments and cash equivalents</w:t>
            </w: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6,145,264</w:t>
            </w: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219,374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00" w:type="dxa"/>
            <w:vAlign w:val="bottom"/>
            <w:shd w:val="clear" w:color="auto" w:fill="CCEEFF"/>
          </w:tcPr>
          <w:p>
            <w:pPr>
              <w:ind w:left="880"/>
              <w:spacing w:after="0"/>
              <w:rPr>
                <w:sz w:val="20"/>
                <w:szCs w:val="20"/>
                <w:color w:val="auto"/>
              </w:rPr>
            </w:pPr>
            <w:r>
              <w:rPr>
                <w:rFonts w:ascii="Arial" w:cs="Arial" w:eastAsia="Arial" w:hAnsi="Arial"/>
                <w:sz w:val="18"/>
                <w:szCs w:val="18"/>
                <w:color w:val="auto"/>
              </w:rPr>
              <w:t>Net accretion of discount and amortization of premium</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7"/>
              </w:rPr>
              <w:t>(1,037,219)</w:t>
            </w: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(503,258)</w:t>
            </w:r>
          </w:p>
        </w:tc>
        <w:tc>
          <w:tcPr>
            <w:tcW w:w="0" w:type="dxa"/>
            <w:vAlign w:val="bottom"/>
          </w:tcPr>
          <w:p>
            <w:pPr>
              <w:spacing w:after="0"/>
              <w:rPr>
                <w:sz w:val="1"/>
                <w:szCs w:val="1"/>
                <w:color w:val="auto"/>
              </w:rPr>
            </w:pPr>
          </w:p>
        </w:tc>
      </w:tr>
      <w:tr>
        <w:trPr>
          <w:trHeight w:val="216"/>
        </w:trPr>
        <w:tc>
          <w:tcPr>
            <w:tcW w:w="8400" w:type="dxa"/>
            <w:vAlign w:val="bottom"/>
          </w:tcPr>
          <w:p>
            <w:pPr>
              <w:ind w:left="880"/>
              <w:spacing w:after="0"/>
              <w:rPr>
                <w:sz w:val="20"/>
                <w:szCs w:val="20"/>
                <w:color w:val="auto"/>
              </w:rPr>
            </w:pPr>
            <w:r>
              <w:rPr>
                <w:rFonts w:ascii="Arial" w:cs="Arial" w:eastAsia="Arial" w:hAnsi="Arial"/>
                <w:sz w:val="18"/>
                <w:szCs w:val="18"/>
                <w:color w:val="auto"/>
              </w:rPr>
              <w:t>Purchase of investments</w:t>
            </w: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2"/>
          </w:tcPr>
          <w:p>
            <w:pPr>
              <w:jc w:val="right"/>
              <w:ind w:right="340"/>
              <w:spacing w:after="0"/>
              <w:rPr>
                <w:sz w:val="20"/>
                <w:szCs w:val="20"/>
                <w:color w:val="auto"/>
              </w:rPr>
            </w:pPr>
            <w:r>
              <w:rPr>
                <w:rFonts w:ascii="Arial" w:cs="Arial" w:eastAsia="Arial" w:hAnsi="Arial"/>
                <w:sz w:val="18"/>
                <w:szCs w:val="18"/>
                <w:color w:val="auto"/>
                <w:w w:val="88"/>
              </w:rPr>
              <w:t>(15,297,151)</w:t>
            </w:r>
          </w:p>
        </w:tc>
        <w:tc>
          <w:tcPr>
            <w:tcW w:w="8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w w:val="89"/>
              </w:rPr>
              <w:t>(102,445,311)</w:t>
            </w:r>
          </w:p>
        </w:tc>
        <w:tc>
          <w:tcPr>
            <w:tcW w:w="0" w:type="dxa"/>
            <w:vAlign w:val="bottom"/>
          </w:tcPr>
          <w:p>
            <w:pPr>
              <w:spacing w:after="0"/>
              <w:rPr>
                <w:sz w:val="1"/>
                <w:szCs w:val="1"/>
                <w:color w:val="auto"/>
              </w:rPr>
            </w:pPr>
          </w:p>
        </w:tc>
      </w:tr>
      <w:tr>
        <w:trPr>
          <w:trHeight w:val="216"/>
        </w:trPr>
        <w:tc>
          <w:tcPr>
            <w:tcW w:w="8400" w:type="dxa"/>
            <w:vAlign w:val="bottom"/>
            <w:shd w:val="clear" w:color="auto" w:fill="CCEEFF"/>
          </w:tcPr>
          <w:p>
            <w:pPr>
              <w:ind w:left="880"/>
              <w:spacing w:after="0"/>
              <w:rPr>
                <w:sz w:val="20"/>
                <w:szCs w:val="20"/>
                <w:color w:val="auto"/>
              </w:rPr>
            </w:pPr>
            <w:r>
              <w:rPr>
                <w:rFonts w:ascii="Arial" w:cs="Arial" w:eastAsia="Arial" w:hAnsi="Arial"/>
                <w:sz w:val="18"/>
                <w:szCs w:val="18"/>
                <w:color w:val="auto"/>
              </w:rPr>
              <w:t>Payment-in-kind interest</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7"/>
              </w:rPr>
              <w:t>(1,792,875)</w:t>
            </w: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(1,177,816)</w:t>
            </w:r>
          </w:p>
        </w:tc>
        <w:tc>
          <w:tcPr>
            <w:tcW w:w="0" w:type="dxa"/>
            <w:vAlign w:val="bottom"/>
          </w:tcPr>
          <w:p>
            <w:pPr>
              <w:spacing w:after="0"/>
              <w:rPr>
                <w:sz w:val="1"/>
                <w:szCs w:val="1"/>
                <w:color w:val="auto"/>
              </w:rPr>
            </w:pPr>
          </w:p>
        </w:tc>
      </w:tr>
      <w:tr>
        <w:trPr>
          <w:trHeight w:val="216"/>
        </w:trPr>
        <w:tc>
          <w:tcPr>
            <w:tcW w:w="8400" w:type="dxa"/>
            <w:vAlign w:val="bottom"/>
          </w:tcPr>
          <w:p>
            <w:pPr>
              <w:ind w:left="880"/>
              <w:spacing w:after="0"/>
              <w:rPr>
                <w:sz w:val="20"/>
                <w:szCs w:val="20"/>
                <w:color w:val="auto"/>
              </w:rPr>
            </w:pPr>
            <w:r>
              <w:rPr>
                <w:rFonts w:ascii="Arial" w:cs="Arial" w:eastAsia="Arial" w:hAnsi="Arial"/>
                <w:sz w:val="18"/>
                <w:szCs w:val="18"/>
                <w:color w:val="auto"/>
              </w:rPr>
              <w:t>Proceeds from disposition of investments</w:t>
            </w: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5,536,574</w:t>
            </w: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5,213,030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00" w:type="dxa"/>
            <w:vAlign w:val="bottom"/>
            <w:shd w:val="clear" w:color="auto" w:fill="CCEEFF"/>
          </w:tcPr>
          <w:p>
            <w:pPr>
              <w:ind w:left="880"/>
              <w:spacing w:after="0"/>
              <w:rPr>
                <w:sz w:val="20"/>
                <w:szCs w:val="20"/>
                <w:color w:val="auto"/>
              </w:rPr>
            </w:pPr>
            <w:r>
              <w:rPr>
                <w:rFonts w:ascii="Arial" w:cs="Arial" w:eastAsia="Arial" w:hAnsi="Arial"/>
                <w:sz w:val="18"/>
                <w:szCs w:val="18"/>
                <w:color w:val="auto"/>
              </w:rPr>
              <w:t>Increase in interest receivable</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(688,236)</w:t>
            </w: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(553,041)</w:t>
            </w:r>
          </w:p>
        </w:tc>
        <w:tc>
          <w:tcPr>
            <w:tcW w:w="0" w:type="dxa"/>
            <w:vAlign w:val="bottom"/>
          </w:tcPr>
          <w:p>
            <w:pPr>
              <w:spacing w:after="0"/>
              <w:rPr>
                <w:sz w:val="1"/>
                <w:szCs w:val="1"/>
                <w:color w:val="auto"/>
              </w:rPr>
            </w:pPr>
          </w:p>
        </w:tc>
      </w:tr>
      <w:tr>
        <w:trPr>
          <w:trHeight w:val="216"/>
        </w:trPr>
        <w:tc>
          <w:tcPr>
            <w:tcW w:w="8400" w:type="dxa"/>
            <w:vAlign w:val="bottom"/>
          </w:tcPr>
          <w:p>
            <w:pPr>
              <w:ind w:left="880"/>
              <w:spacing w:after="0"/>
              <w:rPr>
                <w:sz w:val="20"/>
                <w:szCs w:val="20"/>
                <w:color w:val="auto"/>
              </w:rPr>
            </w:pPr>
            <w:r>
              <w:rPr>
                <w:rFonts w:ascii="Arial" w:cs="Arial" w:eastAsia="Arial" w:hAnsi="Arial"/>
                <w:sz w:val="18"/>
                <w:szCs w:val="18"/>
                <w:color w:val="auto"/>
              </w:rPr>
              <w:t>Decrease in prepaid expenses and other assets</w:t>
            </w: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256,981</w:t>
            </w: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18,592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00" w:type="dxa"/>
            <w:vAlign w:val="bottom"/>
            <w:shd w:val="clear" w:color="auto" w:fill="CCEEFF"/>
          </w:tcPr>
          <w:p>
            <w:pPr>
              <w:ind w:left="880"/>
              <w:spacing w:after="0"/>
              <w:rPr>
                <w:sz w:val="20"/>
                <w:szCs w:val="20"/>
                <w:color w:val="auto"/>
              </w:rPr>
            </w:pPr>
            <w:r>
              <w:rPr>
                <w:rFonts w:ascii="Arial" w:cs="Arial" w:eastAsia="Arial" w:hAnsi="Arial"/>
                <w:sz w:val="18"/>
                <w:szCs w:val="18"/>
                <w:color w:val="auto"/>
              </w:rPr>
              <w:t>Decrease in payables for cash equivalents purchased</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(252,759,931)</w:t>
            </w:r>
          </w:p>
        </w:tc>
        <w:tc>
          <w:tcPr>
            <w:tcW w:w="0" w:type="dxa"/>
            <w:vAlign w:val="bottom"/>
          </w:tcPr>
          <w:p>
            <w:pPr>
              <w:spacing w:after="0"/>
              <w:rPr>
                <w:sz w:val="1"/>
                <w:szCs w:val="1"/>
                <w:color w:val="auto"/>
              </w:rPr>
            </w:pPr>
          </w:p>
        </w:tc>
      </w:tr>
      <w:tr>
        <w:trPr>
          <w:trHeight w:val="216"/>
        </w:trPr>
        <w:tc>
          <w:tcPr>
            <w:tcW w:w="8400" w:type="dxa"/>
            <w:vAlign w:val="bottom"/>
          </w:tcPr>
          <w:p>
            <w:pPr>
              <w:ind w:left="880"/>
              <w:spacing w:after="0"/>
              <w:rPr>
                <w:sz w:val="20"/>
                <w:szCs w:val="20"/>
                <w:color w:val="auto"/>
              </w:rPr>
            </w:pPr>
            <w:r>
              <w:rPr>
                <w:rFonts w:ascii="Arial" w:cs="Arial" w:eastAsia="Arial" w:hAnsi="Arial"/>
                <w:sz w:val="18"/>
                <w:szCs w:val="18"/>
                <w:color w:val="auto"/>
              </w:rPr>
              <w:t>Increase (decrease) in payables for investments purchased</w:t>
            </w: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9,257,269</w:t>
            </w: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(7,963,921)</w:t>
            </w:r>
          </w:p>
        </w:tc>
        <w:tc>
          <w:tcPr>
            <w:tcW w:w="0" w:type="dxa"/>
            <w:vAlign w:val="bottom"/>
          </w:tcPr>
          <w:p>
            <w:pPr>
              <w:spacing w:after="0"/>
              <w:rPr>
                <w:sz w:val="1"/>
                <w:szCs w:val="1"/>
                <w:color w:val="auto"/>
              </w:rPr>
            </w:pPr>
          </w:p>
        </w:tc>
      </w:tr>
      <w:tr>
        <w:trPr>
          <w:trHeight w:val="216"/>
        </w:trPr>
        <w:tc>
          <w:tcPr>
            <w:tcW w:w="8400" w:type="dxa"/>
            <w:vAlign w:val="bottom"/>
            <w:shd w:val="clear" w:color="auto" w:fill="CCEEFF"/>
          </w:tcPr>
          <w:p>
            <w:pPr>
              <w:ind w:left="880"/>
              <w:spacing w:after="0"/>
              <w:rPr>
                <w:sz w:val="20"/>
                <w:szCs w:val="20"/>
                <w:color w:val="auto"/>
              </w:rPr>
            </w:pPr>
            <w:r>
              <w:rPr>
                <w:rFonts w:ascii="Arial" w:cs="Arial" w:eastAsia="Arial" w:hAnsi="Arial"/>
                <w:sz w:val="18"/>
                <w:szCs w:val="18"/>
                <w:color w:val="auto"/>
              </w:rPr>
              <w:t>Increase (decrease) in unfunded investments</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4,665,231</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(1,382,684)</w:t>
            </w:r>
          </w:p>
        </w:tc>
        <w:tc>
          <w:tcPr>
            <w:tcW w:w="0" w:type="dxa"/>
            <w:vAlign w:val="bottom"/>
          </w:tcPr>
          <w:p>
            <w:pPr>
              <w:spacing w:after="0"/>
              <w:rPr>
                <w:sz w:val="1"/>
                <w:szCs w:val="1"/>
                <w:color w:val="auto"/>
              </w:rPr>
            </w:pPr>
          </w:p>
        </w:tc>
      </w:tr>
      <w:tr>
        <w:trPr>
          <w:trHeight w:val="216"/>
        </w:trPr>
        <w:tc>
          <w:tcPr>
            <w:tcW w:w="8400" w:type="dxa"/>
            <w:vAlign w:val="bottom"/>
          </w:tcPr>
          <w:p>
            <w:pPr>
              <w:ind w:left="880"/>
              <w:spacing w:after="0"/>
              <w:rPr>
                <w:sz w:val="20"/>
                <w:szCs w:val="20"/>
                <w:color w:val="auto"/>
              </w:rPr>
            </w:pPr>
            <w:r>
              <w:rPr>
                <w:rFonts w:ascii="Arial" w:cs="Arial" w:eastAsia="Arial" w:hAnsi="Arial"/>
                <w:sz w:val="18"/>
                <w:szCs w:val="18"/>
                <w:color w:val="auto"/>
              </w:rPr>
              <w:t>Increase (decrease) in interest payable on credit facility</w:t>
            </w: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2"/>
          </w:tcPr>
          <w:p>
            <w:pPr>
              <w:jc w:val="right"/>
              <w:ind w:right="340"/>
              <w:spacing w:after="0"/>
              <w:rPr>
                <w:sz w:val="20"/>
                <w:szCs w:val="20"/>
                <w:color w:val="auto"/>
              </w:rPr>
            </w:pPr>
            <w:r>
              <w:rPr>
                <w:rFonts w:ascii="Arial" w:cs="Arial" w:eastAsia="Arial" w:hAnsi="Arial"/>
                <w:sz w:val="18"/>
                <w:szCs w:val="18"/>
                <w:color w:val="auto"/>
              </w:rPr>
              <w:t>(651,189)</w:t>
            </w:r>
          </w:p>
        </w:tc>
        <w:tc>
          <w:tcPr>
            <w:tcW w:w="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594,244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00" w:type="dxa"/>
            <w:vAlign w:val="bottom"/>
            <w:shd w:val="clear" w:color="auto" w:fill="CCEEFF"/>
          </w:tcPr>
          <w:p>
            <w:pPr>
              <w:ind w:left="880"/>
              <w:spacing w:after="0"/>
              <w:rPr>
                <w:sz w:val="20"/>
                <w:szCs w:val="20"/>
                <w:color w:val="auto"/>
              </w:rPr>
            </w:pPr>
            <w:r>
              <w:rPr>
                <w:rFonts w:ascii="Arial" w:cs="Arial" w:eastAsia="Arial" w:hAnsi="Arial"/>
                <w:sz w:val="18"/>
                <w:szCs w:val="18"/>
                <w:color w:val="auto"/>
              </w:rPr>
              <w:t>Increase (decrease) in management fee payable</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1,661,339</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(300,568)</w:t>
            </w:r>
          </w:p>
        </w:tc>
        <w:tc>
          <w:tcPr>
            <w:tcW w:w="0" w:type="dxa"/>
            <w:vAlign w:val="bottom"/>
          </w:tcPr>
          <w:p>
            <w:pPr>
              <w:spacing w:after="0"/>
              <w:rPr>
                <w:sz w:val="1"/>
                <w:szCs w:val="1"/>
                <w:color w:val="auto"/>
              </w:rPr>
            </w:pPr>
          </w:p>
        </w:tc>
      </w:tr>
      <w:tr>
        <w:trPr>
          <w:trHeight w:val="216"/>
        </w:trPr>
        <w:tc>
          <w:tcPr>
            <w:tcW w:w="8400" w:type="dxa"/>
            <w:vAlign w:val="bottom"/>
          </w:tcPr>
          <w:p>
            <w:pPr>
              <w:ind w:left="880"/>
              <w:spacing w:after="0"/>
              <w:rPr>
                <w:sz w:val="20"/>
                <w:szCs w:val="20"/>
                <w:color w:val="auto"/>
              </w:rPr>
            </w:pPr>
            <w:r>
              <w:rPr>
                <w:rFonts w:ascii="Arial" w:cs="Arial" w:eastAsia="Arial" w:hAnsi="Arial"/>
                <w:sz w:val="18"/>
                <w:szCs w:val="18"/>
                <w:color w:val="auto"/>
              </w:rPr>
              <w:t>Increase in performance-based incentive fee payable</w:t>
            </w: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1,197,284</w:t>
            </w: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36,877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00" w:type="dxa"/>
            <w:vAlign w:val="bottom"/>
            <w:shd w:val="clear" w:color="auto" w:fill="CCEEFF"/>
          </w:tcPr>
          <w:p>
            <w:pPr>
              <w:ind w:left="880"/>
              <w:spacing w:after="0"/>
              <w:rPr>
                <w:sz w:val="20"/>
                <w:szCs w:val="20"/>
                <w:color w:val="auto"/>
              </w:rPr>
            </w:pPr>
            <w:r>
              <w:rPr>
                <w:rFonts w:ascii="Arial" w:cs="Arial" w:eastAsia="Arial" w:hAnsi="Arial"/>
                <w:sz w:val="18"/>
                <w:szCs w:val="18"/>
                <w:color w:val="auto"/>
              </w:rPr>
              <w:t>Increase (decrease) in accrued other expenses</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(72,392)</w:t>
            </w: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103,562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400" w:type="dxa"/>
            <w:vAlign w:val="bottom"/>
            <w:vMerge w:val="restart"/>
          </w:tcPr>
          <w:p>
            <w:pPr>
              <w:ind w:left="1740"/>
              <w:spacing w:after="0"/>
              <w:rPr>
                <w:sz w:val="20"/>
                <w:szCs w:val="20"/>
                <w:color w:val="auto"/>
              </w:rPr>
            </w:pPr>
            <w:r>
              <w:rPr>
                <w:rFonts w:ascii="Arial" w:cs="Arial" w:eastAsia="Arial" w:hAnsi="Arial"/>
                <w:sz w:val="18"/>
                <w:szCs w:val="18"/>
                <w:color w:val="auto"/>
              </w:rPr>
              <w:t>Net cash provided (used) by operating activities</w:t>
            </w: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8400" w:type="dxa"/>
            <w:vAlign w:val="bottom"/>
            <w:vMerge w:val="continue"/>
          </w:tcPr>
          <w:p>
            <w:pPr>
              <w:spacing w:after="0"/>
              <w:rPr>
                <w:sz w:val="19"/>
                <w:szCs w:val="19"/>
                <w:color w:val="auto"/>
              </w:rPr>
            </w:pPr>
          </w:p>
        </w:tc>
        <w:tc>
          <w:tcPr>
            <w:tcW w:w="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w w:val="93"/>
              </w:rPr>
              <w:t>14,070,078</w:t>
            </w:r>
          </w:p>
        </w:tc>
        <w:tc>
          <w:tcPr>
            <w:tcW w:w="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w w:val="89"/>
              </w:rPr>
              <w:t>(351,939,472)</w:t>
            </w:r>
          </w:p>
        </w:tc>
        <w:tc>
          <w:tcPr>
            <w:tcW w:w="0" w:type="dxa"/>
            <w:vAlign w:val="bottom"/>
          </w:tcPr>
          <w:p>
            <w:pPr>
              <w:spacing w:after="0"/>
              <w:rPr>
                <w:sz w:val="1"/>
                <w:szCs w:val="1"/>
                <w:color w:val="auto"/>
              </w:rPr>
            </w:pPr>
          </w:p>
        </w:tc>
      </w:tr>
      <w:tr>
        <w:trPr>
          <w:trHeight w:val="116"/>
        </w:trPr>
        <w:tc>
          <w:tcPr>
            <w:tcW w:w="84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860" w:type="dxa"/>
            <w:vAlign w:val="bottom"/>
            <w:tcBorders>
              <w:top w:val="single" w:sz="8" w:color="auto"/>
            </w:tcBorders>
          </w:tcPr>
          <w:p>
            <w:pPr>
              <w:spacing w:after="0"/>
              <w:rPr>
                <w:sz w:val="10"/>
                <w:szCs w:val="10"/>
                <w:color w:val="auto"/>
              </w:rPr>
            </w:pPr>
          </w:p>
        </w:tc>
        <w:tc>
          <w:tcPr>
            <w:tcW w:w="40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960" w:type="dxa"/>
            <w:vAlign w:val="bottom"/>
            <w:tcBorders>
              <w:top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8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00" w:type="dxa"/>
            <w:vAlign w:val="bottom"/>
          </w:tcPr>
          <w:p>
            <w:pPr>
              <w:ind w:left="880"/>
              <w:spacing w:after="0"/>
              <w:rPr>
                <w:sz w:val="20"/>
                <w:szCs w:val="20"/>
                <w:color w:val="auto"/>
              </w:rPr>
            </w:pPr>
            <w:r>
              <w:rPr>
                <w:rFonts w:ascii="Arial" w:cs="Arial" w:eastAsia="Arial" w:hAnsi="Arial"/>
                <w:sz w:val="18"/>
                <w:szCs w:val="18"/>
                <w:color w:val="auto"/>
              </w:rPr>
              <w:t>Dividends and distributions to stockholders</w:t>
            </w: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2"/>
          </w:tcPr>
          <w:p>
            <w:pPr>
              <w:jc w:val="right"/>
              <w:ind w:right="340"/>
              <w:spacing w:after="0"/>
              <w:rPr>
                <w:sz w:val="20"/>
                <w:szCs w:val="20"/>
                <w:color w:val="auto"/>
              </w:rPr>
            </w:pPr>
            <w:r>
              <w:rPr>
                <w:rFonts w:ascii="Arial" w:cs="Arial" w:eastAsia="Arial" w:hAnsi="Arial"/>
                <w:sz w:val="18"/>
                <w:szCs w:val="18"/>
                <w:color w:val="auto"/>
                <w:w w:val="88"/>
              </w:rPr>
              <w:t>(10,113,011)</w:t>
            </w:r>
          </w:p>
        </w:tc>
        <w:tc>
          <w:tcPr>
            <w:tcW w:w="8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(9,270,260)</w:t>
            </w:r>
          </w:p>
        </w:tc>
        <w:tc>
          <w:tcPr>
            <w:tcW w:w="0" w:type="dxa"/>
            <w:vAlign w:val="bottom"/>
          </w:tcPr>
          <w:p>
            <w:pPr>
              <w:spacing w:after="0"/>
              <w:rPr>
                <w:sz w:val="1"/>
                <w:szCs w:val="1"/>
                <w:color w:val="auto"/>
              </w:rPr>
            </w:pPr>
          </w:p>
        </w:tc>
      </w:tr>
      <w:tr>
        <w:trPr>
          <w:trHeight w:val="216"/>
        </w:trPr>
        <w:tc>
          <w:tcPr>
            <w:tcW w:w="8400" w:type="dxa"/>
            <w:vAlign w:val="bottom"/>
            <w:shd w:val="clear" w:color="auto" w:fill="CCEEFF"/>
          </w:tcPr>
          <w:p>
            <w:pPr>
              <w:ind w:left="880"/>
              <w:spacing w:after="0"/>
              <w:rPr>
                <w:sz w:val="20"/>
                <w:szCs w:val="20"/>
                <w:color w:val="auto"/>
              </w:rPr>
            </w:pPr>
            <w:r>
              <w:rPr>
                <w:rFonts w:ascii="Arial" w:cs="Arial" w:eastAsia="Arial" w:hAnsi="Arial"/>
                <w:sz w:val="18"/>
                <w:szCs w:val="18"/>
                <w:color w:val="auto"/>
              </w:rPr>
              <w:t>Borrowings under credit facility (see note 11)</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41,300,000</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243,500,000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00" w:type="dxa"/>
            <w:vAlign w:val="bottom"/>
          </w:tcPr>
          <w:p>
            <w:pPr>
              <w:ind w:left="880"/>
              <w:spacing w:after="0"/>
              <w:rPr>
                <w:sz w:val="20"/>
                <w:szCs w:val="20"/>
                <w:color w:val="auto"/>
              </w:rPr>
            </w:pPr>
            <w:r>
              <w:rPr>
                <w:rFonts w:ascii="Arial" w:cs="Arial" w:eastAsia="Arial" w:hAnsi="Arial"/>
                <w:sz w:val="18"/>
                <w:szCs w:val="18"/>
                <w:color w:val="auto"/>
              </w:rPr>
              <w:t>Repayments under credit facility (see note 11)</w:t>
            </w: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2"/>
          </w:tcPr>
          <w:p>
            <w:pPr>
              <w:jc w:val="right"/>
              <w:ind w:right="340"/>
              <w:spacing w:after="0"/>
              <w:rPr>
                <w:sz w:val="20"/>
                <w:szCs w:val="20"/>
                <w:color w:val="auto"/>
              </w:rPr>
            </w:pPr>
            <w:r>
              <w:rPr>
                <w:rFonts w:ascii="Arial" w:cs="Arial" w:eastAsia="Arial" w:hAnsi="Arial"/>
                <w:sz w:val="18"/>
                <w:szCs w:val="18"/>
                <w:color w:val="auto"/>
                <w:w w:val="88"/>
              </w:rPr>
              <w:t>(55,600,000)</w:t>
            </w:r>
          </w:p>
        </w:tc>
        <w:tc>
          <w:tcPr>
            <w:tcW w:w="8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w w:val="97"/>
              </w:rPr>
              <w:t>(59,000,000)</w:t>
            </w:r>
          </w:p>
        </w:tc>
        <w:tc>
          <w:tcPr>
            <w:tcW w:w="0" w:type="dxa"/>
            <w:vAlign w:val="bottom"/>
          </w:tcPr>
          <w:p>
            <w:pPr>
              <w:spacing w:after="0"/>
              <w:rPr>
                <w:sz w:val="1"/>
                <w:szCs w:val="1"/>
                <w:color w:val="auto"/>
              </w:rPr>
            </w:pPr>
          </w:p>
        </w:tc>
      </w:tr>
      <w:tr>
        <w:trPr>
          <w:trHeight w:val="27"/>
        </w:trPr>
        <w:tc>
          <w:tcPr>
            <w:tcW w:w="84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400" w:type="dxa"/>
            <w:vAlign w:val="bottom"/>
            <w:shd w:val="clear" w:color="auto" w:fill="CCEEFF"/>
          </w:tcPr>
          <w:p>
            <w:pPr>
              <w:ind w:left="1300"/>
              <w:spacing w:after="0"/>
              <w:rPr>
                <w:sz w:val="20"/>
                <w:szCs w:val="20"/>
                <w:color w:val="auto"/>
              </w:rPr>
            </w:pPr>
            <w:r>
              <w:rPr>
                <w:rFonts w:ascii="Arial" w:cs="Arial" w:eastAsia="Arial" w:hAnsi="Arial"/>
                <w:sz w:val="18"/>
                <w:szCs w:val="18"/>
                <w:color w:val="auto"/>
              </w:rPr>
              <w:t>Net cash (used) provided by financing activities</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8"/>
              </w:rPr>
              <w:t>(24,413,011)</w:t>
            </w: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175,229,740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400" w:type="dxa"/>
            <w:vAlign w:val="bottom"/>
            <w:vMerge w:val="restart"/>
          </w:tcPr>
          <w:p>
            <w:pPr>
              <w:spacing w:after="0"/>
              <w:rPr>
                <w:sz w:val="20"/>
                <w:szCs w:val="20"/>
                <w:color w:val="auto"/>
              </w:rPr>
            </w:pPr>
            <w:r>
              <w:rPr>
                <w:rFonts w:ascii="Arial" w:cs="Arial" w:eastAsia="Arial" w:hAnsi="Arial"/>
                <w:sz w:val="18"/>
                <w:szCs w:val="18"/>
                <w:b w:val="1"/>
                <w:bCs w:val="1"/>
                <w:color w:val="auto"/>
              </w:rPr>
              <w:t>Net decrease in cash and cash equivalents</w:t>
            </w: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0"/>
        </w:trPr>
        <w:tc>
          <w:tcPr>
            <w:tcW w:w="8400" w:type="dxa"/>
            <w:vAlign w:val="bottom"/>
            <w:vMerge w:val="continue"/>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60" w:type="dxa"/>
            <w:vAlign w:val="bottom"/>
            <w:gridSpan w:val="2"/>
          </w:tcPr>
          <w:p>
            <w:pPr>
              <w:jc w:val="right"/>
              <w:ind w:right="340"/>
              <w:spacing w:after="0"/>
              <w:rPr>
                <w:sz w:val="20"/>
                <w:szCs w:val="20"/>
                <w:color w:val="auto"/>
              </w:rPr>
            </w:pPr>
            <w:r>
              <w:rPr>
                <w:rFonts w:ascii="Arial" w:cs="Arial" w:eastAsia="Arial" w:hAnsi="Arial"/>
                <w:sz w:val="18"/>
                <w:szCs w:val="18"/>
                <w:color w:val="auto"/>
                <w:w w:val="88"/>
              </w:rPr>
              <w:t>(10,342,933)</w:t>
            </w:r>
          </w:p>
        </w:tc>
        <w:tc>
          <w:tcPr>
            <w:tcW w:w="80" w:type="dxa"/>
            <w:vAlign w:val="bottom"/>
          </w:tcPr>
          <w:p>
            <w:pPr>
              <w:spacing w:after="0"/>
              <w:rPr>
                <w:sz w:val="24"/>
                <w:szCs w:val="24"/>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w w:val="89"/>
              </w:rPr>
              <w:t>(176,709,732)</w:t>
            </w:r>
          </w:p>
        </w:tc>
        <w:tc>
          <w:tcPr>
            <w:tcW w:w="0" w:type="dxa"/>
            <w:vAlign w:val="bottom"/>
          </w:tcPr>
          <w:p>
            <w:pPr>
              <w:spacing w:after="0"/>
              <w:rPr>
                <w:sz w:val="1"/>
                <w:szCs w:val="1"/>
                <w:color w:val="auto"/>
              </w:rPr>
            </w:pPr>
          </w:p>
        </w:tc>
      </w:tr>
      <w:tr>
        <w:trPr>
          <w:trHeight w:val="217"/>
        </w:trPr>
        <w:tc>
          <w:tcPr>
            <w:tcW w:w="8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equivalents, beginning of period</w:t>
            </w:r>
          </w:p>
        </w:tc>
        <w:tc>
          <w:tcPr>
            <w:tcW w:w="4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40,249,201</w:t>
            </w:r>
          </w:p>
        </w:tc>
        <w:tc>
          <w:tcPr>
            <w:tcW w:w="4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257,959,635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400" w:type="dxa"/>
            <w:vAlign w:val="bottom"/>
          </w:tcPr>
          <w:p>
            <w:pPr>
              <w:spacing w:after="0"/>
              <w:rPr>
                <w:sz w:val="20"/>
                <w:szCs w:val="20"/>
                <w:color w:val="auto"/>
              </w:rPr>
            </w:pPr>
            <w:r>
              <w:rPr>
                <w:rFonts w:ascii="Arial" w:cs="Arial" w:eastAsia="Arial" w:hAnsi="Arial"/>
                <w:sz w:val="18"/>
                <w:szCs w:val="18"/>
                <w:b w:val="1"/>
                <w:bCs w:val="1"/>
                <w:color w:val="auto"/>
              </w:rPr>
              <w:t>Cash equivalents, end of period</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w w:val="93"/>
              </w:rPr>
              <w:t>29,906,268</w:t>
            </w:r>
          </w:p>
        </w:tc>
        <w:tc>
          <w:tcPr>
            <w:tcW w:w="40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81,249,903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4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840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86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9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8400" w:type="dxa"/>
            <w:vAlign w:val="bottom"/>
            <w:shd w:val="clear" w:color="auto" w:fill="CCEEFF"/>
          </w:tcPr>
          <w:p>
            <w:pPr>
              <w:spacing w:after="0"/>
              <w:rPr>
                <w:sz w:val="20"/>
                <w:szCs w:val="20"/>
                <w:color w:val="auto"/>
              </w:rPr>
            </w:pPr>
            <w:r>
              <w:rPr>
                <w:rFonts w:ascii="Arial" w:cs="Arial" w:eastAsia="Arial" w:hAnsi="Arial"/>
                <w:sz w:val="18"/>
                <w:szCs w:val="18"/>
                <w:color w:val="auto"/>
              </w:rPr>
              <w:t>Supplemental disclosure of cash flow information and non-cash financing activity:</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00" w:type="dxa"/>
            <w:vAlign w:val="bottom"/>
          </w:tcPr>
          <w:p>
            <w:pPr>
              <w:ind w:left="440"/>
              <w:spacing w:after="0"/>
              <w:rPr>
                <w:sz w:val="20"/>
                <w:szCs w:val="20"/>
                <w:color w:val="auto"/>
              </w:rPr>
            </w:pPr>
            <w:r>
              <w:rPr>
                <w:rFonts w:ascii="Arial" w:cs="Arial" w:eastAsia="Arial" w:hAnsi="Arial"/>
                <w:sz w:val="18"/>
                <w:szCs w:val="18"/>
                <w:color w:val="auto"/>
              </w:rPr>
              <w:t>Interest paid</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3,543,582</w:t>
            </w:r>
          </w:p>
        </w:tc>
        <w:tc>
          <w:tcPr>
            <w:tcW w:w="40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1,759,321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Cumulative effect of adoption of fair value option (credit facility)</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41,796,000</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40"/>
          </w:cols>
          <w:pgMar w:left="320" w:top="459" w:right="3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206375</wp:posOffset>
            </wp:positionH>
            <wp:positionV relativeFrom="page">
              <wp:posOffset>88900</wp:posOffset>
            </wp:positionV>
            <wp:extent cx="7153275" cy="279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32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PENNANTPARK INVESTMENT CORPORATION</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SCHEDULE OF INVESTMENTS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MARCH 31, 2009</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tbl>
      <w:tblPr>
        <w:tblLayout w:type="fixed"/>
        <w:tblInd w:w="0" w:type="dxa"/>
        <w:tblCellMar>
          <w:top w:w="0" w:type="dxa"/>
          <w:left w:w="0" w:type="dxa"/>
          <w:bottom w:w="0" w:type="dxa"/>
          <w:right w:w="0" w:type="dxa"/>
        </w:tblCellMar>
      </w:tblPr>
      <w:tr>
        <w:trPr>
          <w:trHeight w:val="147"/>
        </w:trPr>
        <w:tc>
          <w:tcPr>
            <w:tcW w:w="760" w:type="dxa"/>
            <w:vAlign w:val="bottom"/>
          </w:tcPr>
          <w:p>
            <w:pPr>
              <w:spacing w:after="0"/>
              <w:rPr>
                <w:sz w:val="12"/>
                <w:szCs w:val="12"/>
                <w:color w:val="auto"/>
              </w:rPr>
            </w:pPr>
          </w:p>
        </w:tc>
        <w:tc>
          <w:tcPr>
            <w:tcW w:w="36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40" w:type="dxa"/>
            <w:vAlign w:val="bottom"/>
            <w:gridSpan w:val="2"/>
          </w:tcPr>
          <w:p>
            <w:pPr>
              <w:jc w:val="center"/>
              <w:ind w:right="240"/>
              <w:spacing w:after="0" w:line="147" w:lineRule="exact"/>
              <w:rPr>
                <w:sz w:val="20"/>
                <w:szCs w:val="20"/>
                <w:color w:val="auto"/>
              </w:rPr>
            </w:pPr>
            <w:r>
              <w:rPr>
                <w:rFonts w:ascii="Arial" w:cs="Arial" w:eastAsia="Arial" w:hAnsi="Arial"/>
                <w:sz w:val="13"/>
                <w:szCs w:val="13"/>
                <w:b w:val="1"/>
                <w:bCs w:val="1"/>
                <w:color w:val="auto"/>
                <w:w w:val="86"/>
              </w:rPr>
              <w:t>Basis</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60" w:type="dxa"/>
            <w:vAlign w:val="bottom"/>
          </w:tcPr>
          <w:p>
            <w:pPr>
              <w:spacing w:after="0"/>
              <w:rPr>
                <w:sz w:val="12"/>
                <w:szCs w:val="12"/>
                <w:color w:val="auto"/>
              </w:rPr>
            </w:pPr>
          </w:p>
        </w:tc>
        <w:tc>
          <w:tcPr>
            <w:tcW w:w="36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4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8"/>
              </w:rPr>
              <w:t>Point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60" w:type="dxa"/>
            <w:vAlign w:val="bottom"/>
          </w:tcPr>
          <w:p>
            <w:pPr>
              <w:spacing w:after="0"/>
              <w:rPr>
                <w:sz w:val="12"/>
                <w:szCs w:val="12"/>
                <w:color w:val="auto"/>
              </w:rPr>
            </w:pPr>
          </w:p>
        </w:tc>
        <w:tc>
          <w:tcPr>
            <w:tcW w:w="36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4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0"/>
              </w:rPr>
              <w:t>Spread</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760" w:type="dxa"/>
            <w:vAlign w:val="bottom"/>
          </w:tcPr>
          <w:p>
            <w:pPr>
              <w:spacing w:after="0"/>
              <w:rPr>
                <w:sz w:val="14"/>
                <w:szCs w:val="14"/>
                <w:color w:val="auto"/>
              </w:rPr>
            </w:pPr>
          </w:p>
        </w:tc>
        <w:tc>
          <w:tcPr>
            <w:tcW w:w="36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3"/>
                <w:szCs w:val="13"/>
                <w:b w:val="1"/>
                <w:bCs w:val="1"/>
                <w:color w:val="auto"/>
                <w:w w:val="93"/>
              </w:rPr>
              <w:t>Current</w:t>
            </w:r>
          </w:p>
        </w:tc>
        <w:tc>
          <w:tcPr>
            <w:tcW w:w="380" w:type="dxa"/>
            <w:vAlign w:val="bottom"/>
          </w:tcPr>
          <w:p>
            <w:pPr>
              <w:spacing w:after="0"/>
              <w:rPr>
                <w:sz w:val="14"/>
                <w:szCs w:val="14"/>
                <w:color w:val="auto"/>
              </w:rPr>
            </w:pPr>
          </w:p>
        </w:tc>
        <w:tc>
          <w:tcPr>
            <w:tcW w:w="74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0"/>
              </w:rPr>
              <w:t>Above</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gridSpan w:val="2"/>
          </w:tcPr>
          <w:p>
            <w:pPr>
              <w:jc w:val="right"/>
              <w:ind w:right="260"/>
              <w:spacing w:after="0"/>
              <w:rPr>
                <w:sz w:val="20"/>
                <w:szCs w:val="20"/>
                <w:color w:val="auto"/>
              </w:rPr>
            </w:pPr>
            <w:r>
              <w:rPr>
                <w:rFonts w:ascii="Arial" w:cs="Arial" w:eastAsia="Arial" w:hAnsi="Arial"/>
                <w:sz w:val="13"/>
                <w:szCs w:val="13"/>
                <w:b w:val="1"/>
                <w:bCs w:val="1"/>
                <w:color w:val="auto"/>
              </w:rPr>
              <w:t>Fair</w:t>
            </w:r>
          </w:p>
        </w:tc>
        <w:tc>
          <w:tcPr>
            <w:tcW w:w="0" w:type="dxa"/>
            <w:vAlign w:val="bottom"/>
          </w:tcPr>
          <w:p>
            <w:pPr>
              <w:spacing w:after="0"/>
              <w:rPr>
                <w:sz w:val="1"/>
                <w:szCs w:val="1"/>
                <w:color w:val="auto"/>
              </w:rPr>
            </w:pPr>
          </w:p>
        </w:tc>
      </w:tr>
      <w:tr>
        <w:trPr>
          <w:trHeight w:val="176"/>
        </w:trPr>
        <w:tc>
          <w:tcPr>
            <w:tcW w:w="76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w w:val="95"/>
              </w:rPr>
              <w:t>Issuer Name</w:t>
            </w:r>
          </w:p>
        </w:tc>
        <w:tc>
          <w:tcPr>
            <w:tcW w:w="3600" w:type="dxa"/>
            <w:vAlign w:val="bottom"/>
          </w:tcPr>
          <w:p>
            <w:pPr>
              <w:spacing w:after="0"/>
              <w:rPr>
                <w:sz w:val="15"/>
                <w:szCs w:val="15"/>
                <w:color w:val="auto"/>
              </w:rPr>
            </w:pPr>
          </w:p>
        </w:tc>
        <w:tc>
          <w:tcPr>
            <w:tcW w:w="620" w:type="dxa"/>
            <w:vAlign w:val="bottom"/>
            <w:tcBorders>
              <w:bottom w:val="single" w:sz="8" w:color="auto"/>
            </w:tcBorders>
          </w:tcPr>
          <w:p>
            <w:pPr>
              <w:ind w:left="40"/>
              <w:spacing w:after="0"/>
              <w:rPr>
                <w:sz w:val="20"/>
                <w:szCs w:val="20"/>
                <w:color w:val="auto"/>
              </w:rPr>
            </w:pPr>
            <w:r>
              <w:rPr>
                <w:rFonts w:ascii="Arial" w:cs="Arial" w:eastAsia="Arial" w:hAnsi="Arial"/>
                <w:sz w:val="13"/>
                <w:szCs w:val="13"/>
                <w:b w:val="1"/>
                <w:bCs w:val="1"/>
                <w:color w:val="auto"/>
              </w:rPr>
              <w:t>Maturity</w:t>
            </w:r>
          </w:p>
        </w:tc>
        <w:tc>
          <w:tcPr>
            <w:tcW w:w="200" w:type="dxa"/>
            <w:vAlign w:val="bottom"/>
          </w:tcPr>
          <w:p>
            <w:pPr>
              <w:spacing w:after="0"/>
              <w:rPr>
                <w:sz w:val="15"/>
                <w:szCs w:val="15"/>
                <w:color w:val="auto"/>
              </w:rPr>
            </w:pP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7"/>
              </w:rPr>
              <w:t>Industry</w:t>
            </w:r>
          </w:p>
        </w:tc>
        <w:tc>
          <w:tcPr>
            <w:tcW w:w="220" w:type="dxa"/>
            <w:vAlign w:val="bottom"/>
          </w:tcPr>
          <w:p>
            <w:pPr>
              <w:spacing w:after="0"/>
              <w:rPr>
                <w:sz w:val="15"/>
                <w:szCs w:val="15"/>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w w:val="89"/>
              </w:rPr>
              <w:t>Coupon</w:t>
            </w: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80" w:type="dxa"/>
            <w:vAlign w:val="bottom"/>
            <w:tcBorders>
              <w:bottom w:val="single" w:sz="8" w:color="auto"/>
            </w:tcBorders>
          </w:tcPr>
          <w:p>
            <w:pPr>
              <w:jc w:val="center"/>
              <w:spacing w:after="0" w:line="176" w:lineRule="exact"/>
              <w:rPr>
                <w:sz w:val="20"/>
                <w:szCs w:val="20"/>
                <w:color w:val="auto"/>
              </w:rPr>
            </w:pPr>
            <w:r>
              <w:rPr>
                <w:rFonts w:ascii="Arial" w:cs="Arial" w:eastAsia="Arial" w:hAnsi="Arial"/>
                <w:sz w:val="12"/>
                <w:szCs w:val="12"/>
                <w:b w:val="1"/>
                <w:bCs w:val="1"/>
                <w:color w:val="auto"/>
              </w:rPr>
              <w:t>Index</w:t>
            </w:r>
            <w:r>
              <w:rPr>
                <w:rFonts w:ascii="Arial" w:cs="Arial" w:eastAsia="Arial" w:hAnsi="Arial"/>
                <w:sz w:val="20"/>
                <w:szCs w:val="20"/>
                <w:b w:val="1"/>
                <w:bCs w:val="1"/>
                <w:color w:val="auto"/>
                <w:vertAlign w:val="superscript"/>
              </w:rPr>
              <w:t>(4)</w:t>
            </w: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ind w:left="200"/>
              <w:spacing w:after="0"/>
              <w:rPr>
                <w:sz w:val="20"/>
                <w:szCs w:val="20"/>
                <w:color w:val="auto"/>
              </w:rPr>
            </w:pPr>
            <w:r>
              <w:rPr>
                <w:rFonts w:ascii="Arial" w:cs="Arial" w:eastAsia="Arial" w:hAnsi="Arial"/>
                <w:sz w:val="13"/>
                <w:szCs w:val="13"/>
                <w:b w:val="1"/>
                <w:bCs w:val="1"/>
                <w:color w:val="auto"/>
              </w:rPr>
              <w:t>Par</w:t>
            </w:r>
          </w:p>
        </w:tc>
        <w:tc>
          <w:tcPr>
            <w:tcW w:w="280" w:type="dxa"/>
            <w:vAlign w:val="bottom"/>
          </w:tcPr>
          <w:p>
            <w:pPr>
              <w:spacing w:after="0"/>
              <w:rPr>
                <w:sz w:val="15"/>
                <w:szCs w:val="15"/>
                <w:color w:val="auto"/>
              </w:rPr>
            </w:pPr>
          </w:p>
        </w:tc>
        <w:tc>
          <w:tcPr>
            <w:tcW w:w="680" w:type="dxa"/>
            <w:vAlign w:val="bottom"/>
            <w:tcBorders>
              <w:bottom w:val="single" w:sz="8" w:color="auto"/>
            </w:tcBorders>
          </w:tcPr>
          <w:p>
            <w:pPr>
              <w:jc w:val="right"/>
              <w:ind w:right="173"/>
              <w:spacing w:after="0"/>
              <w:rPr>
                <w:sz w:val="20"/>
                <w:szCs w:val="20"/>
                <w:color w:val="auto"/>
              </w:rPr>
            </w:pPr>
            <w:r>
              <w:rPr>
                <w:rFonts w:ascii="Arial" w:cs="Arial" w:eastAsia="Arial" w:hAnsi="Arial"/>
                <w:sz w:val="13"/>
                <w:szCs w:val="13"/>
                <w:b w:val="1"/>
                <w:bCs w:val="1"/>
                <w:color w:val="auto"/>
              </w:rPr>
              <w:t>Cost</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Borders>
              <w:bottom w:val="single" w:sz="8" w:color="auto"/>
            </w:tcBorders>
          </w:tcPr>
          <w:p>
            <w:pPr>
              <w:jc w:val="right"/>
              <w:ind w:right="53"/>
              <w:spacing w:after="0" w:line="176" w:lineRule="exact"/>
              <w:rPr>
                <w:sz w:val="20"/>
                <w:szCs w:val="20"/>
                <w:color w:val="auto"/>
              </w:rPr>
            </w:pPr>
            <w:r>
              <w:rPr>
                <w:rFonts w:ascii="Arial" w:cs="Arial" w:eastAsia="Arial" w:hAnsi="Arial"/>
                <w:sz w:val="12"/>
                <w:szCs w:val="12"/>
                <w:b w:val="1"/>
                <w:bCs w:val="1"/>
                <w:color w:val="auto"/>
              </w:rPr>
              <w:t xml:space="preserve">Value </w:t>
            </w:r>
            <w:r>
              <w:rPr>
                <w:rFonts w:ascii="Arial" w:cs="Arial" w:eastAsia="Arial" w:hAnsi="Arial"/>
                <w:sz w:val="20"/>
                <w:szCs w:val="20"/>
                <w:b w:val="1"/>
                <w:bCs w:val="1"/>
                <w:color w:val="auto"/>
                <w:vertAlign w:val="superscript"/>
              </w:rPr>
              <w:t>(3)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4980" w:type="dxa"/>
            <w:vAlign w:val="bottom"/>
            <w:gridSpan w:val="3"/>
            <w:shd w:val="clear" w:color="auto" w:fill="CCEEFF"/>
          </w:tcPr>
          <w:p>
            <w:pPr>
              <w:spacing w:after="0" w:line="169" w:lineRule="exact"/>
              <w:rPr>
                <w:sz w:val="20"/>
                <w:szCs w:val="20"/>
                <w:color w:val="auto"/>
              </w:rPr>
            </w:pPr>
            <w:r>
              <w:rPr>
                <w:rFonts w:ascii="Arial" w:cs="Arial" w:eastAsia="Arial" w:hAnsi="Arial"/>
                <w:sz w:val="12"/>
                <w:szCs w:val="12"/>
                <w:b w:val="1"/>
                <w:bCs w:val="1"/>
                <w:color w:val="auto"/>
              </w:rPr>
              <w:t>Investments in Non-Controlled, Non-Affiliated Portfolio Companies – 137.5%</w:t>
            </w:r>
            <w:r>
              <w:rPr>
                <w:rFonts w:ascii="Arial" w:cs="Arial" w:eastAsia="Arial" w:hAnsi="Arial"/>
                <w:sz w:val="19"/>
                <w:szCs w:val="19"/>
                <w:b w:val="1"/>
                <w:bCs w:val="1"/>
                <w:color w:val="auto"/>
                <w:vertAlign w:val="superscript"/>
              </w:rPr>
              <w:t>(1)(2)</w:t>
            </w:r>
          </w:p>
        </w:tc>
        <w:tc>
          <w:tcPr>
            <w:tcW w:w="200" w:type="dxa"/>
            <w:vAlign w:val="bottom"/>
            <w:shd w:val="clear" w:color="auto" w:fill="CCEEFF"/>
          </w:tcPr>
          <w:p>
            <w:pPr>
              <w:spacing w:after="0"/>
              <w:rPr>
                <w:sz w:val="14"/>
                <w:szCs w:val="14"/>
                <w:color w:val="auto"/>
              </w:rPr>
            </w:pPr>
          </w:p>
        </w:tc>
        <w:tc>
          <w:tcPr>
            <w:tcW w:w="14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80" w:type="dxa"/>
            <w:vAlign w:val="bottom"/>
            <w:tcBorders>
              <w:left w:val="single" w:sz="8" w:color="CCEEFF"/>
              <w:right w:val="single" w:sz="8" w:color="CCEEFF"/>
            </w:tcBorders>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tcBorders>
              <w:right w:val="single" w:sz="8" w:color="CCEEFF"/>
            </w:tcBorders>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4360" w:type="dxa"/>
            <w:vAlign w:val="bottom"/>
            <w:gridSpan w:val="2"/>
          </w:tcPr>
          <w:p>
            <w:pPr>
              <w:spacing w:after="0"/>
              <w:rPr>
                <w:sz w:val="20"/>
                <w:szCs w:val="20"/>
                <w:color w:val="auto"/>
              </w:rPr>
            </w:pPr>
            <w:r>
              <w:rPr>
                <w:rFonts w:ascii="Arial" w:cs="Arial" w:eastAsia="Arial" w:hAnsi="Arial"/>
                <w:sz w:val="13"/>
                <w:szCs w:val="13"/>
                <w:b w:val="1"/>
                <w:bCs w:val="1"/>
                <w:color w:val="auto"/>
              </w:rPr>
              <w:t>Subordinated Debt / Corporate Notes – 60.9%</w:t>
            </w:r>
          </w:p>
        </w:tc>
        <w:tc>
          <w:tcPr>
            <w:tcW w:w="6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4"/>
        </w:trPr>
        <w:tc>
          <w:tcPr>
            <w:tcW w:w="760" w:type="dxa"/>
            <w:vAlign w:val="bottom"/>
          </w:tcPr>
          <w:p>
            <w:pPr>
              <w:spacing w:after="0"/>
              <w:rPr>
                <w:sz w:val="4"/>
                <w:szCs w:val="4"/>
                <w:color w:val="auto"/>
              </w:rPr>
            </w:pPr>
          </w:p>
        </w:tc>
        <w:tc>
          <w:tcPr>
            <w:tcW w:w="3600" w:type="dxa"/>
            <w:vAlign w:val="bottom"/>
          </w:tcPr>
          <w:p>
            <w:pPr>
              <w:spacing w:after="0"/>
              <w:rPr>
                <w:sz w:val="4"/>
                <w:szCs w:val="4"/>
                <w:color w:val="auto"/>
              </w:rPr>
            </w:pPr>
          </w:p>
        </w:tc>
        <w:tc>
          <w:tcPr>
            <w:tcW w:w="6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420" w:type="dxa"/>
            <w:vAlign w:val="bottom"/>
          </w:tcPr>
          <w:p>
            <w:pPr>
              <w:spacing w:after="0"/>
              <w:rPr>
                <w:sz w:val="4"/>
                <w:szCs w:val="4"/>
                <w:color w:val="auto"/>
              </w:rPr>
            </w:pPr>
          </w:p>
        </w:tc>
        <w:tc>
          <w:tcPr>
            <w:tcW w:w="220" w:type="dxa"/>
            <w:vAlign w:val="bottom"/>
          </w:tcPr>
          <w:p>
            <w:pPr>
              <w:spacing w:after="0"/>
              <w:rPr>
                <w:sz w:val="4"/>
                <w:szCs w:val="4"/>
                <w:color w:val="auto"/>
              </w:rPr>
            </w:pPr>
          </w:p>
        </w:tc>
        <w:tc>
          <w:tcPr>
            <w:tcW w:w="460" w:type="dxa"/>
            <w:vAlign w:val="bottom"/>
          </w:tcPr>
          <w:p>
            <w:pPr>
              <w:spacing w:after="0"/>
              <w:rPr>
                <w:sz w:val="4"/>
                <w:szCs w:val="4"/>
                <w:color w:val="auto"/>
              </w:rPr>
            </w:pPr>
          </w:p>
        </w:tc>
        <w:tc>
          <w:tcPr>
            <w:tcW w:w="120" w:type="dxa"/>
            <w:vAlign w:val="bottom"/>
          </w:tcPr>
          <w:p>
            <w:pPr>
              <w:spacing w:after="0"/>
              <w:rPr>
                <w:sz w:val="4"/>
                <w:szCs w:val="4"/>
                <w:color w:val="auto"/>
              </w:rPr>
            </w:pPr>
          </w:p>
        </w:tc>
        <w:tc>
          <w:tcPr>
            <w:tcW w:w="380" w:type="dxa"/>
            <w:vAlign w:val="bottom"/>
          </w:tcPr>
          <w:p>
            <w:pPr>
              <w:spacing w:after="0"/>
              <w:rPr>
                <w:sz w:val="4"/>
                <w:szCs w:val="4"/>
                <w:color w:val="auto"/>
              </w:rPr>
            </w:pPr>
          </w:p>
        </w:tc>
        <w:tc>
          <w:tcPr>
            <w:tcW w:w="480" w:type="dxa"/>
            <w:vAlign w:val="bottom"/>
          </w:tcPr>
          <w:p>
            <w:pPr>
              <w:spacing w:after="0"/>
              <w:rPr>
                <w:sz w:val="4"/>
                <w:szCs w:val="4"/>
                <w:color w:val="auto"/>
              </w:rPr>
            </w:pPr>
          </w:p>
        </w:tc>
        <w:tc>
          <w:tcPr>
            <w:tcW w:w="2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660" w:type="dxa"/>
            <w:vAlign w:val="bottom"/>
          </w:tcPr>
          <w:p>
            <w:pPr>
              <w:spacing w:after="0"/>
              <w:rPr>
                <w:sz w:val="4"/>
                <w:szCs w:val="4"/>
                <w:color w:val="auto"/>
              </w:rPr>
            </w:pPr>
          </w:p>
        </w:tc>
        <w:tc>
          <w:tcPr>
            <w:tcW w:w="280" w:type="dxa"/>
            <w:vAlign w:val="bottom"/>
          </w:tcPr>
          <w:p>
            <w:pPr>
              <w:spacing w:after="0"/>
              <w:rPr>
                <w:sz w:val="4"/>
                <w:szCs w:val="4"/>
                <w:color w:val="auto"/>
              </w:rPr>
            </w:pPr>
          </w:p>
        </w:tc>
        <w:tc>
          <w:tcPr>
            <w:tcW w:w="6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680" w:type="dxa"/>
            <w:vAlign w:val="bottom"/>
          </w:tcPr>
          <w:p>
            <w:pPr>
              <w:spacing w:after="0"/>
              <w:rPr>
                <w:sz w:val="4"/>
                <w:szCs w:val="4"/>
                <w:color w:val="auto"/>
              </w:rPr>
            </w:pPr>
          </w:p>
        </w:tc>
        <w:tc>
          <w:tcPr>
            <w:tcW w:w="20" w:type="dxa"/>
            <w:vAlign w:val="bottom"/>
            <w:vMerge w:val="restart"/>
          </w:tcPr>
          <w:p>
            <w:pPr>
              <w:spacing w:after="0"/>
              <w:rPr>
                <w:sz w:val="4"/>
                <w:szCs w:val="4"/>
                <w:color w:val="auto"/>
              </w:rPr>
            </w:pPr>
          </w:p>
        </w:tc>
        <w:tc>
          <w:tcPr>
            <w:tcW w:w="0" w:type="dxa"/>
            <w:vAlign w:val="bottom"/>
          </w:tcPr>
          <w:p>
            <w:pPr>
              <w:spacing w:after="0"/>
              <w:rPr>
                <w:sz w:val="1"/>
                <w:szCs w:val="1"/>
                <w:color w:val="auto"/>
              </w:rPr>
            </w:pPr>
          </w:p>
        </w:tc>
      </w:tr>
      <w:tr>
        <w:trPr>
          <w:trHeight w:val="148"/>
        </w:trPr>
        <w:tc>
          <w:tcPr>
            <w:tcW w:w="436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Advanstar, Inc.</w:t>
            </w:r>
          </w:p>
        </w:tc>
        <w:tc>
          <w:tcPr>
            <w:tcW w:w="6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5"/>
              </w:rPr>
              <w:t>11/30/2015</w:t>
            </w:r>
          </w:p>
        </w:tc>
        <w:tc>
          <w:tcPr>
            <w:tcW w:w="200" w:type="dxa"/>
            <w:vAlign w:val="bottom"/>
            <w:shd w:val="clear" w:color="auto" w:fill="CCEEFF"/>
          </w:tcPr>
          <w:p>
            <w:pPr>
              <w:spacing w:after="0"/>
              <w:rPr>
                <w:sz w:val="12"/>
                <w:szCs w:val="12"/>
                <w:color w:val="auto"/>
              </w:rPr>
            </w:pPr>
          </w:p>
        </w:tc>
        <w:tc>
          <w:tcPr>
            <w:tcW w:w="14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5"/>
              </w:rPr>
              <w:t>Other Media</w:t>
            </w:r>
          </w:p>
        </w:tc>
        <w:tc>
          <w:tcPr>
            <w:tcW w:w="80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8.22%</w:t>
            </w:r>
          </w:p>
        </w:tc>
        <w:tc>
          <w:tcPr>
            <w:tcW w:w="380" w:type="dxa"/>
            <w:vAlign w:val="bottom"/>
            <w:shd w:val="clear" w:color="auto" w:fill="CCEEFF"/>
          </w:tcPr>
          <w:p>
            <w:pPr>
              <w:jc w:val="right"/>
              <w:ind w:right="133"/>
              <w:spacing w:after="0"/>
              <w:rPr>
                <w:sz w:val="20"/>
                <w:szCs w:val="20"/>
                <w:color w:val="auto"/>
              </w:rPr>
            </w:pPr>
            <w:r>
              <w:rPr>
                <w:rFonts w:ascii="Arial" w:cs="Arial" w:eastAsia="Arial" w:hAnsi="Arial"/>
                <w:sz w:val="13"/>
                <w:szCs w:val="13"/>
                <w:color w:val="auto"/>
              </w:rPr>
              <w:t>(6)</w:t>
            </w:r>
          </w:p>
        </w:tc>
        <w:tc>
          <w:tcPr>
            <w:tcW w:w="740" w:type="dxa"/>
            <w:vAlign w:val="bottom"/>
            <w:gridSpan w:val="2"/>
            <w:shd w:val="clear" w:color="auto" w:fill="CCEEFF"/>
          </w:tcPr>
          <w:p>
            <w:pPr>
              <w:ind w:left="120"/>
              <w:spacing w:after="0"/>
              <w:rPr>
                <w:sz w:val="20"/>
                <w:szCs w:val="20"/>
                <w:color w:val="auto"/>
              </w:rPr>
            </w:pPr>
            <w:r>
              <w:rPr>
                <w:rFonts w:ascii="Arial" w:cs="Arial" w:eastAsia="Arial" w:hAnsi="Arial"/>
                <w:sz w:val="13"/>
                <w:szCs w:val="13"/>
                <w:color w:val="auto"/>
              </w:rPr>
              <w:t>L+700</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17,069,557</w:t>
            </w:r>
          </w:p>
        </w:tc>
        <w:tc>
          <w:tcPr>
            <w:tcW w:w="280" w:type="dxa"/>
            <w:vAlign w:val="bottom"/>
            <w:tcBorders>
              <w:left w:val="single" w:sz="8" w:color="CCEEFF"/>
              <w:right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17,069,557</w:t>
            </w:r>
          </w:p>
        </w:tc>
        <w:tc>
          <w:tcPr>
            <w:tcW w:w="1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10,638,600</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360" w:type="dxa"/>
            <w:vAlign w:val="bottom"/>
            <w:gridSpan w:val="2"/>
          </w:tcPr>
          <w:p>
            <w:pPr>
              <w:spacing w:after="0"/>
              <w:rPr>
                <w:sz w:val="20"/>
                <w:szCs w:val="20"/>
                <w:color w:val="auto"/>
              </w:rPr>
            </w:pPr>
            <w:r>
              <w:rPr>
                <w:rFonts w:ascii="Arial" w:cs="Arial" w:eastAsia="Arial" w:hAnsi="Arial"/>
                <w:sz w:val="13"/>
                <w:szCs w:val="13"/>
                <w:color w:val="auto"/>
              </w:rPr>
              <w:t>Affinion Group Holdings, Inc.</w:t>
            </w:r>
          </w:p>
        </w:tc>
        <w:tc>
          <w:tcPr>
            <w:tcW w:w="620" w:type="dxa"/>
            <w:vAlign w:val="bottom"/>
          </w:tcPr>
          <w:p>
            <w:pPr>
              <w:jc w:val="center"/>
              <w:spacing w:after="0"/>
              <w:rPr>
                <w:sz w:val="20"/>
                <w:szCs w:val="20"/>
                <w:color w:val="auto"/>
              </w:rPr>
            </w:pPr>
            <w:r>
              <w:rPr>
                <w:rFonts w:ascii="Arial" w:cs="Arial" w:eastAsia="Arial" w:hAnsi="Arial"/>
                <w:sz w:val="13"/>
                <w:szCs w:val="13"/>
                <w:color w:val="auto"/>
                <w:w w:val="94"/>
              </w:rPr>
              <w:t>3/1/2012</w:t>
            </w:r>
          </w:p>
        </w:tc>
        <w:tc>
          <w:tcPr>
            <w:tcW w:w="200" w:type="dxa"/>
            <w:vAlign w:val="bottom"/>
          </w:tcPr>
          <w:p>
            <w:pPr>
              <w:spacing w:after="0"/>
              <w:rPr>
                <w:sz w:val="12"/>
                <w:szCs w:val="12"/>
                <w:color w:val="auto"/>
              </w:rPr>
            </w:pPr>
          </w:p>
        </w:tc>
        <w:tc>
          <w:tcPr>
            <w:tcW w:w="1420" w:type="dxa"/>
            <w:vAlign w:val="bottom"/>
          </w:tcPr>
          <w:p>
            <w:pPr>
              <w:jc w:val="center"/>
              <w:spacing w:after="0"/>
              <w:rPr>
                <w:sz w:val="20"/>
                <w:szCs w:val="20"/>
                <w:color w:val="auto"/>
              </w:rPr>
            </w:pPr>
            <w:r>
              <w:rPr>
                <w:rFonts w:ascii="Arial" w:cs="Arial" w:eastAsia="Arial" w:hAnsi="Arial"/>
                <w:sz w:val="13"/>
                <w:szCs w:val="13"/>
                <w:color w:val="auto"/>
                <w:w w:val="92"/>
              </w:rPr>
              <w:t>Consumer Products</w:t>
            </w:r>
          </w:p>
        </w:tc>
        <w:tc>
          <w:tcPr>
            <w:tcW w:w="800" w:type="dxa"/>
            <w:vAlign w:val="bottom"/>
            <w:gridSpan w:val="3"/>
          </w:tcPr>
          <w:p>
            <w:pPr>
              <w:jc w:val="right"/>
              <w:spacing w:after="0"/>
              <w:rPr>
                <w:sz w:val="20"/>
                <w:szCs w:val="20"/>
                <w:color w:val="auto"/>
              </w:rPr>
            </w:pPr>
            <w:r>
              <w:rPr>
                <w:rFonts w:ascii="Arial" w:cs="Arial" w:eastAsia="Arial" w:hAnsi="Arial"/>
                <w:sz w:val="13"/>
                <w:szCs w:val="13"/>
                <w:color w:val="auto"/>
              </w:rPr>
              <w:t>9.27%</w:t>
            </w:r>
          </w:p>
        </w:tc>
        <w:tc>
          <w:tcPr>
            <w:tcW w:w="380" w:type="dxa"/>
            <w:vAlign w:val="bottom"/>
          </w:tcPr>
          <w:p>
            <w:pPr>
              <w:jc w:val="right"/>
              <w:ind w:right="133"/>
              <w:spacing w:after="0"/>
              <w:rPr>
                <w:sz w:val="20"/>
                <w:szCs w:val="20"/>
                <w:color w:val="auto"/>
              </w:rPr>
            </w:pPr>
            <w:r>
              <w:rPr>
                <w:rFonts w:ascii="Arial" w:cs="Arial" w:eastAsia="Arial" w:hAnsi="Arial"/>
                <w:sz w:val="13"/>
                <w:szCs w:val="13"/>
                <w:color w:val="auto"/>
              </w:rPr>
              <w:t>(6)</w:t>
            </w:r>
          </w:p>
        </w:tc>
        <w:tc>
          <w:tcPr>
            <w:tcW w:w="740" w:type="dxa"/>
            <w:vAlign w:val="bottom"/>
            <w:gridSpan w:val="2"/>
          </w:tcPr>
          <w:p>
            <w:pPr>
              <w:ind w:left="120"/>
              <w:spacing w:after="0"/>
              <w:rPr>
                <w:sz w:val="20"/>
                <w:szCs w:val="20"/>
                <w:color w:val="auto"/>
              </w:rPr>
            </w:pPr>
            <w:r>
              <w:rPr>
                <w:rFonts w:ascii="Arial" w:cs="Arial" w:eastAsia="Arial" w:hAnsi="Arial"/>
                <w:sz w:val="13"/>
                <w:szCs w:val="13"/>
                <w:color w:val="auto"/>
              </w:rPr>
              <w:t>L+750</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22,500,000</w:t>
            </w:r>
          </w:p>
        </w:tc>
        <w:tc>
          <w:tcPr>
            <w:tcW w:w="280" w:type="dxa"/>
            <w:vAlign w:val="bottom"/>
          </w:tcPr>
          <w:p>
            <w:pPr>
              <w:spacing w:after="0"/>
              <w:rPr>
                <w:sz w:val="12"/>
                <w:szCs w:val="12"/>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3"/>
                <w:szCs w:val="13"/>
                <w:color w:val="auto"/>
              </w:rPr>
              <w:t>21,720,580</w:t>
            </w:r>
          </w:p>
        </w:tc>
        <w:tc>
          <w:tcPr>
            <w:tcW w:w="16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19,215,000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36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Consolidated Foundries, Inc.</w:t>
            </w:r>
          </w:p>
        </w:tc>
        <w:tc>
          <w:tcPr>
            <w:tcW w:w="6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3"/>
              </w:rPr>
              <w:t>4/17/2015</w:t>
            </w:r>
          </w:p>
        </w:tc>
        <w:tc>
          <w:tcPr>
            <w:tcW w:w="200" w:type="dxa"/>
            <w:vAlign w:val="bottom"/>
            <w:shd w:val="clear" w:color="auto" w:fill="CCEEFF"/>
          </w:tcPr>
          <w:p>
            <w:pPr>
              <w:spacing w:after="0"/>
              <w:rPr>
                <w:sz w:val="12"/>
                <w:szCs w:val="12"/>
                <w:color w:val="auto"/>
              </w:rPr>
            </w:pPr>
          </w:p>
        </w:tc>
        <w:tc>
          <w:tcPr>
            <w:tcW w:w="14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1"/>
              </w:rPr>
              <w:t>Aerospace and Defense</w:t>
            </w:r>
          </w:p>
        </w:tc>
        <w:tc>
          <w:tcPr>
            <w:tcW w:w="80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14.25%</w:t>
            </w:r>
          </w:p>
        </w:tc>
        <w:tc>
          <w:tcPr>
            <w:tcW w:w="380" w:type="dxa"/>
            <w:vAlign w:val="bottom"/>
            <w:shd w:val="clear" w:color="auto" w:fill="CCEEFF"/>
          </w:tcPr>
          <w:p>
            <w:pPr>
              <w:jc w:val="right"/>
              <w:ind w:right="133"/>
              <w:spacing w:after="0"/>
              <w:rPr>
                <w:sz w:val="20"/>
                <w:szCs w:val="20"/>
                <w:color w:val="auto"/>
              </w:rPr>
            </w:pPr>
            <w:r>
              <w:rPr>
                <w:rFonts w:ascii="Arial" w:cs="Arial" w:eastAsia="Arial" w:hAnsi="Arial"/>
                <w:sz w:val="13"/>
                <w:szCs w:val="13"/>
                <w:color w:val="auto"/>
              </w:rPr>
              <w:t>(6)</w:t>
            </w:r>
          </w:p>
        </w:tc>
        <w:tc>
          <w:tcPr>
            <w:tcW w:w="740" w:type="dxa"/>
            <w:vAlign w:val="bottom"/>
            <w:gridSpan w:val="2"/>
            <w:shd w:val="clear" w:color="auto" w:fill="CCEEFF"/>
          </w:tcPr>
          <w:p>
            <w:pPr>
              <w:ind w:left="28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8,054,247</w:t>
            </w:r>
          </w:p>
        </w:tc>
        <w:tc>
          <w:tcPr>
            <w:tcW w:w="280" w:type="dxa"/>
            <w:vAlign w:val="bottom"/>
            <w:tcBorders>
              <w:left w:val="single" w:sz="8" w:color="CCEEFF"/>
              <w:right w:val="single" w:sz="8" w:color="CCEEFF"/>
            </w:tcBorders>
            <w:shd w:val="clear" w:color="auto" w:fill="CCEEFF"/>
          </w:tcPr>
          <w:p>
            <w:pPr>
              <w:spacing w:after="0"/>
              <w:rPr>
                <w:sz w:val="12"/>
                <w:szCs w:val="12"/>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7,898,824</w:t>
            </w:r>
          </w:p>
        </w:tc>
        <w:tc>
          <w:tcPr>
            <w:tcW w:w="160" w:type="dxa"/>
            <w:vAlign w:val="bottom"/>
            <w:tcBorders>
              <w:right w:val="single" w:sz="8" w:color="CCEEFF"/>
            </w:tcBorders>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7,663,616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360" w:type="dxa"/>
            <w:vAlign w:val="bottom"/>
            <w:gridSpan w:val="2"/>
          </w:tcPr>
          <w:p>
            <w:pPr>
              <w:spacing w:after="0"/>
              <w:rPr>
                <w:sz w:val="20"/>
                <w:szCs w:val="20"/>
                <w:color w:val="auto"/>
              </w:rPr>
            </w:pPr>
            <w:r>
              <w:rPr>
                <w:rFonts w:ascii="Arial" w:cs="Arial" w:eastAsia="Arial" w:hAnsi="Arial"/>
                <w:sz w:val="13"/>
                <w:szCs w:val="13"/>
                <w:color w:val="auto"/>
              </w:rPr>
              <w:t>CT Technologies Intermediate Holdings, Inc.</w:t>
            </w:r>
          </w:p>
        </w:tc>
        <w:tc>
          <w:tcPr>
            <w:tcW w:w="620" w:type="dxa"/>
            <w:vAlign w:val="bottom"/>
          </w:tcPr>
          <w:p>
            <w:pPr>
              <w:jc w:val="center"/>
              <w:spacing w:after="0"/>
              <w:rPr>
                <w:sz w:val="20"/>
                <w:szCs w:val="20"/>
                <w:color w:val="auto"/>
              </w:rPr>
            </w:pPr>
            <w:r>
              <w:rPr>
                <w:rFonts w:ascii="Arial" w:cs="Arial" w:eastAsia="Arial" w:hAnsi="Arial"/>
                <w:sz w:val="13"/>
                <w:szCs w:val="13"/>
                <w:color w:val="auto"/>
                <w:w w:val="93"/>
              </w:rPr>
              <w:t>3/19/2014</w:t>
            </w:r>
          </w:p>
        </w:tc>
        <w:tc>
          <w:tcPr>
            <w:tcW w:w="200" w:type="dxa"/>
            <w:vAlign w:val="bottom"/>
          </w:tcPr>
          <w:p>
            <w:pPr>
              <w:spacing w:after="0"/>
              <w:rPr>
                <w:sz w:val="12"/>
                <w:szCs w:val="12"/>
                <w:color w:val="auto"/>
              </w:rPr>
            </w:pPr>
          </w:p>
        </w:tc>
        <w:tc>
          <w:tcPr>
            <w:tcW w:w="1420" w:type="dxa"/>
            <w:vAlign w:val="bottom"/>
          </w:tcPr>
          <w:p>
            <w:pPr>
              <w:jc w:val="center"/>
              <w:spacing w:after="0"/>
              <w:rPr>
                <w:sz w:val="20"/>
                <w:szCs w:val="20"/>
                <w:color w:val="auto"/>
              </w:rPr>
            </w:pPr>
            <w:r>
              <w:rPr>
                <w:rFonts w:ascii="Arial" w:cs="Arial" w:eastAsia="Arial" w:hAnsi="Arial"/>
                <w:sz w:val="13"/>
                <w:szCs w:val="13"/>
                <w:color w:val="auto"/>
                <w:w w:val="92"/>
              </w:rPr>
              <w:t>Business Services</w:t>
            </w:r>
          </w:p>
        </w:tc>
        <w:tc>
          <w:tcPr>
            <w:tcW w:w="800" w:type="dxa"/>
            <w:vAlign w:val="bottom"/>
            <w:gridSpan w:val="3"/>
          </w:tcPr>
          <w:p>
            <w:pPr>
              <w:jc w:val="right"/>
              <w:spacing w:after="0"/>
              <w:rPr>
                <w:sz w:val="20"/>
                <w:szCs w:val="20"/>
                <w:color w:val="auto"/>
              </w:rPr>
            </w:pPr>
            <w:r>
              <w:rPr>
                <w:rFonts w:ascii="Arial" w:cs="Arial" w:eastAsia="Arial" w:hAnsi="Arial"/>
                <w:sz w:val="13"/>
                <w:szCs w:val="13"/>
                <w:color w:val="auto"/>
              </w:rPr>
              <w:t>14.00%</w:t>
            </w:r>
          </w:p>
        </w:tc>
        <w:tc>
          <w:tcPr>
            <w:tcW w:w="380" w:type="dxa"/>
            <w:vAlign w:val="bottom"/>
          </w:tcPr>
          <w:p>
            <w:pPr>
              <w:jc w:val="right"/>
              <w:ind w:right="133"/>
              <w:spacing w:after="0"/>
              <w:rPr>
                <w:sz w:val="20"/>
                <w:szCs w:val="20"/>
                <w:color w:val="auto"/>
              </w:rPr>
            </w:pPr>
            <w:r>
              <w:rPr>
                <w:rFonts w:ascii="Arial" w:cs="Arial" w:eastAsia="Arial" w:hAnsi="Arial"/>
                <w:sz w:val="13"/>
                <w:szCs w:val="13"/>
                <w:color w:val="auto"/>
              </w:rPr>
              <w:t>(6)</w:t>
            </w:r>
          </w:p>
        </w:tc>
        <w:tc>
          <w:tcPr>
            <w:tcW w:w="740" w:type="dxa"/>
            <w:vAlign w:val="bottom"/>
            <w:gridSpan w:val="2"/>
          </w:tcPr>
          <w:p>
            <w:pPr>
              <w:ind w:left="2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20,110,000</w:t>
            </w:r>
          </w:p>
        </w:tc>
        <w:tc>
          <w:tcPr>
            <w:tcW w:w="280" w:type="dxa"/>
            <w:vAlign w:val="bottom"/>
          </w:tcPr>
          <w:p>
            <w:pPr>
              <w:spacing w:after="0"/>
              <w:rPr>
                <w:sz w:val="12"/>
                <w:szCs w:val="12"/>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3"/>
                <w:szCs w:val="13"/>
                <w:color w:val="auto"/>
              </w:rPr>
              <w:t>19,657,655</w:t>
            </w:r>
          </w:p>
        </w:tc>
        <w:tc>
          <w:tcPr>
            <w:tcW w:w="16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19,422,238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36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i2 Holdings Ltd.</w:t>
            </w:r>
          </w:p>
        </w:tc>
        <w:tc>
          <w:tcPr>
            <w:tcW w:w="6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4"/>
              </w:rPr>
              <w:t>6/6/2014</w:t>
            </w:r>
          </w:p>
        </w:tc>
        <w:tc>
          <w:tcPr>
            <w:tcW w:w="200" w:type="dxa"/>
            <w:vAlign w:val="bottom"/>
            <w:shd w:val="clear" w:color="auto" w:fill="CCEEFF"/>
          </w:tcPr>
          <w:p>
            <w:pPr>
              <w:spacing w:after="0"/>
              <w:rPr>
                <w:sz w:val="12"/>
                <w:szCs w:val="12"/>
                <w:color w:val="auto"/>
              </w:rPr>
            </w:pPr>
          </w:p>
        </w:tc>
        <w:tc>
          <w:tcPr>
            <w:tcW w:w="14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1"/>
              </w:rPr>
              <w:t>Aerospace and Defense</w:t>
            </w:r>
          </w:p>
        </w:tc>
        <w:tc>
          <w:tcPr>
            <w:tcW w:w="80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14.75%</w:t>
            </w:r>
          </w:p>
        </w:tc>
        <w:tc>
          <w:tcPr>
            <w:tcW w:w="380" w:type="dxa"/>
            <w:vAlign w:val="bottom"/>
            <w:shd w:val="clear" w:color="auto" w:fill="CCEEFF"/>
          </w:tcPr>
          <w:p>
            <w:pPr>
              <w:jc w:val="right"/>
              <w:ind w:right="133"/>
              <w:spacing w:after="0"/>
              <w:rPr>
                <w:sz w:val="20"/>
                <w:szCs w:val="20"/>
                <w:color w:val="auto"/>
              </w:rPr>
            </w:pPr>
            <w:r>
              <w:rPr>
                <w:rFonts w:ascii="Arial" w:cs="Arial" w:eastAsia="Arial" w:hAnsi="Arial"/>
                <w:sz w:val="13"/>
                <w:szCs w:val="13"/>
                <w:color w:val="auto"/>
              </w:rPr>
              <w:t>(6)</w:t>
            </w:r>
          </w:p>
        </w:tc>
        <w:tc>
          <w:tcPr>
            <w:tcW w:w="740" w:type="dxa"/>
            <w:vAlign w:val="bottom"/>
            <w:gridSpan w:val="2"/>
            <w:shd w:val="clear" w:color="auto" w:fill="CCEEFF"/>
          </w:tcPr>
          <w:p>
            <w:pPr>
              <w:ind w:left="28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22,348,058</w:t>
            </w:r>
          </w:p>
        </w:tc>
        <w:tc>
          <w:tcPr>
            <w:tcW w:w="280" w:type="dxa"/>
            <w:vAlign w:val="bottom"/>
            <w:tcBorders>
              <w:left w:val="single" w:sz="8" w:color="CCEEFF"/>
              <w:right w:val="single" w:sz="8" w:color="CCEEFF"/>
            </w:tcBorders>
            <w:shd w:val="clear" w:color="auto" w:fill="CCEEFF"/>
          </w:tcPr>
          <w:p>
            <w:pPr>
              <w:spacing w:after="0"/>
              <w:rPr>
                <w:sz w:val="12"/>
                <w:szCs w:val="12"/>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22,030,436</w:t>
            </w:r>
          </w:p>
        </w:tc>
        <w:tc>
          <w:tcPr>
            <w:tcW w:w="160" w:type="dxa"/>
            <w:vAlign w:val="bottom"/>
            <w:tcBorders>
              <w:right w:val="single" w:sz="8" w:color="CCEEFF"/>
            </w:tcBorders>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22,348,056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4360" w:type="dxa"/>
            <w:vAlign w:val="bottom"/>
            <w:gridSpan w:val="2"/>
          </w:tcPr>
          <w:p>
            <w:pPr>
              <w:spacing w:after="0"/>
              <w:rPr>
                <w:sz w:val="20"/>
                <w:szCs w:val="20"/>
                <w:color w:val="auto"/>
              </w:rPr>
            </w:pPr>
            <w:r>
              <w:rPr>
                <w:rFonts w:ascii="Arial" w:cs="Arial" w:eastAsia="Arial" w:hAnsi="Arial"/>
                <w:sz w:val="13"/>
                <w:szCs w:val="13"/>
                <w:color w:val="auto"/>
              </w:rPr>
              <w:t>IDQ Holdings, Inc.</w:t>
            </w:r>
          </w:p>
        </w:tc>
        <w:tc>
          <w:tcPr>
            <w:tcW w:w="620" w:type="dxa"/>
            <w:vAlign w:val="bottom"/>
          </w:tcPr>
          <w:p>
            <w:pPr>
              <w:jc w:val="center"/>
              <w:spacing w:after="0"/>
              <w:rPr>
                <w:sz w:val="20"/>
                <w:szCs w:val="20"/>
                <w:color w:val="auto"/>
              </w:rPr>
            </w:pPr>
            <w:r>
              <w:rPr>
                <w:rFonts w:ascii="Arial" w:cs="Arial" w:eastAsia="Arial" w:hAnsi="Arial"/>
                <w:sz w:val="13"/>
                <w:szCs w:val="13"/>
                <w:color w:val="auto"/>
                <w:w w:val="93"/>
              </w:rPr>
              <w:t>5/20/2012</w:t>
            </w:r>
          </w:p>
        </w:tc>
        <w:tc>
          <w:tcPr>
            <w:tcW w:w="200" w:type="dxa"/>
            <w:vAlign w:val="bottom"/>
          </w:tcPr>
          <w:p>
            <w:pPr>
              <w:spacing w:after="0"/>
              <w:rPr>
                <w:sz w:val="14"/>
                <w:szCs w:val="14"/>
                <w:color w:val="auto"/>
              </w:rPr>
            </w:pPr>
          </w:p>
        </w:tc>
        <w:tc>
          <w:tcPr>
            <w:tcW w:w="1420" w:type="dxa"/>
            <w:vAlign w:val="bottom"/>
          </w:tcPr>
          <w:p>
            <w:pPr>
              <w:jc w:val="center"/>
              <w:spacing w:after="0"/>
              <w:rPr>
                <w:sz w:val="20"/>
                <w:szCs w:val="20"/>
                <w:color w:val="auto"/>
              </w:rPr>
            </w:pPr>
            <w:r>
              <w:rPr>
                <w:rFonts w:ascii="Arial" w:cs="Arial" w:eastAsia="Arial" w:hAnsi="Arial"/>
                <w:sz w:val="13"/>
                <w:szCs w:val="13"/>
                <w:color w:val="auto"/>
                <w:w w:val="97"/>
              </w:rPr>
              <w:t>Auto Sector</w:t>
            </w:r>
          </w:p>
        </w:tc>
        <w:tc>
          <w:tcPr>
            <w:tcW w:w="800" w:type="dxa"/>
            <w:vAlign w:val="bottom"/>
            <w:gridSpan w:val="3"/>
          </w:tcPr>
          <w:p>
            <w:pPr>
              <w:jc w:val="right"/>
              <w:spacing w:after="0"/>
              <w:rPr>
                <w:sz w:val="20"/>
                <w:szCs w:val="20"/>
                <w:color w:val="auto"/>
              </w:rPr>
            </w:pPr>
            <w:r>
              <w:rPr>
                <w:rFonts w:ascii="Arial" w:cs="Arial" w:eastAsia="Arial" w:hAnsi="Arial"/>
                <w:sz w:val="13"/>
                <w:szCs w:val="13"/>
                <w:color w:val="auto"/>
              </w:rPr>
              <w:t>13.75%</w:t>
            </w:r>
          </w:p>
        </w:tc>
        <w:tc>
          <w:tcPr>
            <w:tcW w:w="380" w:type="dxa"/>
            <w:vAlign w:val="bottom"/>
          </w:tcPr>
          <w:p>
            <w:pPr>
              <w:spacing w:after="0"/>
              <w:rPr>
                <w:sz w:val="14"/>
                <w:szCs w:val="14"/>
                <w:color w:val="auto"/>
              </w:rPr>
            </w:pPr>
          </w:p>
        </w:tc>
        <w:tc>
          <w:tcPr>
            <w:tcW w:w="740" w:type="dxa"/>
            <w:vAlign w:val="bottom"/>
            <w:gridSpan w:val="2"/>
          </w:tcPr>
          <w:p>
            <w:pPr>
              <w:ind w:left="2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20,000,000</w:t>
            </w:r>
          </w:p>
        </w:tc>
        <w:tc>
          <w:tcPr>
            <w:tcW w:w="280" w:type="dxa"/>
            <w:vAlign w:val="bottom"/>
          </w:tcPr>
          <w:p>
            <w:pPr>
              <w:spacing w:after="0"/>
              <w:rPr>
                <w:sz w:val="14"/>
                <w:szCs w:val="14"/>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3"/>
                <w:szCs w:val="13"/>
                <w:color w:val="auto"/>
              </w:rPr>
              <w:t>19,616,707</w:t>
            </w:r>
          </w:p>
        </w:tc>
        <w:tc>
          <w:tcPr>
            <w:tcW w:w="16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20,122,000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760" w:type="dxa"/>
            <w:vAlign w:val="bottom"/>
          </w:tcPr>
          <w:p>
            <w:pPr>
              <w:spacing w:after="0"/>
              <w:rPr>
                <w:sz w:val="3"/>
                <w:szCs w:val="3"/>
                <w:color w:val="auto"/>
              </w:rPr>
            </w:pPr>
          </w:p>
        </w:tc>
        <w:tc>
          <w:tcPr>
            <w:tcW w:w="3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420" w:type="dxa"/>
            <w:vAlign w:val="bottom"/>
          </w:tcPr>
          <w:p>
            <w:pPr>
              <w:spacing w:after="0"/>
              <w:rPr>
                <w:sz w:val="3"/>
                <w:szCs w:val="3"/>
                <w:color w:val="auto"/>
              </w:rPr>
            </w:pPr>
          </w:p>
        </w:tc>
        <w:tc>
          <w:tcPr>
            <w:tcW w:w="220" w:type="dxa"/>
            <w:vAlign w:val="bottom"/>
          </w:tcPr>
          <w:p>
            <w:pPr>
              <w:spacing w:after="0"/>
              <w:rPr>
                <w:sz w:val="3"/>
                <w:szCs w:val="3"/>
                <w:color w:val="auto"/>
              </w:rPr>
            </w:pPr>
          </w:p>
        </w:tc>
        <w:tc>
          <w:tcPr>
            <w:tcW w:w="460" w:type="dxa"/>
            <w:vAlign w:val="bottom"/>
          </w:tcPr>
          <w:p>
            <w:pPr>
              <w:spacing w:after="0"/>
              <w:rPr>
                <w:sz w:val="3"/>
                <w:szCs w:val="3"/>
                <w:color w:val="auto"/>
              </w:rPr>
            </w:pPr>
          </w:p>
        </w:tc>
        <w:tc>
          <w:tcPr>
            <w:tcW w:w="120" w:type="dxa"/>
            <w:vAlign w:val="bottom"/>
          </w:tcPr>
          <w:p>
            <w:pPr>
              <w:spacing w:after="0"/>
              <w:rPr>
                <w:sz w:val="3"/>
                <w:szCs w:val="3"/>
                <w:color w:val="auto"/>
              </w:rPr>
            </w:pPr>
          </w:p>
        </w:tc>
        <w:tc>
          <w:tcPr>
            <w:tcW w:w="380" w:type="dxa"/>
            <w:vAlign w:val="bottom"/>
          </w:tcPr>
          <w:p>
            <w:pPr>
              <w:spacing w:after="0"/>
              <w:rPr>
                <w:sz w:val="3"/>
                <w:szCs w:val="3"/>
                <w:color w:val="auto"/>
              </w:rPr>
            </w:pPr>
          </w:p>
        </w:tc>
        <w:tc>
          <w:tcPr>
            <w:tcW w:w="480" w:type="dxa"/>
            <w:vAlign w:val="bottom"/>
          </w:tcPr>
          <w:p>
            <w:pPr>
              <w:spacing w:after="0"/>
              <w:rPr>
                <w:sz w:val="3"/>
                <w:szCs w:val="3"/>
                <w:color w:val="auto"/>
              </w:rPr>
            </w:pPr>
          </w:p>
        </w:tc>
        <w:tc>
          <w:tcPr>
            <w:tcW w:w="2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66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680" w:type="dxa"/>
            <w:vAlign w:val="bottom"/>
          </w:tcPr>
          <w:p>
            <w:pPr>
              <w:spacing w:after="0"/>
              <w:rPr>
                <w:sz w:val="3"/>
                <w:szCs w:val="3"/>
                <w:color w:val="auto"/>
              </w:rPr>
            </w:pPr>
          </w:p>
        </w:tc>
        <w:tc>
          <w:tcPr>
            <w:tcW w:w="20" w:type="dxa"/>
            <w:vAlign w:val="bottom"/>
            <w:vMerge w:val="restart"/>
          </w:tcPr>
          <w:p>
            <w:pPr>
              <w:spacing w:after="0"/>
              <w:rPr>
                <w:sz w:val="3"/>
                <w:szCs w:val="3"/>
                <w:color w:val="auto"/>
              </w:rPr>
            </w:pPr>
          </w:p>
        </w:tc>
        <w:tc>
          <w:tcPr>
            <w:tcW w:w="0" w:type="dxa"/>
            <w:vAlign w:val="bottom"/>
          </w:tcPr>
          <w:p>
            <w:pPr>
              <w:spacing w:after="0"/>
              <w:rPr>
                <w:sz w:val="1"/>
                <w:szCs w:val="1"/>
                <w:color w:val="auto"/>
              </w:rPr>
            </w:pPr>
          </w:p>
        </w:tc>
      </w:tr>
      <w:tr>
        <w:trPr>
          <w:trHeight w:val="148"/>
        </w:trPr>
        <w:tc>
          <w:tcPr>
            <w:tcW w:w="436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Learning Care Group, Inc.</w:t>
            </w:r>
          </w:p>
        </w:tc>
        <w:tc>
          <w:tcPr>
            <w:tcW w:w="6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5"/>
              </w:rPr>
              <w:t>12/28/2015</w:t>
            </w:r>
          </w:p>
        </w:tc>
        <w:tc>
          <w:tcPr>
            <w:tcW w:w="200" w:type="dxa"/>
            <w:vAlign w:val="bottom"/>
            <w:shd w:val="clear" w:color="auto" w:fill="CCEEFF"/>
          </w:tcPr>
          <w:p>
            <w:pPr>
              <w:spacing w:after="0"/>
              <w:rPr>
                <w:sz w:val="12"/>
                <w:szCs w:val="12"/>
                <w:color w:val="auto"/>
              </w:rPr>
            </w:pPr>
          </w:p>
        </w:tc>
        <w:tc>
          <w:tcPr>
            <w:tcW w:w="14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3"/>
              </w:rPr>
              <w:t>Education</w:t>
            </w:r>
          </w:p>
        </w:tc>
        <w:tc>
          <w:tcPr>
            <w:tcW w:w="80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13.50%</w:t>
            </w:r>
          </w:p>
        </w:tc>
        <w:tc>
          <w:tcPr>
            <w:tcW w:w="380" w:type="dxa"/>
            <w:vAlign w:val="bottom"/>
            <w:shd w:val="clear" w:color="auto" w:fill="CCEEFF"/>
          </w:tcPr>
          <w:p>
            <w:pPr>
              <w:jc w:val="right"/>
              <w:ind w:right="133"/>
              <w:spacing w:after="0"/>
              <w:rPr>
                <w:sz w:val="20"/>
                <w:szCs w:val="20"/>
                <w:color w:val="auto"/>
              </w:rPr>
            </w:pPr>
            <w:r>
              <w:rPr>
                <w:rFonts w:ascii="Arial" w:cs="Arial" w:eastAsia="Arial" w:hAnsi="Arial"/>
                <w:sz w:val="13"/>
                <w:szCs w:val="13"/>
                <w:color w:val="auto"/>
              </w:rPr>
              <w:t>(6)</w:t>
            </w:r>
          </w:p>
        </w:tc>
        <w:tc>
          <w:tcPr>
            <w:tcW w:w="740" w:type="dxa"/>
            <w:vAlign w:val="bottom"/>
            <w:gridSpan w:val="2"/>
            <w:shd w:val="clear" w:color="auto" w:fill="CCEEFF"/>
          </w:tcPr>
          <w:p>
            <w:pPr>
              <w:ind w:left="28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10,195,003</w:t>
            </w:r>
          </w:p>
        </w:tc>
        <w:tc>
          <w:tcPr>
            <w:tcW w:w="280" w:type="dxa"/>
            <w:vAlign w:val="bottom"/>
            <w:tcBorders>
              <w:left w:val="single" w:sz="8" w:color="CCEEFF"/>
              <w:right w:val="single" w:sz="8" w:color="CCEEFF"/>
            </w:tcBorders>
            <w:shd w:val="clear" w:color="auto" w:fill="CCEEFF"/>
          </w:tcPr>
          <w:p>
            <w:pPr>
              <w:spacing w:after="0"/>
              <w:rPr>
                <w:sz w:val="12"/>
                <w:szCs w:val="12"/>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10,060,321</w:t>
            </w:r>
          </w:p>
        </w:tc>
        <w:tc>
          <w:tcPr>
            <w:tcW w:w="160" w:type="dxa"/>
            <w:vAlign w:val="bottom"/>
            <w:tcBorders>
              <w:right w:val="single" w:sz="8" w:color="CCEEFF"/>
            </w:tcBorders>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9,552,718</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360" w:type="dxa"/>
            <w:vAlign w:val="bottom"/>
            <w:gridSpan w:val="2"/>
          </w:tcPr>
          <w:p>
            <w:pPr>
              <w:spacing w:after="0"/>
              <w:rPr>
                <w:sz w:val="20"/>
                <w:szCs w:val="20"/>
                <w:color w:val="auto"/>
              </w:rPr>
            </w:pPr>
            <w:r>
              <w:rPr>
                <w:rFonts w:ascii="Arial" w:cs="Arial" w:eastAsia="Arial" w:hAnsi="Arial"/>
                <w:sz w:val="13"/>
                <w:szCs w:val="13"/>
                <w:color w:val="auto"/>
              </w:rPr>
              <w:t>Realogy Corp.</w:t>
            </w:r>
          </w:p>
        </w:tc>
        <w:tc>
          <w:tcPr>
            <w:tcW w:w="620" w:type="dxa"/>
            <w:vAlign w:val="bottom"/>
          </w:tcPr>
          <w:p>
            <w:pPr>
              <w:jc w:val="center"/>
              <w:spacing w:after="0"/>
              <w:rPr>
                <w:sz w:val="20"/>
                <w:szCs w:val="20"/>
                <w:color w:val="auto"/>
              </w:rPr>
            </w:pPr>
            <w:r>
              <w:rPr>
                <w:rFonts w:ascii="Arial" w:cs="Arial" w:eastAsia="Arial" w:hAnsi="Arial"/>
                <w:sz w:val="13"/>
                <w:szCs w:val="13"/>
                <w:color w:val="auto"/>
                <w:w w:val="93"/>
              </w:rPr>
              <w:t>4/15/2015</w:t>
            </w:r>
          </w:p>
        </w:tc>
        <w:tc>
          <w:tcPr>
            <w:tcW w:w="200" w:type="dxa"/>
            <w:vAlign w:val="bottom"/>
          </w:tcPr>
          <w:p>
            <w:pPr>
              <w:spacing w:after="0"/>
              <w:rPr>
                <w:sz w:val="12"/>
                <w:szCs w:val="12"/>
                <w:color w:val="auto"/>
              </w:rPr>
            </w:pPr>
          </w:p>
        </w:tc>
        <w:tc>
          <w:tcPr>
            <w:tcW w:w="1420" w:type="dxa"/>
            <w:vAlign w:val="bottom"/>
          </w:tcPr>
          <w:p>
            <w:pPr>
              <w:jc w:val="center"/>
              <w:spacing w:after="0"/>
              <w:rPr>
                <w:sz w:val="20"/>
                <w:szCs w:val="20"/>
                <w:color w:val="auto"/>
              </w:rPr>
            </w:pPr>
            <w:r>
              <w:rPr>
                <w:rFonts w:ascii="Arial" w:cs="Arial" w:eastAsia="Arial" w:hAnsi="Arial"/>
                <w:sz w:val="13"/>
                <w:szCs w:val="13"/>
                <w:color w:val="auto"/>
                <w:w w:val="94"/>
              </w:rPr>
              <w:t>Buildings and Real Estate</w:t>
            </w:r>
          </w:p>
        </w:tc>
        <w:tc>
          <w:tcPr>
            <w:tcW w:w="800" w:type="dxa"/>
            <w:vAlign w:val="bottom"/>
            <w:gridSpan w:val="3"/>
          </w:tcPr>
          <w:p>
            <w:pPr>
              <w:jc w:val="right"/>
              <w:spacing w:after="0"/>
              <w:rPr>
                <w:sz w:val="20"/>
                <w:szCs w:val="20"/>
                <w:color w:val="auto"/>
              </w:rPr>
            </w:pPr>
            <w:r>
              <w:rPr>
                <w:rFonts w:ascii="Arial" w:cs="Arial" w:eastAsia="Arial" w:hAnsi="Arial"/>
                <w:sz w:val="13"/>
                <w:szCs w:val="13"/>
                <w:color w:val="auto"/>
              </w:rPr>
              <w:t>12.38%</w:t>
            </w:r>
          </w:p>
        </w:tc>
        <w:tc>
          <w:tcPr>
            <w:tcW w:w="380" w:type="dxa"/>
            <w:vAlign w:val="bottom"/>
          </w:tcPr>
          <w:p>
            <w:pPr>
              <w:spacing w:after="0"/>
              <w:rPr>
                <w:sz w:val="12"/>
                <w:szCs w:val="12"/>
                <w:color w:val="auto"/>
              </w:rPr>
            </w:pPr>
          </w:p>
        </w:tc>
        <w:tc>
          <w:tcPr>
            <w:tcW w:w="740" w:type="dxa"/>
            <w:vAlign w:val="bottom"/>
            <w:gridSpan w:val="2"/>
          </w:tcPr>
          <w:p>
            <w:pPr>
              <w:ind w:left="2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28,000,000</w:t>
            </w:r>
          </w:p>
        </w:tc>
        <w:tc>
          <w:tcPr>
            <w:tcW w:w="280" w:type="dxa"/>
            <w:vAlign w:val="bottom"/>
          </w:tcPr>
          <w:p>
            <w:pPr>
              <w:spacing w:after="0"/>
              <w:rPr>
                <w:sz w:val="12"/>
                <w:szCs w:val="12"/>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3"/>
                <w:szCs w:val="13"/>
                <w:color w:val="auto"/>
              </w:rPr>
              <w:t>26,462,984</w:t>
            </w:r>
          </w:p>
        </w:tc>
        <w:tc>
          <w:tcPr>
            <w:tcW w:w="16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4,760,000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36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TZ Merger Sub, Inc.</w:t>
            </w:r>
          </w:p>
        </w:tc>
        <w:tc>
          <w:tcPr>
            <w:tcW w:w="6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3"/>
              </w:rPr>
              <w:t>10/1/2016</w:t>
            </w:r>
          </w:p>
        </w:tc>
        <w:tc>
          <w:tcPr>
            <w:tcW w:w="200" w:type="dxa"/>
            <w:vAlign w:val="bottom"/>
            <w:shd w:val="clear" w:color="auto" w:fill="CCEEFF"/>
          </w:tcPr>
          <w:p>
            <w:pPr>
              <w:spacing w:after="0"/>
              <w:rPr>
                <w:sz w:val="12"/>
                <w:szCs w:val="12"/>
                <w:color w:val="auto"/>
              </w:rPr>
            </w:pPr>
          </w:p>
        </w:tc>
        <w:tc>
          <w:tcPr>
            <w:tcW w:w="14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1"/>
              </w:rPr>
              <w:t>Insurance</w:t>
            </w:r>
          </w:p>
        </w:tc>
        <w:tc>
          <w:tcPr>
            <w:tcW w:w="80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13.50%</w:t>
            </w:r>
          </w:p>
        </w:tc>
        <w:tc>
          <w:tcPr>
            <w:tcW w:w="380" w:type="dxa"/>
            <w:vAlign w:val="bottom"/>
            <w:shd w:val="clear" w:color="auto" w:fill="CCEEFF"/>
          </w:tcPr>
          <w:p>
            <w:pPr>
              <w:jc w:val="right"/>
              <w:ind w:right="133"/>
              <w:spacing w:after="0"/>
              <w:rPr>
                <w:sz w:val="20"/>
                <w:szCs w:val="20"/>
                <w:color w:val="auto"/>
              </w:rPr>
            </w:pPr>
            <w:r>
              <w:rPr>
                <w:rFonts w:ascii="Arial" w:cs="Arial" w:eastAsia="Arial" w:hAnsi="Arial"/>
                <w:sz w:val="13"/>
                <w:szCs w:val="13"/>
                <w:color w:val="auto"/>
              </w:rPr>
              <w:t>(6)</w:t>
            </w:r>
          </w:p>
        </w:tc>
        <w:tc>
          <w:tcPr>
            <w:tcW w:w="740" w:type="dxa"/>
            <w:vAlign w:val="bottom"/>
            <w:gridSpan w:val="2"/>
            <w:shd w:val="clear" w:color="auto" w:fill="CCEEFF"/>
          </w:tcPr>
          <w:p>
            <w:pPr>
              <w:ind w:left="28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20,047,500</w:t>
            </w:r>
          </w:p>
        </w:tc>
        <w:tc>
          <w:tcPr>
            <w:tcW w:w="280" w:type="dxa"/>
            <w:vAlign w:val="bottom"/>
            <w:tcBorders>
              <w:left w:val="single" w:sz="8" w:color="CCEEFF"/>
              <w:right w:val="single" w:sz="8" w:color="CCEEFF"/>
            </w:tcBorders>
            <w:shd w:val="clear" w:color="auto" w:fill="CCEEFF"/>
          </w:tcPr>
          <w:p>
            <w:pPr>
              <w:spacing w:after="0"/>
              <w:rPr>
                <w:sz w:val="12"/>
                <w:szCs w:val="12"/>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19,866,119</w:t>
            </w:r>
          </w:p>
        </w:tc>
        <w:tc>
          <w:tcPr>
            <w:tcW w:w="160" w:type="dxa"/>
            <w:vAlign w:val="bottom"/>
            <w:tcBorders>
              <w:right w:val="single" w:sz="8" w:color="CCEEFF"/>
            </w:tcBorders>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19,365,885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360" w:type="dxa"/>
            <w:vAlign w:val="bottom"/>
            <w:gridSpan w:val="2"/>
          </w:tcPr>
          <w:p>
            <w:pPr>
              <w:spacing w:after="0"/>
              <w:rPr>
                <w:sz w:val="20"/>
                <w:szCs w:val="20"/>
                <w:color w:val="auto"/>
              </w:rPr>
            </w:pPr>
            <w:r>
              <w:rPr>
                <w:rFonts w:ascii="Arial" w:cs="Arial" w:eastAsia="Arial" w:hAnsi="Arial"/>
                <w:sz w:val="13"/>
                <w:szCs w:val="13"/>
                <w:color w:val="auto"/>
              </w:rPr>
              <w:t>UP Acquisitions Sub Inc.</w:t>
            </w:r>
          </w:p>
        </w:tc>
        <w:tc>
          <w:tcPr>
            <w:tcW w:w="620" w:type="dxa"/>
            <w:vAlign w:val="bottom"/>
          </w:tcPr>
          <w:p>
            <w:pPr>
              <w:jc w:val="center"/>
              <w:spacing w:after="0"/>
              <w:rPr>
                <w:sz w:val="20"/>
                <w:szCs w:val="20"/>
                <w:color w:val="auto"/>
              </w:rPr>
            </w:pPr>
            <w:r>
              <w:rPr>
                <w:rFonts w:ascii="Arial" w:cs="Arial" w:eastAsia="Arial" w:hAnsi="Arial"/>
                <w:sz w:val="13"/>
                <w:szCs w:val="13"/>
                <w:color w:val="auto"/>
                <w:w w:val="94"/>
              </w:rPr>
              <w:t>2/8/2015</w:t>
            </w:r>
          </w:p>
        </w:tc>
        <w:tc>
          <w:tcPr>
            <w:tcW w:w="200" w:type="dxa"/>
            <w:vAlign w:val="bottom"/>
          </w:tcPr>
          <w:p>
            <w:pPr>
              <w:spacing w:after="0"/>
              <w:rPr>
                <w:sz w:val="12"/>
                <w:szCs w:val="12"/>
                <w:color w:val="auto"/>
              </w:rPr>
            </w:pPr>
          </w:p>
        </w:tc>
        <w:tc>
          <w:tcPr>
            <w:tcW w:w="1420" w:type="dxa"/>
            <w:vAlign w:val="bottom"/>
          </w:tcPr>
          <w:p>
            <w:pPr>
              <w:jc w:val="center"/>
              <w:spacing w:after="0"/>
              <w:rPr>
                <w:sz w:val="20"/>
                <w:szCs w:val="20"/>
                <w:color w:val="auto"/>
              </w:rPr>
            </w:pPr>
            <w:r>
              <w:rPr>
                <w:rFonts w:ascii="Arial" w:cs="Arial" w:eastAsia="Arial" w:hAnsi="Arial"/>
                <w:sz w:val="13"/>
                <w:szCs w:val="13"/>
                <w:color w:val="auto"/>
                <w:w w:val="93"/>
              </w:rPr>
              <w:t>Oil and Gas</w:t>
            </w:r>
          </w:p>
        </w:tc>
        <w:tc>
          <w:tcPr>
            <w:tcW w:w="800" w:type="dxa"/>
            <w:vAlign w:val="bottom"/>
            <w:gridSpan w:val="3"/>
          </w:tcPr>
          <w:p>
            <w:pPr>
              <w:jc w:val="right"/>
              <w:spacing w:after="0"/>
              <w:rPr>
                <w:sz w:val="20"/>
                <w:szCs w:val="20"/>
                <w:color w:val="auto"/>
              </w:rPr>
            </w:pPr>
            <w:r>
              <w:rPr>
                <w:rFonts w:ascii="Arial" w:cs="Arial" w:eastAsia="Arial" w:hAnsi="Arial"/>
                <w:sz w:val="13"/>
                <w:szCs w:val="13"/>
                <w:color w:val="auto"/>
              </w:rPr>
              <w:t>13.50%</w:t>
            </w:r>
          </w:p>
        </w:tc>
        <w:tc>
          <w:tcPr>
            <w:tcW w:w="380" w:type="dxa"/>
            <w:vAlign w:val="bottom"/>
          </w:tcPr>
          <w:p>
            <w:pPr>
              <w:spacing w:after="0"/>
              <w:rPr>
                <w:sz w:val="12"/>
                <w:szCs w:val="12"/>
                <w:color w:val="auto"/>
              </w:rPr>
            </w:pPr>
          </w:p>
        </w:tc>
        <w:tc>
          <w:tcPr>
            <w:tcW w:w="740" w:type="dxa"/>
            <w:vAlign w:val="bottom"/>
            <w:gridSpan w:val="2"/>
          </w:tcPr>
          <w:p>
            <w:pPr>
              <w:ind w:left="2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21,000,000</w:t>
            </w:r>
          </w:p>
        </w:tc>
        <w:tc>
          <w:tcPr>
            <w:tcW w:w="280" w:type="dxa"/>
            <w:vAlign w:val="bottom"/>
          </w:tcPr>
          <w:p>
            <w:pPr>
              <w:spacing w:after="0"/>
              <w:rPr>
                <w:sz w:val="12"/>
                <w:szCs w:val="12"/>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3"/>
                <w:szCs w:val="13"/>
                <w:color w:val="auto"/>
              </w:rPr>
              <w:t>20,472,988</w:t>
            </w:r>
          </w:p>
        </w:tc>
        <w:tc>
          <w:tcPr>
            <w:tcW w:w="16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20,790,000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74"/>
        </w:trPr>
        <w:tc>
          <w:tcPr>
            <w:tcW w:w="760" w:type="dxa"/>
            <w:vAlign w:val="bottom"/>
          </w:tcPr>
          <w:p>
            <w:pPr>
              <w:spacing w:after="0"/>
              <w:rPr>
                <w:sz w:val="6"/>
                <w:szCs w:val="6"/>
                <w:color w:val="auto"/>
              </w:rPr>
            </w:pPr>
          </w:p>
        </w:tc>
        <w:tc>
          <w:tcPr>
            <w:tcW w:w="3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0" w:type="dxa"/>
            <w:vAlign w:val="bottom"/>
          </w:tcPr>
          <w:p>
            <w:pPr>
              <w:spacing w:after="0"/>
              <w:rPr>
                <w:sz w:val="6"/>
                <w:szCs w:val="6"/>
                <w:color w:val="auto"/>
              </w:rPr>
            </w:pPr>
          </w:p>
        </w:tc>
        <w:tc>
          <w:tcPr>
            <w:tcW w:w="1420" w:type="dxa"/>
            <w:vAlign w:val="bottom"/>
          </w:tcPr>
          <w:p>
            <w:pPr>
              <w:spacing w:after="0"/>
              <w:rPr>
                <w:sz w:val="6"/>
                <w:szCs w:val="6"/>
                <w:color w:val="auto"/>
              </w:rPr>
            </w:pPr>
          </w:p>
        </w:tc>
        <w:tc>
          <w:tcPr>
            <w:tcW w:w="220" w:type="dxa"/>
            <w:vAlign w:val="bottom"/>
          </w:tcPr>
          <w:p>
            <w:pPr>
              <w:spacing w:after="0"/>
              <w:rPr>
                <w:sz w:val="6"/>
                <w:szCs w:val="6"/>
                <w:color w:val="auto"/>
              </w:rPr>
            </w:pPr>
          </w:p>
        </w:tc>
        <w:tc>
          <w:tcPr>
            <w:tcW w:w="460" w:type="dxa"/>
            <w:vAlign w:val="bottom"/>
          </w:tcPr>
          <w:p>
            <w:pPr>
              <w:spacing w:after="0"/>
              <w:rPr>
                <w:sz w:val="6"/>
                <w:szCs w:val="6"/>
                <w:color w:val="auto"/>
              </w:rPr>
            </w:pPr>
          </w:p>
        </w:tc>
        <w:tc>
          <w:tcPr>
            <w:tcW w:w="120" w:type="dxa"/>
            <w:vAlign w:val="bottom"/>
          </w:tcPr>
          <w:p>
            <w:pPr>
              <w:spacing w:after="0"/>
              <w:rPr>
                <w:sz w:val="6"/>
                <w:szCs w:val="6"/>
                <w:color w:val="auto"/>
              </w:rPr>
            </w:pPr>
          </w:p>
        </w:tc>
        <w:tc>
          <w:tcPr>
            <w:tcW w:w="380" w:type="dxa"/>
            <w:vAlign w:val="bottom"/>
          </w:tcPr>
          <w:p>
            <w:pPr>
              <w:spacing w:after="0"/>
              <w:rPr>
                <w:sz w:val="6"/>
                <w:szCs w:val="6"/>
                <w:color w:val="auto"/>
              </w:rPr>
            </w:pPr>
          </w:p>
        </w:tc>
        <w:tc>
          <w:tcPr>
            <w:tcW w:w="480" w:type="dxa"/>
            <w:vAlign w:val="bottom"/>
          </w:tcPr>
          <w:p>
            <w:pPr>
              <w:spacing w:after="0"/>
              <w:rPr>
                <w:sz w:val="6"/>
                <w:szCs w:val="6"/>
                <w:color w:val="auto"/>
              </w:rPr>
            </w:pPr>
          </w:p>
        </w:tc>
        <w:tc>
          <w:tcPr>
            <w:tcW w:w="2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Borders>
              <w:top w:val="single" w:sz="8" w:color="auto"/>
            </w:tcBorders>
          </w:tcPr>
          <w:p>
            <w:pPr>
              <w:spacing w:after="0"/>
              <w:rPr>
                <w:sz w:val="6"/>
                <w:szCs w:val="6"/>
                <w:color w:val="auto"/>
              </w:rPr>
            </w:pPr>
          </w:p>
        </w:tc>
        <w:tc>
          <w:tcPr>
            <w:tcW w:w="660" w:type="dxa"/>
            <w:vAlign w:val="bottom"/>
            <w:tcBorders>
              <w:top w:val="single" w:sz="8" w:color="auto"/>
            </w:tcBorders>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680" w:type="dxa"/>
            <w:vAlign w:val="bottom"/>
            <w:tcBorders>
              <w:top w:val="single" w:sz="8" w:color="auto"/>
            </w:tcBorders>
          </w:tcPr>
          <w:p>
            <w:pPr>
              <w:spacing w:after="0"/>
              <w:rPr>
                <w:sz w:val="6"/>
                <w:szCs w:val="6"/>
                <w:color w:val="auto"/>
              </w:rPr>
            </w:pPr>
          </w:p>
        </w:tc>
        <w:tc>
          <w:tcPr>
            <w:tcW w:w="20" w:type="dxa"/>
            <w:vAlign w:val="bottom"/>
            <w:vMerge w:val="restart"/>
          </w:tcPr>
          <w:p>
            <w:pPr>
              <w:spacing w:after="0"/>
              <w:rPr>
                <w:sz w:val="6"/>
                <w:szCs w:val="6"/>
                <w:color w:val="auto"/>
              </w:rPr>
            </w:pPr>
          </w:p>
        </w:tc>
        <w:tc>
          <w:tcPr>
            <w:tcW w:w="0" w:type="dxa"/>
            <w:vAlign w:val="bottom"/>
          </w:tcPr>
          <w:p>
            <w:pPr>
              <w:spacing w:after="0"/>
              <w:rPr>
                <w:sz w:val="1"/>
                <w:szCs w:val="1"/>
                <w:color w:val="auto"/>
              </w:rPr>
            </w:pPr>
          </w:p>
        </w:tc>
      </w:tr>
      <w:tr>
        <w:trPr>
          <w:trHeight w:val="148"/>
        </w:trPr>
        <w:tc>
          <w:tcPr>
            <w:tcW w:w="4360" w:type="dxa"/>
            <w:vAlign w:val="bottom"/>
            <w:gridSpan w:val="2"/>
            <w:shd w:val="clear" w:color="auto" w:fill="CCEEFF"/>
          </w:tcPr>
          <w:p>
            <w:pPr>
              <w:spacing w:after="0"/>
              <w:rPr>
                <w:sz w:val="20"/>
                <w:szCs w:val="20"/>
                <w:color w:val="auto"/>
              </w:rPr>
            </w:pPr>
            <w:r>
              <w:rPr>
                <w:rFonts w:ascii="Arial" w:cs="Arial" w:eastAsia="Arial" w:hAnsi="Arial"/>
                <w:sz w:val="13"/>
                <w:szCs w:val="13"/>
                <w:b w:val="1"/>
                <w:bCs w:val="1"/>
                <w:color w:val="auto"/>
              </w:rPr>
              <w:t>Total Subordinated Debt / Corporate Notes</w:t>
            </w:r>
          </w:p>
        </w:tc>
        <w:tc>
          <w:tcPr>
            <w:tcW w:w="6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1"/>
              </w:rPr>
              <w:t>189,324,365</w:t>
            </w:r>
          </w:p>
        </w:tc>
        <w:tc>
          <w:tcPr>
            <w:tcW w:w="280" w:type="dxa"/>
            <w:vAlign w:val="bottom"/>
            <w:tcBorders>
              <w:left w:val="single" w:sz="8" w:color="CCEEFF"/>
              <w:right w:val="single" w:sz="8" w:color="CCEEFF"/>
            </w:tcBorders>
            <w:shd w:val="clear" w:color="auto" w:fill="CCEEFF"/>
          </w:tcPr>
          <w:p>
            <w:pPr>
              <w:spacing w:after="0"/>
              <w:rPr>
                <w:sz w:val="12"/>
                <w:szCs w:val="12"/>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w w:val="91"/>
              </w:rPr>
              <w:t>184,856,171</w:t>
            </w:r>
          </w:p>
        </w:tc>
        <w:tc>
          <w:tcPr>
            <w:tcW w:w="160" w:type="dxa"/>
            <w:vAlign w:val="bottom"/>
            <w:tcBorders>
              <w:right w:val="single" w:sz="8" w:color="CCEEFF"/>
            </w:tcBorders>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1"/>
              </w:rPr>
              <w:t>153,878,113</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36"/>
        </w:trPr>
        <w:tc>
          <w:tcPr>
            <w:tcW w:w="4360" w:type="dxa"/>
            <w:vAlign w:val="bottom"/>
            <w:gridSpan w:val="2"/>
          </w:tcPr>
          <w:p>
            <w:pPr>
              <w:spacing w:after="0"/>
              <w:rPr>
                <w:sz w:val="20"/>
                <w:szCs w:val="20"/>
                <w:color w:val="auto"/>
              </w:rPr>
            </w:pPr>
            <w:r>
              <w:rPr>
                <w:rFonts w:ascii="Arial" w:cs="Arial" w:eastAsia="Arial" w:hAnsi="Arial"/>
                <w:sz w:val="13"/>
                <w:szCs w:val="13"/>
                <w:b w:val="1"/>
                <w:bCs w:val="1"/>
                <w:color w:val="auto"/>
              </w:rPr>
              <w:t>Second Lien Secured Debt – 37.9%</w:t>
            </w:r>
          </w:p>
        </w:tc>
        <w:tc>
          <w:tcPr>
            <w:tcW w:w="6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Borders>
              <w:top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
        </w:trPr>
        <w:tc>
          <w:tcPr>
            <w:tcW w:w="760" w:type="dxa"/>
            <w:vAlign w:val="bottom"/>
          </w:tcPr>
          <w:p>
            <w:pPr>
              <w:spacing w:after="0"/>
              <w:rPr>
                <w:sz w:val="4"/>
                <w:szCs w:val="4"/>
                <w:color w:val="auto"/>
              </w:rPr>
            </w:pPr>
          </w:p>
        </w:tc>
        <w:tc>
          <w:tcPr>
            <w:tcW w:w="3600" w:type="dxa"/>
            <w:vAlign w:val="bottom"/>
          </w:tcPr>
          <w:p>
            <w:pPr>
              <w:spacing w:after="0"/>
              <w:rPr>
                <w:sz w:val="4"/>
                <w:szCs w:val="4"/>
                <w:color w:val="auto"/>
              </w:rPr>
            </w:pPr>
          </w:p>
        </w:tc>
        <w:tc>
          <w:tcPr>
            <w:tcW w:w="6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420" w:type="dxa"/>
            <w:vAlign w:val="bottom"/>
          </w:tcPr>
          <w:p>
            <w:pPr>
              <w:spacing w:after="0"/>
              <w:rPr>
                <w:sz w:val="4"/>
                <w:szCs w:val="4"/>
                <w:color w:val="auto"/>
              </w:rPr>
            </w:pPr>
          </w:p>
        </w:tc>
        <w:tc>
          <w:tcPr>
            <w:tcW w:w="220" w:type="dxa"/>
            <w:vAlign w:val="bottom"/>
          </w:tcPr>
          <w:p>
            <w:pPr>
              <w:spacing w:after="0"/>
              <w:rPr>
                <w:sz w:val="4"/>
                <w:szCs w:val="4"/>
                <w:color w:val="auto"/>
              </w:rPr>
            </w:pPr>
          </w:p>
        </w:tc>
        <w:tc>
          <w:tcPr>
            <w:tcW w:w="460" w:type="dxa"/>
            <w:vAlign w:val="bottom"/>
          </w:tcPr>
          <w:p>
            <w:pPr>
              <w:spacing w:after="0"/>
              <w:rPr>
                <w:sz w:val="4"/>
                <w:szCs w:val="4"/>
                <w:color w:val="auto"/>
              </w:rPr>
            </w:pPr>
          </w:p>
        </w:tc>
        <w:tc>
          <w:tcPr>
            <w:tcW w:w="120" w:type="dxa"/>
            <w:vAlign w:val="bottom"/>
          </w:tcPr>
          <w:p>
            <w:pPr>
              <w:spacing w:after="0"/>
              <w:rPr>
                <w:sz w:val="4"/>
                <w:szCs w:val="4"/>
                <w:color w:val="auto"/>
              </w:rPr>
            </w:pPr>
          </w:p>
        </w:tc>
        <w:tc>
          <w:tcPr>
            <w:tcW w:w="380" w:type="dxa"/>
            <w:vAlign w:val="bottom"/>
          </w:tcPr>
          <w:p>
            <w:pPr>
              <w:spacing w:after="0"/>
              <w:rPr>
                <w:sz w:val="4"/>
                <w:szCs w:val="4"/>
                <w:color w:val="auto"/>
              </w:rPr>
            </w:pPr>
          </w:p>
        </w:tc>
        <w:tc>
          <w:tcPr>
            <w:tcW w:w="480" w:type="dxa"/>
            <w:vAlign w:val="bottom"/>
          </w:tcPr>
          <w:p>
            <w:pPr>
              <w:spacing w:after="0"/>
              <w:rPr>
                <w:sz w:val="4"/>
                <w:szCs w:val="4"/>
                <w:color w:val="auto"/>
              </w:rPr>
            </w:pPr>
          </w:p>
        </w:tc>
        <w:tc>
          <w:tcPr>
            <w:tcW w:w="2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660" w:type="dxa"/>
            <w:vAlign w:val="bottom"/>
          </w:tcPr>
          <w:p>
            <w:pPr>
              <w:spacing w:after="0"/>
              <w:rPr>
                <w:sz w:val="4"/>
                <w:szCs w:val="4"/>
                <w:color w:val="auto"/>
              </w:rPr>
            </w:pPr>
          </w:p>
        </w:tc>
        <w:tc>
          <w:tcPr>
            <w:tcW w:w="280" w:type="dxa"/>
            <w:vAlign w:val="bottom"/>
          </w:tcPr>
          <w:p>
            <w:pPr>
              <w:spacing w:after="0"/>
              <w:rPr>
                <w:sz w:val="4"/>
                <w:szCs w:val="4"/>
                <w:color w:val="auto"/>
              </w:rPr>
            </w:pPr>
          </w:p>
        </w:tc>
        <w:tc>
          <w:tcPr>
            <w:tcW w:w="6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680" w:type="dxa"/>
            <w:vAlign w:val="bottom"/>
          </w:tcPr>
          <w:p>
            <w:pPr>
              <w:spacing w:after="0"/>
              <w:rPr>
                <w:sz w:val="4"/>
                <w:szCs w:val="4"/>
                <w:color w:val="auto"/>
              </w:rPr>
            </w:pPr>
          </w:p>
        </w:tc>
        <w:tc>
          <w:tcPr>
            <w:tcW w:w="20" w:type="dxa"/>
            <w:vAlign w:val="bottom"/>
            <w:vMerge w:val="restart"/>
          </w:tcPr>
          <w:p>
            <w:pPr>
              <w:spacing w:after="0"/>
              <w:rPr>
                <w:sz w:val="4"/>
                <w:szCs w:val="4"/>
                <w:color w:val="auto"/>
              </w:rPr>
            </w:pPr>
          </w:p>
        </w:tc>
        <w:tc>
          <w:tcPr>
            <w:tcW w:w="0" w:type="dxa"/>
            <w:vAlign w:val="bottom"/>
          </w:tcPr>
          <w:p>
            <w:pPr>
              <w:spacing w:after="0"/>
              <w:rPr>
                <w:sz w:val="1"/>
                <w:szCs w:val="1"/>
                <w:color w:val="auto"/>
              </w:rPr>
            </w:pPr>
          </w:p>
        </w:tc>
      </w:tr>
      <w:tr>
        <w:trPr>
          <w:trHeight w:val="148"/>
        </w:trPr>
        <w:tc>
          <w:tcPr>
            <w:tcW w:w="436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Brand Energy and Infrastructure Services, Inc.</w:t>
            </w:r>
          </w:p>
        </w:tc>
        <w:tc>
          <w:tcPr>
            <w:tcW w:w="6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4"/>
              </w:rPr>
              <w:t>2/7/2015</w:t>
            </w:r>
          </w:p>
        </w:tc>
        <w:tc>
          <w:tcPr>
            <w:tcW w:w="200" w:type="dxa"/>
            <w:vAlign w:val="bottom"/>
            <w:shd w:val="clear" w:color="auto" w:fill="CCEEFF"/>
          </w:tcPr>
          <w:p>
            <w:pPr>
              <w:spacing w:after="0"/>
              <w:rPr>
                <w:sz w:val="12"/>
                <w:szCs w:val="12"/>
                <w:color w:val="auto"/>
              </w:rPr>
            </w:pPr>
          </w:p>
        </w:tc>
        <w:tc>
          <w:tcPr>
            <w:tcW w:w="14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7"/>
              </w:rPr>
              <w:t>Energy / Utilities</w:t>
            </w:r>
          </w:p>
        </w:tc>
        <w:tc>
          <w:tcPr>
            <w:tcW w:w="80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8.31%</w:t>
            </w:r>
          </w:p>
        </w:tc>
        <w:tc>
          <w:tcPr>
            <w:tcW w:w="3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ind w:left="120"/>
              <w:spacing w:after="0"/>
              <w:rPr>
                <w:sz w:val="20"/>
                <w:szCs w:val="20"/>
                <w:color w:val="auto"/>
              </w:rPr>
            </w:pPr>
            <w:r>
              <w:rPr>
                <w:rFonts w:ascii="Arial" w:cs="Arial" w:eastAsia="Arial" w:hAnsi="Arial"/>
                <w:sz w:val="13"/>
                <w:szCs w:val="13"/>
                <w:color w:val="auto"/>
              </w:rPr>
              <w:t>L+700</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12,000,000</w:t>
            </w:r>
          </w:p>
        </w:tc>
        <w:tc>
          <w:tcPr>
            <w:tcW w:w="280" w:type="dxa"/>
            <w:vAlign w:val="bottom"/>
            <w:tcBorders>
              <w:left w:val="single" w:sz="8" w:color="CCEEFF"/>
              <w:right w:val="single" w:sz="8" w:color="CCEEFF"/>
            </w:tcBorders>
            <w:shd w:val="clear" w:color="auto" w:fill="CCEEFF"/>
          </w:tcPr>
          <w:p>
            <w:pPr>
              <w:spacing w:after="0"/>
              <w:rPr>
                <w:sz w:val="12"/>
                <w:szCs w:val="12"/>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11,707,679</w:t>
            </w:r>
          </w:p>
        </w:tc>
        <w:tc>
          <w:tcPr>
            <w:tcW w:w="160" w:type="dxa"/>
            <w:vAlign w:val="bottom"/>
            <w:tcBorders>
              <w:right w:val="single" w:sz="8" w:color="CCEEFF"/>
            </w:tcBorders>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11,028,000</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29"/>
        </w:trPr>
        <w:tc>
          <w:tcPr>
            <w:tcW w:w="4360" w:type="dxa"/>
            <w:vAlign w:val="bottom"/>
            <w:gridSpan w:val="2"/>
          </w:tcPr>
          <w:p>
            <w:pPr>
              <w:spacing w:after="0"/>
              <w:rPr>
                <w:sz w:val="20"/>
                <w:szCs w:val="20"/>
                <w:color w:val="auto"/>
              </w:rPr>
            </w:pPr>
            <w:r>
              <w:rPr>
                <w:rFonts w:ascii="Arial" w:cs="Arial" w:eastAsia="Arial" w:hAnsi="Arial"/>
                <w:sz w:val="13"/>
                <w:szCs w:val="13"/>
                <w:color w:val="auto"/>
              </w:rPr>
              <w:t>Brand Energy and Infrastructure Services, Inc.</w:t>
            </w:r>
          </w:p>
        </w:tc>
        <w:tc>
          <w:tcPr>
            <w:tcW w:w="620" w:type="dxa"/>
            <w:vAlign w:val="bottom"/>
          </w:tcPr>
          <w:p>
            <w:pPr>
              <w:jc w:val="center"/>
              <w:spacing w:after="0"/>
              <w:rPr>
                <w:sz w:val="20"/>
                <w:szCs w:val="20"/>
                <w:color w:val="auto"/>
              </w:rPr>
            </w:pPr>
            <w:r>
              <w:rPr>
                <w:rFonts w:ascii="Arial" w:cs="Arial" w:eastAsia="Arial" w:hAnsi="Arial"/>
                <w:sz w:val="13"/>
                <w:szCs w:val="13"/>
                <w:color w:val="auto"/>
                <w:w w:val="94"/>
              </w:rPr>
              <w:t>2/7/2015</w:t>
            </w:r>
          </w:p>
        </w:tc>
        <w:tc>
          <w:tcPr>
            <w:tcW w:w="200" w:type="dxa"/>
            <w:vAlign w:val="bottom"/>
          </w:tcPr>
          <w:p>
            <w:pPr>
              <w:spacing w:after="0"/>
              <w:rPr>
                <w:sz w:val="19"/>
                <w:szCs w:val="19"/>
                <w:color w:val="auto"/>
              </w:rPr>
            </w:pPr>
          </w:p>
        </w:tc>
        <w:tc>
          <w:tcPr>
            <w:tcW w:w="1420" w:type="dxa"/>
            <w:vAlign w:val="bottom"/>
          </w:tcPr>
          <w:p>
            <w:pPr>
              <w:jc w:val="center"/>
              <w:spacing w:after="0"/>
              <w:rPr>
                <w:sz w:val="20"/>
                <w:szCs w:val="20"/>
                <w:color w:val="auto"/>
              </w:rPr>
            </w:pPr>
            <w:r>
              <w:rPr>
                <w:rFonts w:ascii="Arial" w:cs="Arial" w:eastAsia="Arial" w:hAnsi="Arial"/>
                <w:sz w:val="13"/>
                <w:szCs w:val="13"/>
                <w:color w:val="auto"/>
                <w:w w:val="97"/>
              </w:rPr>
              <w:t>Energy / Utilities</w:t>
            </w:r>
          </w:p>
        </w:tc>
        <w:tc>
          <w:tcPr>
            <w:tcW w:w="800" w:type="dxa"/>
            <w:vAlign w:val="bottom"/>
            <w:gridSpan w:val="3"/>
          </w:tcPr>
          <w:p>
            <w:pPr>
              <w:jc w:val="right"/>
              <w:spacing w:after="0"/>
              <w:rPr>
                <w:sz w:val="20"/>
                <w:szCs w:val="20"/>
                <w:color w:val="auto"/>
              </w:rPr>
            </w:pPr>
            <w:r>
              <w:rPr>
                <w:rFonts w:ascii="Arial" w:cs="Arial" w:eastAsia="Arial" w:hAnsi="Arial"/>
                <w:sz w:val="13"/>
                <w:szCs w:val="13"/>
                <w:color w:val="auto"/>
              </w:rPr>
              <w:t>7.13%</w:t>
            </w:r>
          </w:p>
        </w:tc>
        <w:tc>
          <w:tcPr>
            <w:tcW w:w="380" w:type="dxa"/>
            <w:vAlign w:val="bottom"/>
          </w:tcPr>
          <w:p>
            <w:pPr>
              <w:spacing w:after="0"/>
              <w:rPr>
                <w:sz w:val="19"/>
                <w:szCs w:val="19"/>
                <w:color w:val="auto"/>
              </w:rPr>
            </w:pPr>
          </w:p>
        </w:tc>
        <w:tc>
          <w:tcPr>
            <w:tcW w:w="740" w:type="dxa"/>
            <w:vAlign w:val="bottom"/>
            <w:gridSpan w:val="2"/>
          </w:tcPr>
          <w:p>
            <w:pPr>
              <w:ind w:left="120"/>
              <w:spacing w:after="0"/>
              <w:rPr>
                <w:sz w:val="20"/>
                <w:szCs w:val="20"/>
                <w:color w:val="auto"/>
              </w:rPr>
            </w:pPr>
            <w:r>
              <w:rPr>
                <w:rFonts w:ascii="Arial" w:cs="Arial" w:eastAsia="Arial" w:hAnsi="Arial"/>
                <w:sz w:val="13"/>
                <w:szCs w:val="13"/>
                <w:color w:val="auto"/>
              </w:rPr>
              <w:t>L+600</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13,600,000</w:t>
            </w:r>
          </w:p>
        </w:tc>
        <w:tc>
          <w:tcPr>
            <w:tcW w:w="280" w:type="dxa"/>
            <w:vAlign w:val="bottom"/>
          </w:tcPr>
          <w:p>
            <w:pPr>
              <w:spacing w:after="0"/>
              <w:rPr>
                <w:sz w:val="19"/>
                <w:szCs w:val="19"/>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3"/>
                <w:szCs w:val="13"/>
                <w:color w:val="auto"/>
              </w:rPr>
              <w:t>13,110,001</w:t>
            </w:r>
          </w:p>
        </w:tc>
        <w:tc>
          <w:tcPr>
            <w:tcW w:w="160" w:type="dxa"/>
            <w:vAlign w:val="bottom"/>
          </w:tcPr>
          <w:p>
            <w:pPr>
              <w:spacing w:after="0"/>
              <w:rPr>
                <w:sz w:val="19"/>
                <w:szCs w:val="19"/>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3"/>
                <w:szCs w:val="13"/>
                <w:color w:val="auto"/>
              </w:rPr>
              <w:t>12,022,400</w:t>
            </w:r>
          </w:p>
        </w:tc>
        <w:tc>
          <w:tcPr>
            <w:tcW w:w="0" w:type="dxa"/>
            <w:vAlign w:val="bottom"/>
          </w:tcPr>
          <w:p>
            <w:pPr>
              <w:spacing w:after="0"/>
              <w:rPr>
                <w:sz w:val="1"/>
                <w:szCs w:val="1"/>
                <w:color w:val="auto"/>
              </w:rPr>
            </w:pPr>
          </w:p>
        </w:tc>
      </w:tr>
      <w:tr>
        <w:trPr>
          <w:trHeight w:val="54"/>
        </w:trPr>
        <w:tc>
          <w:tcPr>
            <w:tcW w:w="760" w:type="dxa"/>
            <w:vAlign w:val="bottom"/>
          </w:tcPr>
          <w:p>
            <w:pPr>
              <w:spacing w:after="0"/>
              <w:rPr>
                <w:sz w:val="4"/>
                <w:szCs w:val="4"/>
                <w:color w:val="auto"/>
              </w:rPr>
            </w:pPr>
          </w:p>
        </w:tc>
        <w:tc>
          <w:tcPr>
            <w:tcW w:w="3600" w:type="dxa"/>
            <w:vAlign w:val="bottom"/>
          </w:tcPr>
          <w:p>
            <w:pPr>
              <w:spacing w:after="0"/>
              <w:rPr>
                <w:sz w:val="4"/>
                <w:szCs w:val="4"/>
                <w:color w:val="auto"/>
              </w:rPr>
            </w:pPr>
          </w:p>
        </w:tc>
        <w:tc>
          <w:tcPr>
            <w:tcW w:w="6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420" w:type="dxa"/>
            <w:vAlign w:val="bottom"/>
          </w:tcPr>
          <w:p>
            <w:pPr>
              <w:spacing w:after="0"/>
              <w:rPr>
                <w:sz w:val="4"/>
                <w:szCs w:val="4"/>
                <w:color w:val="auto"/>
              </w:rPr>
            </w:pPr>
          </w:p>
        </w:tc>
        <w:tc>
          <w:tcPr>
            <w:tcW w:w="220" w:type="dxa"/>
            <w:vAlign w:val="bottom"/>
          </w:tcPr>
          <w:p>
            <w:pPr>
              <w:spacing w:after="0"/>
              <w:rPr>
                <w:sz w:val="4"/>
                <w:szCs w:val="4"/>
                <w:color w:val="auto"/>
              </w:rPr>
            </w:pPr>
          </w:p>
        </w:tc>
        <w:tc>
          <w:tcPr>
            <w:tcW w:w="460" w:type="dxa"/>
            <w:vAlign w:val="bottom"/>
          </w:tcPr>
          <w:p>
            <w:pPr>
              <w:spacing w:after="0"/>
              <w:rPr>
                <w:sz w:val="4"/>
                <w:szCs w:val="4"/>
                <w:color w:val="auto"/>
              </w:rPr>
            </w:pPr>
          </w:p>
        </w:tc>
        <w:tc>
          <w:tcPr>
            <w:tcW w:w="120" w:type="dxa"/>
            <w:vAlign w:val="bottom"/>
          </w:tcPr>
          <w:p>
            <w:pPr>
              <w:spacing w:after="0"/>
              <w:rPr>
                <w:sz w:val="4"/>
                <w:szCs w:val="4"/>
                <w:color w:val="auto"/>
              </w:rPr>
            </w:pPr>
          </w:p>
        </w:tc>
        <w:tc>
          <w:tcPr>
            <w:tcW w:w="380" w:type="dxa"/>
            <w:vAlign w:val="bottom"/>
          </w:tcPr>
          <w:p>
            <w:pPr>
              <w:spacing w:after="0"/>
              <w:rPr>
                <w:sz w:val="4"/>
                <w:szCs w:val="4"/>
                <w:color w:val="auto"/>
              </w:rPr>
            </w:pPr>
          </w:p>
        </w:tc>
        <w:tc>
          <w:tcPr>
            <w:tcW w:w="480" w:type="dxa"/>
            <w:vAlign w:val="bottom"/>
          </w:tcPr>
          <w:p>
            <w:pPr>
              <w:spacing w:after="0"/>
              <w:rPr>
                <w:sz w:val="4"/>
                <w:szCs w:val="4"/>
                <w:color w:val="auto"/>
              </w:rPr>
            </w:pPr>
          </w:p>
        </w:tc>
        <w:tc>
          <w:tcPr>
            <w:tcW w:w="2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660" w:type="dxa"/>
            <w:vAlign w:val="bottom"/>
          </w:tcPr>
          <w:p>
            <w:pPr>
              <w:spacing w:after="0"/>
              <w:rPr>
                <w:sz w:val="4"/>
                <w:szCs w:val="4"/>
                <w:color w:val="auto"/>
              </w:rPr>
            </w:pPr>
          </w:p>
        </w:tc>
        <w:tc>
          <w:tcPr>
            <w:tcW w:w="280" w:type="dxa"/>
            <w:vAlign w:val="bottom"/>
          </w:tcPr>
          <w:p>
            <w:pPr>
              <w:spacing w:after="0"/>
              <w:rPr>
                <w:sz w:val="4"/>
                <w:szCs w:val="4"/>
                <w:color w:val="auto"/>
              </w:rPr>
            </w:pPr>
          </w:p>
        </w:tc>
        <w:tc>
          <w:tcPr>
            <w:tcW w:w="6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680" w:type="dxa"/>
            <w:vAlign w:val="bottom"/>
          </w:tcPr>
          <w:p>
            <w:pPr>
              <w:spacing w:after="0"/>
              <w:rPr>
                <w:sz w:val="4"/>
                <w:szCs w:val="4"/>
                <w:color w:val="auto"/>
              </w:rPr>
            </w:pPr>
          </w:p>
        </w:tc>
        <w:tc>
          <w:tcPr>
            <w:tcW w:w="20" w:type="dxa"/>
            <w:vAlign w:val="bottom"/>
            <w:vMerge w:val="restart"/>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4360" w:type="dxa"/>
            <w:vAlign w:val="bottom"/>
            <w:gridSpan w:val="2"/>
            <w:shd w:val="clear" w:color="auto" w:fill="CCEEFF"/>
          </w:tcPr>
          <w:p>
            <w:pPr>
              <w:spacing w:after="0" w:line="138" w:lineRule="exact"/>
              <w:rPr>
                <w:sz w:val="20"/>
                <w:szCs w:val="20"/>
                <w:color w:val="auto"/>
              </w:rPr>
            </w:pPr>
            <w:r>
              <w:rPr>
                <w:rFonts w:ascii="Arial" w:cs="Arial" w:eastAsia="Arial" w:hAnsi="Arial"/>
                <w:sz w:val="13"/>
                <w:szCs w:val="13"/>
                <w:color w:val="auto"/>
              </w:rPr>
              <w:t>Generics International</w:t>
            </w:r>
          </w:p>
        </w:tc>
        <w:tc>
          <w:tcPr>
            <w:tcW w:w="620" w:type="dxa"/>
            <w:vAlign w:val="bottom"/>
            <w:shd w:val="clear" w:color="auto" w:fill="CCEEFF"/>
          </w:tcPr>
          <w:p>
            <w:pPr>
              <w:jc w:val="center"/>
              <w:spacing w:after="0" w:line="138" w:lineRule="exact"/>
              <w:rPr>
                <w:sz w:val="20"/>
                <w:szCs w:val="20"/>
                <w:color w:val="auto"/>
              </w:rPr>
            </w:pPr>
            <w:r>
              <w:rPr>
                <w:rFonts w:ascii="Arial" w:cs="Arial" w:eastAsia="Arial" w:hAnsi="Arial"/>
                <w:sz w:val="13"/>
                <w:szCs w:val="13"/>
                <w:color w:val="auto"/>
                <w:w w:val="93"/>
              </w:rPr>
              <w:t>4/30/2015</w:t>
            </w:r>
          </w:p>
        </w:tc>
        <w:tc>
          <w:tcPr>
            <w:tcW w:w="200" w:type="dxa"/>
            <w:vAlign w:val="bottom"/>
            <w:shd w:val="clear" w:color="auto" w:fill="CCEEFF"/>
          </w:tcPr>
          <w:p>
            <w:pPr>
              <w:spacing w:after="0"/>
              <w:rPr>
                <w:sz w:val="11"/>
                <w:szCs w:val="11"/>
                <w:color w:val="auto"/>
              </w:rPr>
            </w:pPr>
          </w:p>
        </w:tc>
        <w:tc>
          <w:tcPr>
            <w:tcW w:w="1420" w:type="dxa"/>
            <w:vAlign w:val="bottom"/>
            <w:shd w:val="clear" w:color="auto" w:fill="CCEEFF"/>
          </w:tcPr>
          <w:p>
            <w:pPr>
              <w:jc w:val="center"/>
              <w:spacing w:after="0" w:line="138" w:lineRule="exact"/>
              <w:rPr>
                <w:sz w:val="20"/>
                <w:szCs w:val="20"/>
                <w:color w:val="auto"/>
              </w:rPr>
            </w:pPr>
            <w:r>
              <w:rPr>
                <w:rFonts w:ascii="Arial" w:cs="Arial" w:eastAsia="Arial" w:hAnsi="Arial"/>
                <w:sz w:val="13"/>
                <w:szCs w:val="13"/>
                <w:color w:val="auto"/>
                <w:w w:val="92"/>
              </w:rPr>
              <w:t>Healthcare, Education and</w:t>
            </w:r>
          </w:p>
        </w:tc>
        <w:tc>
          <w:tcPr>
            <w:tcW w:w="800" w:type="dxa"/>
            <w:vAlign w:val="bottom"/>
            <w:gridSpan w:val="3"/>
            <w:shd w:val="clear" w:color="auto" w:fill="CCEEFF"/>
          </w:tcPr>
          <w:p>
            <w:pPr>
              <w:jc w:val="right"/>
              <w:spacing w:after="0" w:line="138" w:lineRule="exact"/>
              <w:rPr>
                <w:sz w:val="20"/>
                <w:szCs w:val="20"/>
                <w:color w:val="auto"/>
              </w:rPr>
            </w:pPr>
            <w:r>
              <w:rPr>
                <w:rFonts w:ascii="Arial" w:cs="Arial" w:eastAsia="Arial" w:hAnsi="Arial"/>
                <w:sz w:val="13"/>
                <w:szCs w:val="13"/>
                <w:color w:val="auto"/>
              </w:rPr>
              <w:t>8.72%</w:t>
            </w:r>
          </w:p>
        </w:tc>
        <w:tc>
          <w:tcPr>
            <w:tcW w:w="380" w:type="dxa"/>
            <w:vAlign w:val="bottom"/>
            <w:shd w:val="clear" w:color="auto" w:fill="CCEEFF"/>
          </w:tcPr>
          <w:p>
            <w:pPr>
              <w:spacing w:after="0"/>
              <w:rPr>
                <w:sz w:val="11"/>
                <w:szCs w:val="11"/>
                <w:color w:val="auto"/>
              </w:rPr>
            </w:pPr>
          </w:p>
        </w:tc>
        <w:tc>
          <w:tcPr>
            <w:tcW w:w="740" w:type="dxa"/>
            <w:vAlign w:val="bottom"/>
            <w:gridSpan w:val="2"/>
            <w:shd w:val="clear" w:color="auto" w:fill="CCEEFF"/>
          </w:tcPr>
          <w:p>
            <w:pPr>
              <w:ind w:left="120"/>
              <w:spacing w:after="0" w:line="138" w:lineRule="exact"/>
              <w:rPr>
                <w:sz w:val="20"/>
                <w:szCs w:val="20"/>
                <w:color w:val="auto"/>
              </w:rPr>
            </w:pPr>
            <w:r>
              <w:rPr>
                <w:rFonts w:ascii="Arial" w:cs="Arial" w:eastAsia="Arial" w:hAnsi="Arial"/>
                <w:sz w:val="13"/>
                <w:szCs w:val="13"/>
                <w:color w:val="auto"/>
              </w:rPr>
              <w:t>L+750</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12,000,000</w:t>
            </w:r>
          </w:p>
        </w:tc>
        <w:tc>
          <w:tcPr>
            <w:tcW w:w="280" w:type="dxa"/>
            <w:vAlign w:val="bottom"/>
            <w:tcBorders>
              <w:left w:val="single" w:sz="8" w:color="CCEEFF"/>
              <w:right w:val="single" w:sz="8" w:color="CCEEFF"/>
            </w:tcBorders>
            <w:shd w:val="clear" w:color="auto" w:fill="CCEEFF"/>
          </w:tcPr>
          <w:p>
            <w:pPr>
              <w:spacing w:after="0"/>
              <w:rPr>
                <w:sz w:val="11"/>
                <w:szCs w:val="11"/>
                <w:color w:val="auto"/>
              </w:rPr>
            </w:pPr>
          </w:p>
        </w:tc>
        <w:tc>
          <w:tcPr>
            <w:tcW w:w="780" w:type="dxa"/>
            <w:vAlign w:val="bottom"/>
            <w:gridSpan w:val="2"/>
            <w:shd w:val="clear" w:color="auto" w:fill="CCEEFF"/>
          </w:tcPr>
          <w:p>
            <w:pPr>
              <w:jc w:val="right"/>
              <w:ind w:right="100"/>
              <w:spacing w:after="0" w:line="138" w:lineRule="exact"/>
              <w:rPr>
                <w:sz w:val="20"/>
                <w:szCs w:val="20"/>
                <w:color w:val="auto"/>
              </w:rPr>
            </w:pPr>
            <w:r>
              <w:rPr>
                <w:rFonts w:ascii="Arial" w:cs="Arial" w:eastAsia="Arial" w:hAnsi="Arial"/>
                <w:sz w:val="13"/>
                <w:szCs w:val="13"/>
                <w:color w:val="auto"/>
              </w:rPr>
              <w:t>11,951,083</w:t>
            </w:r>
          </w:p>
        </w:tc>
        <w:tc>
          <w:tcPr>
            <w:tcW w:w="160" w:type="dxa"/>
            <w:vAlign w:val="bottom"/>
            <w:tcBorders>
              <w:right w:val="single" w:sz="8" w:color="CCEEFF"/>
            </w:tcBorders>
            <w:shd w:val="clear" w:color="auto" w:fill="CCEEFF"/>
          </w:tcPr>
          <w:p>
            <w:pPr>
              <w:spacing w:after="0"/>
              <w:rPr>
                <w:sz w:val="11"/>
                <w:szCs w:val="11"/>
                <w:color w:val="auto"/>
              </w:rPr>
            </w:pPr>
          </w:p>
        </w:tc>
        <w:tc>
          <w:tcPr>
            <w:tcW w:w="68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10,896,000</w:t>
            </w:r>
          </w:p>
        </w:tc>
        <w:tc>
          <w:tcPr>
            <w:tcW w:w="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4360" w:type="dxa"/>
            <w:vAlign w:val="bottom"/>
            <w:gridSpan w:val="2"/>
            <w:shd w:val="clear" w:color="auto" w:fill="CCEEFF"/>
          </w:tcPr>
          <w:p>
            <w:pPr>
              <w:ind w:left="220"/>
              <w:spacing w:after="0"/>
              <w:rPr>
                <w:sz w:val="20"/>
                <w:szCs w:val="20"/>
                <w:color w:val="auto"/>
              </w:rPr>
            </w:pPr>
            <w:r>
              <w:rPr>
                <w:rFonts w:ascii="Arial" w:cs="Arial" w:eastAsia="Arial" w:hAnsi="Arial"/>
                <w:sz w:val="13"/>
                <w:szCs w:val="13"/>
                <w:color w:val="auto"/>
              </w:rPr>
              <w:t>(U.S.), Inc.</w:t>
            </w:r>
          </w:p>
        </w:tc>
        <w:tc>
          <w:tcPr>
            <w:tcW w:w="6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4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4"/>
              </w:rPr>
              <w:t>Childcare</w:t>
            </w:r>
          </w:p>
        </w:tc>
        <w:tc>
          <w:tcPr>
            <w:tcW w:w="22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280" w:type="dxa"/>
            <w:vAlign w:val="bottom"/>
            <w:tcBorders>
              <w:left w:val="single" w:sz="8" w:color="CCEEFF"/>
              <w:right w:val="single" w:sz="8" w:color="CCEEFF"/>
            </w:tcBorders>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tcBorders>
              <w:right w:val="single" w:sz="8" w:color="CCEEFF"/>
            </w:tcBorders>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7"/>
        </w:trPr>
        <w:tc>
          <w:tcPr>
            <w:tcW w:w="760" w:type="dxa"/>
            <w:vAlign w:val="bottom"/>
          </w:tcPr>
          <w:p>
            <w:pPr>
              <w:spacing w:after="0"/>
              <w:rPr>
                <w:sz w:val="22"/>
                <w:szCs w:val="22"/>
                <w:color w:val="auto"/>
              </w:rPr>
            </w:pPr>
          </w:p>
        </w:tc>
        <w:tc>
          <w:tcPr>
            <w:tcW w:w="36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20" w:type="dxa"/>
            <w:vAlign w:val="bottom"/>
            <w:vMerge w:val="restart"/>
          </w:tcPr>
          <w:p>
            <w:pPr>
              <w:spacing w:after="0"/>
              <w:rPr>
                <w:sz w:val="22"/>
                <w:szCs w:val="22"/>
                <w:color w:val="auto"/>
              </w:rPr>
            </w:pPr>
          </w:p>
        </w:tc>
        <w:tc>
          <w:tcPr>
            <w:tcW w:w="0" w:type="dxa"/>
            <w:vAlign w:val="bottom"/>
          </w:tcPr>
          <w:p>
            <w:pPr>
              <w:spacing w:after="0"/>
              <w:rPr>
                <w:sz w:val="1"/>
                <w:szCs w:val="1"/>
                <w:color w:val="auto"/>
              </w:rPr>
            </w:pPr>
          </w:p>
        </w:tc>
      </w:tr>
      <w:tr>
        <w:trPr>
          <w:trHeight w:val="148"/>
        </w:trPr>
        <w:tc>
          <w:tcPr>
            <w:tcW w:w="436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Greatwide Logistics Services, L.L.C.</w:t>
            </w:r>
          </w:p>
        </w:tc>
        <w:tc>
          <w:tcPr>
            <w:tcW w:w="6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4"/>
              </w:rPr>
              <w:t>3/1/2014</w:t>
            </w:r>
          </w:p>
        </w:tc>
        <w:tc>
          <w:tcPr>
            <w:tcW w:w="200" w:type="dxa"/>
            <w:vAlign w:val="bottom"/>
            <w:shd w:val="clear" w:color="auto" w:fill="CCEEFF"/>
          </w:tcPr>
          <w:p>
            <w:pPr>
              <w:spacing w:after="0"/>
              <w:rPr>
                <w:sz w:val="12"/>
                <w:szCs w:val="12"/>
                <w:color w:val="auto"/>
              </w:rPr>
            </w:pPr>
          </w:p>
        </w:tc>
        <w:tc>
          <w:tcPr>
            <w:tcW w:w="14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2"/>
              </w:rPr>
              <w:t>Cargo Transport</w:t>
            </w:r>
          </w:p>
        </w:tc>
        <w:tc>
          <w:tcPr>
            <w:tcW w:w="80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11.00%</w:t>
            </w:r>
          </w:p>
        </w:tc>
        <w:tc>
          <w:tcPr>
            <w:tcW w:w="380" w:type="dxa"/>
            <w:vAlign w:val="bottom"/>
            <w:shd w:val="clear" w:color="auto" w:fill="CCEEFF"/>
          </w:tcPr>
          <w:p>
            <w:pPr>
              <w:jc w:val="right"/>
              <w:ind w:right="133"/>
              <w:spacing w:after="0"/>
              <w:rPr>
                <w:sz w:val="20"/>
                <w:szCs w:val="20"/>
                <w:color w:val="auto"/>
              </w:rPr>
            </w:pPr>
            <w:r>
              <w:rPr>
                <w:rFonts w:ascii="Arial" w:cs="Arial" w:eastAsia="Arial" w:hAnsi="Arial"/>
                <w:sz w:val="13"/>
                <w:szCs w:val="13"/>
                <w:color w:val="auto"/>
              </w:rPr>
              <w:t>(6)</w:t>
            </w:r>
          </w:p>
        </w:tc>
        <w:tc>
          <w:tcPr>
            <w:tcW w:w="740" w:type="dxa"/>
            <w:vAlign w:val="bottom"/>
            <w:gridSpan w:val="2"/>
            <w:shd w:val="clear" w:color="auto" w:fill="CCEEFF"/>
          </w:tcPr>
          <w:p>
            <w:pPr>
              <w:ind w:left="120"/>
              <w:spacing w:after="0"/>
              <w:rPr>
                <w:sz w:val="20"/>
                <w:szCs w:val="20"/>
                <w:color w:val="auto"/>
              </w:rPr>
            </w:pPr>
            <w:r>
              <w:rPr>
                <w:rFonts w:ascii="Arial" w:cs="Arial" w:eastAsia="Arial" w:hAnsi="Arial"/>
                <w:sz w:val="13"/>
                <w:szCs w:val="13"/>
                <w:color w:val="auto"/>
              </w:rPr>
              <w:t>L+700(8)</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2,182,000</w:t>
            </w:r>
          </w:p>
        </w:tc>
        <w:tc>
          <w:tcPr>
            <w:tcW w:w="280" w:type="dxa"/>
            <w:vAlign w:val="bottom"/>
            <w:tcBorders>
              <w:left w:val="single" w:sz="8" w:color="CCEEFF"/>
              <w:right w:val="single" w:sz="8" w:color="CCEEFF"/>
            </w:tcBorders>
            <w:shd w:val="clear" w:color="auto" w:fill="CCEEFF"/>
          </w:tcPr>
          <w:p>
            <w:pPr>
              <w:spacing w:after="0"/>
              <w:rPr>
                <w:sz w:val="12"/>
                <w:szCs w:val="12"/>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2,182,000</w:t>
            </w:r>
          </w:p>
        </w:tc>
        <w:tc>
          <w:tcPr>
            <w:tcW w:w="160" w:type="dxa"/>
            <w:vAlign w:val="bottom"/>
            <w:tcBorders>
              <w:right w:val="single" w:sz="8" w:color="CCEEFF"/>
            </w:tcBorders>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2,182,000</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360" w:type="dxa"/>
            <w:vAlign w:val="bottom"/>
            <w:gridSpan w:val="2"/>
          </w:tcPr>
          <w:p>
            <w:pPr>
              <w:spacing w:after="0"/>
              <w:rPr>
                <w:sz w:val="20"/>
                <w:szCs w:val="20"/>
                <w:color w:val="auto"/>
              </w:rPr>
            </w:pPr>
            <w:r>
              <w:rPr>
                <w:rFonts w:ascii="Arial" w:cs="Arial" w:eastAsia="Arial" w:hAnsi="Arial"/>
                <w:sz w:val="13"/>
                <w:szCs w:val="13"/>
                <w:color w:val="auto"/>
              </w:rPr>
              <w:t>Questex Media Group, Inc.</w:t>
            </w:r>
          </w:p>
        </w:tc>
        <w:tc>
          <w:tcPr>
            <w:tcW w:w="620" w:type="dxa"/>
            <w:vAlign w:val="bottom"/>
          </w:tcPr>
          <w:p>
            <w:pPr>
              <w:jc w:val="center"/>
              <w:spacing w:after="0"/>
              <w:rPr>
                <w:sz w:val="20"/>
                <w:szCs w:val="20"/>
                <w:color w:val="auto"/>
              </w:rPr>
            </w:pPr>
            <w:r>
              <w:rPr>
                <w:rFonts w:ascii="Arial" w:cs="Arial" w:eastAsia="Arial" w:hAnsi="Arial"/>
                <w:sz w:val="13"/>
                <w:szCs w:val="13"/>
                <w:color w:val="auto"/>
                <w:w w:val="93"/>
              </w:rPr>
              <w:t>11/4/2014</w:t>
            </w:r>
          </w:p>
        </w:tc>
        <w:tc>
          <w:tcPr>
            <w:tcW w:w="200" w:type="dxa"/>
            <w:vAlign w:val="bottom"/>
          </w:tcPr>
          <w:p>
            <w:pPr>
              <w:spacing w:after="0"/>
              <w:rPr>
                <w:sz w:val="12"/>
                <w:szCs w:val="12"/>
                <w:color w:val="auto"/>
              </w:rPr>
            </w:pPr>
          </w:p>
        </w:tc>
        <w:tc>
          <w:tcPr>
            <w:tcW w:w="1420" w:type="dxa"/>
            <w:vAlign w:val="bottom"/>
          </w:tcPr>
          <w:p>
            <w:pPr>
              <w:jc w:val="center"/>
              <w:spacing w:after="0"/>
              <w:rPr>
                <w:sz w:val="20"/>
                <w:szCs w:val="20"/>
                <w:color w:val="auto"/>
              </w:rPr>
            </w:pPr>
            <w:r>
              <w:rPr>
                <w:rFonts w:ascii="Arial" w:cs="Arial" w:eastAsia="Arial" w:hAnsi="Arial"/>
                <w:sz w:val="13"/>
                <w:szCs w:val="13"/>
                <w:color w:val="auto"/>
                <w:w w:val="95"/>
              </w:rPr>
              <w:t>Other Media</w:t>
            </w:r>
          </w:p>
        </w:tc>
        <w:tc>
          <w:tcPr>
            <w:tcW w:w="800" w:type="dxa"/>
            <w:vAlign w:val="bottom"/>
            <w:gridSpan w:val="3"/>
          </w:tcPr>
          <w:p>
            <w:pPr>
              <w:jc w:val="right"/>
              <w:spacing w:after="0"/>
              <w:rPr>
                <w:sz w:val="20"/>
                <w:szCs w:val="20"/>
                <w:color w:val="auto"/>
              </w:rPr>
            </w:pPr>
            <w:r>
              <w:rPr>
                <w:rFonts w:ascii="Arial" w:cs="Arial" w:eastAsia="Arial" w:hAnsi="Arial"/>
                <w:sz w:val="13"/>
                <w:szCs w:val="13"/>
                <w:color w:val="auto"/>
              </w:rPr>
              <w:t>7.00%</w:t>
            </w:r>
          </w:p>
        </w:tc>
        <w:tc>
          <w:tcPr>
            <w:tcW w:w="380" w:type="dxa"/>
            <w:vAlign w:val="bottom"/>
          </w:tcPr>
          <w:p>
            <w:pPr>
              <w:spacing w:after="0"/>
              <w:rPr>
                <w:sz w:val="12"/>
                <w:szCs w:val="12"/>
                <w:color w:val="auto"/>
              </w:rPr>
            </w:pPr>
          </w:p>
        </w:tc>
        <w:tc>
          <w:tcPr>
            <w:tcW w:w="740" w:type="dxa"/>
            <w:vAlign w:val="bottom"/>
            <w:gridSpan w:val="2"/>
          </w:tcPr>
          <w:p>
            <w:pPr>
              <w:ind w:left="120"/>
              <w:spacing w:after="0"/>
              <w:rPr>
                <w:sz w:val="20"/>
                <w:szCs w:val="20"/>
                <w:color w:val="auto"/>
              </w:rPr>
            </w:pPr>
            <w:r>
              <w:rPr>
                <w:rFonts w:ascii="Arial" w:cs="Arial" w:eastAsia="Arial" w:hAnsi="Arial"/>
                <w:sz w:val="13"/>
                <w:szCs w:val="13"/>
                <w:color w:val="auto"/>
              </w:rPr>
              <w:t>L+650</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10,000,000</w:t>
            </w:r>
          </w:p>
        </w:tc>
        <w:tc>
          <w:tcPr>
            <w:tcW w:w="280" w:type="dxa"/>
            <w:vAlign w:val="bottom"/>
          </w:tcPr>
          <w:p>
            <w:pPr>
              <w:spacing w:after="0"/>
              <w:rPr>
                <w:sz w:val="12"/>
                <w:szCs w:val="12"/>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3"/>
                <w:szCs w:val="13"/>
                <w:color w:val="auto"/>
              </w:rPr>
              <w:t>10,000,000</w:t>
            </w:r>
          </w:p>
        </w:tc>
        <w:tc>
          <w:tcPr>
            <w:tcW w:w="16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7,000,000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4360" w:type="dxa"/>
            <w:vAlign w:val="bottom"/>
            <w:gridSpan w:val="2"/>
            <w:shd w:val="clear" w:color="auto" w:fill="CCEEFF"/>
          </w:tcPr>
          <w:p>
            <w:pPr>
              <w:spacing w:after="0" w:line="176" w:lineRule="exact"/>
              <w:rPr>
                <w:sz w:val="20"/>
                <w:szCs w:val="20"/>
                <w:color w:val="auto"/>
              </w:rPr>
            </w:pPr>
            <w:r>
              <w:rPr>
                <w:rFonts w:ascii="Arial" w:cs="Arial" w:eastAsia="Arial" w:hAnsi="Arial"/>
                <w:sz w:val="12"/>
                <w:szCs w:val="12"/>
                <w:color w:val="auto"/>
              </w:rPr>
              <w:t>Saint Acquisition Corp.</w:t>
            </w:r>
            <w:r>
              <w:rPr>
                <w:rFonts w:ascii="Arial" w:cs="Arial" w:eastAsia="Arial" w:hAnsi="Arial"/>
                <w:sz w:val="20"/>
                <w:szCs w:val="20"/>
                <w:color w:val="auto"/>
                <w:vertAlign w:val="superscript"/>
              </w:rPr>
              <w:t>(5)</w:t>
            </w:r>
          </w:p>
        </w:tc>
        <w:tc>
          <w:tcPr>
            <w:tcW w:w="6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3"/>
              </w:rPr>
              <w:t>5/15/2015</w:t>
            </w:r>
          </w:p>
        </w:tc>
        <w:tc>
          <w:tcPr>
            <w:tcW w:w="200" w:type="dxa"/>
            <w:vAlign w:val="bottom"/>
            <w:shd w:val="clear" w:color="auto" w:fill="CCEEFF"/>
          </w:tcPr>
          <w:p>
            <w:pPr>
              <w:spacing w:after="0"/>
              <w:rPr>
                <w:sz w:val="15"/>
                <w:szCs w:val="15"/>
                <w:color w:val="auto"/>
              </w:rPr>
            </w:pPr>
          </w:p>
        </w:tc>
        <w:tc>
          <w:tcPr>
            <w:tcW w:w="14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3"/>
              </w:rPr>
              <w:t>Transportation</w:t>
            </w:r>
          </w:p>
        </w:tc>
        <w:tc>
          <w:tcPr>
            <w:tcW w:w="80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8.98%</w:t>
            </w:r>
          </w:p>
        </w:tc>
        <w:tc>
          <w:tcPr>
            <w:tcW w:w="380" w:type="dxa"/>
            <w:vAlign w:val="bottom"/>
            <w:shd w:val="clear" w:color="auto" w:fill="CCEEFF"/>
          </w:tcPr>
          <w:p>
            <w:pPr>
              <w:spacing w:after="0"/>
              <w:rPr>
                <w:sz w:val="15"/>
                <w:szCs w:val="15"/>
                <w:color w:val="auto"/>
              </w:rPr>
            </w:pPr>
          </w:p>
        </w:tc>
        <w:tc>
          <w:tcPr>
            <w:tcW w:w="740" w:type="dxa"/>
            <w:vAlign w:val="bottom"/>
            <w:gridSpan w:val="2"/>
            <w:shd w:val="clear" w:color="auto" w:fill="CCEEFF"/>
          </w:tcPr>
          <w:p>
            <w:pPr>
              <w:ind w:left="120"/>
              <w:spacing w:after="0"/>
              <w:rPr>
                <w:sz w:val="20"/>
                <w:szCs w:val="20"/>
                <w:color w:val="auto"/>
              </w:rPr>
            </w:pPr>
            <w:r>
              <w:rPr>
                <w:rFonts w:ascii="Arial" w:cs="Arial" w:eastAsia="Arial" w:hAnsi="Arial"/>
                <w:sz w:val="13"/>
                <w:szCs w:val="13"/>
                <w:color w:val="auto"/>
              </w:rPr>
              <w:t>L+775</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10,000,000</w:t>
            </w:r>
          </w:p>
        </w:tc>
        <w:tc>
          <w:tcPr>
            <w:tcW w:w="280" w:type="dxa"/>
            <w:vAlign w:val="bottom"/>
            <w:tcBorders>
              <w:left w:val="single" w:sz="8" w:color="CCEEFF"/>
              <w:right w:val="single" w:sz="8" w:color="CCEEFF"/>
            </w:tcBorders>
            <w:shd w:val="clear" w:color="auto" w:fill="CCEEFF"/>
          </w:tcPr>
          <w:p>
            <w:pPr>
              <w:spacing w:after="0"/>
              <w:rPr>
                <w:sz w:val="15"/>
                <w:szCs w:val="15"/>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9,960,375</w:t>
            </w:r>
          </w:p>
        </w:tc>
        <w:tc>
          <w:tcPr>
            <w:tcW w:w="160" w:type="dxa"/>
            <w:vAlign w:val="bottom"/>
            <w:tcBorders>
              <w:right w:val="single" w:sz="8" w:color="CCEEFF"/>
            </w:tcBorders>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2,200,000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360" w:type="dxa"/>
            <w:vAlign w:val="bottom"/>
            <w:gridSpan w:val="2"/>
          </w:tcPr>
          <w:p>
            <w:pPr>
              <w:spacing w:after="0" w:line="243" w:lineRule="exact"/>
              <w:rPr>
                <w:sz w:val="20"/>
                <w:szCs w:val="20"/>
                <w:color w:val="auto"/>
              </w:rPr>
            </w:pPr>
            <w:r>
              <w:rPr>
                <w:rFonts w:ascii="Arial" w:cs="Arial" w:eastAsia="Arial" w:hAnsi="Arial"/>
                <w:sz w:val="13"/>
                <w:szCs w:val="13"/>
                <w:color w:val="auto"/>
              </w:rPr>
              <w:t>Saint Acquisition Corp.</w:t>
            </w:r>
            <w:r>
              <w:rPr>
                <w:rFonts w:ascii="Arial" w:cs="Arial" w:eastAsia="Arial" w:hAnsi="Arial"/>
                <w:sz w:val="22"/>
                <w:szCs w:val="22"/>
                <w:color w:val="auto"/>
                <w:vertAlign w:val="superscript"/>
              </w:rPr>
              <w:t>(5)</w:t>
            </w:r>
          </w:p>
        </w:tc>
        <w:tc>
          <w:tcPr>
            <w:tcW w:w="620" w:type="dxa"/>
            <w:vAlign w:val="bottom"/>
          </w:tcPr>
          <w:p>
            <w:pPr>
              <w:jc w:val="center"/>
              <w:spacing w:after="0"/>
              <w:rPr>
                <w:sz w:val="20"/>
                <w:szCs w:val="20"/>
                <w:color w:val="auto"/>
              </w:rPr>
            </w:pPr>
            <w:r>
              <w:rPr>
                <w:rFonts w:ascii="Arial" w:cs="Arial" w:eastAsia="Arial" w:hAnsi="Arial"/>
                <w:sz w:val="13"/>
                <w:szCs w:val="13"/>
                <w:color w:val="auto"/>
                <w:w w:val="93"/>
              </w:rPr>
              <w:t>5/15/2017</w:t>
            </w:r>
          </w:p>
        </w:tc>
        <w:tc>
          <w:tcPr>
            <w:tcW w:w="200" w:type="dxa"/>
            <w:vAlign w:val="bottom"/>
          </w:tcPr>
          <w:p>
            <w:pPr>
              <w:spacing w:after="0"/>
              <w:rPr>
                <w:sz w:val="21"/>
                <w:szCs w:val="21"/>
                <w:color w:val="auto"/>
              </w:rPr>
            </w:pPr>
          </w:p>
        </w:tc>
        <w:tc>
          <w:tcPr>
            <w:tcW w:w="1420" w:type="dxa"/>
            <w:vAlign w:val="bottom"/>
          </w:tcPr>
          <w:p>
            <w:pPr>
              <w:jc w:val="center"/>
              <w:spacing w:after="0"/>
              <w:rPr>
                <w:sz w:val="20"/>
                <w:szCs w:val="20"/>
                <w:color w:val="auto"/>
              </w:rPr>
            </w:pPr>
            <w:r>
              <w:rPr>
                <w:rFonts w:ascii="Arial" w:cs="Arial" w:eastAsia="Arial" w:hAnsi="Arial"/>
                <w:sz w:val="13"/>
                <w:szCs w:val="13"/>
                <w:color w:val="auto"/>
                <w:w w:val="93"/>
              </w:rPr>
              <w:t>Transportation</w:t>
            </w:r>
          </w:p>
        </w:tc>
        <w:tc>
          <w:tcPr>
            <w:tcW w:w="800" w:type="dxa"/>
            <w:vAlign w:val="bottom"/>
            <w:gridSpan w:val="3"/>
          </w:tcPr>
          <w:p>
            <w:pPr>
              <w:jc w:val="right"/>
              <w:spacing w:after="0"/>
              <w:rPr>
                <w:sz w:val="20"/>
                <w:szCs w:val="20"/>
                <w:color w:val="auto"/>
              </w:rPr>
            </w:pPr>
            <w:r>
              <w:rPr>
                <w:rFonts w:ascii="Arial" w:cs="Arial" w:eastAsia="Arial" w:hAnsi="Arial"/>
                <w:sz w:val="13"/>
                <w:szCs w:val="13"/>
                <w:color w:val="auto"/>
              </w:rPr>
              <w:t>12.50%</w:t>
            </w:r>
          </w:p>
        </w:tc>
        <w:tc>
          <w:tcPr>
            <w:tcW w:w="380" w:type="dxa"/>
            <w:vAlign w:val="bottom"/>
          </w:tcPr>
          <w:p>
            <w:pPr>
              <w:spacing w:after="0"/>
              <w:rPr>
                <w:sz w:val="21"/>
                <w:szCs w:val="21"/>
                <w:color w:val="auto"/>
              </w:rPr>
            </w:pPr>
          </w:p>
        </w:tc>
        <w:tc>
          <w:tcPr>
            <w:tcW w:w="740" w:type="dxa"/>
            <w:vAlign w:val="bottom"/>
            <w:gridSpan w:val="2"/>
          </w:tcPr>
          <w:p>
            <w:pPr>
              <w:ind w:left="2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19,000,000</w:t>
            </w:r>
          </w:p>
        </w:tc>
        <w:tc>
          <w:tcPr>
            <w:tcW w:w="280" w:type="dxa"/>
            <w:vAlign w:val="bottom"/>
          </w:tcPr>
          <w:p>
            <w:pPr>
              <w:spacing w:after="0"/>
              <w:rPr>
                <w:sz w:val="21"/>
                <w:szCs w:val="21"/>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3"/>
                <w:szCs w:val="13"/>
                <w:color w:val="auto"/>
              </w:rPr>
              <w:t>16,749,236</w:t>
            </w:r>
          </w:p>
        </w:tc>
        <w:tc>
          <w:tcPr>
            <w:tcW w:w="16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4,180,000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38"/>
        </w:trPr>
        <w:tc>
          <w:tcPr>
            <w:tcW w:w="4360" w:type="dxa"/>
            <w:vAlign w:val="bottom"/>
            <w:gridSpan w:val="2"/>
            <w:shd w:val="clear" w:color="auto" w:fill="CCEEFF"/>
          </w:tcPr>
          <w:p>
            <w:pPr>
              <w:spacing w:after="0" w:line="138" w:lineRule="exact"/>
              <w:rPr>
                <w:sz w:val="20"/>
                <w:szCs w:val="20"/>
                <w:color w:val="auto"/>
              </w:rPr>
            </w:pPr>
            <w:r>
              <w:rPr>
                <w:rFonts w:ascii="Arial" w:cs="Arial" w:eastAsia="Arial" w:hAnsi="Arial"/>
                <w:sz w:val="13"/>
                <w:szCs w:val="13"/>
                <w:color w:val="auto"/>
              </w:rPr>
              <w:t>Sheridan Holdings, Inc.</w:t>
            </w:r>
          </w:p>
        </w:tc>
        <w:tc>
          <w:tcPr>
            <w:tcW w:w="620" w:type="dxa"/>
            <w:vAlign w:val="bottom"/>
            <w:shd w:val="clear" w:color="auto" w:fill="CCEEFF"/>
          </w:tcPr>
          <w:p>
            <w:pPr>
              <w:jc w:val="center"/>
              <w:spacing w:after="0" w:line="138" w:lineRule="exact"/>
              <w:rPr>
                <w:sz w:val="20"/>
                <w:szCs w:val="20"/>
                <w:color w:val="auto"/>
              </w:rPr>
            </w:pPr>
            <w:r>
              <w:rPr>
                <w:rFonts w:ascii="Arial" w:cs="Arial" w:eastAsia="Arial" w:hAnsi="Arial"/>
                <w:sz w:val="13"/>
                <w:szCs w:val="13"/>
                <w:color w:val="auto"/>
                <w:w w:val="93"/>
              </w:rPr>
              <w:t>6/15/2015</w:t>
            </w:r>
          </w:p>
        </w:tc>
        <w:tc>
          <w:tcPr>
            <w:tcW w:w="200" w:type="dxa"/>
            <w:vAlign w:val="bottom"/>
            <w:shd w:val="clear" w:color="auto" w:fill="CCEEFF"/>
          </w:tcPr>
          <w:p>
            <w:pPr>
              <w:spacing w:after="0"/>
              <w:rPr>
                <w:sz w:val="11"/>
                <w:szCs w:val="11"/>
                <w:color w:val="auto"/>
              </w:rPr>
            </w:pPr>
          </w:p>
        </w:tc>
        <w:tc>
          <w:tcPr>
            <w:tcW w:w="1420" w:type="dxa"/>
            <w:vAlign w:val="bottom"/>
            <w:shd w:val="clear" w:color="auto" w:fill="CCEEFF"/>
          </w:tcPr>
          <w:p>
            <w:pPr>
              <w:jc w:val="center"/>
              <w:spacing w:after="0" w:line="138" w:lineRule="exact"/>
              <w:rPr>
                <w:sz w:val="20"/>
                <w:szCs w:val="20"/>
                <w:color w:val="auto"/>
              </w:rPr>
            </w:pPr>
            <w:r>
              <w:rPr>
                <w:rFonts w:ascii="Arial" w:cs="Arial" w:eastAsia="Arial" w:hAnsi="Arial"/>
                <w:sz w:val="13"/>
                <w:szCs w:val="13"/>
                <w:color w:val="auto"/>
                <w:w w:val="92"/>
              </w:rPr>
              <w:t>Healthcare, Education and</w:t>
            </w:r>
          </w:p>
        </w:tc>
        <w:tc>
          <w:tcPr>
            <w:tcW w:w="800" w:type="dxa"/>
            <w:vAlign w:val="bottom"/>
            <w:gridSpan w:val="3"/>
            <w:shd w:val="clear" w:color="auto" w:fill="CCEEFF"/>
          </w:tcPr>
          <w:p>
            <w:pPr>
              <w:jc w:val="right"/>
              <w:spacing w:after="0" w:line="138" w:lineRule="exact"/>
              <w:rPr>
                <w:sz w:val="20"/>
                <w:szCs w:val="20"/>
                <w:color w:val="auto"/>
              </w:rPr>
            </w:pPr>
            <w:r>
              <w:rPr>
                <w:rFonts w:ascii="Arial" w:cs="Arial" w:eastAsia="Arial" w:hAnsi="Arial"/>
                <w:sz w:val="13"/>
                <w:szCs w:val="13"/>
                <w:color w:val="auto"/>
              </w:rPr>
              <w:t>6.83%</w:t>
            </w:r>
          </w:p>
        </w:tc>
        <w:tc>
          <w:tcPr>
            <w:tcW w:w="380" w:type="dxa"/>
            <w:vAlign w:val="bottom"/>
            <w:shd w:val="clear" w:color="auto" w:fill="CCEEFF"/>
          </w:tcPr>
          <w:p>
            <w:pPr>
              <w:jc w:val="right"/>
              <w:ind w:right="133"/>
              <w:spacing w:after="0" w:line="138" w:lineRule="exact"/>
              <w:rPr>
                <w:sz w:val="20"/>
                <w:szCs w:val="20"/>
                <w:color w:val="auto"/>
              </w:rPr>
            </w:pPr>
            <w:r>
              <w:rPr>
                <w:rFonts w:ascii="Arial" w:cs="Arial" w:eastAsia="Arial" w:hAnsi="Arial"/>
                <w:sz w:val="13"/>
                <w:szCs w:val="13"/>
                <w:color w:val="auto"/>
              </w:rPr>
              <w:t>(6)</w:t>
            </w:r>
          </w:p>
        </w:tc>
        <w:tc>
          <w:tcPr>
            <w:tcW w:w="740" w:type="dxa"/>
            <w:vAlign w:val="bottom"/>
            <w:gridSpan w:val="2"/>
            <w:shd w:val="clear" w:color="auto" w:fill="CCEEFF"/>
          </w:tcPr>
          <w:p>
            <w:pPr>
              <w:ind w:left="120"/>
              <w:spacing w:after="0" w:line="138" w:lineRule="exact"/>
              <w:rPr>
                <w:sz w:val="20"/>
                <w:szCs w:val="20"/>
                <w:color w:val="auto"/>
              </w:rPr>
            </w:pPr>
            <w:r>
              <w:rPr>
                <w:rFonts w:ascii="Arial" w:cs="Arial" w:eastAsia="Arial" w:hAnsi="Arial"/>
                <w:sz w:val="13"/>
                <w:szCs w:val="13"/>
                <w:color w:val="auto"/>
              </w:rPr>
              <w:t>L+575</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12,500,000</w:t>
            </w:r>
          </w:p>
        </w:tc>
        <w:tc>
          <w:tcPr>
            <w:tcW w:w="280" w:type="dxa"/>
            <w:vAlign w:val="bottom"/>
            <w:tcBorders>
              <w:left w:val="single" w:sz="8" w:color="CCEEFF"/>
              <w:right w:val="single" w:sz="8" w:color="CCEEFF"/>
            </w:tcBorders>
            <w:shd w:val="clear" w:color="auto" w:fill="CCEEFF"/>
          </w:tcPr>
          <w:p>
            <w:pPr>
              <w:spacing w:after="0"/>
              <w:rPr>
                <w:sz w:val="11"/>
                <w:szCs w:val="11"/>
                <w:color w:val="auto"/>
              </w:rPr>
            </w:pPr>
          </w:p>
        </w:tc>
        <w:tc>
          <w:tcPr>
            <w:tcW w:w="780" w:type="dxa"/>
            <w:vAlign w:val="bottom"/>
            <w:gridSpan w:val="2"/>
            <w:shd w:val="clear" w:color="auto" w:fill="CCEEFF"/>
          </w:tcPr>
          <w:p>
            <w:pPr>
              <w:jc w:val="right"/>
              <w:ind w:right="100"/>
              <w:spacing w:after="0" w:line="138" w:lineRule="exact"/>
              <w:rPr>
                <w:sz w:val="20"/>
                <w:szCs w:val="20"/>
                <w:color w:val="auto"/>
              </w:rPr>
            </w:pPr>
            <w:r>
              <w:rPr>
                <w:rFonts w:ascii="Arial" w:cs="Arial" w:eastAsia="Arial" w:hAnsi="Arial"/>
                <w:sz w:val="13"/>
                <w:szCs w:val="13"/>
                <w:color w:val="auto"/>
              </w:rPr>
              <w:t>11,887,323</w:t>
            </w:r>
          </w:p>
        </w:tc>
        <w:tc>
          <w:tcPr>
            <w:tcW w:w="160" w:type="dxa"/>
            <w:vAlign w:val="bottom"/>
            <w:tcBorders>
              <w:right w:val="single" w:sz="8" w:color="CCEEFF"/>
            </w:tcBorders>
            <w:shd w:val="clear" w:color="auto" w:fill="CCEEFF"/>
          </w:tcPr>
          <w:p>
            <w:pPr>
              <w:spacing w:after="0"/>
              <w:rPr>
                <w:sz w:val="11"/>
                <w:szCs w:val="11"/>
                <w:color w:val="auto"/>
              </w:rPr>
            </w:pPr>
          </w:p>
        </w:tc>
        <w:tc>
          <w:tcPr>
            <w:tcW w:w="68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10,562,500</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760" w:type="dxa"/>
            <w:vAlign w:val="bottom"/>
            <w:shd w:val="clear" w:color="auto" w:fill="CCEEFF"/>
          </w:tcPr>
          <w:p>
            <w:pPr>
              <w:spacing w:after="0"/>
              <w:rPr>
                <w:sz w:val="13"/>
                <w:szCs w:val="13"/>
                <w:color w:val="auto"/>
              </w:rPr>
            </w:pPr>
          </w:p>
        </w:tc>
        <w:tc>
          <w:tcPr>
            <w:tcW w:w="360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4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4"/>
              </w:rPr>
              <w:t>Childcare</w:t>
            </w:r>
          </w:p>
        </w:tc>
        <w:tc>
          <w:tcPr>
            <w:tcW w:w="22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280" w:type="dxa"/>
            <w:vAlign w:val="bottom"/>
            <w:tcBorders>
              <w:left w:val="single" w:sz="8" w:color="CCEEFF"/>
              <w:right w:val="single" w:sz="8" w:color="CCEEFF"/>
            </w:tcBorders>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tcBorders>
              <w:right w:val="single" w:sz="8" w:color="CCEEFF"/>
            </w:tcBorders>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4360" w:type="dxa"/>
            <w:vAlign w:val="bottom"/>
            <w:gridSpan w:val="2"/>
          </w:tcPr>
          <w:p>
            <w:pPr>
              <w:spacing w:after="0" w:line="138" w:lineRule="exact"/>
              <w:rPr>
                <w:sz w:val="20"/>
                <w:szCs w:val="20"/>
                <w:color w:val="auto"/>
              </w:rPr>
            </w:pPr>
            <w:r>
              <w:rPr>
                <w:rFonts w:ascii="Arial" w:cs="Arial" w:eastAsia="Arial" w:hAnsi="Arial"/>
                <w:sz w:val="13"/>
                <w:szCs w:val="13"/>
                <w:color w:val="auto"/>
              </w:rPr>
              <w:t>Specialized Technology Resources, Inc.</w:t>
            </w:r>
          </w:p>
        </w:tc>
        <w:tc>
          <w:tcPr>
            <w:tcW w:w="620" w:type="dxa"/>
            <w:vAlign w:val="bottom"/>
          </w:tcPr>
          <w:p>
            <w:pPr>
              <w:jc w:val="center"/>
              <w:spacing w:after="0" w:line="138" w:lineRule="exact"/>
              <w:rPr>
                <w:sz w:val="20"/>
                <w:szCs w:val="20"/>
                <w:color w:val="auto"/>
              </w:rPr>
            </w:pPr>
            <w:r>
              <w:rPr>
                <w:rFonts w:ascii="Arial" w:cs="Arial" w:eastAsia="Arial" w:hAnsi="Arial"/>
                <w:sz w:val="13"/>
                <w:szCs w:val="13"/>
                <w:color w:val="auto"/>
                <w:w w:val="95"/>
              </w:rPr>
              <w:t>12/15/2014</w:t>
            </w:r>
          </w:p>
        </w:tc>
        <w:tc>
          <w:tcPr>
            <w:tcW w:w="200" w:type="dxa"/>
            <w:vAlign w:val="bottom"/>
          </w:tcPr>
          <w:p>
            <w:pPr>
              <w:spacing w:after="0"/>
              <w:rPr>
                <w:sz w:val="11"/>
                <w:szCs w:val="11"/>
                <w:color w:val="auto"/>
              </w:rPr>
            </w:pPr>
          </w:p>
        </w:tc>
        <w:tc>
          <w:tcPr>
            <w:tcW w:w="1420" w:type="dxa"/>
            <w:vAlign w:val="bottom"/>
          </w:tcPr>
          <w:p>
            <w:pPr>
              <w:jc w:val="center"/>
              <w:spacing w:after="0" w:line="138" w:lineRule="exact"/>
              <w:rPr>
                <w:sz w:val="20"/>
                <w:szCs w:val="20"/>
                <w:color w:val="auto"/>
              </w:rPr>
            </w:pPr>
            <w:r>
              <w:rPr>
                <w:rFonts w:ascii="Arial" w:cs="Arial" w:eastAsia="Arial" w:hAnsi="Arial"/>
                <w:sz w:val="13"/>
                <w:szCs w:val="13"/>
                <w:color w:val="auto"/>
                <w:w w:val="92"/>
              </w:rPr>
              <w:t>Chemical, Plastics and</w:t>
            </w:r>
          </w:p>
        </w:tc>
        <w:tc>
          <w:tcPr>
            <w:tcW w:w="800" w:type="dxa"/>
            <w:vAlign w:val="bottom"/>
            <w:gridSpan w:val="3"/>
          </w:tcPr>
          <w:p>
            <w:pPr>
              <w:jc w:val="right"/>
              <w:spacing w:after="0" w:line="138" w:lineRule="exact"/>
              <w:rPr>
                <w:sz w:val="20"/>
                <w:szCs w:val="20"/>
                <w:color w:val="auto"/>
              </w:rPr>
            </w:pPr>
            <w:r>
              <w:rPr>
                <w:rFonts w:ascii="Arial" w:cs="Arial" w:eastAsia="Arial" w:hAnsi="Arial"/>
                <w:sz w:val="13"/>
                <w:szCs w:val="13"/>
                <w:color w:val="auto"/>
              </w:rPr>
              <w:t>7.52%</w:t>
            </w:r>
          </w:p>
        </w:tc>
        <w:tc>
          <w:tcPr>
            <w:tcW w:w="380" w:type="dxa"/>
            <w:vAlign w:val="bottom"/>
          </w:tcPr>
          <w:p>
            <w:pPr>
              <w:jc w:val="right"/>
              <w:ind w:right="133"/>
              <w:spacing w:after="0" w:line="138" w:lineRule="exact"/>
              <w:rPr>
                <w:sz w:val="20"/>
                <w:szCs w:val="20"/>
                <w:color w:val="auto"/>
              </w:rPr>
            </w:pPr>
            <w:r>
              <w:rPr>
                <w:rFonts w:ascii="Arial" w:cs="Arial" w:eastAsia="Arial" w:hAnsi="Arial"/>
                <w:sz w:val="13"/>
                <w:szCs w:val="13"/>
                <w:color w:val="auto"/>
              </w:rPr>
              <w:t>(6)</w:t>
            </w:r>
          </w:p>
        </w:tc>
        <w:tc>
          <w:tcPr>
            <w:tcW w:w="740" w:type="dxa"/>
            <w:vAlign w:val="bottom"/>
            <w:gridSpan w:val="2"/>
          </w:tcPr>
          <w:p>
            <w:pPr>
              <w:ind w:left="120"/>
              <w:spacing w:after="0" w:line="138" w:lineRule="exact"/>
              <w:rPr>
                <w:sz w:val="20"/>
                <w:szCs w:val="20"/>
                <w:color w:val="auto"/>
              </w:rPr>
            </w:pPr>
            <w:r>
              <w:rPr>
                <w:rFonts w:ascii="Arial" w:cs="Arial" w:eastAsia="Arial" w:hAnsi="Arial"/>
                <w:sz w:val="13"/>
                <w:szCs w:val="13"/>
                <w:color w:val="auto"/>
              </w:rPr>
              <w:t>L+700</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jc w:val="right"/>
              <w:spacing w:after="0" w:line="138" w:lineRule="exact"/>
              <w:rPr>
                <w:sz w:val="20"/>
                <w:szCs w:val="20"/>
                <w:color w:val="auto"/>
              </w:rPr>
            </w:pPr>
            <w:r>
              <w:rPr>
                <w:rFonts w:ascii="Arial" w:cs="Arial" w:eastAsia="Arial" w:hAnsi="Arial"/>
                <w:sz w:val="13"/>
                <w:szCs w:val="13"/>
                <w:color w:val="auto"/>
              </w:rPr>
              <w:t>22,500,000</w:t>
            </w:r>
          </w:p>
        </w:tc>
        <w:tc>
          <w:tcPr>
            <w:tcW w:w="280" w:type="dxa"/>
            <w:vAlign w:val="bottom"/>
          </w:tcPr>
          <w:p>
            <w:pPr>
              <w:spacing w:after="0"/>
              <w:rPr>
                <w:sz w:val="11"/>
                <w:szCs w:val="11"/>
                <w:color w:val="auto"/>
              </w:rPr>
            </w:pPr>
          </w:p>
        </w:tc>
        <w:tc>
          <w:tcPr>
            <w:tcW w:w="780" w:type="dxa"/>
            <w:vAlign w:val="bottom"/>
            <w:gridSpan w:val="2"/>
          </w:tcPr>
          <w:p>
            <w:pPr>
              <w:jc w:val="right"/>
              <w:ind w:right="100"/>
              <w:spacing w:after="0" w:line="138" w:lineRule="exact"/>
              <w:rPr>
                <w:sz w:val="20"/>
                <w:szCs w:val="20"/>
                <w:color w:val="auto"/>
              </w:rPr>
            </w:pPr>
            <w:r>
              <w:rPr>
                <w:rFonts w:ascii="Arial" w:cs="Arial" w:eastAsia="Arial" w:hAnsi="Arial"/>
                <w:sz w:val="13"/>
                <w:szCs w:val="13"/>
                <w:color w:val="auto"/>
              </w:rPr>
              <w:t>22,487,028</w:t>
            </w:r>
          </w:p>
        </w:tc>
        <w:tc>
          <w:tcPr>
            <w:tcW w:w="160" w:type="dxa"/>
            <w:vAlign w:val="bottom"/>
          </w:tcPr>
          <w:p>
            <w:pPr>
              <w:spacing w:after="0"/>
              <w:rPr>
                <w:sz w:val="11"/>
                <w:szCs w:val="11"/>
                <w:color w:val="auto"/>
              </w:rPr>
            </w:pPr>
          </w:p>
        </w:tc>
        <w:tc>
          <w:tcPr>
            <w:tcW w:w="680" w:type="dxa"/>
            <w:vAlign w:val="bottom"/>
          </w:tcPr>
          <w:p>
            <w:pPr>
              <w:jc w:val="right"/>
              <w:spacing w:after="0" w:line="138" w:lineRule="exact"/>
              <w:rPr>
                <w:sz w:val="20"/>
                <w:szCs w:val="20"/>
                <w:color w:val="auto"/>
              </w:rPr>
            </w:pPr>
            <w:r>
              <w:rPr>
                <w:rFonts w:ascii="Arial" w:cs="Arial" w:eastAsia="Arial" w:hAnsi="Arial"/>
                <w:sz w:val="13"/>
                <w:szCs w:val="13"/>
                <w:color w:val="auto"/>
              </w:rPr>
              <w:t>22,140,000</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760" w:type="dxa"/>
            <w:vAlign w:val="bottom"/>
          </w:tcPr>
          <w:p>
            <w:pPr>
              <w:spacing w:after="0"/>
              <w:rPr>
                <w:sz w:val="13"/>
                <w:szCs w:val="13"/>
                <w:color w:val="auto"/>
              </w:rPr>
            </w:pPr>
          </w:p>
        </w:tc>
        <w:tc>
          <w:tcPr>
            <w:tcW w:w="3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20" w:type="dxa"/>
            <w:vAlign w:val="bottom"/>
          </w:tcPr>
          <w:p>
            <w:pPr>
              <w:jc w:val="center"/>
              <w:spacing w:after="0"/>
              <w:rPr>
                <w:sz w:val="20"/>
                <w:szCs w:val="20"/>
                <w:color w:val="auto"/>
              </w:rPr>
            </w:pPr>
            <w:r>
              <w:rPr>
                <w:rFonts w:ascii="Arial" w:cs="Arial" w:eastAsia="Arial" w:hAnsi="Arial"/>
                <w:sz w:val="13"/>
                <w:szCs w:val="13"/>
                <w:color w:val="auto"/>
                <w:w w:val="93"/>
              </w:rPr>
              <w:t>Rubber</w:t>
            </w:r>
          </w:p>
        </w:tc>
        <w:tc>
          <w:tcPr>
            <w:tcW w:w="2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436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TransFirst Holdings, Inc.</w:t>
            </w:r>
          </w:p>
        </w:tc>
        <w:tc>
          <w:tcPr>
            <w:tcW w:w="6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3"/>
              </w:rPr>
              <w:t>6/15/2015</w:t>
            </w:r>
          </w:p>
        </w:tc>
        <w:tc>
          <w:tcPr>
            <w:tcW w:w="200" w:type="dxa"/>
            <w:vAlign w:val="bottom"/>
            <w:shd w:val="clear" w:color="auto" w:fill="CCEEFF"/>
          </w:tcPr>
          <w:p>
            <w:pPr>
              <w:spacing w:after="0"/>
              <w:rPr>
                <w:sz w:val="12"/>
                <w:szCs w:val="12"/>
                <w:color w:val="auto"/>
              </w:rPr>
            </w:pPr>
          </w:p>
        </w:tc>
        <w:tc>
          <w:tcPr>
            <w:tcW w:w="14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4"/>
              </w:rPr>
              <w:t>Financial Services</w:t>
            </w:r>
          </w:p>
        </w:tc>
        <w:tc>
          <w:tcPr>
            <w:tcW w:w="80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6.52%</w:t>
            </w:r>
          </w:p>
        </w:tc>
        <w:tc>
          <w:tcPr>
            <w:tcW w:w="380" w:type="dxa"/>
            <w:vAlign w:val="bottom"/>
            <w:shd w:val="clear" w:color="auto" w:fill="CCEEFF"/>
          </w:tcPr>
          <w:p>
            <w:pPr>
              <w:jc w:val="right"/>
              <w:ind w:right="133"/>
              <w:spacing w:after="0"/>
              <w:rPr>
                <w:sz w:val="20"/>
                <w:szCs w:val="20"/>
                <w:color w:val="auto"/>
              </w:rPr>
            </w:pPr>
            <w:r>
              <w:rPr>
                <w:rFonts w:ascii="Arial" w:cs="Arial" w:eastAsia="Arial" w:hAnsi="Arial"/>
                <w:sz w:val="13"/>
                <w:szCs w:val="13"/>
                <w:color w:val="auto"/>
              </w:rPr>
              <w:t>(6)</w:t>
            </w:r>
          </w:p>
        </w:tc>
        <w:tc>
          <w:tcPr>
            <w:tcW w:w="740" w:type="dxa"/>
            <w:vAlign w:val="bottom"/>
            <w:gridSpan w:val="2"/>
            <w:shd w:val="clear" w:color="auto" w:fill="CCEEFF"/>
          </w:tcPr>
          <w:p>
            <w:pPr>
              <w:ind w:left="120"/>
              <w:spacing w:after="0"/>
              <w:rPr>
                <w:sz w:val="20"/>
                <w:szCs w:val="20"/>
                <w:color w:val="auto"/>
              </w:rPr>
            </w:pPr>
            <w:r>
              <w:rPr>
                <w:rFonts w:ascii="Arial" w:cs="Arial" w:eastAsia="Arial" w:hAnsi="Arial"/>
                <w:sz w:val="13"/>
                <w:szCs w:val="13"/>
                <w:color w:val="auto"/>
              </w:rPr>
              <w:t>L+600</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16,500,000</w:t>
            </w:r>
          </w:p>
        </w:tc>
        <w:tc>
          <w:tcPr>
            <w:tcW w:w="280" w:type="dxa"/>
            <w:vAlign w:val="bottom"/>
            <w:tcBorders>
              <w:left w:val="single" w:sz="8" w:color="CCEEFF"/>
              <w:right w:val="single" w:sz="8" w:color="CCEEFF"/>
            </w:tcBorders>
            <w:shd w:val="clear" w:color="auto" w:fill="CCEEFF"/>
          </w:tcPr>
          <w:p>
            <w:pPr>
              <w:spacing w:after="0"/>
              <w:rPr>
                <w:sz w:val="12"/>
                <w:szCs w:val="12"/>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15,913,176</w:t>
            </w:r>
          </w:p>
        </w:tc>
        <w:tc>
          <w:tcPr>
            <w:tcW w:w="160" w:type="dxa"/>
            <w:vAlign w:val="bottom"/>
            <w:tcBorders>
              <w:right w:val="single" w:sz="8" w:color="CCEEFF"/>
            </w:tcBorders>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13,612,500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36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Total Second Lien Secured Debt</w:t>
            </w:r>
          </w:p>
        </w:tc>
        <w:tc>
          <w:tcPr>
            <w:tcW w:w="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80" w:type="dxa"/>
            <w:vAlign w:val="bottom"/>
            <w:tcBorders>
              <w:right w:val="single" w:sz="8" w:color="auto"/>
            </w:tcBorders>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4360" w:type="dxa"/>
            <w:vAlign w:val="bottom"/>
            <w:gridSpan w:val="2"/>
            <w:vMerge w:val="continue"/>
          </w:tcPr>
          <w:p>
            <w:pPr>
              <w:spacing w:after="0"/>
              <w:rPr>
                <w:sz w:val="22"/>
                <w:szCs w:val="22"/>
                <w:color w:val="auto"/>
              </w:rPr>
            </w:pPr>
          </w:p>
        </w:tc>
        <w:tc>
          <w:tcPr>
            <w:tcW w:w="6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jc w:val="right"/>
              <w:spacing w:after="0"/>
              <w:rPr>
                <w:sz w:val="20"/>
                <w:szCs w:val="20"/>
                <w:color w:val="auto"/>
              </w:rPr>
            </w:pPr>
            <w:r>
              <w:rPr>
                <w:rFonts w:ascii="Arial" w:cs="Arial" w:eastAsia="Arial" w:hAnsi="Arial"/>
                <w:sz w:val="13"/>
                <w:szCs w:val="13"/>
                <w:u w:val="single" w:color="auto"/>
                <w:color w:val="auto"/>
                <w:w w:val="82"/>
              </w:rPr>
              <w:t>$</w:t>
            </w:r>
          </w:p>
        </w:tc>
        <w:tc>
          <w:tcPr>
            <w:tcW w:w="660" w:type="dxa"/>
            <w:vAlign w:val="bottom"/>
          </w:tcPr>
          <w:p>
            <w:pPr>
              <w:jc w:val="right"/>
              <w:spacing w:after="0"/>
              <w:rPr>
                <w:sz w:val="20"/>
                <w:szCs w:val="20"/>
                <w:color w:val="auto"/>
              </w:rPr>
            </w:pPr>
            <w:r>
              <w:rPr>
                <w:rFonts w:ascii="Arial" w:cs="Arial" w:eastAsia="Arial" w:hAnsi="Arial"/>
                <w:sz w:val="13"/>
                <w:szCs w:val="13"/>
                <w:color w:val="auto"/>
                <w:w w:val="91"/>
              </w:rPr>
              <w:t>130,282,000</w:t>
            </w:r>
          </w:p>
        </w:tc>
        <w:tc>
          <w:tcPr>
            <w:tcW w:w="280" w:type="dxa"/>
            <w:vAlign w:val="bottom"/>
          </w:tcPr>
          <w:p>
            <w:pPr>
              <w:spacing w:after="0"/>
              <w:rPr>
                <w:sz w:val="22"/>
                <w:szCs w:val="22"/>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3"/>
                <w:szCs w:val="13"/>
                <w:color w:val="auto"/>
                <w:w w:val="91"/>
              </w:rPr>
              <w:t>125,947,901</w:t>
            </w:r>
          </w:p>
        </w:tc>
        <w:tc>
          <w:tcPr>
            <w:tcW w:w="160" w:type="dxa"/>
            <w:vAlign w:val="bottom"/>
          </w:tcPr>
          <w:p>
            <w:pPr>
              <w:spacing w:after="0"/>
              <w:rPr>
                <w:sz w:val="22"/>
                <w:szCs w:val="22"/>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3"/>
                <w:szCs w:val="13"/>
                <w:color w:val="auto"/>
              </w:rPr>
              <w:t>95,823,400</w:t>
            </w:r>
          </w:p>
        </w:tc>
        <w:tc>
          <w:tcPr>
            <w:tcW w:w="0" w:type="dxa"/>
            <w:vAlign w:val="bottom"/>
          </w:tcPr>
          <w:p>
            <w:pPr>
              <w:spacing w:after="0"/>
              <w:rPr>
                <w:sz w:val="1"/>
                <w:szCs w:val="1"/>
                <w:color w:val="auto"/>
              </w:rPr>
            </w:pPr>
          </w:p>
        </w:tc>
      </w:tr>
      <w:tr>
        <w:trPr>
          <w:trHeight w:val="156"/>
        </w:trPr>
        <w:tc>
          <w:tcPr>
            <w:tcW w:w="760" w:type="dxa"/>
            <w:vAlign w:val="bottom"/>
          </w:tcPr>
          <w:p>
            <w:pPr>
              <w:spacing w:after="0"/>
              <w:rPr>
                <w:sz w:val="13"/>
                <w:szCs w:val="13"/>
                <w:color w:val="auto"/>
              </w:rPr>
            </w:pPr>
          </w:p>
        </w:tc>
        <w:tc>
          <w:tcPr>
            <w:tcW w:w="3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74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2"/>
              </w:rPr>
              <w:t>Shares</w:t>
            </w:r>
          </w:p>
        </w:tc>
        <w:tc>
          <w:tcPr>
            <w:tcW w:w="8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4360" w:type="dxa"/>
            <w:vAlign w:val="bottom"/>
            <w:gridSpan w:val="2"/>
            <w:shd w:val="clear" w:color="auto" w:fill="CCEEFF"/>
          </w:tcPr>
          <w:p>
            <w:pPr>
              <w:spacing w:after="0" w:line="142" w:lineRule="exact"/>
              <w:rPr>
                <w:sz w:val="20"/>
                <w:szCs w:val="20"/>
                <w:color w:val="auto"/>
              </w:rPr>
            </w:pPr>
            <w:r>
              <w:rPr>
                <w:rFonts w:ascii="Arial" w:cs="Arial" w:eastAsia="Arial" w:hAnsi="Arial"/>
                <w:sz w:val="13"/>
                <w:szCs w:val="13"/>
                <w:b w:val="1"/>
                <w:bCs w:val="1"/>
                <w:color w:val="auto"/>
              </w:rPr>
              <w:t>Preferred Equity/Partnership Interest - 4.0%</w:t>
            </w:r>
          </w:p>
        </w:tc>
        <w:tc>
          <w:tcPr>
            <w:tcW w:w="6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480" w:type="dxa"/>
            <w:vAlign w:val="bottom"/>
            <w:tcBorders>
              <w:top w:val="single" w:sz="8" w:color="auto"/>
            </w:tcBorders>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80" w:type="dxa"/>
            <w:vAlign w:val="bottom"/>
            <w:tcBorders>
              <w:left w:val="single" w:sz="8" w:color="CCEEFF"/>
              <w:right w:val="single" w:sz="8" w:color="CCEEFF"/>
            </w:tcBorders>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tcBorders>
              <w:right w:val="single" w:sz="8" w:color="CCEEFF"/>
            </w:tcBorders>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5"/>
        </w:trPr>
        <w:tc>
          <w:tcPr>
            <w:tcW w:w="4360" w:type="dxa"/>
            <w:vAlign w:val="bottom"/>
            <w:gridSpan w:val="2"/>
          </w:tcPr>
          <w:p>
            <w:pPr>
              <w:spacing w:after="0"/>
              <w:rPr>
                <w:sz w:val="20"/>
                <w:szCs w:val="20"/>
                <w:color w:val="auto"/>
              </w:rPr>
            </w:pPr>
            <w:r>
              <w:rPr>
                <w:rFonts w:ascii="Arial" w:cs="Arial" w:eastAsia="Arial" w:hAnsi="Arial"/>
                <w:sz w:val="13"/>
                <w:szCs w:val="13"/>
                <w:color w:val="auto"/>
              </w:rPr>
              <w:t>CFHC Holdings, Inc., Class A</w:t>
            </w:r>
          </w:p>
        </w:tc>
        <w:tc>
          <w:tcPr>
            <w:tcW w:w="620" w:type="dxa"/>
            <w:vAlign w:val="bottom"/>
          </w:tcPr>
          <w:p>
            <w:pPr>
              <w:ind w:left="42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7"/>
                <w:szCs w:val="17"/>
                <w:color w:val="auto"/>
              </w:rPr>
            </w:pPr>
          </w:p>
        </w:tc>
        <w:tc>
          <w:tcPr>
            <w:tcW w:w="1420" w:type="dxa"/>
            <w:vAlign w:val="bottom"/>
          </w:tcPr>
          <w:p>
            <w:pPr>
              <w:jc w:val="center"/>
              <w:spacing w:after="0"/>
              <w:rPr>
                <w:sz w:val="20"/>
                <w:szCs w:val="20"/>
                <w:color w:val="auto"/>
              </w:rPr>
            </w:pPr>
            <w:r>
              <w:rPr>
                <w:rFonts w:ascii="Arial" w:cs="Arial" w:eastAsia="Arial" w:hAnsi="Arial"/>
                <w:sz w:val="13"/>
                <w:szCs w:val="13"/>
                <w:color w:val="auto"/>
                <w:w w:val="91"/>
              </w:rPr>
              <w:t>Aerospace and Defense</w:t>
            </w:r>
          </w:p>
        </w:tc>
        <w:tc>
          <w:tcPr>
            <w:tcW w:w="800" w:type="dxa"/>
            <w:vAlign w:val="bottom"/>
            <w:gridSpan w:val="3"/>
          </w:tcPr>
          <w:p>
            <w:pPr>
              <w:jc w:val="right"/>
              <w:spacing w:after="0"/>
              <w:rPr>
                <w:sz w:val="20"/>
                <w:szCs w:val="20"/>
                <w:color w:val="auto"/>
              </w:rPr>
            </w:pPr>
            <w:r>
              <w:rPr>
                <w:rFonts w:ascii="Arial" w:cs="Arial" w:eastAsia="Arial" w:hAnsi="Arial"/>
                <w:sz w:val="13"/>
                <w:szCs w:val="13"/>
                <w:color w:val="auto"/>
              </w:rPr>
              <w:t>12.00%</w:t>
            </w:r>
          </w:p>
        </w:tc>
        <w:tc>
          <w:tcPr>
            <w:tcW w:w="380" w:type="dxa"/>
            <w:vAlign w:val="bottom"/>
          </w:tcPr>
          <w:p>
            <w:pPr>
              <w:jc w:val="right"/>
              <w:ind w:right="133"/>
              <w:spacing w:after="0"/>
              <w:rPr>
                <w:sz w:val="20"/>
                <w:szCs w:val="20"/>
                <w:color w:val="auto"/>
              </w:rPr>
            </w:pPr>
            <w:r>
              <w:rPr>
                <w:rFonts w:ascii="Arial" w:cs="Arial" w:eastAsia="Arial" w:hAnsi="Arial"/>
                <w:sz w:val="13"/>
                <w:szCs w:val="13"/>
                <w:color w:val="auto"/>
              </w:rPr>
              <w:t>(7)</w:t>
            </w:r>
          </w:p>
        </w:tc>
        <w:tc>
          <w:tcPr>
            <w:tcW w:w="740" w:type="dxa"/>
            <w:vAlign w:val="bottom"/>
            <w:gridSpan w:val="2"/>
          </w:tcPr>
          <w:p>
            <w:pPr>
              <w:ind w:left="2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797</w:t>
            </w:r>
          </w:p>
        </w:tc>
        <w:tc>
          <w:tcPr>
            <w:tcW w:w="280" w:type="dxa"/>
            <w:vAlign w:val="bottom"/>
          </w:tcPr>
          <w:p>
            <w:pPr>
              <w:jc w:val="right"/>
              <w:spacing w:after="0"/>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100"/>
              <w:spacing w:after="0"/>
              <w:rPr>
                <w:sz w:val="20"/>
                <w:szCs w:val="20"/>
                <w:color w:val="auto"/>
              </w:rPr>
            </w:pPr>
            <w:r>
              <w:rPr>
                <w:rFonts w:ascii="Arial" w:cs="Arial" w:eastAsia="Arial" w:hAnsi="Arial"/>
                <w:sz w:val="13"/>
                <w:szCs w:val="13"/>
                <w:color w:val="auto"/>
              </w:rPr>
              <w:t>797,288</w:t>
            </w: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700" w:type="dxa"/>
            <w:vAlign w:val="bottom"/>
            <w:gridSpan w:val="2"/>
          </w:tcPr>
          <w:p>
            <w:pPr>
              <w:jc w:val="right"/>
              <w:ind w:right="20"/>
              <w:spacing w:after="0"/>
              <w:rPr>
                <w:sz w:val="20"/>
                <w:szCs w:val="20"/>
                <w:color w:val="auto"/>
              </w:rPr>
            </w:pPr>
            <w:r>
              <w:rPr>
                <w:rFonts w:ascii="Arial" w:cs="Arial" w:eastAsia="Arial" w:hAnsi="Arial"/>
                <w:sz w:val="13"/>
                <w:szCs w:val="13"/>
                <w:color w:val="auto"/>
              </w:rPr>
              <w:t>771,010</w:t>
            </w:r>
          </w:p>
        </w:tc>
        <w:tc>
          <w:tcPr>
            <w:tcW w:w="0" w:type="dxa"/>
            <w:vAlign w:val="bottom"/>
          </w:tcPr>
          <w:p>
            <w:pPr>
              <w:spacing w:after="0"/>
              <w:rPr>
                <w:sz w:val="1"/>
                <w:szCs w:val="1"/>
                <w:color w:val="auto"/>
              </w:rPr>
            </w:pPr>
          </w:p>
        </w:tc>
      </w:tr>
      <w:tr>
        <w:trPr>
          <w:trHeight w:val="172"/>
        </w:trPr>
        <w:tc>
          <w:tcPr>
            <w:tcW w:w="4360" w:type="dxa"/>
            <w:vAlign w:val="bottom"/>
            <w:gridSpan w:val="2"/>
          </w:tcPr>
          <w:p>
            <w:pPr>
              <w:ind w:left="220"/>
              <w:spacing w:after="0"/>
              <w:rPr>
                <w:sz w:val="20"/>
                <w:szCs w:val="20"/>
                <w:color w:val="auto"/>
              </w:rPr>
            </w:pPr>
            <w:r>
              <w:rPr>
                <w:rFonts w:ascii="Arial" w:cs="Arial" w:eastAsia="Arial" w:hAnsi="Arial"/>
                <w:sz w:val="13"/>
                <w:szCs w:val="13"/>
                <w:color w:val="auto"/>
              </w:rPr>
              <w:t>(Consolidated Foundries, Inc.)</w:t>
            </w: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5"/>
        </w:trPr>
        <w:tc>
          <w:tcPr>
            <w:tcW w:w="760" w:type="dxa"/>
            <w:vAlign w:val="bottom"/>
          </w:tcPr>
          <w:p>
            <w:pPr>
              <w:spacing w:after="0"/>
              <w:rPr>
                <w:sz w:val="4"/>
                <w:szCs w:val="4"/>
                <w:color w:val="auto"/>
              </w:rPr>
            </w:pPr>
          </w:p>
        </w:tc>
        <w:tc>
          <w:tcPr>
            <w:tcW w:w="3600" w:type="dxa"/>
            <w:vAlign w:val="bottom"/>
          </w:tcPr>
          <w:p>
            <w:pPr>
              <w:spacing w:after="0"/>
              <w:rPr>
                <w:sz w:val="4"/>
                <w:szCs w:val="4"/>
                <w:color w:val="auto"/>
              </w:rPr>
            </w:pPr>
          </w:p>
        </w:tc>
        <w:tc>
          <w:tcPr>
            <w:tcW w:w="6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420" w:type="dxa"/>
            <w:vAlign w:val="bottom"/>
          </w:tcPr>
          <w:p>
            <w:pPr>
              <w:spacing w:after="0"/>
              <w:rPr>
                <w:sz w:val="4"/>
                <w:szCs w:val="4"/>
                <w:color w:val="auto"/>
              </w:rPr>
            </w:pPr>
          </w:p>
        </w:tc>
        <w:tc>
          <w:tcPr>
            <w:tcW w:w="220" w:type="dxa"/>
            <w:vAlign w:val="bottom"/>
          </w:tcPr>
          <w:p>
            <w:pPr>
              <w:spacing w:after="0"/>
              <w:rPr>
                <w:sz w:val="4"/>
                <w:szCs w:val="4"/>
                <w:color w:val="auto"/>
              </w:rPr>
            </w:pPr>
          </w:p>
        </w:tc>
        <w:tc>
          <w:tcPr>
            <w:tcW w:w="460" w:type="dxa"/>
            <w:vAlign w:val="bottom"/>
          </w:tcPr>
          <w:p>
            <w:pPr>
              <w:spacing w:after="0"/>
              <w:rPr>
                <w:sz w:val="4"/>
                <w:szCs w:val="4"/>
                <w:color w:val="auto"/>
              </w:rPr>
            </w:pPr>
          </w:p>
        </w:tc>
        <w:tc>
          <w:tcPr>
            <w:tcW w:w="120" w:type="dxa"/>
            <w:vAlign w:val="bottom"/>
          </w:tcPr>
          <w:p>
            <w:pPr>
              <w:spacing w:after="0"/>
              <w:rPr>
                <w:sz w:val="4"/>
                <w:szCs w:val="4"/>
                <w:color w:val="auto"/>
              </w:rPr>
            </w:pPr>
          </w:p>
        </w:tc>
        <w:tc>
          <w:tcPr>
            <w:tcW w:w="380" w:type="dxa"/>
            <w:vAlign w:val="bottom"/>
          </w:tcPr>
          <w:p>
            <w:pPr>
              <w:spacing w:after="0"/>
              <w:rPr>
                <w:sz w:val="4"/>
                <w:szCs w:val="4"/>
                <w:color w:val="auto"/>
              </w:rPr>
            </w:pPr>
          </w:p>
        </w:tc>
        <w:tc>
          <w:tcPr>
            <w:tcW w:w="480" w:type="dxa"/>
            <w:vAlign w:val="bottom"/>
          </w:tcPr>
          <w:p>
            <w:pPr>
              <w:spacing w:after="0"/>
              <w:rPr>
                <w:sz w:val="4"/>
                <w:szCs w:val="4"/>
                <w:color w:val="auto"/>
              </w:rPr>
            </w:pPr>
          </w:p>
        </w:tc>
        <w:tc>
          <w:tcPr>
            <w:tcW w:w="2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660" w:type="dxa"/>
            <w:vAlign w:val="bottom"/>
          </w:tcPr>
          <w:p>
            <w:pPr>
              <w:spacing w:after="0"/>
              <w:rPr>
                <w:sz w:val="4"/>
                <w:szCs w:val="4"/>
                <w:color w:val="auto"/>
              </w:rPr>
            </w:pPr>
          </w:p>
        </w:tc>
        <w:tc>
          <w:tcPr>
            <w:tcW w:w="280" w:type="dxa"/>
            <w:vAlign w:val="bottom"/>
          </w:tcPr>
          <w:p>
            <w:pPr>
              <w:spacing w:after="0"/>
              <w:rPr>
                <w:sz w:val="4"/>
                <w:szCs w:val="4"/>
                <w:color w:val="auto"/>
              </w:rPr>
            </w:pPr>
          </w:p>
        </w:tc>
        <w:tc>
          <w:tcPr>
            <w:tcW w:w="6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680" w:type="dxa"/>
            <w:vAlign w:val="bottom"/>
          </w:tcPr>
          <w:p>
            <w:pPr>
              <w:spacing w:after="0"/>
              <w:rPr>
                <w:sz w:val="4"/>
                <w:szCs w:val="4"/>
                <w:color w:val="auto"/>
              </w:rPr>
            </w:pPr>
          </w:p>
        </w:tc>
        <w:tc>
          <w:tcPr>
            <w:tcW w:w="20" w:type="dxa"/>
            <w:vAlign w:val="bottom"/>
            <w:vMerge w:val="restart"/>
          </w:tcPr>
          <w:p>
            <w:pPr>
              <w:spacing w:after="0"/>
              <w:rPr>
                <w:sz w:val="4"/>
                <w:szCs w:val="4"/>
                <w:color w:val="auto"/>
              </w:rPr>
            </w:pPr>
          </w:p>
        </w:tc>
        <w:tc>
          <w:tcPr>
            <w:tcW w:w="0" w:type="dxa"/>
            <w:vAlign w:val="bottom"/>
          </w:tcPr>
          <w:p>
            <w:pPr>
              <w:spacing w:after="0"/>
              <w:rPr>
                <w:sz w:val="1"/>
                <w:szCs w:val="1"/>
                <w:color w:val="auto"/>
              </w:rPr>
            </w:pPr>
          </w:p>
        </w:tc>
      </w:tr>
      <w:tr>
        <w:trPr>
          <w:trHeight w:val="148"/>
        </w:trPr>
        <w:tc>
          <w:tcPr>
            <w:tcW w:w="436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i2 Holdings Ltd.</w:t>
            </w:r>
          </w:p>
        </w:tc>
        <w:tc>
          <w:tcPr>
            <w:tcW w:w="620" w:type="dxa"/>
            <w:vAlign w:val="bottom"/>
            <w:shd w:val="clear" w:color="auto" w:fill="CCEEFF"/>
          </w:tcPr>
          <w:p>
            <w:pPr>
              <w:ind w:left="42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2"/>
                <w:szCs w:val="12"/>
                <w:color w:val="auto"/>
              </w:rPr>
            </w:pPr>
          </w:p>
        </w:tc>
        <w:tc>
          <w:tcPr>
            <w:tcW w:w="14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1"/>
              </w:rPr>
              <w:t>Aerospace and Defense</w:t>
            </w:r>
          </w:p>
        </w:tc>
        <w:tc>
          <w:tcPr>
            <w:tcW w:w="80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12.00%</w:t>
            </w:r>
          </w:p>
        </w:tc>
        <w:tc>
          <w:tcPr>
            <w:tcW w:w="380" w:type="dxa"/>
            <w:vAlign w:val="bottom"/>
            <w:shd w:val="clear" w:color="auto" w:fill="CCEEFF"/>
          </w:tcPr>
          <w:p>
            <w:pPr>
              <w:jc w:val="right"/>
              <w:ind w:right="133"/>
              <w:spacing w:after="0"/>
              <w:rPr>
                <w:sz w:val="20"/>
                <w:szCs w:val="20"/>
                <w:color w:val="auto"/>
              </w:rPr>
            </w:pPr>
            <w:r>
              <w:rPr>
                <w:rFonts w:ascii="Arial" w:cs="Arial" w:eastAsia="Arial" w:hAnsi="Arial"/>
                <w:sz w:val="13"/>
                <w:szCs w:val="13"/>
                <w:color w:val="auto"/>
              </w:rPr>
              <w:t>(7)</w:t>
            </w:r>
          </w:p>
        </w:tc>
        <w:tc>
          <w:tcPr>
            <w:tcW w:w="740" w:type="dxa"/>
            <w:vAlign w:val="bottom"/>
            <w:gridSpan w:val="2"/>
            <w:shd w:val="clear" w:color="auto" w:fill="CCEEFF"/>
          </w:tcPr>
          <w:p>
            <w:pPr>
              <w:ind w:left="28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3,960,000</w:t>
            </w:r>
          </w:p>
        </w:tc>
        <w:tc>
          <w:tcPr>
            <w:tcW w:w="280" w:type="dxa"/>
            <w:vAlign w:val="bottom"/>
            <w:tcBorders>
              <w:left w:val="single" w:sz="8" w:color="CCEEFF"/>
              <w:right w:val="single" w:sz="8" w:color="CCEEFF"/>
            </w:tcBorders>
            <w:shd w:val="clear" w:color="auto" w:fill="CCEEFF"/>
          </w:tcPr>
          <w:p>
            <w:pPr>
              <w:spacing w:after="0"/>
              <w:rPr>
                <w:sz w:val="12"/>
                <w:szCs w:val="12"/>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3,960,000</w:t>
            </w:r>
          </w:p>
        </w:tc>
        <w:tc>
          <w:tcPr>
            <w:tcW w:w="160" w:type="dxa"/>
            <w:vAlign w:val="bottom"/>
            <w:tcBorders>
              <w:right w:val="single" w:sz="8" w:color="CCEEFF"/>
            </w:tcBorders>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4,368,979</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4360" w:type="dxa"/>
            <w:vAlign w:val="bottom"/>
            <w:gridSpan w:val="2"/>
          </w:tcPr>
          <w:p>
            <w:pPr>
              <w:spacing w:after="0" w:line="138" w:lineRule="exact"/>
              <w:rPr>
                <w:sz w:val="20"/>
                <w:szCs w:val="20"/>
                <w:color w:val="auto"/>
              </w:rPr>
            </w:pPr>
            <w:r>
              <w:rPr>
                <w:rFonts w:ascii="Arial" w:cs="Arial" w:eastAsia="Arial" w:hAnsi="Arial"/>
                <w:sz w:val="13"/>
                <w:szCs w:val="13"/>
                <w:color w:val="auto"/>
              </w:rPr>
              <w:t>TZ Holdings, L.P., Series A</w:t>
            </w:r>
          </w:p>
        </w:tc>
        <w:tc>
          <w:tcPr>
            <w:tcW w:w="620" w:type="dxa"/>
            <w:vAlign w:val="bottom"/>
          </w:tcPr>
          <w:p>
            <w:pPr>
              <w:ind w:left="420"/>
              <w:spacing w:after="0" w:line="138" w:lineRule="exact"/>
              <w:rPr>
                <w:sz w:val="20"/>
                <w:szCs w:val="20"/>
                <w:color w:val="auto"/>
              </w:rPr>
            </w:pPr>
            <w:r>
              <w:rPr>
                <w:rFonts w:ascii="Arial" w:cs="Arial" w:eastAsia="Arial" w:hAnsi="Arial"/>
                <w:sz w:val="13"/>
                <w:szCs w:val="13"/>
                <w:color w:val="auto"/>
              </w:rPr>
              <w:t>—</w:t>
            </w:r>
          </w:p>
        </w:tc>
        <w:tc>
          <w:tcPr>
            <w:tcW w:w="200" w:type="dxa"/>
            <w:vAlign w:val="bottom"/>
          </w:tcPr>
          <w:p>
            <w:pPr>
              <w:spacing w:after="0"/>
              <w:rPr>
                <w:sz w:val="11"/>
                <w:szCs w:val="11"/>
                <w:color w:val="auto"/>
              </w:rPr>
            </w:pPr>
          </w:p>
        </w:tc>
        <w:tc>
          <w:tcPr>
            <w:tcW w:w="1420" w:type="dxa"/>
            <w:vAlign w:val="bottom"/>
          </w:tcPr>
          <w:p>
            <w:pPr>
              <w:jc w:val="center"/>
              <w:spacing w:after="0" w:line="138" w:lineRule="exact"/>
              <w:rPr>
                <w:sz w:val="20"/>
                <w:szCs w:val="20"/>
                <w:color w:val="auto"/>
              </w:rPr>
            </w:pPr>
            <w:r>
              <w:rPr>
                <w:rFonts w:ascii="Arial" w:cs="Arial" w:eastAsia="Arial" w:hAnsi="Arial"/>
                <w:sz w:val="13"/>
                <w:szCs w:val="13"/>
                <w:color w:val="auto"/>
                <w:w w:val="91"/>
              </w:rPr>
              <w:t>Insurance</w:t>
            </w:r>
          </w:p>
        </w:tc>
        <w:tc>
          <w:tcPr>
            <w:tcW w:w="220" w:type="dxa"/>
            <w:vAlign w:val="bottom"/>
          </w:tcPr>
          <w:p>
            <w:pPr>
              <w:spacing w:after="0"/>
              <w:rPr>
                <w:sz w:val="11"/>
                <w:szCs w:val="11"/>
                <w:color w:val="auto"/>
              </w:rPr>
            </w:pPr>
          </w:p>
        </w:tc>
        <w:tc>
          <w:tcPr>
            <w:tcW w:w="580" w:type="dxa"/>
            <w:vAlign w:val="bottom"/>
            <w:gridSpan w:val="2"/>
          </w:tcPr>
          <w:p>
            <w:pPr>
              <w:jc w:val="right"/>
              <w:ind w:right="120"/>
              <w:spacing w:after="0" w:line="138" w:lineRule="exact"/>
              <w:rPr>
                <w:sz w:val="20"/>
                <w:szCs w:val="20"/>
                <w:color w:val="auto"/>
              </w:rPr>
            </w:pPr>
            <w:r>
              <w:rPr>
                <w:rFonts w:ascii="Arial" w:cs="Arial" w:eastAsia="Arial" w:hAnsi="Arial"/>
                <w:sz w:val="13"/>
                <w:szCs w:val="13"/>
                <w:color w:val="auto"/>
              </w:rPr>
              <w:t>—</w:t>
            </w:r>
          </w:p>
        </w:tc>
        <w:tc>
          <w:tcPr>
            <w:tcW w:w="380" w:type="dxa"/>
            <w:vAlign w:val="bottom"/>
          </w:tcPr>
          <w:p>
            <w:pPr>
              <w:jc w:val="right"/>
              <w:ind w:right="133"/>
              <w:spacing w:after="0" w:line="138" w:lineRule="exact"/>
              <w:rPr>
                <w:sz w:val="20"/>
                <w:szCs w:val="20"/>
                <w:color w:val="auto"/>
              </w:rPr>
            </w:pPr>
            <w:r>
              <w:rPr>
                <w:rFonts w:ascii="Arial" w:cs="Arial" w:eastAsia="Arial" w:hAnsi="Arial"/>
                <w:sz w:val="13"/>
                <w:szCs w:val="13"/>
                <w:color w:val="auto"/>
              </w:rPr>
              <w:t>(7)</w:t>
            </w:r>
          </w:p>
        </w:tc>
        <w:tc>
          <w:tcPr>
            <w:tcW w:w="740" w:type="dxa"/>
            <w:vAlign w:val="bottom"/>
            <w:gridSpan w:val="2"/>
          </w:tcPr>
          <w:p>
            <w:pPr>
              <w:ind w:left="280"/>
              <w:spacing w:after="0" w:line="138"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jc w:val="right"/>
              <w:spacing w:after="0" w:line="138" w:lineRule="exact"/>
              <w:rPr>
                <w:sz w:val="20"/>
                <w:szCs w:val="20"/>
                <w:color w:val="auto"/>
              </w:rPr>
            </w:pPr>
            <w:r>
              <w:rPr>
                <w:rFonts w:ascii="Arial" w:cs="Arial" w:eastAsia="Arial" w:hAnsi="Arial"/>
                <w:sz w:val="13"/>
                <w:szCs w:val="13"/>
                <w:color w:val="auto"/>
              </w:rPr>
              <w:t>686</w:t>
            </w:r>
          </w:p>
        </w:tc>
        <w:tc>
          <w:tcPr>
            <w:tcW w:w="280" w:type="dxa"/>
            <w:vAlign w:val="bottom"/>
          </w:tcPr>
          <w:p>
            <w:pPr>
              <w:spacing w:after="0"/>
              <w:rPr>
                <w:sz w:val="11"/>
                <w:szCs w:val="11"/>
                <w:color w:val="auto"/>
              </w:rPr>
            </w:pPr>
          </w:p>
        </w:tc>
        <w:tc>
          <w:tcPr>
            <w:tcW w:w="780" w:type="dxa"/>
            <w:vAlign w:val="bottom"/>
            <w:gridSpan w:val="2"/>
          </w:tcPr>
          <w:p>
            <w:pPr>
              <w:jc w:val="right"/>
              <w:ind w:right="100"/>
              <w:spacing w:after="0" w:line="138" w:lineRule="exact"/>
              <w:rPr>
                <w:sz w:val="20"/>
                <w:szCs w:val="20"/>
                <w:color w:val="auto"/>
              </w:rPr>
            </w:pPr>
            <w:r>
              <w:rPr>
                <w:rFonts w:ascii="Arial" w:cs="Arial" w:eastAsia="Arial" w:hAnsi="Arial"/>
                <w:sz w:val="13"/>
                <w:szCs w:val="13"/>
                <w:color w:val="auto"/>
              </w:rPr>
              <w:t>685,820</w:t>
            </w:r>
          </w:p>
        </w:tc>
        <w:tc>
          <w:tcPr>
            <w:tcW w:w="160" w:type="dxa"/>
            <w:vAlign w:val="bottom"/>
          </w:tcPr>
          <w:p>
            <w:pPr>
              <w:spacing w:after="0"/>
              <w:rPr>
                <w:sz w:val="11"/>
                <w:szCs w:val="11"/>
                <w:color w:val="auto"/>
              </w:rPr>
            </w:pPr>
          </w:p>
        </w:tc>
        <w:tc>
          <w:tcPr>
            <w:tcW w:w="680" w:type="dxa"/>
            <w:vAlign w:val="bottom"/>
          </w:tcPr>
          <w:p>
            <w:pPr>
              <w:jc w:val="right"/>
              <w:spacing w:after="0" w:line="138" w:lineRule="exact"/>
              <w:rPr>
                <w:sz w:val="20"/>
                <w:szCs w:val="20"/>
                <w:color w:val="auto"/>
              </w:rPr>
            </w:pPr>
            <w:r>
              <w:rPr>
                <w:rFonts w:ascii="Arial" w:cs="Arial" w:eastAsia="Arial" w:hAnsi="Arial"/>
                <w:sz w:val="13"/>
                <w:szCs w:val="13"/>
                <w:color w:val="auto"/>
              </w:rPr>
              <w:t>685,820</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4360" w:type="dxa"/>
            <w:vAlign w:val="bottom"/>
            <w:gridSpan w:val="2"/>
          </w:tcPr>
          <w:p>
            <w:pPr>
              <w:ind w:left="220"/>
              <w:spacing w:after="0"/>
              <w:rPr>
                <w:sz w:val="20"/>
                <w:szCs w:val="20"/>
                <w:color w:val="auto"/>
              </w:rPr>
            </w:pPr>
            <w:r>
              <w:rPr>
                <w:rFonts w:ascii="Arial" w:cs="Arial" w:eastAsia="Arial" w:hAnsi="Arial"/>
                <w:sz w:val="13"/>
                <w:szCs w:val="13"/>
                <w:color w:val="auto"/>
              </w:rPr>
              <w:t>(TZ Merger Sub, Inc.)</w:t>
            </w: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5"/>
        </w:trPr>
        <w:tc>
          <w:tcPr>
            <w:tcW w:w="760" w:type="dxa"/>
            <w:vAlign w:val="bottom"/>
          </w:tcPr>
          <w:p>
            <w:pPr>
              <w:spacing w:after="0"/>
              <w:rPr>
                <w:sz w:val="4"/>
                <w:szCs w:val="4"/>
                <w:color w:val="auto"/>
              </w:rPr>
            </w:pPr>
          </w:p>
        </w:tc>
        <w:tc>
          <w:tcPr>
            <w:tcW w:w="3600" w:type="dxa"/>
            <w:vAlign w:val="bottom"/>
          </w:tcPr>
          <w:p>
            <w:pPr>
              <w:spacing w:after="0"/>
              <w:rPr>
                <w:sz w:val="4"/>
                <w:szCs w:val="4"/>
                <w:color w:val="auto"/>
              </w:rPr>
            </w:pPr>
          </w:p>
        </w:tc>
        <w:tc>
          <w:tcPr>
            <w:tcW w:w="6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420" w:type="dxa"/>
            <w:vAlign w:val="bottom"/>
          </w:tcPr>
          <w:p>
            <w:pPr>
              <w:spacing w:after="0"/>
              <w:rPr>
                <w:sz w:val="4"/>
                <w:szCs w:val="4"/>
                <w:color w:val="auto"/>
              </w:rPr>
            </w:pPr>
          </w:p>
        </w:tc>
        <w:tc>
          <w:tcPr>
            <w:tcW w:w="220" w:type="dxa"/>
            <w:vAlign w:val="bottom"/>
          </w:tcPr>
          <w:p>
            <w:pPr>
              <w:spacing w:after="0"/>
              <w:rPr>
                <w:sz w:val="4"/>
                <w:szCs w:val="4"/>
                <w:color w:val="auto"/>
              </w:rPr>
            </w:pPr>
          </w:p>
        </w:tc>
        <w:tc>
          <w:tcPr>
            <w:tcW w:w="460" w:type="dxa"/>
            <w:vAlign w:val="bottom"/>
          </w:tcPr>
          <w:p>
            <w:pPr>
              <w:spacing w:after="0"/>
              <w:rPr>
                <w:sz w:val="4"/>
                <w:szCs w:val="4"/>
                <w:color w:val="auto"/>
              </w:rPr>
            </w:pPr>
          </w:p>
        </w:tc>
        <w:tc>
          <w:tcPr>
            <w:tcW w:w="120" w:type="dxa"/>
            <w:vAlign w:val="bottom"/>
          </w:tcPr>
          <w:p>
            <w:pPr>
              <w:spacing w:after="0"/>
              <w:rPr>
                <w:sz w:val="4"/>
                <w:szCs w:val="4"/>
                <w:color w:val="auto"/>
              </w:rPr>
            </w:pPr>
          </w:p>
        </w:tc>
        <w:tc>
          <w:tcPr>
            <w:tcW w:w="380" w:type="dxa"/>
            <w:vAlign w:val="bottom"/>
          </w:tcPr>
          <w:p>
            <w:pPr>
              <w:spacing w:after="0"/>
              <w:rPr>
                <w:sz w:val="4"/>
                <w:szCs w:val="4"/>
                <w:color w:val="auto"/>
              </w:rPr>
            </w:pPr>
          </w:p>
        </w:tc>
        <w:tc>
          <w:tcPr>
            <w:tcW w:w="480" w:type="dxa"/>
            <w:vAlign w:val="bottom"/>
          </w:tcPr>
          <w:p>
            <w:pPr>
              <w:spacing w:after="0"/>
              <w:rPr>
                <w:sz w:val="4"/>
                <w:szCs w:val="4"/>
                <w:color w:val="auto"/>
              </w:rPr>
            </w:pPr>
          </w:p>
        </w:tc>
        <w:tc>
          <w:tcPr>
            <w:tcW w:w="2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660" w:type="dxa"/>
            <w:vAlign w:val="bottom"/>
          </w:tcPr>
          <w:p>
            <w:pPr>
              <w:spacing w:after="0"/>
              <w:rPr>
                <w:sz w:val="4"/>
                <w:szCs w:val="4"/>
                <w:color w:val="auto"/>
              </w:rPr>
            </w:pPr>
          </w:p>
        </w:tc>
        <w:tc>
          <w:tcPr>
            <w:tcW w:w="280" w:type="dxa"/>
            <w:vAlign w:val="bottom"/>
          </w:tcPr>
          <w:p>
            <w:pPr>
              <w:spacing w:after="0"/>
              <w:rPr>
                <w:sz w:val="4"/>
                <w:szCs w:val="4"/>
                <w:color w:val="auto"/>
              </w:rPr>
            </w:pPr>
          </w:p>
        </w:tc>
        <w:tc>
          <w:tcPr>
            <w:tcW w:w="6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680" w:type="dxa"/>
            <w:vAlign w:val="bottom"/>
          </w:tcPr>
          <w:p>
            <w:pPr>
              <w:spacing w:after="0"/>
              <w:rPr>
                <w:sz w:val="4"/>
                <w:szCs w:val="4"/>
                <w:color w:val="auto"/>
              </w:rPr>
            </w:pPr>
          </w:p>
        </w:tc>
        <w:tc>
          <w:tcPr>
            <w:tcW w:w="20" w:type="dxa"/>
            <w:vAlign w:val="bottom"/>
            <w:vMerge w:val="restart"/>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4360" w:type="dxa"/>
            <w:vAlign w:val="bottom"/>
            <w:gridSpan w:val="2"/>
            <w:shd w:val="clear" w:color="auto" w:fill="CCEEFF"/>
          </w:tcPr>
          <w:p>
            <w:pPr>
              <w:spacing w:after="0" w:line="138" w:lineRule="exact"/>
              <w:rPr>
                <w:sz w:val="20"/>
                <w:szCs w:val="20"/>
                <w:color w:val="auto"/>
              </w:rPr>
            </w:pPr>
            <w:r>
              <w:rPr>
                <w:rFonts w:ascii="Arial" w:cs="Arial" w:eastAsia="Arial" w:hAnsi="Arial"/>
                <w:sz w:val="13"/>
                <w:szCs w:val="13"/>
                <w:color w:val="auto"/>
              </w:rPr>
              <w:t>TZ Holdings, L.P., Series B</w:t>
            </w:r>
          </w:p>
        </w:tc>
        <w:tc>
          <w:tcPr>
            <w:tcW w:w="620" w:type="dxa"/>
            <w:vAlign w:val="bottom"/>
            <w:shd w:val="clear" w:color="auto" w:fill="CCEEFF"/>
          </w:tcPr>
          <w:p>
            <w:pPr>
              <w:ind w:left="420"/>
              <w:spacing w:after="0" w:line="138" w:lineRule="exact"/>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1"/>
                <w:szCs w:val="11"/>
                <w:color w:val="auto"/>
              </w:rPr>
            </w:pPr>
          </w:p>
        </w:tc>
        <w:tc>
          <w:tcPr>
            <w:tcW w:w="1420" w:type="dxa"/>
            <w:vAlign w:val="bottom"/>
            <w:shd w:val="clear" w:color="auto" w:fill="CCEEFF"/>
          </w:tcPr>
          <w:p>
            <w:pPr>
              <w:jc w:val="center"/>
              <w:spacing w:after="0" w:line="138" w:lineRule="exact"/>
              <w:rPr>
                <w:sz w:val="20"/>
                <w:szCs w:val="20"/>
                <w:color w:val="auto"/>
              </w:rPr>
            </w:pPr>
            <w:r>
              <w:rPr>
                <w:rFonts w:ascii="Arial" w:cs="Arial" w:eastAsia="Arial" w:hAnsi="Arial"/>
                <w:sz w:val="13"/>
                <w:szCs w:val="13"/>
                <w:color w:val="auto"/>
                <w:w w:val="91"/>
              </w:rPr>
              <w:t>Insurance</w:t>
            </w:r>
          </w:p>
        </w:tc>
        <w:tc>
          <w:tcPr>
            <w:tcW w:w="800" w:type="dxa"/>
            <w:vAlign w:val="bottom"/>
            <w:gridSpan w:val="3"/>
            <w:shd w:val="clear" w:color="auto" w:fill="CCEEFF"/>
          </w:tcPr>
          <w:p>
            <w:pPr>
              <w:jc w:val="right"/>
              <w:spacing w:after="0" w:line="138" w:lineRule="exact"/>
              <w:rPr>
                <w:sz w:val="20"/>
                <w:szCs w:val="20"/>
                <w:color w:val="auto"/>
              </w:rPr>
            </w:pPr>
            <w:r>
              <w:rPr>
                <w:rFonts w:ascii="Arial" w:cs="Arial" w:eastAsia="Arial" w:hAnsi="Arial"/>
                <w:sz w:val="13"/>
                <w:szCs w:val="13"/>
                <w:color w:val="auto"/>
              </w:rPr>
              <w:t>6.50%</w:t>
            </w:r>
          </w:p>
        </w:tc>
        <w:tc>
          <w:tcPr>
            <w:tcW w:w="380" w:type="dxa"/>
            <w:vAlign w:val="bottom"/>
            <w:shd w:val="clear" w:color="auto" w:fill="CCEEFF"/>
          </w:tcPr>
          <w:p>
            <w:pPr>
              <w:jc w:val="right"/>
              <w:ind w:right="133"/>
              <w:spacing w:after="0" w:line="138" w:lineRule="exact"/>
              <w:rPr>
                <w:sz w:val="20"/>
                <w:szCs w:val="20"/>
                <w:color w:val="auto"/>
              </w:rPr>
            </w:pPr>
            <w:r>
              <w:rPr>
                <w:rFonts w:ascii="Arial" w:cs="Arial" w:eastAsia="Arial" w:hAnsi="Arial"/>
                <w:sz w:val="13"/>
                <w:szCs w:val="13"/>
                <w:color w:val="auto"/>
              </w:rPr>
              <w:t>(7)</w:t>
            </w:r>
          </w:p>
        </w:tc>
        <w:tc>
          <w:tcPr>
            <w:tcW w:w="740" w:type="dxa"/>
            <w:vAlign w:val="bottom"/>
            <w:gridSpan w:val="2"/>
            <w:shd w:val="clear" w:color="auto" w:fill="CCEEFF"/>
          </w:tcPr>
          <w:p>
            <w:pPr>
              <w:ind w:left="280"/>
              <w:spacing w:after="0" w:line="138"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1,312</w:t>
            </w:r>
          </w:p>
        </w:tc>
        <w:tc>
          <w:tcPr>
            <w:tcW w:w="280" w:type="dxa"/>
            <w:vAlign w:val="bottom"/>
            <w:tcBorders>
              <w:left w:val="single" w:sz="8" w:color="CCEEFF"/>
              <w:right w:val="single" w:sz="8" w:color="CCEEFF"/>
            </w:tcBorders>
            <w:shd w:val="clear" w:color="auto" w:fill="CCEEFF"/>
          </w:tcPr>
          <w:p>
            <w:pPr>
              <w:spacing w:after="0"/>
              <w:rPr>
                <w:sz w:val="11"/>
                <w:szCs w:val="11"/>
                <w:color w:val="auto"/>
              </w:rPr>
            </w:pPr>
          </w:p>
        </w:tc>
        <w:tc>
          <w:tcPr>
            <w:tcW w:w="780" w:type="dxa"/>
            <w:vAlign w:val="bottom"/>
            <w:gridSpan w:val="2"/>
            <w:shd w:val="clear" w:color="auto" w:fill="CCEEFF"/>
          </w:tcPr>
          <w:p>
            <w:pPr>
              <w:jc w:val="right"/>
              <w:ind w:right="100"/>
              <w:spacing w:after="0" w:line="138" w:lineRule="exact"/>
              <w:rPr>
                <w:sz w:val="20"/>
                <w:szCs w:val="20"/>
                <w:color w:val="auto"/>
              </w:rPr>
            </w:pPr>
            <w:r>
              <w:rPr>
                <w:rFonts w:ascii="Arial" w:cs="Arial" w:eastAsia="Arial" w:hAnsi="Arial"/>
                <w:sz w:val="13"/>
                <w:szCs w:val="13"/>
                <w:color w:val="auto"/>
              </w:rPr>
              <w:t>1,312,006</w:t>
            </w:r>
          </w:p>
        </w:tc>
        <w:tc>
          <w:tcPr>
            <w:tcW w:w="160" w:type="dxa"/>
            <w:vAlign w:val="bottom"/>
            <w:tcBorders>
              <w:right w:val="single" w:sz="8" w:color="CCEEFF"/>
            </w:tcBorders>
            <w:shd w:val="clear" w:color="auto" w:fill="CCEEFF"/>
          </w:tcPr>
          <w:p>
            <w:pPr>
              <w:spacing w:after="0"/>
              <w:rPr>
                <w:sz w:val="11"/>
                <w:szCs w:val="11"/>
                <w:color w:val="auto"/>
              </w:rPr>
            </w:pPr>
          </w:p>
        </w:tc>
        <w:tc>
          <w:tcPr>
            <w:tcW w:w="68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1,367,847</w:t>
            </w:r>
          </w:p>
        </w:tc>
        <w:tc>
          <w:tcPr>
            <w:tcW w:w="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4360" w:type="dxa"/>
            <w:vAlign w:val="bottom"/>
            <w:gridSpan w:val="2"/>
            <w:shd w:val="clear" w:color="auto" w:fill="CCEEFF"/>
          </w:tcPr>
          <w:p>
            <w:pPr>
              <w:ind w:left="220"/>
              <w:spacing w:after="0"/>
              <w:rPr>
                <w:sz w:val="20"/>
                <w:szCs w:val="20"/>
                <w:color w:val="auto"/>
              </w:rPr>
            </w:pPr>
            <w:r>
              <w:rPr>
                <w:rFonts w:ascii="Arial" w:cs="Arial" w:eastAsia="Arial" w:hAnsi="Arial"/>
                <w:sz w:val="13"/>
                <w:szCs w:val="13"/>
                <w:color w:val="auto"/>
              </w:rPr>
              <w:t>(TZ Merger Sub, Inc.)</w:t>
            </w:r>
          </w:p>
        </w:tc>
        <w:tc>
          <w:tcPr>
            <w:tcW w:w="6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4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280" w:type="dxa"/>
            <w:vAlign w:val="bottom"/>
            <w:tcBorders>
              <w:left w:val="single" w:sz="8" w:color="CCEEFF"/>
              <w:right w:val="single" w:sz="8" w:color="CCEEFF"/>
            </w:tcBorders>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tcBorders>
              <w:right w:val="single" w:sz="8" w:color="CCEEFF"/>
            </w:tcBorders>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5"/>
        </w:trPr>
        <w:tc>
          <w:tcPr>
            <w:tcW w:w="4360" w:type="dxa"/>
            <w:vAlign w:val="bottom"/>
            <w:gridSpan w:val="2"/>
          </w:tcPr>
          <w:p>
            <w:pPr>
              <w:spacing w:after="0"/>
              <w:rPr>
                <w:sz w:val="20"/>
                <w:szCs w:val="20"/>
                <w:color w:val="auto"/>
              </w:rPr>
            </w:pPr>
            <w:r>
              <w:rPr>
                <w:rFonts w:ascii="Arial" w:cs="Arial" w:eastAsia="Arial" w:hAnsi="Arial"/>
                <w:sz w:val="13"/>
                <w:szCs w:val="13"/>
                <w:color w:val="auto"/>
              </w:rPr>
              <w:t>UP Holdings Inc., Class A-1</w:t>
            </w:r>
          </w:p>
        </w:tc>
        <w:tc>
          <w:tcPr>
            <w:tcW w:w="620" w:type="dxa"/>
            <w:vAlign w:val="bottom"/>
          </w:tcPr>
          <w:p>
            <w:pPr>
              <w:ind w:left="42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7"/>
                <w:szCs w:val="17"/>
                <w:color w:val="auto"/>
              </w:rPr>
            </w:pPr>
          </w:p>
        </w:tc>
        <w:tc>
          <w:tcPr>
            <w:tcW w:w="1420" w:type="dxa"/>
            <w:vAlign w:val="bottom"/>
          </w:tcPr>
          <w:p>
            <w:pPr>
              <w:jc w:val="center"/>
              <w:spacing w:after="0"/>
              <w:rPr>
                <w:sz w:val="20"/>
                <w:szCs w:val="20"/>
                <w:color w:val="auto"/>
              </w:rPr>
            </w:pPr>
            <w:r>
              <w:rPr>
                <w:rFonts w:ascii="Arial" w:cs="Arial" w:eastAsia="Arial" w:hAnsi="Arial"/>
                <w:sz w:val="13"/>
                <w:szCs w:val="13"/>
                <w:color w:val="auto"/>
                <w:w w:val="93"/>
              </w:rPr>
              <w:t>Oil and Gas</w:t>
            </w:r>
          </w:p>
        </w:tc>
        <w:tc>
          <w:tcPr>
            <w:tcW w:w="800" w:type="dxa"/>
            <w:vAlign w:val="bottom"/>
            <w:gridSpan w:val="3"/>
          </w:tcPr>
          <w:p>
            <w:pPr>
              <w:jc w:val="right"/>
              <w:spacing w:after="0"/>
              <w:rPr>
                <w:sz w:val="20"/>
                <w:szCs w:val="20"/>
                <w:color w:val="auto"/>
              </w:rPr>
            </w:pPr>
            <w:r>
              <w:rPr>
                <w:rFonts w:ascii="Arial" w:cs="Arial" w:eastAsia="Arial" w:hAnsi="Arial"/>
                <w:sz w:val="13"/>
                <w:szCs w:val="13"/>
                <w:color w:val="auto"/>
              </w:rPr>
              <w:t>8.00%</w:t>
            </w:r>
          </w:p>
        </w:tc>
        <w:tc>
          <w:tcPr>
            <w:tcW w:w="380" w:type="dxa"/>
            <w:vAlign w:val="bottom"/>
          </w:tcPr>
          <w:p>
            <w:pPr>
              <w:jc w:val="right"/>
              <w:ind w:right="133"/>
              <w:spacing w:after="0"/>
              <w:rPr>
                <w:sz w:val="20"/>
                <w:szCs w:val="20"/>
                <w:color w:val="auto"/>
              </w:rPr>
            </w:pPr>
            <w:r>
              <w:rPr>
                <w:rFonts w:ascii="Arial" w:cs="Arial" w:eastAsia="Arial" w:hAnsi="Arial"/>
                <w:sz w:val="13"/>
                <w:szCs w:val="13"/>
                <w:color w:val="auto"/>
              </w:rPr>
              <w:t>(7)</w:t>
            </w:r>
          </w:p>
        </w:tc>
        <w:tc>
          <w:tcPr>
            <w:tcW w:w="740" w:type="dxa"/>
            <w:vAlign w:val="bottom"/>
            <w:gridSpan w:val="2"/>
          </w:tcPr>
          <w:p>
            <w:pPr>
              <w:ind w:left="2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91,608</w:t>
            </w:r>
          </w:p>
        </w:tc>
        <w:tc>
          <w:tcPr>
            <w:tcW w:w="280" w:type="dxa"/>
            <w:vAlign w:val="bottom"/>
          </w:tcPr>
          <w:p>
            <w:pPr>
              <w:spacing w:after="0"/>
              <w:rPr>
                <w:sz w:val="17"/>
                <w:szCs w:val="17"/>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3"/>
                <w:szCs w:val="13"/>
                <w:color w:val="auto"/>
              </w:rPr>
              <w:t>2,499,066</w:t>
            </w:r>
          </w:p>
        </w:tc>
        <w:tc>
          <w:tcPr>
            <w:tcW w:w="160" w:type="dxa"/>
            <w:vAlign w:val="bottom"/>
          </w:tcPr>
          <w:p>
            <w:pPr>
              <w:spacing w:after="0"/>
              <w:rPr>
                <w:sz w:val="17"/>
                <w:szCs w:val="17"/>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3"/>
                <w:szCs w:val="13"/>
                <w:color w:val="auto"/>
              </w:rPr>
              <w:t>2,557,409</w:t>
            </w:r>
          </w:p>
        </w:tc>
        <w:tc>
          <w:tcPr>
            <w:tcW w:w="0" w:type="dxa"/>
            <w:vAlign w:val="bottom"/>
          </w:tcPr>
          <w:p>
            <w:pPr>
              <w:spacing w:after="0"/>
              <w:rPr>
                <w:sz w:val="1"/>
                <w:szCs w:val="1"/>
                <w:color w:val="auto"/>
              </w:rPr>
            </w:pPr>
          </w:p>
        </w:tc>
      </w:tr>
      <w:tr>
        <w:trPr>
          <w:trHeight w:val="172"/>
        </w:trPr>
        <w:tc>
          <w:tcPr>
            <w:tcW w:w="4360" w:type="dxa"/>
            <w:vAlign w:val="bottom"/>
            <w:gridSpan w:val="2"/>
          </w:tcPr>
          <w:p>
            <w:pPr>
              <w:ind w:left="220"/>
              <w:spacing w:after="0"/>
              <w:rPr>
                <w:sz w:val="20"/>
                <w:szCs w:val="20"/>
                <w:color w:val="auto"/>
              </w:rPr>
            </w:pPr>
            <w:r>
              <w:rPr>
                <w:rFonts w:ascii="Arial" w:cs="Arial" w:eastAsia="Arial" w:hAnsi="Arial"/>
                <w:sz w:val="13"/>
                <w:szCs w:val="13"/>
                <w:color w:val="auto"/>
              </w:rPr>
              <w:t>(UP Acquisitions Sub Inc.)</w:t>
            </w: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5"/>
        </w:trPr>
        <w:tc>
          <w:tcPr>
            <w:tcW w:w="760" w:type="dxa"/>
            <w:vAlign w:val="bottom"/>
          </w:tcPr>
          <w:p>
            <w:pPr>
              <w:spacing w:after="0"/>
              <w:rPr>
                <w:sz w:val="4"/>
                <w:szCs w:val="4"/>
                <w:color w:val="auto"/>
              </w:rPr>
            </w:pPr>
          </w:p>
        </w:tc>
        <w:tc>
          <w:tcPr>
            <w:tcW w:w="3600" w:type="dxa"/>
            <w:vAlign w:val="bottom"/>
          </w:tcPr>
          <w:p>
            <w:pPr>
              <w:spacing w:after="0"/>
              <w:rPr>
                <w:sz w:val="4"/>
                <w:szCs w:val="4"/>
                <w:color w:val="auto"/>
              </w:rPr>
            </w:pPr>
          </w:p>
        </w:tc>
        <w:tc>
          <w:tcPr>
            <w:tcW w:w="6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420" w:type="dxa"/>
            <w:vAlign w:val="bottom"/>
          </w:tcPr>
          <w:p>
            <w:pPr>
              <w:spacing w:after="0"/>
              <w:rPr>
                <w:sz w:val="4"/>
                <w:szCs w:val="4"/>
                <w:color w:val="auto"/>
              </w:rPr>
            </w:pPr>
          </w:p>
        </w:tc>
        <w:tc>
          <w:tcPr>
            <w:tcW w:w="220" w:type="dxa"/>
            <w:vAlign w:val="bottom"/>
          </w:tcPr>
          <w:p>
            <w:pPr>
              <w:spacing w:after="0"/>
              <w:rPr>
                <w:sz w:val="4"/>
                <w:szCs w:val="4"/>
                <w:color w:val="auto"/>
              </w:rPr>
            </w:pPr>
          </w:p>
        </w:tc>
        <w:tc>
          <w:tcPr>
            <w:tcW w:w="460" w:type="dxa"/>
            <w:vAlign w:val="bottom"/>
          </w:tcPr>
          <w:p>
            <w:pPr>
              <w:spacing w:after="0"/>
              <w:rPr>
                <w:sz w:val="4"/>
                <w:szCs w:val="4"/>
                <w:color w:val="auto"/>
              </w:rPr>
            </w:pPr>
          </w:p>
        </w:tc>
        <w:tc>
          <w:tcPr>
            <w:tcW w:w="120" w:type="dxa"/>
            <w:vAlign w:val="bottom"/>
          </w:tcPr>
          <w:p>
            <w:pPr>
              <w:spacing w:after="0"/>
              <w:rPr>
                <w:sz w:val="4"/>
                <w:szCs w:val="4"/>
                <w:color w:val="auto"/>
              </w:rPr>
            </w:pPr>
          </w:p>
        </w:tc>
        <w:tc>
          <w:tcPr>
            <w:tcW w:w="380" w:type="dxa"/>
            <w:vAlign w:val="bottom"/>
          </w:tcPr>
          <w:p>
            <w:pPr>
              <w:spacing w:after="0"/>
              <w:rPr>
                <w:sz w:val="4"/>
                <w:szCs w:val="4"/>
                <w:color w:val="auto"/>
              </w:rPr>
            </w:pPr>
          </w:p>
        </w:tc>
        <w:tc>
          <w:tcPr>
            <w:tcW w:w="480" w:type="dxa"/>
            <w:vAlign w:val="bottom"/>
          </w:tcPr>
          <w:p>
            <w:pPr>
              <w:spacing w:after="0"/>
              <w:rPr>
                <w:sz w:val="4"/>
                <w:szCs w:val="4"/>
                <w:color w:val="auto"/>
              </w:rPr>
            </w:pPr>
          </w:p>
        </w:tc>
        <w:tc>
          <w:tcPr>
            <w:tcW w:w="2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660" w:type="dxa"/>
            <w:vAlign w:val="bottom"/>
          </w:tcPr>
          <w:p>
            <w:pPr>
              <w:spacing w:after="0"/>
              <w:rPr>
                <w:sz w:val="4"/>
                <w:szCs w:val="4"/>
                <w:color w:val="auto"/>
              </w:rPr>
            </w:pPr>
          </w:p>
        </w:tc>
        <w:tc>
          <w:tcPr>
            <w:tcW w:w="280" w:type="dxa"/>
            <w:vAlign w:val="bottom"/>
          </w:tcPr>
          <w:p>
            <w:pPr>
              <w:spacing w:after="0"/>
              <w:rPr>
                <w:sz w:val="4"/>
                <w:szCs w:val="4"/>
                <w:color w:val="auto"/>
              </w:rPr>
            </w:pPr>
          </w:p>
        </w:tc>
        <w:tc>
          <w:tcPr>
            <w:tcW w:w="6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680" w:type="dxa"/>
            <w:vAlign w:val="bottom"/>
          </w:tcPr>
          <w:p>
            <w:pPr>
              <w:spacing w:after="0"/>
              <w:rPr>
                <w:sz w:val="4"/>
                <w:szCs w:val="4"/>
                <w:color w:val="auto"/>
              </w:rPr>
            </w:pPr>
          </w:p>
        </w:tc>
        <w:tc>
          <w:tcPr>
            <w:tcW w:w="20" w:type="dxa"/>
            <w:vAlign w:val="bottom"/>
            <w:vMerge w:val="restart"/>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4360" w:type="dxa"/>
            <w:vAlign w:val="bottom"/>
            <w:gridSpan w:val="2"/>
            <w:shd w:val="clear" w:color="auto" w:fill="CCEEFF"/>
          </w:tcPr>
          <w:p>
            <w:pPr>
              <w:spacing w:after="0" w:line="138" w:lineRule="exact"/>
              <w:rPr>
                <w:sz w:val="20"/>
                <w:szCs w:val="20"/>
                <w:color w:val="auto"/>
              </w:rPr>
            </w:pPr>
            <w:r>
              <w:rPr>
                <w:rFonts w:ascii="Arial" w:cs="Arial" w:eastAsia="Arial" w:hAnsi="Arial"/>
                <w:sz w:val="13"/>
                <w:szCs w:val="13"/>
                <w:color w:val="auto"/>
              </w:rPr>
              <w:t>VSS - AHC Holdings, L.L.C.</w:t>
            </w:r>
          </w:p>
        </w:tc>
        <w:tc>
          <w:tcPr>
            <w:tcW w:w="620" w:type="dxa"/>
            <w:vAlign w:val="bottom"/>
            <w:shd w:val="clear" w:color="auto" w:fill="CCEEFF"/>
          </w:tcPr>
          <w:p>
            <w:pPr>
              <w:ind w:left="420"/>
              <w:spacing w:after="0" w:line="138" w:lineRule="exact"/>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1"/>
                <w:szCs w:val="11"/>
                <w:color w:val="auto"/>
              </w:rPr>
            </w:pPr>
          </w:p>
        </w:tc>
        <w:tc>
          <w:tcPr>
            <w:tcW w:w="1420" w:type="dxa"/>
            <w:vAlign w:val="bottom"/>
            <w:shd w:val="clear" w:color="auto" w:fill="CCEEFF"/>
          </w:tcPr>
          <w:p>
            <w:pPr>
              <w:jc w:val="center"/>
              <w:spacing w:after="0" w:line="138" w:lineRule="exact"/>
              <w:rPr>
                <w:sz w:val="20"/>
                <w:szCs w:val="20"/>
                <w:color w:val="auto"/>
              </w:rPr>
            </w:pPr>
            <w:r>
              <w:rPr>
                <w:rFonts w:ascii="Arial" w:cs="Arial" w:eastAsia="Arial" w:hAnsi="Arial"/>
                <w:sz w:val="13"/>
                <w:szCs w:val="13"/>
                <w:color w:val="auto"/>
                <w:w w:val="95"/>
              </w:rPr>
              <w:t>Other Media</w:t>
            </w:r>
          </w:p>
        </w:tc>
        <w:tc>
          <w:tcPr>
            <w:tcW w:w="800" w:type="dxa"/>
            <w:vAlign w:val="bottom"/>
            <w:gridSpan w:val="3"/>
            <w:shd w:val="clear" w:color="auto" w:fill="CCEEFF"/>
          </w:tcPr>
          <w:p>
            <w:pPr>
              <w:jc w:val="right"/>
              <w:spacing w:after="0" w:line="138" w:lineRule="exact"/>
              <w:rPr>
                <w:sz w:val="20"/>
                <w:szCs w:val="20"/>
                <w:color w:val="auto"/>
              </w:rPr>
            </w:pPr>
            <w:r>
              <w:rPr>
                <w:rFonts w:ascii="Arial" w:cs="Arial" w:eastAsia="Arial" w:hAnsi="Arial"/>
                <w:sz w:val="13"/>
                <w:szCs w:val="13"/>
                <w:color w:val="auto"/>
              </w:rPr>
              <w:t>20.00%</w:t>
            </w:r>
          </w:p>
        </w:tc>
        <w:tc>
          <w:tcPr>
            <w:tcW w:w="380" w:type="dxa"/>
            <w:vAlign w:val="bottom"/>
            <w:shd w:val="clear" w:color="auto" w:fill="CCEEFF"/>
          </w:tcPr>
          <w:p>
            <w:pPr>
              <w:jc w:val="right"/>
              <w:ind w:right="133"/>
              <w:spacing w:after="0" w:line="138" w:lineRule="exact"/>
              <w:rPr>
                <w:sz w:val="20"/>
                <w:szCs w:val="20"/>
                <w:color w:val="auto"/>
              </w:rPr>
            </w:pPr>
            <w:r>
              <w:rPr>
                <w:rFonts w:ascii="Arial" w:cs="Arial" w:eastAsia="Arial" w:hAnsi="Arial"/>
                <w:sz w:val="13"/>
                <w:szCs w:val="13"/>
                <w:color w:val="auto"/>
              </w:rPr>
              <w:t>(7)</w:t>
            </w:r>
          </w:p>
        </w:tc>
        <w:tc>
          <w:tcPr>
            <w:tcW w:w="740" w:type="dxa"/>
            <w:vAlign w:val="bottom"/>
            <w:gridSpan w:val="2"/>
            <w:shd w:val="clear" w:color="auto" w:fill="CCEEFF"/>
          </w:tcPr>
          <w:p>
            <w:pPr>
              <w:ind w:left="280"/>
              <w:spacing w:after="0" w:line="138"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319</w:t>
            </w:r>
          </w:p>
        </w:tc>
        <w:tc>
          <w:tcPr>
            <w:tcW w:w="280" w:type="dxa"/>
            <w:vAlign w:val="bottom"/>
            <w:tcBorders>
              <w:left w:val="single" w:sz="8" w:color="CCEEFF"/>
              <w:right w:val="single" w:sz="8" w:color="CCEEFF"/>
            </w:tcBorders>
            <w:shd w:val="clear" w:color="auto" w:fill="CCEEFF"/>
          </w:tcPr>
          <w:p>
            <w:pPr>
              <w:spacing w:after="0"/>
              <w:rPr>
                <w:sz w:val="11"/>
                <w:szCs w:val="11"/>
                <w:color w:val="auto"/>
              </w:rPr>
            </w:pPr>
          </w:p>
        </w:tc>
        <w:tc>
          <w:tcPr>
            <w:tcW w:w="780" w:type="dxa"/>
            <w:vAlign w:val="bottom"/>
            <w:gridSpan w:val="2"/>
            <w:shd w:val="clear" w:color="auto" w:fill="CCEEFF"/>
          </w:tcPr>
          <w:p>
            <w:pPr>
              <w:jc w:val="right"/>
              <w:ind w:right="100"/>
              <w:spacing w:after="0" w:line="138" w:lineRule="exact"/>
              <w:rPr>
                <w:sz w:val="20"/>
                <w:szCs w:val="20"/>
                <w:color w:val="auto"/>
              </w:rPr>
            </w:pPr>
            <w:r>
              <w:rPr>
                <w:rFonts w:ascii="Arial" w:cs="Arial" w:eastAsia="Arial" w:hAnsi="Arial"/>
                <w:sz w:val="13"/>
                <w:szCs w:val="13"/>
                <w:color w:val="auto"/>
              </w:rPr>
              <w:t>318,896</w:t>
            </w:r>
          </w:p>
        </w:tc>
        <w:tc>
          <w:tcPr>
            <w:tcW w:w="160" w:type="dxa"/>
            <w:vAlign w:val="bottom"/>
            <w:tcBorders>
              <w:right w:val="single" w:sz="8" w:color="CCEEFF"/>
            </w:tcBorders>
            <w:shd w:val="clear" w:color="auto" w:fill="CCEEFF"/>
          </w:tcPr>
          <w:p>
            <w:pPr>
              <w:spacing w:after="0"/>
              <w:rPr>
                <w:sz w:val="11"/>
                <w:szCs w:val="11"/>
                <w:color w:val="auto"/>
              </w:rPr>
            </w:pPr>
          </w:p>
        </w:tc>
        <w:tc>
          <w:tcPr>
            <w:tcW w:w="68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300,403</w:t>
            </w:r>
          </w:p>
        </w:tc>
        <w:tc>
          <w:tcPr>
            <w:tcW w:w="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4360" w:type="dxa"/>
            <w:vAlign w:val="bottom"/>
            <w:gridSpan w:val="2"/>
            <w:shd w:val="clear" w:color="auto" w:fill="CCEEFF"/>
          </w:tcPr>
          <w:p>
            <w:pPr>
              <w:ind w:left="220"/>
              <w:spacing w:after="0"/>
              <w:rPr>
                <w:sz w:val="20"/>
                <w:szCs w:val="20"/>
                <w:color w:val="auto"/>
              </w:rPr>
            </w:pPr>
            <w:r>
              <w:rPr>
                <w:rFonts w:ascii="Arial" w:cs="Arial" w:eastAsia="Arial" w:hAnsi="Arial"/>
                <w:sz w:val="13"/>
                <w:szCs w:val="13"/>
                <w:color w:val="auto"/>
              </w:rPr>
              <w:t>(Advanstar, Inc.)</w:t>
            </w:r>
          </w:p>
        </w:tc>
        <w:tc>
          <w:tcPr>
            <w:tcW w:w="6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4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660" w:type="dxa"/>
            <w:vAlign w:val="bottom"/>
            <w:tcBorders>
              <w:bottom w:val="single" w:sz="8" w:color="auto"/>
            </w:tcBorders>
            <w:shd w:val="clear" w:color="auto" w:fill="CCEEFF"/>
          </w:tcPr>
          <w:p>
            <w:pPr>
              <w:spacing w:after="0"/>
              <w:rPr>
                <w:sz w:val="13"/>
                <w:szCs w:val="13"/>
                <w:color w:val="auto"/>
              </w:rPr>
            </w:pPr>
          </w:p>
        </w:tc>
        <w:tc>
          <w:tcPr>
            <w:tcW w:w="280" w:type="dxa"/>
            <w:vAlign w:val="bottom"/>
            <w:tcBorders>
              <w:left w:val="single" w:sz="8" w:color="CCEEFF"/>
              <w:right w:val="single" w:sz="8" w:color="CCEEFF"/>
            </w:tcBorders>
            <w:shd w:val="clear" w:color="auto" w:fill="CCEEFF"/>
          </w:tcPr>
          <w:p>
            <w:pPr>
              <w:spacing w:after="0"/>
              <w:rPr>
                <w:sz w:val="13"/>
                <w:szCs w:val="13"/>
                <w:color w:val="auto"/>
              </w:rPr>
            </w:pPr>
          </w:p>
        </w:tc>
        <w:tc>
          <w:tcPr>
            <w:tcW w:w="680" w:type="dxa"/>
            <w:vAlign w:val="bottom"/>
            <w:tcBorders>
              <w:bottom w:val="single" w:sz="8" w:color="auto"/>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tcBorders>
              <w:right w:val="single" w:sz="8" w:color="CCEEFF"/>
            </w:tcBorders>
            <w:shd w:val="clear" w:color="auto" w:fill="CCEEFF"/>
          </w:tcPr>
          <w:p>
            <w:pPr>
              <w:spacing w:after="0"/>
              <w:rPr>
                <w:sz w:val="13"/>
                <w:szCs w:val="13"/>
                <w:color w:val="auto"/>
              </w:rPr>
            </w:pPr>
          </w:p>
        </w:tc>
        <w:tc>
          <w:tcPr>
            <w:tcW w:w="680" w:type="dxa"/>
            <w:vAlign w:val="bottom"/>
            <w:tcBorders>
              <w:bottom w:val="single" w:sz="8" w:color="auto"/>
            </w:tcBorders>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4360" w:type="dxa"/>
            <w:vAlign w:val="bottom"/>
            <w:gridSpan w:val="2"/>
          </w:tcPr>
          <w:p>
            <w:pPr>
              <w:spacing w:after="0"/>
              <w:rPr>
                <w:sz w:val="20"/>
                <w:szCs w:val="20"/>
                <w:color w:val="auto"/>
              </w:rPr>
            </w:pPr>
            <w:r>
              <w:rPr>
                <w:rFonts w:ascii="Arial" w:cs="Arial" w:eastAsia="Arial" w:hAnsi="Arial"/>
                <w:sz w:val="13"/>
                <w:szCs w:val="13"/>
                <w:b w:val="1"/>
                <w:bCs w:val="1"/>
                <w:color w:val="auto"/>
              </w:rPr>
              <w:t>Total Preferred Equity / Partnership Interest</w:t>
            </w: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4,054,722</w:t>
            </w:r>
          </w:p>
        </w:tc>
        <w:tc>
          <w:tcPr>
            <w:tcW w:w="280" w:type="dxa"/>
            <w:vAlign w:val="bottom"/>
          </w:tcPr>
          <w:p>
            <w:pPr>
              <w:jc w:val="right"/>
              <w:spacing w:after="0"/>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100"/>
              <w:spacing w:after="0"/>
              <w:rPr>
                <w:sz w:val="20"/>
                <w:szCs w:val="20"/>
                <w:color w:val="auto"/>
              </w:rPr>
            </w:pPr>
            <w:r>
              <w:rPr>
                <w:rFonts w:ascii="Arial" w:cs="Arial" w:eastAsia="Arial" w:hAnsi="Arial"/>
                <w:sz w:val="13"/>
                <w:szCs w:val="13"/>
                <w:color w:val="auto"/>
              </w:rPr>
              <w:t>9,573,076</w:t>
            </w: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700" w:type="dxa"/>
            <w:vAlign w:val="bottom"/>
            <w:gridSpan w:val="2"/>
          </w:tcPr>
          <w:p>
            <w:pPr>
              <w:jc w:val="right"/>
              <w:ind w:right="20"/>
              <w:spacing w:after="0"/>
              <w:rPr>
                <w:sz w:val="20"/>
                <w:szCs w:val="20"/>
                <w:color w:val="auto"/>
              </w:rPr>
            </w:pPr>
            <w:r>
              <w:rPr>
                <w:rFonts w:ascii="Arial" w:cs="Arial" w:eastAsia="Arial" w:hAnsi="Arial"/>
                <w:sz w:val="13"/>
                <w:szCs w:val="13"/>
                <w:color w:val="auto"/>
              </w:rPr>
              <w:t>10,051,468</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80" w:type="dxa"/>
            <w:vAlign w:val="bottom"/>
            <w:tcBorders>
              <w:left w:val="single" w:sz="8" w:color="auto"/>
              <w:right w:val="single" w:sz="8" w:color="auto"/>
            </w:tcBorders>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40"/>
          </w:cols>
          <w:pgMar w:left="320" w:top="459" w:right="3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206375</wp:posOffset>
            </wp:positionH>
            <wp:positionV relativeFrom="page">
              <wp:posOffset>88900</wp:posOffset>
            </wp:positionV>
            <wp:extent cx="7153275" cy="279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32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PENNANTPARK INVESTMENT CORPORATION</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SCHEDULE OF INVESTMENTS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MARCH 31, 2009</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760" w:type="dxa"/>
            <w:vAlign w:val="bottom"/>
          </w:tcPr>
          <w:p>
            <w:pPr>
              <w:spacing w:after="0"/>
              <w:rPr>
                <w:sz w:val="13"/>
                <w:szCs w:val="13"/>
                <w:color w:val="auto"/>
              </w:rPr>
            </w:pPr>
          </w:p>
        </w:tc>
        <w:tc>
          <w:tcPr>
            <w:tcW w:w="40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500" w:type="dxa"/>
            <w:vAlign w:val="bottom"/>
          </w:tcPr>
          <w:p>
            <w:pPr>
              <w:jc w:val="center"/>
              <w:spacing w:after="0"/>
              <w:rPr>
                <w:sz w:val="20"/>
                <w:szCs w:val="20"/>
                <w:color w:val="auto"/>
              </w:rPr>
            </w:pPr>
            <w:r>
              <w:rPr>
                <w:rFonts w:ascii="Arial" w:cs="Arial" w:eastAsia="Arial" w:hAnsi="Arial"/>
                <w:sz w:val="13"/>
                <w:szCs w:val="13"/>
                <w:b w:val="1"/>
                <w:bCs w:val="1"/>
                <w:color w:val="auto"/>
                <w:w w:val="86"/>
              </w:rPr>
              <w:t>Basis</w:t>
            </w:r>
          </w:p>
        </w:tc>
        <w:tc>
          <w:tcPr>
            <w:tcW w:w="3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760" w:type="dxa"/>
            <w:vAlign w:val="bottom"/>
          </w:tcPr>
          <w:p>
            <w:pPr>
              <w:spacing w:after="0"/>
              <w:rPr>
                <w:sz w:val="12"/>
                <w:szCs w:val="12"/>
                <w:color w:val="auto"/>
              </w:rPr>
            </w:pPr>
          </w:p>
        </w:tc>
        <w:tc>
          <w:tcPr>
            <w:tcW w:w="40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00" w:type="dxa"/>
            <w:vAlign w:val="bottom"/>
          </w:tcPr>
          <w:p>
            <w:pPr>
              <w:jc w:val="center"/>
              <w:spacing w:after="0"/>
              <w:rPr>
                <w:sz w:val="20"/>
                <w:szCs w:val="20"/>
                <w:color w:val="auto"/>
              </w:rPr>
            </w:pPr>
            <w:r>
              <w:rPr>
                <w:rFonts w:ascii="Arial" w:cs="Arial" w:eastAsia="Arial" w:hAnsi="Arial"/>
                <w:sz w:val="13"/>
                <w:szCs w:val="13"/>
                <w:b w:val="1"/>
                <w:bCs w:val="1"/>
                <w:color w:val="auto"/>
                <w:w w:val="92"/>
              </w:rPr>
              <w:t>Point</w:t>
            </w:r>
          </w:p>
        </w:tc>
        <w:tc>
          <w:tcPr>
            <w:tcW w:w="3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60" w:type="dxa"/>
            <w:vAlign w:val="bottom"/>
          </w:tcPr>
          <w:p>
            <w:pPr>
              <w:spacing w:after="0"/>
              <w:rPr>
                <w:sz w:val="12"/>
                <w:szCs w:val="12"/>
                <w:color w:val="auto"/>
              </w:rPr>
            </w:pPr>
          </w:p>
        </w:tc>
        <w:tc>
          <w:tcPr>
            <w:tcW w:w="40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00" w:type="dxa"/>
            <w:vAlign w:val="bottom"/>
          </w:tcPr>
          <w:p>
            <w:pPr>
              <w:jc w:val="center"/>
              <w:spacing w:after="0"/>
              <w:rPr>
                <w:sz w:val="20"/>
                <w:szCs w:val="20"/>
                <w:color w:val="auto"/>
              </w:rPr>
            </w:pPr>
            <w:r>
              <w:rPr>
                <w:rFonts w:ascii="Arial" w:cs="Arial" w:eastAsia="Arial" w:hAnsi="Arial"/>
                <w:sz w:val="13"/>
                <w:szCs w:val="13"/>
                <w:b w:val="1"/>
                <w:bCs w:val="1"/>
                <w:color w:val="auto"/>
                <w:w w:val="95"/>
              </w:rPr>
              <w:t>Spread</w:t>
            </w:r>
          </w:p>
        </w:tc>
        <w:tc>
          <w:tcPr>
            <w:tcW w:w="3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760" w:type="dxa"/>
            <w:vAlign w:val="bottom"/>
          </w:tcPr>
          <w:p>
            <w:pPr>
              <w:spacing w:after="0"/>
              <w:rPr>
                <w:sz w:val="14"/>
                <w:szCs w:val="14"/>
                <w:color w:val="auto"/>
              </w:rPr>
            </w:pPr>
          </w:p>
        </w:tc>
        <w:tc>
          <w:tcPr>
            <w:tcW w:w="40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2"/>
          </w:tcPr>
          <w:p>
            <w:pPr>
              <w:ind w:left="20"/>
              <w:spacing w:after="0"/>
              <w:rPr>
                <w:sz w:val="20"/>
                <w:szCs w:val="20"/>
                <w:color w:val="auto"/>
              </w:rPr>
            </w:pPr>
            <w:r>
              <w:rPr>
                <w:rFonts w:ascii="Arial" w:cs="Arial" w:eastAsia="Arial" w:hAnsi="Arial"/>
                <w:sz w:val="13"/>
                <w:szCs w:val="13"/>
                <w:b w:val="1"/>
                <w:bCs w:val="1"/>
                <w:color w:val="auto"/>
              </w:rPr>
              <w:t>Current</w:t>
            </w:r>
          </w:p>
        </w:tc>
        <w:tc>
          <w:tcPr>
            <w:tcW w:w="500" w:type="dxa"/>
            <w:vAlign w:val="bottom"/>
          </w:tcPr>
          <w:p>
            <w:pPr>
              <w:jc w:val="right"/>
              <w:spacing w:after="0"/>
              <w:rPr>
                <w:sz w:val="20"/>
                <w:szCs w:val="20"/>
                <w:color w:val="auto"/>
              </w:rPr>
            </w:pPr>
            <w:r>
              <w:rPr>
                <w:rFonts w:ascii="Arial" w:cs="Arial" w:eastAsia="Arial" w:hAnsi="Arial"/>
                <w:sz w:val="13"/>
                <w:szCs w:val="13"/>
                <w:b w:val="1"/>
                <w:bCs w:val="1"/>
                <w:color w:val="auto"/>
              </w:rPr>
              <w:t>Above</w:t>
            </w:r>
          </w:p>
        </w:tc>
        <w:tc>
          <w:tcPr>
            <w:tcW w:w="3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3"/>
                <w:szCs w:val="13"/>
                <w:b w:val="1"/>
                <w:bCs w:val="1"/>
                <w:color w:val="auto"/>
              </w:rPr>
              <w:t>Fair</w:t>
            </w:r>
          </w:p>
        </w:tc>
        <w:tc>
          <w:tcPr>
            <w:tcW w:w="0" w:type="dxa"/>
            <w:vAlign w:val="bottom"/>
          </w:tcPr>
          <w:p>
            <w:pPr>
              <w:spacing w:after="0"/>
              <w:rPr>
                <w:sz w:val="1"/>
                <w:szCs w:val="1"/>
                <w:color w:val="auto"/>
              </w:rPr>
            </w:pPr>
          </w:p>
        </w:tc>
      </w:tr>
      <w:tr>
        <w:trPr>
          <w:trHeight w:val="176"/>
        </w:trPr>
        <w:tc>
          <w:tcPr>
            <w:tcW w:w="76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w w:val="95"/>
              </w:rPr>
              <w:t>Issuer Name</w:t>
            </w:r>
          </w:p>
        </w:tc>
        <w:tc>
          <w:tcPr>
            <w:tcW w:w="4060" w:type="dxa"/>
            <w:vAlign w:val="bottom"/>
          </w:tcPr>
          <w:p>
            <w:pPr>
              <w:spacing w:after="0"/>
              <w:rPr>
                <w:sz w:val="15"/>
                <w:szCs w:val="15"/>
                <w:color w:val="auto"/>
              </w:rPr>
            </w:pPr>
          </w:p>
        </w:tc>
        <w:tc>
          <w:tcPr>
            <w:tcW w:w="900" w:type="dxa"/>
            <w:vAlign w:val="bottom"/>
            <w:tcBorders>
              <w:bottom w:val="single" w:sz="8" w:color="auto"/>
            </w:tcBorders>
          </w:tcPr>
          <w:p>
            <w:pPr>
              <w:ind w:left="200"/>
              <w:spacing w:after="0"/>
              <w:rPr>
                <w:sz w:val="20"/>
                <w:szCs w:val="20"/>
                <w:color w:val="auto"/>
              </w:rPr>
            </w:pPr>
            <w:r>
              <w:rPr>
                <w:rFonts w:ascii="Arial" w:cs="Arial" w:eastAsia="Arial" w:hAnsi="Arial"/>
                <w:sz w:val="13"/>
                <w:szCs w:val="13"/>
                <w:b w:val="1"/>
                <w:bCs w:val="1"/>
                <w:color w:val="auto"/>
              </w:rPr>
              <w:t>Maturity</w:t>
            </w:r>
          </w:p>
        </w:tc>
        <w:tc>
          <w:tcPr>
            <w:tcW w:w="100" w:type="dxa"/>
            <w:vAlign w:val="bottom"/>
          </w:tcPr>
          <w:p>
            <w:pPr>
              <w:spacing w:after="0"/>
              <w:rPr>
                <w:sz w:val="15"/>
                <w:szCs w:val="15"/>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7"/>
              </w:rPr>
              <w:t>Industry</w:t>
            </w:r>
          </w:p>
        </w:tc>
        <w:tc>
          <w:tcPr>
            <w:tcW w:w="120" w:type="dxa"/>
            <w:vAlign w:val="bottom"/>
          </w:tcPr>
          <w:p>
            <w:pPr>
              <w:spacing w:after="0"/>
              <w:rPr>
                <w:sz w:val="15"/>
                <w:szCs w:val="15"/>
                <w:color w:val="auto"/>
              </w:rPr>
            </w:pPr>
          </w:p>
        </w:tc>
        <w:tc>
          <w:tcPr>
            <w:tcW w:w="50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w w:val="93"/>
              </w:rPr>
              <w:t>Coupon</w:t>
            </w:r>
          </w:p>
        </w:tc>
        <w:tc>
          <w:tcPr>
            <w:tcW w:w="460" w:type="dxa"/>
            <w:vAlign w:val="bottom"/>
          </w:tcPr>
          <w:p>
            <w:pPr>
              <w:spacing w:after="0"/>
              <w:rPr>
                <w:sz w:val="15"/>
                <w:szCs w:val="15"/>
                <w:color w:val="auto"/>
              </w:rPr>
            </w:pPr>
          </w:p>
        </w:tc>
        <w:tc>
          <w:tcPr>
            <w:tcW w:w="500" w:type="dxa"/>
            <w:vAlign w:val="bottom"/>
            <w:tcBorders>
              <w:bottom w:val="single" w:sz="8" w:color="auto"/>
            </w:tcBorders>
          </w:tcPr>
          <w:p>
            <w:pPr>
              <w:jc w:val="center"/>
              <w:spacing w:after="0" w:line="176" w:lineRule="exact"/>
              <w:rPr>
                <w:sz w:val="20"/>
                <w:szCs w:val="20"/>
                <w:color w:val="auto"/>
              </w:rPr>
            </w:pPr>
            <w:r>
              <w:rPr>
                <w:rFonts w:ascii="Arial" w:cs="Arial" w:eastAsia="Arial" w:hAnsi="Arial"/>
                <w:sz w:val="12"/>
                <w:szCs w:val="12"/>
                <w:b w:val="1"/>
                <w:bCs w:val="1"/>
                <w:color w:val="auto"/>
                <w:w w:val="96"/>
              </w:rPr>
              <w:t>Index</w:t>
            </w:r>
            <w:r>
              <w:rPr>
                <w:rFonts w:ascii="Arial" w:cs="Arial" w:eastAsia="Arial" w:hAnsi="Arial"/>
                <w:sz w:val="20"/>
                <w:szCs w:val="20"/>
                <w:b w:val="1"/>
                <w:bCs w:val="1"/>
                <w:color w:val="auto"/>
                <w:w w:val="96"/>
                <w:vertAlign w:val="superscript"/>
              </w:rPr>
              <w:t>(4)</w:t>
            </w:r>
          </w:p>
        </w:tc>
        <w:tc>
          <w:tcPr>
            <w:tcW w:w="300" w:type="dxa"/>
            <w:vAlign w:val="bottom"/>
          </w:tcPr>
          <w:p>
            <w:pPr>
              <w:spacing w:after="0"/>
              <w:rPr>
                <w:sz w:val="15"/>
                <w:szCs w:val="15"/>
                <w:color w:val="auto"/>
              </w:rPr>
            </w:pP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5"/>
              </w:rPr>
              <w:t>Par</w:t>
            </w:r>
          </w:p>
        </w:tc>
        <w:tc>
          <w:tcPr>
            <w:tcW w:w="100" w:type="dxa"/>
            <w:vAlign w:val="bottom"/>
          </w:tcPr>
          <w:p>
            <w:pPr>
              <w:spacing w:after="0"/>
              <w:rPr>
                <w:sz w:val="15"/>
                <w:szCs w:val="15"/>
                <w:color w:val="auto"/>
              </w:rPr>
            </w:pPr>
          </w:p>
        </w:tc>
        <w:tc>
          <w:tcPr>
            <w:tcW w:w="680" w:type="dxa"/>
            <w:vAlign w:val="bottom"/>
            <w:tcBorders>
              <w:bottom w:val="single" w:sz="8" w:color="auto"/>
            </w:tcBorders>
          </w:tcPr>
          <w:p>
            <w:pPr>
              <w:jc w:val="right"/>
              <w:ind w:right="133"/>
              <w:spacing w:after="0"/>
              <w:rPr>
                <w:sz w:val="20"/>
                <w:szCs w:val="20"/>
                <w:color w:val="auto"/>
              </w:rPr>
            </w:pPr>
            <w:r>
              <w:rPr>
                <w:rFonts w:ascii="Arial" w:cs="Arial" w:eastAsia="Arial" w:hAnsi="Arial"/>
                <w:sz w:val="13"/>
                <w:szCs w:val="13"/>
                <w:b w:val="1"/>
                <w:bCs w:val="1"/>
                <w:color w:val="auto"/>
              </w:rPr>
              <w:t>Cost</w:t>
            </w:r>
          </w:p>
        </w:tc>
        <w:tc>
          <w:tcPr>
            <w:tcW w:w="100" w:type="dxa"/>
            <w:vAlign w:val="bottom"/>
          </w:tcPr>
          <w:p>
            <w:pPr>
              <w:spacing w:after="0"/>
              <w:rPr>
                <w:sz w:val="15"/>
                <w:szCs w:val="15"/>
                <w:color w:val="auto"/>
              </w:rPr>
            </w:pPr>
          </w:p>
        </w:tc>
        <w:tc>
          <w:tcPr>
            <w:tcW w:w="680" w:type="dxa"/>
            <w:vAlign w:val="bottom"/>
            <w:tcBorders>
              <w:bottom w:val="single" w:sz="8" w:color="auto"/>
            </w:tcBorders>
          </w:tcPr>
          <w:p>
            <w:pPr>
              <w:jc w:val="right"/>
              <w:ind w:right="33"/>
              <w:spacing w:after="0" w:line="176" w:lineRule="exact"/>
              <w:rPr>
                <w:sz w:val="20"/>
                <w:szCs w:val="20"/>
                <w:color w:val="auto"/>
              </w:rPr>
            </w:pPr>
            <w:r>
              <w:rPr>
                <w:rFonts w:ascii="Arial" w:cs="Arial" w:eastAsia="Arial" w:hAnsi="Arial"/>
                <w:sz w:val="12"/>
                <w:szCs w:val="12"/>
                <w:b w:val="1"/>
                <w:bCs w:val="1"/>
                <w:color w:val="auto"/>
              </w:rPr>
              <w:t xml:space="preserve">Value </w:t>
            </w:r>
            <w:r>
              <w:rPr>
                <w:rFonts w:ascii="Arial" w:cs="Arial" w:eastAsia="Arial" w:hAnsi="Arial"/>
                <w:sz w:val="20"/>
                <w:szCs w:val="20"/>
                <w:b w:val="1"/>
                <w:bCs w:val="1"/>
                <w:color w:val="auto"/>
                <w:vertAlign w:val="superscript"/>
              </w:rPr>
              <w:t>(3)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58"/>
        </w:trPr>
        <w:tc>
          <w:tcPr>
            <w:tcW w:w="760" w:type="dxa"/>
            <w:vAlign w:val="bottom"/>
          </w:tcPr>
          <w:p>
            <w:pPr>
              <w:spacing w:after="0"/>
              <w:rPr>
                <w:sz w:val="24"/>
                <w:szCs w:val="24"/>
                <w:color w:val="auto"/>
              </w:rPr>
            </w:pPr>
          </w:p>
        </w:tc>
        <w:tc>
          <w:tcPr>
            <w:tcW w:w="40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92"/>
              </w:rPr>
              <w:t>Shares</w:t>
            </w: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4820" w:type="dxa"/>
            <w:vAlign w:val="bottom"/>
            <w:gridSpan w:val="2"/>
            <w:shd w:val="clear" w:color="auto" w:fill="CCEEFF"/>
          </w:tcPr>
          <w:p>
            <w:pPr>
              <w:spacing w:after="0" w:line="169" w:lineRule="exact"/>
              <w:rPr>
                <w:sz w:val="20"/>
                <w:szCs w:val="20"/>
                <w:color w:val="auto"/>
              </w:rPr>
            </w:pPr>
            <w:r>
              <w:rPr>
                <w:rFonts w:ascii="Arial" w:cs="Arial" w:eastAsia="Arial" w:hAnsi="Arial"/>
                <w:sz w:val="12"/>
                <w:szCs w:val="12"/>
                <w:b w:val="1"/>
                <w:bCs w:val="1"/>
                <w:color w:val="auto"/>
              </w:rPr>
              <w:t>Common Equity/Partnership Interest</w:t>
            </w:r>
            <w:r>
              <w:rPr>
                <w:rFonts w:ascii="Arial" w:cs="Arial" w:eastAsia="Arial" w:hAnsi="Arial"/>
                <w:sz w:val="19"/>
                <w:szCs w:val="19"/>
                <w:b w:val="1"/>
                <w:bCs w:val="1"/>
                <w:color w:val="auto"/>
                <w:vertAlign w:val="superscript"/>
              </w:rPr>
              <w:t>(7)</w:t>
            </w:r>
            <w:r>
              <w:rPr>
                <w:rFonts w:ascii="Arial" w:cs="Arial" w:eastAsia="Arial" w:hAnsi="Arial"/>
                <w:sz w:val="12"/>
                <w:szCs w:val="12"/>
                <w:b w:val="1"/>
                <w:bCs w:val="1"/>
                <w:color w:val="auto"/>
              </w:rPr>
              <w:t xml:space="preserve"> – 4.2%</w:t>
            </w: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740" w:type="dxa"/>
            <w:vAlign w:val="bottom"/>
            <w:tcBorders>
              <w:top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8"/>
        </w:trPr>
        <w:tc>
          <w:tcPr>
            <w:tcW w:w="4820" w:type="dxa"/>
            <w:vAlign w:val="bottom"/>
            <w:gridSpan w:val="2"/>
          </w:tcPr>
          <w:p>
            <w:pPr>
              <w:spacing w:after="0" w:line="138" w:lineRule="exact"/>
              <w:rPr>
                <w:sz w:val="20"/>
                <w:szCs w:val="20"/>
                <w:color w:val="auto"/>
              </w:rPr>
            </w:pPr>
            <w:r>
              <w:rPr>
                <w:rFonts w:ascii="Arial" w:cs="Arial" w:eastAsia="Arial" w:hAnsi="Arial"/>
                <w:sz w:val="13"/>
                <w:szCs w:val="13"/>
                <w:color w:val="auto"/>
              </w:rPr>
              <w:t>AHC Mezzanine</w:t>
            </w:r>
          </w:p>
        </w:tc>
        <w:tc>
          <w:tcPr>
            <w:tcW w:w="900" w:type="dxa"/>
            <w:vAlign w:val="bottom"/>
          </w:tcPr>
          <w:p>
            <w:pPr>
              <w:ind w:left="700"/>
              <w:spacing w:after="0" w:line="138"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1240" w:type="dxa"/>
            <w:vAlign w:val="bottom"/>
          </w:tcPr>
          <w:p>
            <w:pPr>
              <w:jc w:val="center"/>
              <w:spacing w:after="0" w:line="138" w:lineRule="exact"/>
              <w:rPr>
                <w:sz w:val="20"/>
                <w:szCs w:val="20"/>
                <w:color w:val="auto"/>
              </w:rPr>
            </w:pPr>
            <w:r>
              <w:rPr>
                <w:rFonts w:ascii="Arial" w:cs="Arial" w:eastAsia="Arial" w:hAnsi="Arial"/>
                <w:sz w:val="13"/>
                <w:szCs w:val="13"/>
                <w:color w:val="auto"/>
                <w:w w:val="97"/>
              </w:rPr>
              <w:t>Other Media</w:t>
            </w:r>
          </w:p>
        </w:tc>
        <w:tc>
          <w:tcPr>
            <w:tcW w:w="120" w:type="dxa"/>
            <w:vAlign w:val="bottom"/>
          </w:tcPr>
          <w:p>
            <w:pPr>
              <w:spacing w:after="0"/>
              <w:rPr>
                <w:sz w:val="11"/>
                <w:szCs w:val="11"/>
                <w:color w:val="auto"/>
              </w:rPr>
            </w:pPr>
          </w:p>
        </w:tc>
        <w:tc>
          <w:tcPr>
            <w:tcW w:w="960" w:type="dxa"/>
            <w:vAlign w:val="bottom"/>
            <w:gridSpan w:val="2"/>
          </w:tcPr>
          <w:p>
            <w:pPr>
              <w:ind w:left="300"/>
              <w:spacing w:after="0" w:line="138" w:lineRule="exact"/>
              <w:rPr>
                <w:sz w:val="20"/>
                <w:szCs w:val="20"/>
                <w:color w:val="auto"/>
              </w:rPr>
            </w:pPr>
            <w:r>
              <w:rPr>
                <w:rFonts w:ascii="Arial" w:cs="Arial" w:eastAsia="Arial" w:hAnsi="Arial"/>
                <w:sz w:val="13"/>
                <w:szCs w:val="13"/>
                <w:color w:val="auto"/>
              </w:rPr>
              <w:t>—</w:t>
            </w:r>
          </w:p>
        </w:tc>
        <w:tc>
          <w:tcPr>
            <w:tcW w:w="500" w:type="dxa"/>
            <w:vAlign w:val="bottom"/>
          </w:tcPr>
          <w:p>
            <w:pPr>
              <w:jc w:val="right"/>
              <w:spacing w:after="0" w:line="138" w:lineRule="exact"/>
              <w:rPr>
                <w:sz w:val="20"/>
                <w:szCs w:val="20"/>
                <w:color w:val="auto"/>
              </w:rPr>
            </w:pPr>
            <w:r>
              <w:rPr>
                <w:rFonts w:ascii="Arial" w:cs="Arial" w:eastAsia="Arial" w:hAnsi="Arial"/>
                <w:sz w:val="13"/>
                <w:szCs w:val="13"/>
                <w:color w:val="auto"/>
              </w:rPr>
              <w:t>—</w:t>
            </w:r>
          </w:p>
        </w:tc>
        <w:tc>
          <w:tcPr>
            <w:tcW w:w="1140" w:type="dxa"/>
            <w:vAlign w:val="bottom"/>
            <w:gridSpan w:val="3"/>
          </w:tcPr>
          <w:p>
            <w:pPr>
              <w:jc w:val="right"/>
              <w:ind w:right="100"/>
              <w:spacing w:after="0" w:line="138" w:lineRule="exact"/>
              <w:rPr>
                <w:sz w:val="20"/>
                <w:szCs w:val="20"/>
                <w:color w:val="auto"/>
              </w:rPr>
            </w:pPr>
            <w:r>
              <w:rPr>
                <w:rFonts w:ascii="Arial" w:cs="Arial" w:eastAsia="Arial" w:hAnsi="Arial"/>
                <w:sz w:val="13"/>
                <w:szCs w:val="13"/>
                <w:color w:val="auto"/>
              </w:rPr>
              <w:t>3,000</w:t>
            </w:r>
          </w:p>
        </w:tc>
        <w:tc>
          <w:tcPr>
            <w:tcW w:w="780" w:type="dxa"/>
            <w:vAlign w:val="bottom"/>
            <w:gridSpan w:val="2"/>
          </w:tcPr>
          <w:p>
            <w:pPr>
              <w:jc w:val="right"/>
              <w:ind w:right="100"/>
              <w:spacing w:after="0" w:line="138" w:lineRule="exact"/>
              <w:rPr>
                <w:sz w:val="20"/>
                <w:szCs w:val="20"/>
                <w:color w:val="auto"/>
              </w:rPr>
            </w:pPr>
            <w:r>
              <w:rPr>
                <w:rFonts w:ascii="Arial" w:cs="Arial" w:eastAsia="Arial" w:hAnsi="Arial"/>
                <w:sz w:val="13"/>
                <w:szCs w:val="13"/>
                <w:color w:val="auto"/>
              </w:rPr>
              <w:t>3,000,000</w:t>
            </w:r>
          </w:p>
        </w:tc>
        <w:tc>
          <w:tcPr>
            <w:tcW w:w="680" w:type="dxa"/>
            <w:vAlign w:val="bottom"/>
          </w:tcPr>
          <w:p>
            <w:pPr>
              <w:jc w:val="right"/>
              <w:spacing w:after="0" w:line="138" w:lineRule="exact"/>
              <w:rPr>
                <w:sz w:val="20"/>
                <w:szCs w:val="20"/>
                <w:color w:val="auto"/>
              </w:rPr>
            </w:pPr>
            <w:r>
              <w:rPr>
                <w:rFonts w:ascii="Arial" w:cs="Arial" w:eastAsia="Arial" w:hAnsi="Arial"/>
                <w:sz w:val="13"/>
                <w:szCs w:val="13"/>
                <w:color w:val="auto"/>
              </w:rPr>
              <w: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4820" w:type="dxa"/>
            <w:vAlign w:val="bottom"/>
            <w:gridSpan w:val="2"/>
          </w:tcPr>
          <w:p>
            <w:pPr>
              <w:ind w:left="220"/>
              <w:spacing w:after="0"/>
              <w:rPr>
                <w:sz w:val="20"/>
                <w:szCs w:val="20"/>
                <w:color w:val="auto"/>
              </w:rPr>
            </w:pPr>
            <w:r>
              <w:rPr>
                <w:rFonts w:ascii="Arial" w:cs="Arial" w:eastAsia="Arial" w:hAnsi="Arial"/>
                <w:sz w:val="13"/>
                <w:szCs w:val="13"/>
                <w:color w:val="auto"/>
              </w:rPr>
              <w:t>(Advanstar, Inc.)</w:t>
            </w: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760" w:type="dxa"/>
            <w:vAlign w:val="bottom"/>
          </w:tcPr>
          <w:p>
            <w:pPr>
              <w:spacing w:after="0"/>
              <w:rPr>
                <w:sz w:val="8"/>
                <w:szCs w:val="8"/>
                <w:color w:val="auto"/>
              </w:rPr>
            </w:pPr>
          </w:p>
        </w:tc>
        <w:tc>
          <w:tcPr>
            <w:tcW w:w="4060" w:type="dxa"/>
            <w:vAlign w:val="bottom"/>
          </w:tcPr>
          <w:p>
            <w:pPr>
              <w:spacing w:after="0"/>
              <w:rPr>
                <w:sz w:val="8"/>
                <w:szCs w:val="8"/>
                <w:color w:val="auto"/>
              </w:rPr>
            </w:pPr>
          </w:p>
        </w:tc>
        <w:tc>
          <w:tcPr>
            <w:tcW w:w="9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40" w:type="dxa"/>
            <w:vAlign w:val="bottom"/>
          </w:tcPr>
          <w:p>
            <w:pPr>
              <w:spacing w:after="0"/>
              <w:rPr>
                <w:sz w:val="8"/>
                <w:szCs w:val="8"/>
                <w:color w:val="auto"/>
              </w:rPr>
            </w:pPr>
          </w:p>
        </w:tc>
        <w:tc>
          <w:tcPr>
            <w:tcW w:w="120" w:type="dxa"/>
            <w:vAlign w:val="bottom"/>
          </w:tcPr>
          <w:p>
            <w:pPr>
              <w:spacing w:after="0"/>
              <w:rPr>
                <w:sz w:val="8"/>
                <w:szCs w:val="8"/>
                <w:color w:val="auto"/>
              </w:rPr>
            </w:pPr>
          </w:p>
        </w:tc>
        <w:tc>
          <w:tcPr>
            <w:tcW w:w="500" w:type="dxa"/>
            <w:vAlign w:val="bottom"/>
          </w:tcPr>
          <w:p>
            <w:pPr>
              <w:spacing w:after="0"/>
              <w:rPr>
                <w:sz w:val="8"/>
                <w:szCs w:val="8"/>
                <w:color w:val="auto"/>
              </w:rPr>
            </w:pPr>
          </w:p>
        </w:tc>
        <w:tc>
          <w:tcPr>
            <w:tcW w:w="460" w:type="dxa"/>
            <w:vAlign w:val="bottom"/>
          </w:tcPr>
          <w:p>
            <w:pPr>
              <w:spacing w:after="0"/>
              <w:rPr>
                <w:sz w:val="8"/>
                <w:szCs w:val="8"/>
                <w:color w:val="auto"/>
              </w:rPr>
            </w:pPr>
          </w:p>
        </w:tc>
        <w:tc>
          <w:tcPr>
            <w:tcW w:w="500" w:type="dxa"/>
            <w:vAlign w:val="bottom"/>
          </w:tcPr>
          <w:p>
            <w:pPr>
              <w:spacing w:after="0"/>
              <w:rPr>
                <w:sz w:val="8"/>
                <w:szCs w:val="8"/>
                <w:color w:val="auto"/>
              </w:rPr>
            </w:pPr>
          </w:p>
        </w:tc>
        <w:tc>
          <w:tcPr>
            <w:tcW w:w="300" w:type="dxa"/>
            <w:vAlign w:val="bottom"/>
          </w:tcPr>
          <w:p>
            <w:pPr>
              <w:spacing w:after="0"/>
              <w:rPr>
                <w:sz w:val="8"/>
                <w:szCs w:val="8"/>
                <w:color w:val="auto"/>
              </w:rPr>
            </w:pPr>
          </w:p>
        </w:tc>
        <w:tc>
          <w:tcPr>
            <w:tcW w:w="7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38"/>
        </w:trPr>
        <w:tc>
          <w:tcPr>
            <w:tcW w:w="4820" w:type="dxa"/>
            <w:vAlign w:val="bottom"/>
            <w:gridSpan w:val="2"/>
            <w:shd w:val="clear" w:color="auto" w:fill="CCEEFF"/>
          </w:tcPr>
          <w:p>
            <w:pPr>
              <w:spacing w:after="0" w:line="138" w:lineRule="exact"/>
              <w:rPr>
                <w:sz w:val="20"/>
                <w:szCs w:val="20"/>
                <w:color w:val="auto"/>
              </w:rPr>
            </w:pPr>
            <w:r>
              <w:rPr>
                <w:rFonts w:ascii="Arial" w:cs="Arial" w:eastAsia="Arial" w:hAnsi="Arial"/>
                <w:sz w:val="13"/>
                <w:szCs w:val="13"/>
                <w:color w:val="auto"/>
              </w:rPr>
              <w:t>CFHC Holdings, Inc.,</w:t>
            </w:r>
          </w:p>
        </w:tc>
        <w:tc>
          <w:tcPr>
            <w:tcW w:w="900" w:type="dxa"/>
            <w:vAlign w:val="bottom"/>
            <w:shd w:val="clear" w:color="auto" w:fill="CCEEFF"/>
          </w:tcPr>
          <w:p>
            <w:pPr>
              <w:ind w:left="700"/>
              <w:spacing w:after="0" w:line="138"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1240" w:type="dxa"/>
            <w:vAlign w:val="bottom"/>
            <w:shd w:val="clear" w:color="auto" w:fill="CCEEFF"/>
          </w:tcPr>
          <w:p>
            <w:pPr>
              <w:jc w:val="center"/>
              <w:spacing w:after="0" w:line="138" w:lineRule="exact"/>
              <w:rPr>
                <w:sz w:val="20"/>
                <w:szCs w:val="20"/>
                <w:color w:val="auto"/>
              </w:rPr>
            </w:pPr>
            <w:r>
              <w:rPr>
                <w:rFonts w:ascii="Arial" w:cs="Arial" w:eastAsia="Arial" w:hAnsi="Arial"/>
                <w:sz w:val="13"/>
                <w:szCs w:val="13"/>
                <w:color w:val="auto"/>
                <w:w w:val="91"/>
              </w:rPr>
              <w:t>Aerospace and</w:t>
            </w:r>
          </w:p>
        </w:tc>
        <w:tc>
          <w:tcPr>
            <w:tcW w:w="120" w:type="dxa"/>
            <w:vAlign w:val="bottom"/>
            <w:shd w:val="clear" w:color="auto" w:fill="CCEEFF"/>
          </w:tcPr>
          <w:p>
            <w:pPr>
              <w:spacing w:after="0"/>
              <w:rPr>
                <w:sz w:val="11"/>
                <w:szCs w:val="11"/>
                <w:color w:val="auto"/>
              </w:rPr>
            </w:pPr>
          </w:p>
        </w:tc>
        <w:tc>
          <w:tcPr>
            <w:tcW w:w="960" w:type="dxa"/>
            <w:vAlign w:val="bottom"/>
            <w:gridSpan w:val="2"/>
            <w:shd w:val="clear" w:color="auto" w:fill="CCEEFF"/>
          </w:tcPr>
          <w:p>
            <w:pPr>
              <w:ind w:left="300"/>
              <w:spacing w:after="0" w:line="138" w:lineRule="exact"/>
              <w:rPr>
                <w:sz w:val="20"/>
                <w:szCs w:val="20"/>
                <w:color w:val="auto"/>
              </w:rPr>
            </w:pPr>
            <w:r>
              <w:rPr>
                <w:rFonts w:ascii="Arial" w:cs="Arial" w:eastAsia="Arial" w:hAnsi="Arial"/>
                <w:sz w:val="13"/>
                <w:szCs w:val="13"/>
                <w:color w:val="auto"/>
              </w:rPr>
              <w:t>—</w:t>
            </w:r>
          </w:p>
        </w:tc>
        <w:tc>
          <w:tcPr>
            <w:tcW w:w="50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w:t>
            </w:r>
          </w:p>
        </w:tc>
        <w:tc>
          <w:tcPr>
            <w:tcW w:w="1140" w:type="dxa"/>
            <w:vAlign w:val="bottom"/>
            <w:gridSpan w:val="3"/>
            <w:shd w:val="clear" w:color="auto" w:fill="CCEEFF"/>
          </w:tcPr>
          <w:p>
            <w:pPr>
              <w:jc w:val="right"/>
              <w:ind w:right="100"/>
              <w:spacing w:after="0" w:line="138" w:lineRule="exact"/>
              <w:rPr>
                <w:sz w:val="20"/>
                <w:szCs w:val="20"/>
                <w:color w:val="auto"/>
              </w:rPr>
            </w:pPr>
            <w:r>
              <w:rPr>
                <w:rFonts w:ascii="Arial" w:cs="Arial" w:eastAsia="Arial" w:hAnsi="Arial"/>
                <w:sz w:val="13"/>
                <w:szCs w:val="13"/>
                <w:color w:val="auto"/>
              </w:rPr>
              <w:t>1,627</w:t>
            </w:r>
          </w:p>
        </w:tc>
        <w:tc>
          <w:tcPr>
            <w:tcW w:w="780" w:type="dxa"/>
            <w:vAlign w:val="bottom"/>
            <w:gridSpan w:val="2"/>
            <w:shd w:val="clear" w:color="auto" w:fill="CCEEFF"/>
          </w:tcPr>
          <w:p>
            <w:pPr>
              <w:jc w:val="right"/>
              <w:ind w:right="100"/>
              <w:spacing w:after="0" w:line="138" w:lineRule="exact"/>
              <w:rPr>
                <w:sz w:val="20"/>
                <w:szCs w:val="20"/>
                <w:color w:val="auto"/>
              </w:rPr>
            </w:pPr>
            <w:r>
              <w:rPr>
                <w:rFonts w:ascii="Arial" w:cs="Arial" w:eastAsia="Arial" w:hAnsi="Arial"/>
                <w:sz w:val="13"/>
                <w:szCs w:val="13"/>
                <w:color w:val="auto"/>
              </w:rPr>
              <w:t>16,271</w:t>
            </w:r>
          </w:p>
        </w:tc>
        <w:tc>
          <w:tcPr>
            <w:tcW w:w="68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w:t>
            </w:r>
          </w:p>
        </w:tc>
        <w:tc>
          <w:tcPr>
            <w:tcW w:w="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4820" w:type="dxa"/>
            <w:vAlign w:val="bottom"/>
            <w:gridSpan w:val="2"/>
            <w:shd w:val="clear" w:color="auto" w:fill="CCEEFF"/>
          </w:tcPr>
          <w:p>
            <w:pPr>
              <w:ind w:left="220"/>
              <w:spacing w:after="0"/>
              <w:rPr>
                <w:sz w:val="20"/>
                <w:szCs w:val="20"/>
                <w:color w:val="auto"/>
              </w:rPr>
            </w:pPr>
            <w:r>
              <w:rPr>
                <w:rFonts w:ascii="Arial" w:cs="Arial" w:eastAsia="Arial" w:hAnsi="Arial"/>
                <w:sz w:val="13"/>
                <w:szCs w:val="13"/>
                <w:color w:val="auto"/>
              </w:rPr>
              <w:t>(Consolidated Foundries, Inc.)</w:t>
            </w:r>
          </w:p>
        </w:tc>
        <w:tc>
          <w:tcPr>
            <w:tcW w:w="9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0"/>
              </w:rPr>
              <w:t>Defense</w:t>
            </w:r>
          </w:p>
        </w:tc>
        <w:tc>
          <w:tcPr>
            <w:tcW w:w="12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6"/>
        </w:trPr>
        <w:tc>
          <w:tcPr>
            <w:tcW w:w="4820" w:type="dxa"/>
            <w:vAlign w:val="bottom"/>
            <w:gridSpan w:val="2"/>
          </w:tcPr>
          <w:p>
            <w:pPr>
              <w:spacing w:after="0"/>
              <w:rPr>
                <w:sz w:val="20"/>
                <w:szCs w:val="20"/>
                <w:color w:val="auto"/>
              </w:rPr>
            </w:pPr>
            <w:r>
              <w:rPr>
                <w:rFonts w:ascii="Arial" w:cs="Arial" w:eastAsia="Arial" w:hAnsi="Arial"/>
                <w:sz w:val="13"/>
                <w:szCs w:val="13"/>
                <w:color w:val="auto"/>
              </w:rPr>
              <w:t>CT Technologies Holdings, L.L.C.</w:t>
            </w:r>
          </w:p>
        </w:tc>
        <w:tc>
          <w:tcPr>
            <w:tcW w:w="900" w:type="dxa"/>
            <w:vAlign w:val="bottom"/>
          </w:tcPr>
          <w:p>
            <w:pPr>
              <w:ind w:left="7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1"/>
                <w:szCs w:val="21"/>
                <w:color w:val="auto"/>
              </w:rPr>
            </w:pPr>
          </w:p>
        </w:tc>
        <w:tc>
          <w:tcPr>
            <w:tcW w:w="1240" w:type="dxa"/>
            <w:vAlign w:val="bottom"/>
          </w:tcPr>
          <w:p>
            <w:pPr>
              <w:jc w:val="center"/>
              <w:spacing w:after="0"/>
              <w:rPr>
                <w:sz w:val="20"/>
                <w:szCs w:val="20"/>
                <w:color w:val="auto"/>
              </w:rPr>
            </w:pPr>
            <w:r>
              <w:rPr>
                <w:rFonts w:ascii="Arial" w:cs="Arial" w:eastAsia="Arial" w:hAnsi="Arial"/>
                <w:sz w:val="13"/>
                <w:szCs w:val="13"/>
                <w:color w:val="auto"/>
                <w:w w:val="92"/>
              </w:rPr>
              <w:t>Business Services</w:t>
            </w:r>
          </w:p>
        </w:tc>
        <w:tc>
          <w:tcPr>
            <w:tcW w:w="120" w:type="dxa"/>
            <w:vAlign w:val="bottom"/>
          </w:tcPr>
          <w:p>
            <w:pPr>
              <w:spacing w:after="0"/>
              <w:rPr>
                <w:sz w:val="21"/>
                <w:szCs w:val="21"/>
                <w:color w:val="auto"/>
              </w:rPr>
            </w:pPr>
          </w:p>
        </w:tc>
        <w:tc>
          <w:tcPr>
            <w:tcW w:w="960" w:type="dxa"/>
            <w:vAlign w:val="bottom"/>
            <w:gridSpan w:val="2"/>
          </w:tcPr>
          <w:p>
            <w:pPr>
              <w:ind w:left="300"/>
              <w:spacing w:after="0"/>
              <w:rPr>
                <w:sz w:val="20"/>
                <w:szCs w:val="20"/>
                <w:color w:val="auto"/>
              </w:rPr>
            </w:pPr>
            <w:r>
              <w:rPr>
                <w:rFonts w:ascii="Arial" w:cs="Arial" w:eastAsia="Arial" w:hAnsi="Arial"/>
                <w:sz w:val="13"/>
                <w:szCs w:val="13"/>
                <w:color w:val="auto"/>
              </w:rPr>
              <w:t>—</w:t>
            </w:r>
          </w:p>
        </w:tc>
        <w:tc>
          <w:tcPr>
            <w:tcW w:w="500" w:type="dxa"/>
            <w:vAlign w:val="bottom"/>
          </w:tcPr>
          <w:p>
            <w:pPr>
              <w:jc w:val="right"/>
              <w:spacing w:after="0"/>
              <w:rPr>
                <w:sz w:val="20"/>
                <w:szCs w:val="20"/>
                <w:color w:val="auto"/>
              </w:rPr>
            </w:pPr>
            <w:r>
              <w:rPr>
                <w:rFonts w:ascii="Arial" w:cs="Arial" w:eastAsia="Arial" w:hAnsi="Arial"/>
                <w:sz w:val="13"/>
                <w:szCs w:val="13"/>
                <w:color w:val="auto"/>
              </w:rPr>
              <w:t>—</w:t>
            </w:r>
          </w:p>
        </w:tc>
        <w:tc>
          <w:tcPr>
            <w:tcW w:w="1140" w:type="dxa"/>
            <w:vAlign w:val="bottom"/>
            <w:gridSpan w:val="3"/>
          </w:tcPr>
          <w:p>
            <w:pPr>
              <w:jc w:val="right"/>
              <w:ind w:right="100"/>
              <w:spacing w:after="0"/>
              <w:rPr>
                <w:sz w:val="20"/>
                <w:szCs w:val="20"/>
                <w:color w:val="auto"/>
              </w:rPr>
            </w:pPr>
            <w:r>
              <w:rPr>
                <w:rFonts w:ascii="Arial" w:cs="Arial" w:eastAsia="Arial" w:hAnsi="Arial"/>
                <w:sz w:val="13"/>
                <w:szCs w:val="13"/>
                <w:color w:val="auto"/>
              </w:rPr>
              <w:t>5,556</w:t>
            </w:r>
          </w:p>
        </w:tc>
        <w:tc>
          <w:tcPr>
            <w:tcW w:w="780" w:type="dxa"/>
            <w:vAlign w:val="bottom"/>
            <w:gridSpan w:val="2"/>
          </w:tcPr>
          <w:p>
            <w:pPr>
              <w:jc w:val="right"/>
              <w:ind w:right="100"/>
              <w:spacing w:after="0"/>
              <w:rPr>
                <w:sz w:val="20"/>
                <w:szCs w:val="20"/>
                <w:color w:val="auto"/>
              </w:rPr>
            </w:pPr>
            <w:r>
              <w:rPr>
                <w:rFonts w:ascii="Arial" w:cs="Arial" w:eastAsia="Arial" w:hAnsi="Arial"/>
                <w:sz w:val="13"/>
                <w:szCs w:val="13"/>
                <w:color w:val="auto"/>
              </w:rPr>
              <w:t>3,200,000</w:t>
            </w:r>
          </w:p>
        </w:tc>
        <w:tc>
          <w:tcPr>
            <w:tcW w:w="700" w:type="dxa"/>
            <w:vAlign w:val="bottom"/>
            <w:gridSpan w:val="2"/>
          </w:tcPr>
          <w:p>
            <w:pPr>
              <w:jc w:val="right"/>
              <w:ind w:right="20"/>
              <w:spacing w:after="0"/>
              <w:rPr>
                <w:sz w:val="20"/>
                <w:szCs w:val="20"/>
                <w:color w:val="auto"/>
              </w:rPr>
            </w:pPr>
            <w:r>
              <w:rPr>
                <w:rFonts w:ascii="Arial" w:cs="Arial" w:eastAsia="Arial" w:hAnsi="Arial"/>
                <w:sz w:val="13"/>
                <w:szCs w:val="13"/>
                <w:color w:val="auto"/>
              </w:rPr>
              <w:t>4,471,968</w:t>
            </w:r>
          </w:p>
        </w:tc>
        <w:tc>
          <w:tcPr>
            <w:tcW w:w="0" w:type="dxa"/>
            <w:vAlign w:val="bottom"/>
          </w:tcPr>
          <w:p>
            <w:pPr>
              <w:spacing w:after="0"/>
              <w:rPr>
                <w:sz w:val="1"/>
                <w:szCs w:val="1"/>
                <w:color w:val="auto"/>
              </w:rPr>
            </w:pPr>
          </w:p>
        </w:tc>
      </w:tr>
      <w:tr>
        <w:trPr>
          <w:trHeight w:val="172"/>
        </w:trPr>
        <w:tc>
          <w:tcPr>
            <w:tcW w:w="4820" w:type="dxa"/>
            <w:vAlign w:val="bottom"/>
            <w:gridSpan w:val="2"/>
          </w:tcPr>
          <w:p>
            <w:pPr>
              <w:ind w:left="220"/>
              <w:spacing w:after="0"/>
              <w:rPr>
                <w:sz w:val="20"/>
                <w:szCs w:val="20"/>
                <w:color w:val="auto"/>
              </w:rPr>
            </w:pPr>
            <w:r>
              <w:rPr>
                <w:rFonts w:ascii="Arial" w:cs="Arial" w:eastAsia="Arial" w:hAnsi="Arial"/>
                <w:sz w:val="13"/>
                <w:szCs w:val="13"/>
                <w:color w:val="auto"/>
              </w:rPr>
              <w:t>(CT Technologies Intermediate Holdings, Inc.)</w:t>
            </w: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760" w:type="dxa"/>
            <w:vAlign w:val="bottom"/>
          </w:tcPr>
          <w:p>
            <w:pPr>
              <w:spacing w:after="0"/>
              <w:rPr>
                <w:sz w:val="8"/>
                <w:szCs w:val="8"/>
                <w:color w:val="auto"/>
              </w:rPr>
            </w:pPr>
          </w:p>
        </w:tc>
        <w:tc>
          <w:tcPr>
            <w:tcW w:w="4060" w:type="dxa"/>
            <w:vAlign w:val="bottom"/>
          </w:tcPr>
          <w:p>
            <w:pPr>
              <w:spacing w:after="0"/>
              <w:rPr>
                <w:sz w:val="8"/>
                <w:szCs w:val="8"/>
                <w:color w:val="auto"/>
              </w:rPr>
            </w:pPr>
          </w:p>
        </w:tc>
        <w:tc>
          <w:tcPr>
            <w:tcW w:w="9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40" w:type="dxa"/>
            <w:vAlign w:val="bottom"/>
          </w:tcPr>
          <w:p>
            <w:pPr>
              <w:spacing w:after="0"/>
              <w:rPr>
                <w:sz w:val="8"/>
                <w:szCs w:val="8"/>
                <w:color w:val="auto"/>
              </w:rPr>
            </w:pPr>
          </w:p>
        </w:tc>
        <w:tc>
          <w:tcPr>
            <w:tcW w:w="120" w:type="dxa"/>
            <w:vAlign w:val="bottom"/>
          </w:tcPr>
          <w:p>
            <w:pPr>
              <w:spacing w:after="0"/>
              <w:rPr>
                <w:sz w:val="8"/>
                <w:szCs w:val="8"/>
                <w:color w:val="auto"/>
              </w:rPr>
            </w:pPr>
          </w:p>
        </w:tc>
        <w:tc>
          <w:tcPr>
            <w:tcW w:w="500" w:type="dxa"/>
            <w:vAlign w:val="bottom"/>
          </w:tcPr>
          <w:p>
            <w:pPr>
              <w:spacing w:after="0"/>
              <w:rPr>
                <w:sz w:val="8"/>
                <w:szCs w:val="8"/>
                <w:color w:val="auto"/>
              </w:rPr>
            </w:pPr>
          </w:p>
        </w:tc>
        <w:tc>
          <w:tcPr>
            <w:tcW w:w="460" w:type="dxa"/>
            <w:vAlign w:val="bottom"/>
          </w:tcPr>
          <w:p>
            <w:pPr>
              <w:spacing w:after="0"/>
              <w:rPr>
                <w:sz w:val="8"/>
                <w:szCs w:val="8"/>
                <w:color w:val="auto"/>
              </w:rPr>
            </w:pPr>
          </w:p>
        </w:tc>
        <w:tc>
          <w:tcPr>
            <w:tcW w:w="500" w:type="dxa"/>
            <w:vAlign w:val="bottom"/>
          </w:tcPr>
          <w:p>
            <w:pPr>
              <w:spacing w:after="0"/>
              <w:rPr>
                <w:sz w:val="8"/>
                <w:szCs w:val="8"/>
                <w:color w:val="auto"/>
              </w:rPr>
            </w:pPr>
          </w:p>
        </w:tc>
        <w:tc>
          <w:tcPr>
            <w:tcW w:w="300" w:type="dxa"/>
            <w:vAlign w:val="bottom"/>
          </w:tcPr>
          <w:p>
            <w:pPr>
              <w:spacing w:after="0"/>
              <w:rPr>
                <w:sz w:val="8"/>
                <w:szCs w:val="8"/>
                <w:color w:val="auto"/>
              </w:rPr>
            </w:pPr>
          </w:p>
        </w:tc>
        <w:tc>
          <w:tcPr>
            <w:tcW w:w="7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38"/>
        </w:trPr>
        <w:tc>
          <w:tcPr>
            <w:tcW w:w="4820" w:type="dxa"/>
            <w:vAlign w:val="bottom"/>
            <w:gridSpan w:val="2"/>
            <w:shd w:val="clear" w:color="auto" w:fill="CCEEFF"/>
          </w:tcPr>
          <w:p>
            <w:pPr>
              <w:spacing w:after="0" w:line="138" w:lineRule="exact"/>
              <w:rPr>
                <w:sz w:val="20"/>
                <w:szCs w:val="20"/>
                <w:color w:val="auto"/>
              </w:rPr>
            </w:pPr>
            <w:r>
              <w:rPr>
                <w:rFonts w:ascii="Arial" w:cs="Arial" w:eastAsia="Arial" w:hAnsi="Arial"/>
                <w:sz w:val="13"/>
                <w:szCs w:val="13"/>
                <w:color w:val="auto"/>
              </w:rPr>
              <w:t>i2 Holdings Ltd.</w:t>
            </w:r>
          </w:p>
        </w:tc>
        <w:tc>
          <w:tcPr>
            <w:tcW w:w="900" w:type="dxa"/>
            <w:vAlign w:val="bottom"/>
            <w:shd w:val="clear" w:color="auto" w:fill="CCEEFF"/>
          </w:tcPr>
          <w:p>
            <w:pPr>
              <w:ind w:left="700"/>
              <w:spacing w:after="0" w:line="138"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1240" w:type="dxa"/>
            <w:vAlign w:val="bottom"/>
            <w:shd w:val="clear" w:color="auto" w:fill="CCEEFF"/>
          </w:tcPr>
          <w:p>
            <w:pPr>
              <w:jc w:val="center"/>
              <w:spacing w:after="0" w:line="138" w:lineRule="exact"/>
              <w:rPr>
                <w:sz w:val="20"/>
                <w:szCs w:val="20"/>
                <w:color w:val="auto"/>
              </w:rPr>
            </w:pPr>
            <w:r>
              <w:rPr>
                <w:rFonts w:ascii="Arial" w:cs="Arial" w:eastAsia="Arial" w:hAnsi="Arial"/>
                <w:sz w:val="13"/>
                <w:szCs w:val="13"/>
                <w:color w:val="auto"/>
                <w:w w:val="91"/>
              </w:rPr>
              <w:t>Aerospace and</w:t>
            </w:r>
          </w:p>
        </w:tc>
        <w:tc>
          <w:tcPr>
            <w:tcW w:w="120" w:type="dxa"/>
            <w:vAlign w:val="bottom"/>
            <w:shd w:val="clear" w:color="auto" w:fill="CCEEFF"/>
          </w:tcPr>
          <w:p>
            <w:pPr>
              <w:spacing w:after="0"/>
              <w:rPr>
                <w:sz w:val="11"/>
                <w:szCs w:val="11"/>
                <w:color w:val="auto"/>
              </w:rPr>
            </w:pPr>
          </w:p>
        </w:tc>
        <w:tc>
          <w:tcPr>
            <w:tcW w:w="960" w:type="dxa"/>
            <w:vAlign w:val="bottom"/>
            <w:gridSpan w:val="2"/>
            <w:shd w:val="clear" w:color="auto" w:fill="CCEEFF"/>
          </w:tcPr>
          <w:p>
            <w:pPr>
              <w:ind w:left="300"/>
              <w:spacing w:after="0" w:line="138" w:lineRule="exact"/>
              <w:rPr>
                <w:sz w:val="20"/>
                <w:szCs w:val="20"/>
                <w:color w:val="auto"/>
              </w:rPr>
            </w:pPr>
            <w:r>
              <w:rPr>
                <w:rFonts w:ascii="Arial" w:cs="Arial" w:eastAsia="Arial" w:hAnsi="Arial"/>
                <w:sz w:val="13"/>
                <w:szCs w:val="13"/>
                <w:color w:val="auto"/>
              </w:rPr>
              <w:t>—</w:t>
            </w:r>
          </w:p>
        </w:tc>
        <w:tc>
          <w:tcPr>
            <w:tcW w:w="50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w:t>
            </w:r>
          </w:p>
        </w:tc>
        <w:tc>
          <w:tcPr>
            <w:tcW w:w="1140" w:type="dxa"/>
            <w:vAlign w:val="bottom"/>
            <w:gridSpan w:val="3"/>
            <w:shd w:val="clear" w:color="auto" w:fill="CCEEFF"/>
          </w:tcPr>
          <w:p>
            <w:pPr>
              <w:jc w:val="right"/>
              <w:ind w:right="100"/>
              <w:spacing w:after="0" w:line="138" w:lineRule="exact"/>
              <w:rPr>
                <w:sz w:val="20"/>
                <w:szCs w:val="20"/>
                <w:color w:val="auto"/>
              </w:rPr>
            </w:pPr>
            <w:r>
              <w:rPr>
                <w:rFonts w:ascii="Arial" w:cs="Arial" w:eastAsia="Arial" w:hAnsi="Arial"/>
                <w:sz w:val="13"/>
                <w:szCs w:val="13"/>
                <w:color w:val="auto"/>
              </w:rPr>
              <w:t>440,000</w:t>
            </w:r>
          </w:p>
        </w:tc>
        <w:tc>
          <w:tcPr>
            <w:tcW w:w="780" w:type="dxa"/>
            <w:vAlign w:val="bottom"/>
            <w:gridSpan w:val="2"/>
            <w:shd w:val="clear" w:color="auto" w:fill="CCEEFF"/>
          </w:tcPr>
          <w:p>
            <w:pPr>
              <w:jc w:val="right"/>
              <w:ind w:right="100"/>
              <w:spacing w:after="0" w:line="138" w:lineRule="exact"/>
              <w:rPr>
                <w:sz w:val="20"/>
                <w:szCs w:val="20"/>
                <w:color w:val="auto"/>
              </w:rPr>
            </w:pPr>
            <w:r>
              <w:rPr>
                <w:rFonts w:ascii="Arial" w:cs="Arial" w:eastAsia="Arial" w:hAnsi="Arial"/>
                <w:sz w:val="13"/>
                <w:szCs w:val="13"/>
                <w:color w:val="auto"/>
              </w:rPr>
              <w:t>440,000</w:t>
            </w:r>
          </w:p>
        </w:tc>
        <w:tc>
          <w:tcPr>
            <w:tcW w:w="68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1,454,031</w:t>
            </w:r>
          </w:p>
        </w:tc>
        <w:tc>
          <w:tcPr>
            <w:tcW w:w="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760" w:type="dxa"/>
            <w:vAlign w:val="bottom"/>
            <w:shd w:val="clear" w:color="auto" w:fill="CCEEFF"/>
          </w:tcPr>
          <w:p>
            <w:pPr>
              <w:spacing w:after="0"/>
              <w:rPr>
                <w:sz w:val="13"/>
                <w:szCs w:val="13"/>
                <w:color w:val="auto"/>
              </w:rPr>
            </w:pPr>
          </w:p>
        </w:tc>
        <w:tc>
          <w:tcPr>
            <w:tcW w:w="406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0"/>
              </w:rPr>
              <w:t>Defense</w:t>
            </w:r>
          </w:p>
        </w:tc>
        <w:tc>
          <w:tcPr>
            <w:tcW w:w="12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6"/>
        </w:trPr>
        <w:tc>
          <w:tcPr>
            <w:tcW w:w="4820" w:type="dxa"/>
            <w:vAlign w:val="bottom"/>
            <w:gridSpan w:val="2"/>
          </w:tcPr>
          <w:p>
            <w:pPr>
              <w:spacing w:after="0"/>
              <w:rPr>
                <w:sz w:val="20"/>
                <w:szCs w:val="20"/>
                <w:color w:val="auto"/>
              </w:rPr>
            </w:pPr>
            <w:r>
              <w:rPr>
                <w:rFonts w:ascii="Arial" w:cs="Arial" w:eastAsia="Arial" w:hAnsi="Arial"/>
                <w:sz w:val="13"/>
                <w:szCs w:val="13"/>
                <w:color w:val="auto"/>
              </w:rPr>
              <w:t>Transportation 100 Holdco, L.L.C.</w:t>
            </w:r>
          </w:p>
        </w:tc>
        <w:tc>
          <w:tcPr>
            <w:tcW w:w="900" w:type="dxa"/>
            <w:vAlign w:val="bottom"/>
          </w:tcPr>
          <w:p>
            <w:pPr>
              <w:ind w:left="7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1"/>
                <w:szCs w:val="21"/>
                <w:color w:val="auto"/>
              </w:rPr>
            </w:pPr>
          </w:p>
        </w:tc>
        <w:tc>
          <w:tcPr>
            <w:tcW w:w="1240" w:type="dxa"/>
            <w:vAlign w:val="bottom"/>
          </w:tcPr>
          <w:p>
            <w:pPr>
              <w:jc w:val="center"/>
              <w:spacing w:after="0"/>
              <w:rPr>
                <w:sz w:val="20"/>
                <w:szCs w:val="20"/>
                <w:color w:val="auto"/>
              </w:rPr>
            </w:pPr>
            <w:r>
              <w:rPr>
                <w:rFonts w:ascii="Arial" w:cs="Arial" w:eastAsia="Arial" w:hAnsi="Arial"/>
                <w:sz w:val="13"/>
                <w:szCs w:val="13"/>
                <w:color w:val="auto"/>
                <w:w w:val="92"/>
              </w:rPr>
              <w:t>Cargo Transport</w:t>
            </w:r>
          </w:p>
        </w:tc>
        <w:tc>
          <w:tcPr>
            <w:tcW w:w="120" w:type="dxa"/>
            <w:vAlign w:val="bottom"/>
          </w:tcPr>
          <w:p>
            <w:pPr>
              <w:spacing w:after="0"/>
              <w:rPr>
                <w:sz w:val="21"/>
                <w:szCs w:val="21"/>
                <w:color w:val="auto"/>
              </w:rPr>
            </w:pPr>
          </w:p>
        </w:tc>
        <w:tc>
          <w:tcPr>
            <w:tcW w:w="960" w:type="dxa"/>
            <w:vAlign w:val="bottom"/>
            <w:gridSpan w:val="2"/>
          </w:tcPr>
          <w:p>
            <w:pPr>
              <w:ind w:left="300"/>
              <w:spacing w:after="0"/>
              <w:rPr>
                <w:sz w:val="20"/>
                <w:szCs w:val="20"/>
                <w:color w:val="auto"/>
              </w:rPr>
            </w:pPr>
            <w:r>
              <w:rPr>
                <w:rFonts w:ascii="Arial" w:cs="Arial" w:eastAsia="Arial" w:hAnsi="Arial"/>
                <w:sz w:val="13"/>
                <w:szCs w:val="13"/>
                <w:color w:val="auto"/>
              </w:rPr>
              <w:t>—</w:t>
            </w:r>
          </w:p>
        </w:tc>
        <w:tc>
          <w:tcPr>
            <w:tcW w:w="500" w:type="dxa"/>
            <w:vAlign w:val="bottom"/>
          </w:tcPr>
          <w:p>
            <w:pPr>
              <w:jc w:val="right"/>
              <w:spacing w:after="0"/>
              <w:rPr>
                <w:sz w:val="20"/>
                <w:szCs w:val="20"/>
                <w:color w:val="auto"/>
              </w:rPr>
            </w:pPr>
            <w:r>
              <w:rPr>
                <w:rFonts w:ascii="Arial" w:cs="Arial" w:eastAsia="Arial" w:hAnsi="Arial"/>
                <w:sz w:val="13"/>
                <w:szCs w:val="13"/>
                <w:color w:val="auto"/>
              </w:rPr>
              <w:t>—</w:t>
            </w:r>
          </w:p>
        </w:tc>
        <w:tc>
          <w:tcPr>
            <w:tcW w:w="1140" w:type="dxa"/>
            <w:vAlign w:val="bottom"/>
            <w:gridSpan w:val="3"/>
          </w:tcPr>
          <w:p>
            <w:pPr>
              <w:jc w:val="right"/>
              <w:ind w:right="100"/>
              <w:spacing w:after="0"/>
              <w:rPr>
                <w:sz w:val="20"/>
                <w:szCs w:val="20"/>
                <w:color w:val="auto"/>
              </w:rPr>
            </w:pPr>
            <w:r>
              <w:rPr>
                <w:rFonts w:ascii="Arial" w:cs="Arial" w:eastAsia="Arial" w:hAnsi="Arial"/>
                <w:sz w:val="13"/>
                <w:szCs w:val="13"/>
                <w:color w:val="auto"/>
              </w:rPr>
              <w:t>106,299</w:t>
            </w:r>
          </w:p>
        </w:tc>
        <w:tc>
          <w:tcPr>
            <w:tcW w:w="780" w:type="dxa"/>
            <w:vAlign w:val="bottom"/>
            <w:gridSpan w:val="2"/>
          </w:tcPr>
          <w:p>
            <w:pPr>
              <w:jc w:val="right"/>
              <w:ind w:right="100"/>
              <w:spacing w:after="0"/>
              <w:rPr>
                <w:sz w:val="20"/>
                <w:szCs w:val="20"/>
                <w:color w:val="auto"/>
              </w:rPr>
            </w:pPr>
            <w:r>
              <w:rPr>
                <w:rFonts w:ascii="Arial" w:cs="Arial" w:eastAsia="Arial" w:hAnsi="Arial"/>
                <w:sz w:val="13"/>
                <w:szCs w:val="13"/>
                <w:color w:val="auto"/>
              </w:rPr>
              <w:t>1,779,455</w:t>
            </w:r>
          </w:p>
        </w:tc>
        <w:tc>
          <w:tcPr>
            <w:tcW w:w="700" w:type="dxa"/>
            <w:vAlign w:val="bottom"/>
            <w:gridSpan w:val="2"/>
          </w:tcPr>
          <w:p>
            <w:pPr>
              <w:jc w:val="right"/>
              <w:ind w:right="20"/>
              <w:spacing w:after="0"/>
              <w:rPr>
                <w:sz w:val="20"/>
                <w:szCs w:val="20"/>
                <w:color w:val="auto"/>
              </w:rPr>
            </w:pPr>
            <w:r>
              <w:rPr>
                <w:rFonts w:ascii="Arial" w:cs="Arial" w:eastAsia="Arial" w:hAnsi="Arial"/>
                <w:sz w:val="13"/>
                <w:szCs w:val="13"/>
                <w:color w:val="auto"/>
              </w:rPr>
              <w:t>1,779,455</w:t>
            </w:r>
          </w:p>
        </w:tc>
        <w:tc>
          <w:tcPr>
            <w:tcW w:w="0" w:type="dxa"/>
            <w:vAlign w:val="bottom"/>
          </w:tcPr>
          <w:p>
            <w:pPr>
              <w:spacing w:after="0"/>
              <w:rPr>
                <w:sz w:val="1"/>
                <w:szCs w:val="1"/>
                <w:color w:val="auto"/>
              </w:rPr>
            </w:pPr>
          </w:p>
        </w:tc>
      </w:tr>
      <w:tr>
        <w:trPr>
          <w:trHeight w:val="172"/>
        </w:trPr>
        <w:tc>
          <w:tcPr>
            <w:tcW w:w="4820" w:type="dxa"/>
            <w:vAlign w:val="bottom"/>
            <w:gridSpan w:val="2"/>
          </w:tcPr>
          <w:p>
            <w:pPr>
              <w:ind w:left="220"/>
              <w:spacing w:after="0"/>
              <w:rPr>
                <w:sz w:val="20"/>
                <w:szCs w:val="20"/>
                <w:color w:val="auto"/>
              </w:rPr>
            </w:pPr>
            <w:r>
              <w:rPr>
                <w:rFonts w:ascii="Arial" w:cs="Arial" w:eastAsia="Arial" w:hAnsi="Arial"/>
                <w:sz w:val="13"/>
                <w:szCs w:val="13"/>
                <w:color w:val="auto"/>
              </w:rPr>
              <w:t>(Greatwide Logistics Services, L.L.C.)</w:t>
            </w: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760" w:type="dxa"/>
            <w:vAlign w:val="bottom"/>
          </w:tcPr>
          <w:p>
            <w:pPr>
              <w:spacing w:after="0"/>
              <w:rPr>
                <w:sz w:val="8"/>
                <w:szCs w:val="8"/>
                <w:color w:val="auto"/>
              </w:rPr>
            </w:pPr>
          </w:p>
        </w:tc>
        <w:tc>
          <w:tcPr>
            <w:tcW w:w="4060" w:type="dxa"/>
            <w:vAlign w:val="bottom"/>
          </w:tcPr>
          <w:p>
            <w:pPr>
              <w:spacing w:after="0"/>
              <w:rPr>
                <w:sz w:val="8"/>
                <w:szCs w:val="8"/>
                <w:color w:val="auto"/>
              </w:rPr>
            </w:pPr>
          </w:p>
        </w:tc>
        <w:tc>
          <w:tcPr>
            <w:tcW w:w="9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40" w:type="dxa"/>
            <w:vAlign w:val="bottom"/>
          </w:tcPr>
          <w:p>
            <w:pPr>
              <w:spacing w:after="0"/>
              <w:rPr>
                <w:sz w:val="8"/>
                <w:szCs w:val="8"/>
                <w:color w:val="auto"/>
              </w:rPr>
            </w:pPr>
          </w:p>
        </w:tc>
        <w:tc>
          <w:tcPr>
            <w:tcW w:w="120" w:type="dxa"/>
            <w:vAlign w:val="bottom"/>
          </w:tcPr>
          <w:p>
            <w:pPr>
              <w:spacing w:after="0"/>
              <w:rPr>
                <w:sz w:val="8"/>
                <w:szCs w:val="8"/>
                <w:color w:val="auto"/>
              </w:rPr>
            </w:pPr>
          </w:p>
        </w:tc>
        <w:tc>
          <w:tcPr>
            <w:tcW w:w="500" w:type="dxa"/>
            <w:vAlign w:val="bottom"/>
          </w:tcPr>
          <w:p>
            <w:pPr>
              <w:spacing w:after="0"/>
              <w:rPr>
                <w:sz w:val="8"/>
                <w:szCs w:val="8"/>
                <w:color w:val="auto"/>
              </w:rPr>
            </w:pPr>
          </w:p>
        </w:tc>
        <w:tc>
          <w:tcPr>
            <w:tcW w:w="460" w:type="dxa"/>
            <w:vAlign w:val="bottom"/>
          </w:tcPr>
          <w:p>
            <w:pPr>
              <w:spacing w:after="0"/>
              <w:rPr>
                <w:sz w:val="8"/>
                <w:szCs w:val="8"/>
                <w:color w:val="auto"/>
              </w:rPr>
            </w:pPr>
          </w:p>
        </w:tc>
        <w:tc>
          <w:tcPr>
            <w:tcW w:w="500" w:type="dxa"/>
            <w:vAlign w:val="bottom"/>
          </w:tcPr>
          <w:p>
            <w:pPr>
              <w:spacing w:after="0"/>
              <w:rPr>
                <w:sz w:val="8"/>
                <w:szCs w:val="8"/>
                <w:color w:val="auto"/>
              </w:rPr>
            </w:pPr>
          </w:p>
        </w:tc>
        <w:tc>
          <w:tcPr>
            <w:tcW w:w="300" w:type="dxa"/>
            <w:vAlign w:val="bottom"/>
          </w:tcPr>
          <w:p>
            <w:pPr>
              <w:spacing w:after="0"/>
              <w:rPr>
                <w:sz w:val="8"/>
                <w:szCs w:val="8"/>
                <w:color w:val="auto"/>
              </w:rPr>
            </w:pPr>
          </w:p>
        </w:tc>
        <w:tc>
          <w:tcPr>
            <w:tcW w:w="7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38"/>
        </w:trPr>
        <w:tc>
          <w:tcPr>
            <w:tcW w:w="4820" w:type="dxa"/>
            <w:vAlign w:val="bottom"/>
            <w:gridSpan w:val="2"/>
            <w:shd w:val="clear" w:color="auto" w:fill="CCEEFF"/>
          </w:tcPr>
          <w:p>
            <w:pPr>
              <w:spacing w:after="0" w:line="138" w:lineRule="exact"/>
              <w:rPr>
                <w:sz w:val="20"/>
                <w:szCs w:val="20"/>
                <w:color w:val="auto"/>
              </w:rPr>
            </w:pPr>
            <w:r>
              <w:rPr>
                <w:rFonts w:ascii="Arial" w:cs="Arial" w:eastAsia="Arial" w:hAnsi="Arial"/>
                <w:sz w:val="13"/>
                <w:szCs w:val="13"/>
                <w:color w:val="auto"/>
              </w:rPr>
              <w:t>TZ Holdings, L.P.</w:t>
            </w:r>
          </w:p>
        </w:tc>
        <w:tc>
          <w:tcPr>
            <w:tcW w:w="900" w:type="dxa"/>
            <w:vAlign w:val="bottom"/>
            <w:shd w:val="clear" w:color="auto" w:fill="CCEEFF"/>
          </w:tcPr>
          <w:p>
            <w:pPr>
              <w:ind w:left="700"/>
              <w:spacing w:after="0" w:line="138"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1240" w:type="dxa"/>
            <w:vAlign w:val="bottom"/>
            <w:shd w:val="clear" w:color="auto" w:fill="CCEEFF"/>
          </w:tcPr>
          <w:p>
            <w:pPr>
              <w:jc w:val="center"/>
              <w:spacing w:after="0" w:line="138" w:lineRule="exact"/>
              <w:rPr>
                <w:sz w:val="20"/>
                <w:szCs w:val="20"/>
                <w:color w:val="auto"/>
              </w:rPr>
            </w:pPr>
            <w:r>
              <w:rPr>
                <w:rFonts w:ascii="Arial" w:cs="Arial" w:eastAsia="Arial" w:hAnsi="Arial"/>
                <w:sz w:val="13"/>
                <w:szCs w:val="13"/>
                <w:color w:val="auto"/>
                <w:w w:val="91"/>
              </w:rPr>
              <w:t>Insurance</w:t>
            </w:r>
          </w:p>
        </w:tc>
        <w:tc>
          <w:tcPr>
            <w:tcW w:w="120" w:type="dxa"/>
            <w:vAlign w:val="bottom"/>
            <w:shd w:val="clear" w:color="auto" w:fill="CCEEFF"/>
          </w:tcPr>
          <w:p>
            <w:pPr>
              <w:spacing w:after="0"/>
              <w:rPr>
                <w:sz w:val="11"/>
                <w:szCs w:val="11"/>
                <w:color w:val="auto"/>
              </w:rPr>
            </w:pPr>
          </w:p>
        </w:tc>
        <w:tc>
          <w:tcPr>
            <w:tcW w:w="960" w:type="dxa"/>
            <w:vAlign w:val="bottom"/>
            <w:gridSpan w:val="2"/>
            <w:shd w:val="clear" w:color="auto" w:fill="CCEEFF"/>
          </w:tcPr>
          <w:p>
            <w:pPr>
              <w:ind w:left="300"/>
              <w:spacing w:after="0" w:line="138" w:lineRule="exact"/>
              <w:rPr>
                <w:sz w:val="20"/>
                <w:szCs w:val="20"/>
                <w:color w:val="auto"/>
              </w:rPr>
            </w:pPr>
            <w:r>
              <w:rPr>
                <w:rFonts w:ascii="Arial" w:cs="Arial" w:eastAsia="Arial" w:hAnsi="Arial"/>
                <w:sz w:val="13"/>
                <w:szCs w:val="13"/>
                <w:color w:val="auto"/>
              </w:rPr>
              <w:t>—</w:t>
            </w:r>
          </w:p>
        </w:tc>
        <w:tc>
          <w:tcPr>
            <w:tcW w:w="50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w:t>
            </w:r>
          </w:p>
        </w:tc>
        <w:tc>
          <w:tcPr>
            <w:tcW w:w="1140" w:type="dxa"/>
            <w:vAlign w:val="bottom"/>
            <w:gridSpan w:val="3"/>
            <w:shd w:val="clear" w:color="auto" w:fill="CCEEFF"/>
          </w:tcPr>
          <w:p>
            <w:pPr>
              <w:jc w:val="right"/>
              <w:ind w:right="100"/>
              <w:spacing w:after="0" w:line="138" w:lineRule="exact"/>
              <w:rPr>
                <w:sz w:val="20"/>
                <w:szCs w:val="20"/>
                <w:color w:val="auto"/>
              </w:rPr>
            </w:pPr>
            <w:r>
              <w:rPr>
                <w:rFonts w:ascii="Arial" w:cs="Arial" w:eastAsia="Arial" w:hAnsi="Arial"/>
                <w:sz w:val="13"/>
                <w:szCs w:val="13"/>
                <w:color w:val="auto"/>
              </w:rPr>
              <w:t>2</w:t>
            </w:r>
          </w:p>
        </w:tc>
        <w:tc>
          <w:tcPr>
            <w:tcW w:w="780" w:type="dxa"/>
            <w:vAlign w:val="bottom"/>
            <w:gridSpan w:val="2"/>
            <w:shd w:val="clear" w:color="auto" w:fill="CCEEFF"/>
          </w:tcPr>
          <w:p>
            <w:pPr>
              <w:jc w:val="right"/>
              <w:ind w:right="100"/>
              <w:spacing w:after="0" w:line="138" w:lineRule="exact"/>
              <w:rPr>
                <w:sz w:val="20"/>
                <w:szCs w:val="20"/>
                <w:color w:val="auto"/>
              </w:rPr>
            </w:pPr>
            <w:r>
              <w:rPr>
                <w:rFonts w:ascii="Arial" w:cs="Arial" w:eastAsia="Arial" w:hAnsi="Arial"/>
                <w:sz w:val="13"/>
                <w:szCs w:val="13"/>
                <w:color w:val="auto"/>
              </w:rPr>
              <w:t>2,173</w:t>
            </w:r>
          </w:p>
        </w:tc>
        <w:tc>
          <w:tcPr>
            <w:tcW w:w="68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456,568</w:t>
            </w:r>
          </w:p>
        </w:tc>
        <w:tc>
          <w:tcPr>
            <w:tcW w:w="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4820" w:type="dxa"/>
            <w:vAlign w:val="bottom"/>
            <w:gridSpan w:val="2"/>
            <w:shd w:val="clear" w:color="auto" w:fill="CCEEFF"/>
          </w:tcPr>
          <w:p>
            <w:pPr>
              <w:ind w:left="220"/>
              <w:spacing w:after="0"/>
              <w:rPr>
                <w:sz w:val="20"/>
                <w:szCs w:val="20"/>
                <w:color w:val="auto"/>
              </w:rPr>
            </w:pPr>
            <w:r>
              <w:rPr>
                <w:rFonts w:ascii="Arial" w:cs="Arial" w:eastAsia="Arial" w:hAnsi="Arial"/>
                <w:sz w:val="13"/>
                <w:szCs w:val="13"/>
                <w:color w:val="auto"/>
              </w:rPr>
              <w:t>(TZ Merger Sub, Inc.)</w:t>
            </w:r>
          </w:p>
        </w:tc>
        <w:tc>
          <w:tcPr>
            <w:tcW w:w="9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6"/>
        </w:trPr>
        <w:tc>
          <w:tcPr>
            <w:tcW w:w="4820" w:type="dxa"/>
            <w:vAlign w:val="bottom"/>
            <w:gridSpan w:val="2"/>
          </w:tcPr>
          <w:p>
            <w:pPr>
              <w:spacing w:after="0"/>
              <w:rPr>
                <w:sz w:val="20"/>
                <w:szCs w:val="20"/>
                <w:color w:val="auto"/>
              </w:rPr>
            </w:pPr>
            <w:r>
              <w:rPr>
                <w:rFonts w:ascii="Arial" w:cs="Arial" w:eastAsia="Arial" w:hAnsi="Arial"/>
                <w:sz w:val="13"/>
                <w:szCs w:val="13"/>
                <w:color w:val="auto"/>
              </w:rPr>
              <w:t>UP Holdings Inc.</w:t>
            </w:r>
          </w:p>
        </w:tc>
        <w:tc>
          <w:tcPr>
            <w:tcW w:w="900" w:type="dxa"/>
            <w:vAlign w:val="bottom"/>
          </w:tcPr>
          <w:p>
            <w:pPr>
              <w:ind w:left="7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1"/>
                <w:szCs w:val="21"/>
                <w:color w:val="auto"/>
              </w:rPr>
            </w:pPr>
          </w:p>
        </w:tc>
        <w:tc>
          <w:tcPr>
            <w:tcW w:w="1240" w:type="dxa"/>
            <w:vAlign w:val="bottom"/>
          </w:tcPr>
          <w:p>
            <w:pPr>
              <w:jc w:val="center"/>
              <w:spacing w:after="0"/>
              <w:rPr>
                <w:sz w:val="20"/>
                <w:szCs w:val="20"/>
                <w:color w:val="auto"/>
              </w:rPr>
            </w:pPr>
            <w:r>
              <w:rPr>
                <w:rFonts w:ascii="Arial" w:cs="Arial" w:eastAsia="Arial" w:hAnsi="Arial"/>
                <w:sz w:val="13"/>
                <w:szCs w:val="13"/>
                <w:color w:val="auto"/>
                <w:w w:val="93"/>
              </w:rPr>
              <w:t>Oil and Gas</w:t>
            </w:r>
          </w:p>
        </w:tc>
        <w:tc>
          <w:tcPr>
            <w:tcW w:w="120" w:type="dxa"/>
            <w:vAlign w:val="bottom"/>
          </w:tcPr>
          <w:p>
            <w:pPr>
              <w:spacing w:after="0"/>
              <w:rPr>
                <w:sz w:val="21"/>
                <w:szCs w:val="21"/>
                <w:color w:val="auto"/>
              </w:rPr>
            </w:pPr>
          </w:p>
        </w:tc>
        <w:tc>
          <w:tcPr>
            <w:tcW w:w="960" w:type="dxa"/>
            <w:vAlign w:val="bottom"/>
            <w:gridSpan w:val="2"/>
          </w:tcPr>
          <w:p>
            <w:pPr>
              <w:ind w:left="300"/>
              <w:spacing w:after="0"/>
              <w:rPr>
                <w:sz w:val="20"/>
                <w:szCs w:val="20"/>
                <w:color w:val="auto"/>
              </w:rPr>
            </w:pPr>
            <w:r>
              <w:rPr>
                <w:rFonts w:ascii="Arial" w:cs="Arial" w:eastAsia="Arial" w:hAnsi="Arial"/>
                <w:sz w:val="13"/>
                <w:szCs w:val="13"/>
                <w:color w:val="auto"/>
              </w:rPr>
              <w:t>—</w:t>
            </w:r>
          </w:p>
        </w:tc>
        <w:tc>
          <w:tcPr>
            <w:tcW w:w="500" w:type="dxa"/>
            <w:vAlign w:val="bottom"/>
          </w:tcPr>
          <w:p>
            <w:pPr>
              <w:jc w:val="right"/>
              <w:spacing w:after="0"/>
              <w:rPr>
                <w:sz w:val="20"/>
                <w:szCs w:val="20"/>
                <w:color w:val="auto"/>
              </w:rPr>
            </w:pPr>
            <w:r>
              <w:rPr>
                <w:rFonts w:ascii="Arial" w:cs="Arial" w:eastAsia="Arial" w:hAnsi="Arial"/>
                <w:sz w:val="13"/>
                <w:szCs w:val="13"/>
                <w:color w:val="auto"/>
              </w:rPr>
              <w:t>—</w:t>
            </w:r>
          </w:p>
        </w:tc>
        <w:tc>
          <w:tcPr>
            <w:tcW w:w="1140" w:type="dxa"/>
            <w:vAlign w:val="bottom"/>
            <w:gridSpan w:val="3"/>
          </w:tcPr>
          <w:p>
            <w:pPr>
              <w:jc w:val="right"/>
              <w:ind w:right="100"/>
              <w:spacing w:after="0"/>
              <w:rPr>
                <w:sz w:val="20"/>
                <w:szCs w:val="20"/>
                <w:color w:val="auto"/>
              </w:rPr>
            </w:pPr>
            <w:r>
              <w:rPr>
                <w:rFonts w:ascii="Arial" w:cs="Arial" w:eastAsia="Arial" w:hAnsi="Arial"/>
                <w:sz w:val="13"/>
                <w:szCs w:val="13"/>
                <w:color w:val="auto"/>
              </w:rPr>
              <w:t>91,608</w:t>
            </w:r>
          </w:p>
        </w:tc>
        <w:tc>
          <w:tcPr>
            <w:tcW w:w="780" w:type="dxa"/>
            <w:vAlign w:val="bottom"/>
            <w:gridSpan w:val="2"/>
          </w:tcPr>
          <w:p>
            <w:pPr>
              <w:jc w:val="right"/>
              <w:ind w:right="100"/>
              <w:spacing w:after="0"/>
              <w:rPr>
                <w:sz w:val="20"/>
                <w:szCs w:val="20"/>
                <w:color w:val="auto"/>
              </w:rPr>
            </w:pPr>
            <w:r>
              <w:rPr>
                <w:rFonts w:ascii="Arial" w:cs="Arial" w:eastAsia="Arial" w:hAnsi="Arial"/>
                <w:sz w:val="13"/>
                <w:szCs w:val="13"/>
                <w:color w:val="auto"/>
              </w:rPr>
              <w:t>916</w:t>
            </w:r>
          </w:p>
        </w:tc>
        <w:tc>
          <w:tcPr>
            <w:tcW w:w="700" w:type="dxa"/>
            <w:vAlign w:val="bottom"/>
            <w:gridSpan w:val="2"/>
          </w:tcPr>
          <w:p>
            <w:pPr>
              <w:jc w:val="right"/>
              <w:ind w:right="20"/>
              <w:spacing w:after="0"/>
              <w:rPr>
                <w:sz w:val="20"/>
                <w:szCs w:val="20"/>
                <w:color w:val="auto"/>
              </w:rPr>
            </w:pPr>
            <w:r>
              <w:rPr>
                <w:rFonts w:ascii="Arial" w:cs="Arial" w:eastAsia="Arial" w:hAnsi="Arial"/>
                <w:sz w:val="13"/>
                <w:szCs w:val="13"/>
                <w:color w:val="auto"/>
              </w:rPr>
              <w:t>2,499,066</w:t>
            </w:r>
          </w:p>
        </w:tc>
        <w:tc>
          <w:tcPr>
            <w:tcW w:w="0" w:type="dxa"/>
            <w:vAlign w:val="bottom"/>
          </w:tcPr>
          <w:p>
            <w:pPr>
              <w:spacing w:after="0"/>
              <w:rPr>
                <w:sz w:val="1"/>
                <w:szCs w:val="1"/>
                <w:color w:val="auto"/>
              </w:rPr>
            </w:pPr>
          </w:p>
        </w:tc>
      </w:tr>
      <w:tr>
        <w:trPr>
          <w:trHeight w:val="159"/>
        </w:trPr>
        <w:tc>
          <w:tcPr>
            <w:tcW w:w="4820" w:type="dxa"/>
            <w:vAlign w:val="bottom"/>
            <w:gridSpan w:val="2"/>
          </w:tcPr>
          <w:p>
            <w:pPr>
              <w:ind w:left="220"/>
              <w:spacing w:after="0"/>
              <w:rPr>
                <w:sz w:val="20"/>
                <w:szCs w:val="20"/>
                <w:color w:val="auto"/>
              </w:rPr>
            </w:pPr>
            <w:r>
              <w:rPr>
                <w:rFonts w:ascii="Arial" w:cs="Arial" w:eastAsia="Arial" w:hAnsi="Arial"/>
                <w:sz w:val="13"/>
                <w:szCs w:val="13"/>
                <w:color w:val="auto"/>
              </w:rPr>
              <w:t>(UP Acquisitions Sub Inc.)</w:t>
            </w: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5"/>
        </w:trPr>
        <w:tc>
          <w:tcPr>
            <w:tcW w:w="760" w:type="dxa"/>
            <w:vAlign w:val="bottom"/>
          </w:tcPr>
          <w:p>
            <w:pPr>
              <w:spacing w:after="0"/>
              <w:rPr>
                <w:sz w:val="10"/>
                <w:szCs w:val="10"/>
                <w:color w:val="auto"/>
              </w:rPr>
            </w:pPr>
          </w:p>
        </w:tc>
        <w:tc>
          <w:tcPr>
            <w:tcW w:w="40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 w:type="dxa"/>
            <w:vAlign w:val="bottom"/>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4820" w:type="dxa"/>
            <w:vAlign w:val="bottom"/>
            <w:gridSpan w:val="2"/>
            <w:shd w:val="clear" w:color="auto" w:fill="CCEEFF"/>
          </w:tcPr>
          <w:p>
            <w:pPr>
              <w:spacing w:after="0"/>
              <w:rPr>
                <w:sz w:val="20"/>
                <w:szCs w:val="20"/>
                <w:color w:val="auto"/>
              </w:rPr>
            </w:pPr>
            <w:r>
              <w:rPr>
                <w:rFonts w:ascii="Arial" w:cs="Arial" w:eastAsia="Arial" w:hAnsi="Arial"/>
                <w:sz w:val="13"/>
                <w:szCs w:val="13"/>
                <w:b w:val="1"/>
                <w:bCs w:val="1"/>
                <w:color w:val="auto"/>
              </w:rPr>
              <w:t>Total Common Equity/Partnership Interest</w:t>
            </w:r>
          </w:p>
        </w:tc>
        <w:tc>
          <w:tcPr>
            <w:tcW w:w="9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140" w:type="dxa"/>
            <w:vAlign w:val="bottom"/>
            <w:gridSpan w:val="3"/>
            <w:shd w:val="clear" w:color="auto" w:fill="CCEEFF"/>
          </w:tcPr>
          <w:p>
            <w:pPr>
              <w:jc w:val="right"/>
              <w:ind w:right="100"/>
              <w:spacing w:after="0"/>
              <w:rPr>
                <w:sz w:val="20"/>
                <w:szCs w:val="20"/>
                <w:color w:val="auto"/>
              </w:rPr>
            </w:pPr>
            <w:r>
              <w:rPr>
                <w:rFonts w:ascii="Arial" w:cs="Arial" w:eastAsia="Arial" w:hAnsi="Arial"/>
                <w:sz w:val="13"/>
                <w:szCs w:val="13"/>
                <w:color w:val="auto"/>
              </w:rPr>
              <w:t>648,092</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8,438,815</w:t>
            </w: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10,661,088</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63"/>
        </w:trPr>
        <w:tc>
          <w:tcPr>
            <w:tcW w:w="4820" w:type="dxa"/>
            <w:vAlign w:val="bottom"/>
            <w:gridSpan w:val="2"/>
          </w:tcPr>
          <w:p>
            <w:pPr>
              <w:spacing w:after="0"/>
              <w:rPr>
                <w:sz w:val="20"/>
                <w:szCs w:val="20"/>
                <w:color w:val="auto"/>
              </w:rPr>
            </w:pPr>
            <w:r>
              <w:rPr>
                <w:rFonts w:ascii="Arial" w:cs="Arial" w:eastAsia="Arial" w:hAnsi="Arial"/>
                <w:sz w:val="13"/>
                <w:szCs w:val="13"/>
                <w:b w:val="1"/>
                <w:bCs w:val="1"/>
                <w:color w:val="auto"/>
              </w:rPr>
              <w:t>Equity Warrants – 0.0%</w:t>
            </w: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74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tcBorders>
              <w:top w:val="single" w:sz="8" w:color="auto"/>
            </w:tcBorders>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38"/>
        </w:trPr>
        <w:tc>
          <w:tcPr>
            <w:tcW w:w="4820" w:type="dxa"/>
            <w:vAlign w:val="bottom"/>
            <w:gridSpan w:val="2"/>
            <w:shd w:val="clear" w:color="auto" w:fill="CCEEFF"/>
          </w:tcPr>
          <w:p>
            <w:pPr>
              <w:spacing w:after="0" w:line="138" w:lineRule="exact"/>
              <w:rPr>
                <w:sz w:val="20"/>
                <w:szCs w:val="20"/>
                <w:color w:val="auto"/>
              </w:rPr>
            </w:pPr>
            <w:r>
              <w:rPr>
                <w:rFonts w:ascii="Arial" w:cs="Arial" w:eastAsia="Arial" w:hAnsi="Arial"/>
                <w:sz w:val="13"/>
                <w:szCs w:val="13"/>
                <w:color w:val="auto"/>
              </w:rPr>
              <w:t>VSS-AHC Holdings, L.L.C., expire 11/6/18</w:t>
            </w:r>
          </w:p>
        </w:tc>
        <w:tc>
          <w:tcPr>
            <w:tcW w:w="900" w:type="dxa"/>
            <w:vAlign w:val="bottom"/>
            <w:shd w:val="clear" w:color="auto" w:fill="CCEEFF"/>
          </w:tcPr>
          <w:p>
            <w:pPr>
              <w:ind w:left="700"/>
              <w:spacing w:after="0" w:line="138"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1240" w:type="dxa"/>
            <w:vAlign w:val="bottom"/>
            <w:shd w:val="clear" w:color="auto" w:fill="CCEEFF"/>
          </w:tcPr>
          <w:p>
            <w:pPr>
              <w:jc w:val="center"/>
              <w:spacing w:after="0" w:line="138" w:lineRule="exact"/>
              <w:rPr>
                <w:sz w:val="20"/>
                <w:szCs w:val="20"/>
                <w:color w:val="auto"/>
              </w:rPr>
            </w:pPr>
            <w:r>
              <w:rPr>
                <w:rFonts w:ascii="Arial" w:cs="Arial" w:eastAsia="Arial" w:hAnsi="Arial"/>
                <w:sz w:val="13"/>
                <w:szCs w:val="13"/>
                <w:color w:val="auto"/>
                <w:w w:val="97"/>
              </w:rPr>
              <w:t>Other Media</w:t>
            </w:r>
          </w:p>
        </w:tc>
        <w:tc>
          <w:tcPr>
            <w:tcW w:w="1080" w:type="dxa"/>
            <w:vAlign w:val="bottom"/>
            <w:gridSpan w:val="3"/>
            <w:shd w:val="clear" w:color="auto" w:fill="CCEEFF"/>
          </w:tcPr>
          <w:p>
            <w:pPr>
              <w:jc w:val="right"/>
              <w:ind w:right="140"/>
              <w:spacing w:after="0" w:line="138" w:lineRule="exact"/>
              <w:rPr>
                <w:sz w:val="20"/>
                <w:szCs w:val="20"/>
                <w:color w:val="auto"/>
              </w:rPr>
            </w:pPr>
            <w:r>
              <w:rPr>
                <w:rFonts w:ascii="Arial" w:cs="Arial" w:eastAsia="Arial" w:hAnsi="Arial"/>
                <w:sz w:val="13"/>
                <w:szCs w:val="13"/>
                <w:color w:val="auto"/>
              </w:rPr>
              <w:t>20.00% (7)</w:t>
            </w:r>
          </w:p>
        </w:tc>
        <w:tc>
          <w:tcPr>
            <w:tcW w:w="50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w:t>
            </w:r>
          </w:p>
        </w:tc>
        <w:tc>
          <w:tcPr>
            <w:tcW w:w="1140" w:type="dxa"/>
            <w:vAlign w:val="bottom"/>
            <w:gridSpan w:val="3"/>
            <w:shd w:val="clear" w:color="auto" w:fill="CCEEFF"/>
          </w:tcPr>
          <w:p>
            <w:pPr>
              <w:jc w:val="right"/>
              <w:ind w:right="100"/>
              <w:spacing w:after="0" w:line="138" w:lineRule="exact"/>
              <w:rPr>
                <w:sz w:val="20"/>
                <w:szCs w:val="20"/>
                <w:color w:val="auto"/>
              </w:rPr>
            </w:pPr>
            <w:r>
              <w:rPr>
                <w:rFonts w:ascii="Arial" w:cs="Arial" w:eastAsia="Arial" w:hAnsi="Arial"/>
                <w:sz w:val="13"/>
                <w:szCs w:val="13"/>
                <w:color w:val="auto"/>
              </w:rPr>
              <w:t>85</w:t>
            </w:r>
          </w:p>
        </w:tc>
        <w:tc>
          <w:tcPr>
            <w:tcW w:w="780" w:type="dxa"/>
            <w:vAlign w:val="bottom"/>
            <w:gridSpan w:val="2"/>
            <w:shd w:val="clear" w:color="auto" w:fill="CCEEFF"/>
          </w:tcPr>
          <w:p>
            <w:pPr>
              <w:ind w:left="480"/>
              <w:spacing w:after="0" w:line="138" w:lineRule="exact"/>
              <w:rPr>
                <w:sz w:val="20"/>
                <w:szCs w:val="20"/>
                <w:color w:val="auto"/>
              </w:rPr>
            </w:pPr>
            <w:r>
              <w:rPr>
                <w:rFonts w:ascii="Arial" w:cs="Arial" w:eastAsia="Arial" w:hAnsi="Arial"/>
                <w:sz w:val="13"/>
                <w:szCs w:val="13"/>
                <w:color w:val="auto"/>
              </w:rPr>
              <w:t>—</w:t>
            </w:r>
          </w:p>
        </w:tc>
        <w:tc>
          <w:tcPr>
            <w:tcW w:w="68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4820" w:type="dxa"/>
            <w:vAlign w:val="bottom"/>
            <w:gridSpan w:val="2"/>
            <w:shd w:val="clear" w:color="auto" w:fill="CCEEFF"/>
          </w:tcPr>
          <w:p>
            <w:pPr>
              <w:ind w:left="220"/>
              <w:spacing w:after="0"/>
              <w:rPr>
                <w:sz w:val="20"/>
                <w:szCs w:val="20"/>
                <w:color w:val="auto"/>
              </w:rPr>
            </w:pPr>
            <w:r>
              <w:rPr>
                <w:rFonts w:ascii="Arial" w:cs="Arial" w:eastAsia="Arial" w:hAnsi="Arial"/>
                <w:sz w:val="13"/>
                <w:szCs w:val="13"/>
                <w:color w:val="auto"/>
              </w:rPr>
              <w:t>(Advanstar, Inc.)</w:t>
            </w:r>
          </w:p>
        </w:tc>
        <w:tc>
          <w:tcPr>
            <w:tcW w:w="9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740" w:type="dxa"/>
            <w:vAlign w:val="bottom"/>
            <w:tcBorders>
              <w:bottom w:val="single" w:sz="8" w:color="auto"/>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tcBorders>
              <w:bottom w:val="single" w:sz="8" w:color="auto"/>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tcBorders>
              <w:bottom w:val="single" w:sz="8" w:color="auto"/>
            </w:tcBorders>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3640" w:type="dxa"/>
            <w:vAlign w:val="bottom"/>
          </w:tcPr>
          <w:p>
            <w:pPr>
              <w:spacing w:after="0"/>
              <w:rPr>
                <w:sz w:val="19"/>
                <w:szCs w:val="19"/>
                <w:color w:val="auto"/>
              </w:rPr>
            </w:pPr>
          </w:p>
        </w:tc>
        <w:tc>
          <w:tcPr>
            <w:tcW w:w="21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gridSpan w:val="2"/>
          </w:tcPr>
          <w:p>
            <w:pPr>
              <w:ind w:left="220"/>
              <w:spacing w:after="0"/>
              <w:rPr>
                <w:sz w:val="20"/>
                <w:szCs w:val="20"/>
                <w:color w:val="auto"/>
              </w:rPr>
            </w:pPr>
            <w:r>
              <w:rPr>
                <w:rFonts w:ascii="Arial" w:cs="Arial" w:eastAsia="Arial" w:hAnsi="Arial"/>
                <w:sz w:val="18"/>
                <w:szCs w:val="18"/>
                <w:b w:val="1"/>
                <w:bCs w:val="1"/>
                <w:color w:val="auto"/>
              </w:rPr>
              <w:t>Par</w:t>
            </w:r>
          </w:p>
        </w:tc>
        <w:tc>
          <w:tcPr>
            <w:tcW w:w="780" w:type="dxa"/>
            <w:vAlign w:val="bottom"/>
          </w:tcPr>
          <w:p>
            <w:pPr>
              <w:spacing w:after="0"/>
              <w:rPr>
                <w:sz w:val="19"/>
                <w:szCs w:val="19"/>
                <w:color w:val="auto"/>
              </w:rPr>
            </w:pPr>
          </w:p>
        </w:tc>
        <w:tc>
          <w:tcPr>
            <w:tcW w:w="700" w:type="dxa"/>
            <w:vAlign w:val="bottom"/>
          </w:tcPr>
          <w:p>
            <w:pPr>
              <w:spacing w:after="0"/>
              <w:rPr>
                <w:sz w:val="19"/>
                <w:szCs w:val="19"/>
                <w:color w:val="auto"/>
              </w:rPr>
            </w:pPr>
          </w:p>
        </w:tc>
      </w:tr>
      <w:tr>
        <w:trPr>
          <w:trHeight w:val="143"/>
        </w:trPr>
        <w:tc>
          <w:tcPr>
            <w:tcW w:w="3640" w:type="dxa"/>
            <w:vAlign w:val="bottom"/>
            <w:shd w:val="clear" w:color="auto" w:fill="CCEEFF"/>
          </w:tcPr>
          <w:p>
            <w:pPr>
              <w:spacing w:after="0" w:line="143" w:lineRule="exact"/>
              <w:rPr>
                <w:sz w:val="20"/>
                <w:szCs w:val="20"/>
                <w:color w:val="auto"/>
              </w:rPr>
            </w:pPr>
            <w:r>
              <w:rPr>
                <w:rFonts w:ascii="Arial" w:cs="Arial" w:eastAsia="Arial" w:hAnsi="Arial"/>
                <w:sz w:val="13"/>
                <w:szCs w:val="13"/>
                <w:b w:val="1"/>
                <w:bCs w:val="1"/>
                <w:color w:val="auto"/>
              </w:rPr>
              <w:t>First Lien Secured Debt – 30.5%</w:t>
            </w:r>
          </w:p>
        </w:tc>
        <w:tc>
          <w:tcPr>
            <w:tcW w:w="2100" w:type="dxa"/>
            <w:vAlign w:val="bottom"/>
            <w:shd w:val="clear" w:color="auto" w:fill="CCEEFF"/>
          </w:tcPr>
          <w:p>
            <w:pPr>
              <w:spacing w:after="0"/>
              <w:rPr>
                <w:sz w:val="12"/>
                <w:szCs w:val="12"/>
                <w:color w:val="auto"/>
              </w:rPr>
            </w:pPr>
          </w:p>
        </w:tc>
        <w:tc>
          <w:tcPr>
            <w:tcW w:w="14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r>
      <w:tr>
        <w:trPr>
          <w:trHeight w:val="148"/>
        </w:trPr>
        <w:tc>
          <w:tcPr>
            <w:tcW w:w="3640" w:type="dxa"/>
            <w:vAlign w:val="bottom"/>
          </w:tcPr>
          <w:p>
            <w:pPr>
              <w:spacing w:after="0"/>
              <w:rPr>
                <w:sz w:val="20"/>
                <w:szCs w:val="20"/>
                <w:color w:val="auto"/>
              </w:rPr>
            </w:pPr>
            <w:r>
              <w:rPr>
                <w:rFonts w:ascii="Arial" w:cs="Arial" w:eastAsia="Arial" w:hAnsi="Arial"/>
                <w:sz w:val="13"/>
                <w:szCs w:val="13"/>
                <w:color w:val="auto"/>
              </w:rPr>
              <w:t>Burlington Coat Factory Warehouse Corp.</w:t>
            </w:r>
          </w:p>
        </w:tc>
        <w:tc>
          <w:tcPr>
            <w:tcW w:w="2100" w:type="dxa"/>
            <w:vAlign w:val="bottom"/>
          </w:tcPr>
          <w:p>
            <w:pPr>
              <w:jc w:val="center"/>
              <w:ind w:left="1093"/>
              <w:spacing w:after="0"/>
              <w:rPr>
                <w:sz w:val="20"/>
                <w:szCs w:val="20"/>
                <w:color w:val="auto"/>
              </w:rPr>
            </w:pPr>
            <w:r>
              <w:rPr>
                <w:rFonts w:ascii="Arial" w:cs="Arial" w:eastAsia="Arial" w:hAnsi="Arial"/>
                <w:sz w:val="13"/>
                <w:szCs w:val="13"/>
                <w:color w:val="auto"/>
                <w:w w:val="93"/>
              </w:rPr>
              <w:t>5/28/2013</w:t>
            </w:r>
          </w:p>
        </w:tc>
        <w:tc>
          <w:tcPr>
            <w:tcW w:w="1460" w:type="dxa"/>
            <w:vAlign w:val="bottom"/>
          </w:tcPr>
          <w:p>
            <w:pPr>
              <w:jc w:val="center"/>
              <w:spacing w:after="0"/>
              <w:rPr>
                <w:sz w:val="20"/>
                <w:szCs w:val="20"/>
                <w:color w:val="auto"/>
              </w:rPr>
            </w:pPr>
            <w:r>
              <w:rPr>
                <w:rFonts w:ascii="Arial" w:cs="Arial" w:eastAsia="Arial" w:hAnsi="Arial"/>
                <w:sz w:val="13"/>
                <w:szCs w:val="13"/>
                <w:color w:val="auto"/>
                <w:w w:val="94"/>
              </w:rPr>
              <w:t>Retail Store</w:t>
            </w:r>
          </w:p>
        </w:tc>
        <w:tc>
          <w:tcPr>
            <w:tcW w:w="620" w:type="dxa"/>
            <w:vAlign w:val="bottom"/>
          </w:tcPr>
          <w:p>
            <w:pPr>
              <w:jc w:val="right"/>
              <w:spacing w:after="0"/>
              <w:rPr>
                <w:sz w:val="20"/>
                <w:szCs w:val="20"/>
                <w:color w:val="auto"/>
              </w:rPr>
            </w:pPr>
            <w:r>
              <w:rPr>
                <w:rFonts w:ascii="Arial" w:cs="Arial" w:eastAsia="Arial" w:hAnsi="Arial"/>
                <w:sz w:val="13"/>
                <w:szCs w:val="13"/>
                <w:color w:val="auto"/>
              </w:rPr>
              <w:t>2.77%</w:t>
            </w:r>
          </w:p>
        </w:tc>
        <w:tc>
          <w:tcPr>
            <w:tcW w:w="280" w:type="dxa"/>
            <w:vAlign w:val="bottom"/>
          </w:tcPr>
          <w:p>
            <w:pPr>
              <w:spacing w:after="0"/>
              <w:rPr>
                <w:sz w:val="12"/>
                <w:szCs w:val="12"/>
                <w:color w:val="auto"/>
              </w:rPr>
            </w:pPr>
          </w:p>
        </w:tc>
        <w:tc>
          <w:tcPr>
            <w:tcW w:w="760" w:type="dxa"/>
            <w:vAlign w:val="bottom"/>
          </w:tcPr>
          <w:p>
            <w:pPr>
              <w:jc w:val="right"/>
              <w:ind w:right="153"/>
              <w:spacing w:after="0"/>
              <w:rPr>
                <w:sz w:val="20"/>
                <w:szCs w:val="20"/>
                <w:color w:val="auto"/>
              </w:rPr>
            </w:pPr>
            <w:r>
              <w:rPr>
                <w:rFonts w:ascii="Arial" w:cs="Arial" w:eastAsia="Arial" w:hAnsi="Arial"/>
                <w:sz w:val="13"/>
                <w:szCs w:val="13"/>
                <w:color w:val="auto"/>
              </w:rPr>
              <w:t>L+225</w:t>
            </w:r>
          </w:p>
        </w:tc>
        <w:tc>
          <w:tcPr>
            <w:tcW w:w="900" w:type="dxa"/>
            <w:vAlign w:val="bottom"/>
            <w:gridSpan w:val="3"/>
          </w:tcPr>
          <w:p>
            <w:pPr>
              <w:jc w:val="right"/>
              <w:ind w:right="80"/>
              <w:spacing w:after="0"/>
              <w:rPr>
                <w:sz w:val="20"/>
                <w:szCs w:val="20"/>
                <w:color w:val="auto"/>
              </w:rPr>
            </w:pPr>
            <w:r>
              <w:rPr>
                <w:rFonts w:ascii="Arial" w:cs="Arial" w:eastAsia="Arial" w:hAnsi="Arial"/>
                <w:sz w:val="13"/>
                <w:szCs w:val="13"/>
                <w:color w:val="auto"/>
              </w:rPr>
              <w:t>$  7,896,473</w:t>
            </w:r>
          </w:p>
        </w:tc>
        <w:tc>
          <w:tcPr>
            <w:tcW w:w="780" w:type="dxa"/>
            <w:vAlign w:val="bottom"/>
          </w:tcPr>
          <w:p>
            <w:pPr>
              <w:jc w:val="right"/>
              <w:ind w:right="13"/>
              <w:spacing w:after="0"/>
              <w:rPr>
                <w:sz w:val="20"/>
                <w:szCs w:val="20"/>
                <w:color w:val="auto"/>
              </w:rPr>
            </w:pPr>
            <w:r>
              <w:rPr>
                <w:rFonts w:ascii="Arial" w:cs="Arial" w:eastAsia="Arial" w:hAnsi="Arial"/>
                <w:sz w:val="13"/>
                <w:szCs w:val="13"/>
                <w:color w:val="auto"/>
              </w:rPr>
              <w:t>7,889,907</w:t>
            </w:r>
          </w:p>
        </w:tc>
        <w:tc>
          <w:tcPr>
            <w:tcW w:w="700" w:type="dxa"/>
            <w:vAlign w:val="bottom"/>
          </w:tcPr>
          <w:p>
            <w:pPr>
              <w:jc w:val="right"/>
              <w:spacing w:after="0"/>
              <w:rPr>
                <w:sz w:val="20"/>
                <w:szCs w:val="20"/>
                <w:color w:val="auto"/>
              </w:rPr>
            </w:pPr>
            <w:r>
              <w:rPr>
                <w:rFonts w:ascii="Arial" w:cs="Arial" w:eastAsia="Arial" w:hAnsi="Arial"/>
                <w:sz w:val="13"/>
                <w:szCs w:val="13"/>
                <w:color w:val="auto"/>
              </w:rPr>
              <w:t>3,316,519</w:t>
            </w:r>
          </w:p>
        </w:tc>
      </w:tr>
      <w:tr>
        <w:trPr>
          <w:trHeight w:val="138"/>
        </w:trPr>
        <w:tc>
          <w:tcPr>
            <w:tcW w:w="3640" w:type="dxa"/>
            <w:vAlign w:val="bottom"/>
            <w:shd w:val="clear" w:color="auto" w:fill="CCEEFF"/>
          </w:tcPr>
          <w:p>
            <w:pPr>
              <w:spacing w:after="0" w:line="138" w:lineRule="exact"/>
              <w:rPr>
                <w:sz w:val="20"/>
                <w:szCs w:val="20"/>
                <w:color w:val="auto"/>
              </w:rPr>
            </w:pPr>
            <w:r>
              <w:rPr>
                <w:rFonts w:ascii="Arial" w:cs="Arial" w:eastAsia="Arial" w:hAnsi="Arial"/>
                <w:sz w:val="13"/>
                <w:szCs w:val="13"/>
                <w:color w:val="auto"/>
              </w:rPr>
              <w:t>Cohr Holdings, Inc.</w:t>
            </w:r>
          </w:p>
        </w:tc>
        <w:tc>
          <w:tcPr>
            <w:tcW w:w="2100" w:type="dxa"/>
            <w:vAlign w:val="bottom"/>
            <w:shd w:val="clear" w:color="auto" w:fill="CCEEFF"/>
          </w:tcPr>
          <w:p>
            <w:pPr>
              <w:jc w:val="center"/>
              <w:ind w:left="1093"/>
              <w:spacing w:after="0" w:line="138" w:lineRule="exact"/>
              <w:rPr>
                <w:sz w:val="20"/>
                <w:szCs w:val="20"/>
                <w:color w:val="auto"/>
              </w:rPr>
            </w:pPr>
            <w:r>
              <w:rPr>
                <w:rFonts w:ascii="Arial" w:cs="Arial" w:eastAsia="Arial" w:hAnsi="Arial"/>
                <w:sz w:val="13"/>
                <w:szCs w:val="13"/>
                <w:color w:val="auto"/>
                <w:w w:val="93"/>
              </w:rPr>
              <w:t>1/31/2013</w:t>
            </w:r>
          </w:p>
        </w:tc>
        <w:tc>
          <w:tcPr>
            <w:tcW w:w="1460" w:type="dxa"/>
            <w:vAlign w:val="bottom"/>
            <w:shd w:val="clear" w:color="auto" w:fill="CCEEFF"/>
          </w:tcPr>
          <w:p>
            <w:pPr>
              <w:jc w:val="center"/>
              <w:spacing w:after="0" w:line="138" w:lineRule="exact"/>
              <w:rPr>
                <w:sz w:val="20"/>
                <w:szCs w:val="20"/>
                <w:color w:val="auto"/>
              </w:rPr>
            </w:pPr>
            <w:r>
              <w:rPr>
                <w:rFonts w:ascii="Arial" w:cs="Arial" w:eastAsia="Arial" w:hAnsi="Arial"/>
                <w:sz w:val="13"/>
                <w:szCs w:val="13"/>
                <w:color w:val="auto"/>
                <w:w w:val="93"/>
              </w:rPr>
              <w:t>Healthcare,</w:t>
            </w:r>
          </w:p>
        </w:tc>
        <w:tc>
          <w:tcPr>
            <w:tcW w:w="62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3.02%</w:t>
            </w:r>
          </w:p>
        </w:tc>
        <w:tc>
          <w:tcPr>
            <w:tcW w:w="280" w:type="dxa"/>
            <w:vAlign w:val="bottom"/>
            <w:shd w:val="clear" w:color="auto" w:fill="CCEEFF"/>
          </w:tcPr>
          <w:p>
            <w:pPr>
              <w:spacing w:after="0"/>
              <w:rPr>
                <w:sz w:val="11"/>
                <w:szCs w:val="11"/>
                <w:color w:val="auto"/>
              </w:rPr>
            </w:pPr>
          </w:p>
        </w:tc>
        <w:tc>
          <w:tcPr>
            <w:tcW w:w="760" w:type="dxa"/>
            <w:vAlign w:val="bottom"/>
            <w:shd w:val="clear" w:color="auto" w:fill="CCEEFF"/>
          </w:tcPr>
          <w:p>
            <w:pPr>
              <w:jc w:val="right"/>
              <w:ind w:right="153"/>
              <w:spacing w:after="0" w:line="138" w:lineRule="exact"/>
              <w:rPr>
                <w:sz w:val="20"/>
                <w:szCs w:val="20"/>
                <w:color w:val="auto"/>
              </w:rPr>
            </w:pPr>
            <w:r>
              <w:rPr>
                <w:rFonts w:ascii="Arial" w:cs="Arial" w:eastAsia="Arial" w:hAnsi="Arial"/>
                <w:sz w:val="13"/>
                <w:szCs w:val="13"/>
                <w:color w:val="auto"/>
              </w:rPr>
              <w:t>L+250</w:t>
            </w:r>
          </w:p>
        </w:tc>
        <w:tc>
          <w:tcPr>
            <w:tcW w:w="900" w:type="dxa"/>
            <w:vAlign w:val="bottom"/>
            <w:gridSpan w:val="3"/>
            <w:shd w:val="clear" w:color="auto" w:fill="CCEEFF"/>
          </w:tcPr>
          <w:p>
            <w:pPr>
              <w:jc w:val="right"/>
              <w:ind w:right="80"/>
              <w:spacing w:after="0" w:line="138" w:lineRule="exact"/>
              <w:rPr>
                <w:sz w:val="20"/>
                <w:szCs w:val="20"/>
                <w:color w:val="auto"/>
              </w:rPr>
            </w:pPr>
            <w:r>
              <w:rPr>
                <w:rFonts w:ascii="Arial" w:cs="Arial" w:eastAsia="Arial" w:hAnsi="Arial"/>
                <w:sz w:val="13"/>
                <w:szCs w:val="13"/>
                <w:color w:val="auto"/>
              </w:rPr>
              <w:t>2,940,000</w:t>
            </w:r>
          </w:p>
        </w:tc>
        <w:tc>
          <w:tcPr>
            <w:tcW w:w="780" w:type="dxa"/>
            <w:vAlign w:val="bottom"/>
            <w:shd w:val="clear" w:color="auto" w:fill="CCEEFF"/>
          </w:tcPr>
          <w:p>
            <w:pPr>
              <w:jc w:val="right"/>
              <w:ind w:right="13"/>
              <w:spacing w:after="0" w:line="138" w:lineRule="exact"/>
              <w:rPr>
                <w:sz w:val="20"/>
                <w:szCs w:val="20"/>
                <w:color w:val="auto"/>
              </w:rPr>
            </w:pPr>
            <w:r>
              <w:rPr>
                <w:rFonts w:ascii="Arial" w:cs="Arial" w:eastAsia="Arial" w:hAnsi="Arial"/>
                <w:sz w:val="13"/>
                <w:szCs w:val="13"/>
                <w:color w:val="auto"/>
              </w:rPr>
              <w:t>2,940,000</w:t>
            </w:r>
          </w:p>
        </w:tc>
        <w:tc>
          <w:tcPr>
            <w:tcW w:w="70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1,678,740</w:t>
            </w:r>
          </w:p>
        </w:tc>
      </w:tr>
      <w:tr>
        <w:trPr>
          <w:trHeight w:val="149"/>
        </w:trPr>
        <w:tc>
          <w:tcPr>
            <w:tcW w:w="3640" w:type="dxa"/>
            <w:vAlign w:val="bottom"/>
            <w:shd w:val="clear" w:color="auto" w:fill="CCEEFF"/>
          </w:tcPr>
          <w:p>
            <w:pPr>
              <w:spacing w:after="0"/>
              <w:rPr>
                <w:sz w:val="12"/>
                <w:szCs w:val="12"/>
                <w:color w:val="auto"/>
              </w:rPr>
            </w:pPr>
          </w:p>
        </w:tc>
        <w:tc>
          <w:tcPr>
            <w:tcW w:w="2100" w:type="dxa"/>
            <w:vAlign w:val="bottom"/>
            <w:shd w:val="clear" w:color="auto" w:fill="CCEEFF"/>
          </w:tcPr>
          <w:p>
            <w:pPr>
              <w:spacing w:after="0"/>
              <w:rPr>
                <w:sz w:val="12"/>
                <w:szCs w:val="12"/>
                <w:color w:val="auto"/>
              </w:rPr>
            </w:pPr>
          </w:p>
        </w:tc>
        <w:tc>
          <w:tcPr>
            <w:tcW w:w="14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3"/>
              </w:rPr>
              <w:t>Education and</w:t>
            </w:r>
          </w:p>
        </w:tc>
        <w:tc>
          <w:tcPr>
            <w:tcW w:w="6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r>
      <w:tr>
        <w:trPr>
          <w:trHeight w:val="159"/>
        </w:trPr>
        <w:tc>
          <w:tcPr>
            <w:tcW w:w="3640" w:type="dxa"/>
            <w:vAlign w:val="bottom"/>
            <w:shd w:val="clear" w:color="auto" w:fill="CCEEFF"/>
          </w:tcPr>
          <w:p>
            <w:pPr>
              <w:spacing w:after="0"/>
              <w:rPr>
                <w:sz w:val="13"/>
                <w:szCs w:val="13"/>
                <w:color w:val="auto"/>
              </w:rPr>
            </w:pPr>
          </w:p>
        </w:tc>
        <w:tc>
          <w:tcPr>
            <w:tcW w:w="2100" w:type="dxa"/>
            <w:vAlign w:val="bottom"/>
            <w:shd w:val="clear" w:color="auto" w:fill="CCEEFF"/>
          </w:tcPr>
          <w:p>
            <w:pPr>
              <w:spacing w:after="0"/>
              <w:rPr>
                <w:sz w:val="13"/>
                <w:szCs w:val="13"/>
                <w:color w:val="auto"/>
              </w:rPr>
            </w:pPr>
          </w:p>
        </w:tc>
        <w:tc>
          <w:tcPr>
            <w:tcW w:w="14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8"/>
              </w:rPr>
              <w:t>Childcare</w:t>
            </w:r>
          </w:p>
        </w:tc>
        <w:tc>
          <w:tcPr>
            <w:tcW w:w="6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r>
      <w:tr>
        <w:trPr>
          <w:trHeight w:val="138"/>
        </w:trPr>
        <w:tc>
          <w:tcPr>
            <w:tcW w:w="3640" w:type="dxa"/>
            <w:vAlign w:val="bottom"/>
          </w:tcPr>
          <w:p>
            <w:pPr>
              <w:spacing w:after="0" w:line="138" w:lineRule="exact"/>
              <w:rPr>
                <w:sz w:val="20"/>
                <w:szCs w:val="20"/>
                <w:color w:val="auto"/>
              </w:rPr>
            </w:pPr>
            <w:r>
              <w:rPr>
                <w:rFonts w:ascii="Arial" w:cs="Arial" w:eastAsia="Arial" w:hAnsi="Arial"/>
                <w:sz w:val="13"/>
                <w:szCs w:val="13"/>
                <w:color w:val="auto"/>
              </w:rPr>
              <w:t>EnviroSolutions, Inc.</w:t>
            </w:r>
          </w:p>
        </w:tc>
        <w:tc>
          <w:tcPr>
            <w:tcW w:w="2100" w:type="dxa"/>
            <w:vAlign w:val="bottom"/>
          </w:tcPr>
          <w:p>
            <w:pPr>
              <w:jc w:val="center"/>
              <w:ind w:left="1113"/>
              <w:spacing w:after="0" w:line="138" w:lineRule="exact"/>
              <w:rPr>
                <w:sz w:val="20"/>
                <w:szCs w:val="20"/>
                <w:color w:val="auto"/>
              </w:rPr>
            </w:pPr>
            <w:r>
              <w:rPr>
                <w:rFonts w:ascii="Arial" w:cs="Arial" w:eastAsia="Arial" w:hAnsi="Arial"/>
                <w:sz w:val="13"/>
                <w:szCs w:val="13"/>
                <w:color w:val="auto"/>
                <w:w w:val="94"/>
              </w:rPr>
              <w:t>7/7/2012</w:t>
            </w:r>
          </w:p>
        </w:tc>
        <w:tc>
          <w:tcPr>
            <w:tcW w:w="1460" w:type="dxa"/>
            <w:vAlign w:val="bottom"/>
          </w:tcPr>
          <w:p>
            <w:pPr>
              <w:jc w:val="center"/>
              <w:spacing w:after="0" w:line="138" w:lineRule="exact"/>
              <w:rPr>
                <w:sz w:val="20"/>
                <w:szCs w:val="20"/>
                <w:color w:val="auto"/>
              </w:rPr>
            </w:pPr>
            <w:r>
              <w:rPr>
                <w:rFonts w:ascii="Arial" w:cs="Arial" w:eastAsia="Arial" w:hAnsi="Arial"/>
                <w:sz w:val="13"/>
                <w:szCs w:val="13"/>
                <w:color w:val="auto"/>
                <w:w w:val="96"/>
              </w:rPr>
              <w:t>Environmental</w:t>
            </w:r>
          </w:p>
        </w:tc>
        <w:tc>
          <w:tcPr>
            <w:tcW w:w="620" w:type="dxa"/>
            <w:vAlign w:val="bottom"/>
          </w:tcPr>
          <w:p>
            <w:pPr>
              <w:jc w:val="right"/>
              <w:spacing w:after="0" w:line="138" w:lineRule="exact"/>
              <w:rPr>
                <w:sz w:val="20"/>
                <w:szCs w:val="20"/>
                <w:color w:val="auto"/>
              </w:rPr>
            </w:pPr>
            <w:r>
              <w:rPr>
                <w:rFonts w:ascii="Arial" w:cs="Arial" w:eastAsia="Arial" w:hAnsi="Arial"/>
                <w:sz w:val="13"/>
                <w:szCs w:val="13"/>
                <w:color w:val="auto"/>
              </w:rPr>
              <w:t>10.50%</w:t>
            </w:r>
          </w:p>
        </w:tc>
        <w:tc>
          <w:tcPr>
            <w:tcW w:w="280" w:type="dxa"/>
            <w:vAlign w:val="bottom"/>
          </w:tcPr>
          <w:p>
            <w:pPr>
              <w:jc w:val="right"/>
              <w:ind w:right="33"/>
              <w:spacing w:after="0" w:line="138" w:lineRule="exact"/>
              <w:rPr>
                <w:sz w:val="20"/>
                <w:szCs w:val="20"/>
                <w:color w:val="auto"/>
              </w:rPr>
            </w:pPr>
            <w:r>
              <w:rPr>
                <w:rFonts w:ascii="Arial" w:cs="Arial" w:eastAsia="Arial" w:hAnsi="Arial"/>
                <w:sz w:val="13"/>
                <w:szCs w:val="13"/>
                <w:color w:val="auto"/>
              </w:rPr>
              <w:t>(6)</w:t>
            </w:r>
          </w:p>
        </w:tc>
        <w:tc>
          <w:tcPr>
            <w:tcW w:w="760" w:type="dxa"/>
            <w:vAlign w:val="bottom"/>
          </w:tcPr>
          <w:p>
            <w:pPr>
              <w:jc w:val="right"/>
              <w:spacing w:after="0" w:line="138" w:lineRule="exact"/>
              <w:rPr>
                <w:sz w:val="20"/>
                <w:szCs w:val="20"/>
                <w:color w:val="auto"/>
              </w:rPr>
            </w:pPr>
            <w:r>
              <w:rPr>
                <w:rFonts w:ascii="Arial" w:cs="Arial" w:eastAsia="Arial" w:hAnsi="Arial"/>
                <w:sz w:val="13"/>
                <w:szCs w:val="13"/>
                <w:color w:val="auto"/>
              </w:rPr>
              <w:t>L+825(8)</w:t>
            </w:r>
          </w:p>
        </w:tc>
        <w:tc>
          <w:tcPr>
            <w:tcW w:w="900" w:type="dxa"/>
            <w:vAlign w:val="bottom"/>
            <w:gridSpan w:val="3"/>
          </w:tcPr>
          <w:p>
            <w:pPr>
              <w:jc w:val="right"/>
              <w:ind w:right="80"/>
              <w:spacing w:after="0" w:line="138" w:lineRule="exact"/>
              <w:rPr>
                <w:sz w:val="20"/>
                <w:szCs w:val="20"/>
                <w:color w:val="auto"/>
              </w:rPr>
            </w:pPr>
            <w:r>
              <w:rPr>
                <w:rFonts w:ascii="Arial" w:cs="Arial" w:eastAsia="Arial" w:hAnsi="Arial"/>
                <w:sz w:val="13"/>
                <w:szCs w:val="13"/>
                <w:color w:val="auto"/>
              </w:rPr>
              <w:t>14,084,635</w:t>
            </w:r>
          </w:p>
        </w:tc>
        <w:tc>
          <w:tcPr>
            <w:tcW w:w="780" w:type="dxa"/>
            <w:vAlign w:val="bottom"/>
          </w:tcPr>
          <w:p>
            <w:pPr>
              <w:jc w:val="right"/>
              <w:ind w:right="13"/>
              <w:spacing w:after="0" w:line="138" w:lineRule="exact"/>
              <w:rPr>
                <w:sz w:val="20"/>
                <w:szCs w:val="20"/>
                <w:color w:val="auto"/>
              </w:rPr>
            </w:pPr>
            <w:r>
              <w:rPr>
                <w:rFonts w:ascii="Arial" w:cs="Arial" w:eastAsia="Arial" w:hAnsi="Arial"/>
                <w:sz w:val="13"/>
                <w:szCs w:val="13"/>
                <w:color w:val="auto"/>
              </w:rPr>
              <w:t>13,174,508</w:t>
            </w:r>
          </w:p>
        </w:tc>
        <w:tc>
          <w:tcPr>
            <w:tcW w:w="700" w:type="dxa"/>
            <w:vAlign w:val="bottom"/>
          </w:tcPr>
          <w:p>
            <w:pPr>
              <w:jc w:val="right"/>
              <w:spacing w:after="0" w:line="138" w:lineRule="exact"/>
              <w:rPr>
                <w:sz w:val="20"/>
                <w:szCs w:val="20"/>
                <w:color w:val="auto"/>
              </w:rPr>
            </w:pPr>
            <w:r>
              <w:rPr>
                <w:rFonts w:ascii="Arial" w:cs="Arial" w:eastAsia="Arial" w:hAnsi="Arial"/>
                <w:sz w:val="13"/>
                <w:szCs w:val="13"/>
                <w:color w:val="auto"/>
              </w:rPr>
              <w:t>13,577,589</w:t>
            </w:r>
          </w:p>
        </w:tc>
      </w:tr>
      <w:tr>
        <w:trPr>
          <w:trHeight w:val="159"/>
        </w:trPr>
        <w:tc>
          <w:tcPr>
            <w:tcW w:w="3640" w:type="dxa"/>
            <w:vAlign w:val="bottom"/>
          </w:tcPr>
          <w:p>
            <w:pPr>
              <w:spacing w:after="0"/>
              <w:rPr>
                <w:sz w:val="13"/>
                <w:szCs w:val="13"/>
                <w:color w:val="auto"/>
              </w:rPr>
            </w:pPr>
          </w:p>
        </w:tc>
        <w:tc>
          <w:tcPr>
            <w:tcW w:w="2100" w:type="dxa"/>
            <w:vAlign w:val="bottom"/>
          </w:tcPr>
          <w:p>
            <w:pPr>
              <w:spacing w:after="0"/>
              <w:rPr>
                <w:sz w:val="13"/>
                <w:szCs w:val="13"/>
                <w:color w:val="auto"/>
              </w:rPr>
            </w:pPr>
          </w:p>
        </w:tc>
        <w:tc>
          <w:tcPr>
            <w:tcW w:w="1460" w:type="dxa"/>
            <w:vAlign w:val="bottom"/>
          </w:tcPr>
          <w:p>
            <w:pPr>
              <w:jc w:val="center"/>
              <w:spacing w:after="0"/>
              <w:rPr>
                <w:sz w:val="20"/>
                <w:szCs w:val="20"/>
                <w:color w:val="auto"/>
              </w:rPr>
            </w:pPr>
            <w:r>
              <w:rPr>
                <w:rFonts w:ascii="Arial" w:cs="Arial" w:eastAsia="Arial" w:hAnsi="Arial"/>
                <w:sz w:val="13"/>
                <w:szCs w:val="13"/>
                <w:color w:val="auto"/>
                <w:w w:val="92"/>
              </w:rPr>
              <w:t>Services</w:t>
            </w: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00" w:type="dxa"/>
            <w:vAlign w:val="bottom"/>
          </w:tcPr>
          <w:p>
            <w:pPr>
              <w:spacing w:after="0"/>
              <w:rPr>
                <w:sz w:val="13"/>
                <w:szCs w:val="13"/>
                <w:color w:val="auto"/>
              </w:rPr>
            </w:pPr>
          </w:p>
        </w:tc>
      </w:tr>
      <w:tr>
        <w:trPr>
          <w:trHeight w:val="138"/>
        </w:trPr>
        <w:tc>
          <w:tcPr>
            <w:tcW w:w="3640" w:type="dxa"/>
            <w:vAlign w:val="bottom"/>
            <w:shd w:val="clear" w:color="auto" w:fill="CCEEFF"/>
          </w:tcPr>
          <w:p>
            <w:pPr>
              <w:spacing w:after="0" w:line="138" w:lineRule="exact"/>
              <w:rPr>
                <w:sz w:val="20"/>
                <w:szCs w:val="20"/>
                <w:color w:val="auto"/>
              </w:rPr>
            </w:pPr>
            <w:r>
              <w:rPr>
                <w:rFonts w:ascii="Arial" w:cs="Arial" w:eastAsia="Arial" w:hAnsi="Arial"/>
                <w:sz w:val="13"/>
                <w:szCs w:val="13"/>
                <w:color w:val="auto"/>
              </w:rPr>
              <w:t>EnviroSolutions, Inc.</w:t>
            </w:r>
          </w:p>
        </w:tc>
        <w:tc>
          <w:tcPr>
            <w:tcW w:w="2100" w:type="dxa"/>
            <w:vAlign w:val="bottom"/>
            <w:shd w:val="clear" w:color="auto" w:fill="CCEEFF"/>
          </w:tcPr>
          <w:p>
            <w:pPr>
              <w:jc w:val="center"/>
              <w:ind w:left="1113"/>
              <w:spacing w:after="0" w:line="138" w:lineRule="exact"/>
              <w:rPr>
                <w:sz w:val="20"/>
                <w:szCs w:val="20"/>
                <w:color w:val="auto"/>
              </w:rPr>
            </w:pPr>
            <w:r>
              <w:rPr>
                <w:rFonts w:ascii="Arial" w:cs="Arial" w:eastAsia="Arial" w:hAnsi="Arial"/>
                <w:sz w:val="13"/>
                <w:szCs w:val="13"/>
                <w:color w:val="auto"/>
                <w:w w:val="94"/>
              </w:rPr>
              <w:t>7/7/2012</w:t>
            </w:r>
          </w:p>
        </w:tc>
        <w:tc>
          <w:tcPr>
            <w:tcW w:w="1460" w:type="dxa"/>
            <w:vAlign w:val="bottom"/>
            <w:shd w:val="clear" w:color="auto" w:fill="CCEEFF"/>
          </w:tcPr>
          <w:p>
            <w:pPr>
              <w:jc w:val="center"/>
              <w:spacing w:after="0" w:line="138" w:lineRule="exact"/>
              <w:rPr>
                <w:sz w:val="20"/>
                <w:szCs w:val="20"/>
                <w:color w:val="auto"/>
              </w:rPr>
            </w:pPr>
            <w:r>
              <w:rPr>
                <w:rFonts w:ascii="Arial" w:cs="Arial" w:eastAsia="Arial" w:hAnsi="Arial"/>
                <w:sz w:val="13"/>
                <w:szCs w:val="13"/>
                <w:color w:val="auto"/>
                <w:w w:val="96"/>
              </w:rPr>
              <w:t>Environmental</w:t>
            </w:r>
          </w:p>
        </w:tc>
        <w:tc>
          <w:tcPr>
            <w:tcW w:w="62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10.50%</w:t>
            </w:r>
          </w:p>
        </w:tc>
        <w:tc>
          <w:tcPr>
            <w:tcW w:w="280" w:type="dxa"/>
            <w:vAlign w:val="bottom"/>
            <w:shd w:val="clear" w:color="auto" w:fill="CCEEFF"/>
          </w:tcPr>
          <w:p>
            <w:pPr>
              <w:spacing w:after="0"/>
              <w:rPr>
                <w:sz w:val="11"/>
                <w:szCs w:val="11"/>
                <w:color w:val="auto"/>
              </w:rPr>
            </w:pPr>
          </w:p>
        </w:tc>
        <w:tc>
          <w:tcPr>
            <w:tcW w:w="760" w:type="dxa"/>
            <w:vAlign w:val="bottom"/>
            <w:shd w:val="clear" w:color="auto" w:fill="CCEEFF"/>
          </w:tcPr>
          <w:p>
            <w:pPr>
              <w:jc w:val="right"/>
              <w:ind w:right="153"/>
              <w:spacing w:after="0" w:line="138" w:lineRule="exact"/>
              <w:rPr>
                <w:sz w:val="20"/>
                <w:szCs w:val="20"/>
                <w:color w:val="auto"/>
              </w:rPr>
            </w:pPr>
            <w:r>
              <w:rPr>
                <w:rFonts w:ascii="Arial" w:cs="Arial" w:eastAsia="Arial" w:hAnsi="Arial"/>
                <w:sz w:val="13"/>
                <w:szCs w:val="13"/>
                <w:color w:val="auto"/>
              </w:rPr>
              <w:t>P+725</w:t>
            </w:r>
          </w:p>
        </w:tc>
        <w:tc>
          <w:tcPr>
            <w:tcW w:w="900" w:type="dxa"/>
            <w:vAlign w:val="bottom"/>
            <w:gridSpan w:val="3"/>
            <w:shd w:val="clear" w:color="auto" w:fill="CCEEFF"/>
          </w:tcPr>
          <w:p>
            <w:pPr>
              <w:jc w:val="right"/>
              <w:ind w:right="80"/>
              <w:spacing w:after="0" w:line="138" w:lineRule="exact"/>
              <w:rPr>
                <w:sz w:val="20"/>
                <w:szCs w:val="20"/>
                <w:color w:val="auto"/>
              </w:rPr>
            </w:pPr>
            <w:r>
              <w:rPr>
                <w:rFonts w:ascii="Arial" w:cs="Arial" w:eastAsia="Arial" w:hAnsi="Arial"/>
                <w:sz w:val="13"/>
                <w:szCs w:val="13"/>
                <w:color w:val="auto"/>
              </w:rPr>
              <w:t>2,293</w:t>
            </w:r>
          </w:p>
        </w:tc>
        <w:tc>
          <w:tcPr>
            <w:tcW w:w="780" w:type="dxa"/>
            <w:vAlign w:val="bottom"/>
            <w:shd w:val="clear" w:color="auto" w:fill="CCEEFF"/>
          </w:tcPr>
          <w:p>
            <w:pPr>
              <w:jc w:val="right"/>
              <w:ind w:right="13"/>
              <w:spacing w:after="0" w:line="138" w:lineRule="exact"/>
              <w:rPr>
                <w:sz w:val="20"/>
                <w:szCs w:val="20"/>
                <w:color w:val="auto"/>
              </w:rPr>
            </w:pPr>
            <w:r>
              <w:rPr>
                <w:rFonts w:ascii="Arial" w:cs="Arial" w:eastAsia="Arial" w:hAnsi="Arial"/>
                <w:sz w:val="13"/>
                <w:szCs w:val="13"/>
                <w:color w:val="auto"/>
              </w:rPr>
              <w:t>2,144</w:t>
            </w:r>
          </w:p>
        </w:tc>
        <w:tc>
          <w:tcPr>
            <w:tcW w:w="70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2,210</w:t>
            </w:r>
          </w:p>
        </w:tc>
      </w:tr>
      <w:tr>
        <w:trPr>
          <w:trHeight w:val="159"/>
        </w:trPr>
        <w:tc>
          <w:tcPr>
            <w:tcW w:w="3640" w:type="dxa"/>
            <w:vAlign w:val="bottom"/>
            <w:shd w:val="clear" w:color="auto" w:fill="CCEEFF"/>
          </w:tcPr>
          <w:p>
            <w:pPr>
              <w:spacing w:after="0"/>
              <w:rPr>
                <w:sz w:val="13"/>
                <w:szCs w:val="13"/>
                <w:color w:val="auto"/>
              </w:rPr>
            </w:pPr>
          </w:p>
        </w:tc>
        <w:tc>
          <w:tcPr>
            <w:tcW w:w="2100" w:type="dxa"/>
            <w:vAlign w:val="bottom"/>
            <w:shd w:val="clear" w:color="auto" w:fill="CCEEFF"/>
          </w:tcPr>
          <w:p>
            <w:pPr>
              <w:spacing w:after="0"/>
              <w:rPr>
                <w:sz w:val="13"/>
                <w:szCs w:val="13"/>
                <w:color w:val="auto"/>
              </w:rPr>
            </w:pPr>
          </w:p>
        </w:tc>
        <w:tc>
          <w:tcPr>
            <w:tcW w:w="14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2"/>
              </w:rPr>
              <w:t>Services</w:t>
            </w:r>
          </w:p>
        </w:tc>
        <w:tc>
          <w:tcPr>
            <w:tcW w:w="6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r>
      <w:tr>
        <w:trPr>
          <w:trHeight w:val="148"/>
        </w:trPr>
        <w:tc>
          <w:tcPr>
            <w:tcW w:w="3640" w:type="dxa"/>
            <w:vAlign w:val="bottom"/>
          </w:tcPr>
          <w:p>
            <w:pPr>
              <w:spacing w:after="0"/>
              <w:rPr>
                <w:sz w:val="20"/>
                <w:szCs w:val="20"/>
                <w:color w:val="auto"/>
              </w:rPr>
            </w:pPr>
            <w:r>
              <w:rPr>
                <w:rFonts w:ascii="Arial" w:cs="Arial" w:eastAsia="Arial" w:hAnsi="Arial"/>
                <w:sz w:val="13"/>
                <w:szCs w:val="13"/>
                <w:color w:val="auto"/>
              </w:rPr>
              <w:t>Gatehouse Media Operating, Inc.</w:t>
            </w:r>
          </w:p>
        </w:tc>
        <w:tc>
          <w:tcPr>
            <w:tcW w:w="2100" w:type="dxa"/>
            <w:vAlign w:val="bottom"/>
          </w:tcPr>
          <w:p>
            <w:pPr>
              <w:jc w:val="center"/>
              <w:ind w:left="1093"/>
              <w:spacing w:after="0"/>
              <w:rPr>
                <w:sz w:val="20"/>
                <w:szCs w:val="20"/>
                <w:color w:val="auto"/>
              </w:rPr>
            </w:pPr>
            <w:r>
              <w:rPr>
                <w:rFonts w:ascii="Arial" w:cs="Arial" w:eastAsia="Arial" w:hAnsi="Arial"/>
                <w:sz w:val="13"/>
                <w:szCs w:val="13"/>
                <w:color w:val="auto"/>
                <w:w w:val="93"/>
              </w:rPr>
              <w:t>8/28/2014</w:t>
            </w:r>
          </w:p>
        </w:tc>
        <w:tc>
          <w:tcPr>
            <w:tcW w:w="1460" w:type="dxa"/>
            <w:vAlign w:val="bottom"/>
          </w:tcPr>
          <w:p>
            <w:pPr>
              <w:jc w:val="center"/>
              <w:spacing w:after="0"/>
              <w:rPr>
                <w:sz w:val="20"/>
                <w:szCs w:val="20"/>
                <w:color w:val="auto"/>
              </w:rPr>
            </w:pPr>
            <w:r>
              <w:rPr>
                <w:rFonts w:ascii="Arial" w:cs="Arial" w:eastAsia="Arial" w:hAnsi="Arial"/>
                <w:sz w:val="13"/>
                <w:szCs w:val="13"/>
                <w:color w:val="auto"/>
                <w:w w:val="95"/>
              </w:rPr>
              <w:t>Media</w:t>
            </w:r>
          </w:p>
        </w:tc>
        <w:tc>
          <w:tcPr>
            <w:tcW w:w="620" w:type="dxa"/>
            <w:vAlign w:val="bottom"/>
          </w:tcPr>
          <w:p>
            <w:pPr>
              <w:jc w:val="right"/>
              <w:spacing w:after="0"/>
              <w:rPr>
                <w:sz w:val="20"/>
                <w:szCs w:val="20"/>
                <w:color w:val="auto"/>
              </w:rPr>
            </w:pPr>
            <w:r>
              <w:rPr>
                <w:rFonts w:ascii="Arial" w:cs="Arial" w:eastAsia="Arial" w:hAnsi="Arial"/>
                <w:sz w:val="13"/>
                <w:szCs w:val="13"/>
                <w:color w:val="auto"/>
              </w:rPr>
              <w:t>2.53%</w:t>
            </w:r>
          </w:p>
        </w:tc>
        <w:tc>
          <w:tcPr>
            <w:tcW w:w="280" w:type="dxa"/>
            <w:vAlign w:val="bottom"/>
          </w:tcPr>
          <w:p>
            <w:pPr>
              <w:spacing w:after="0"/>
              <w:rPr>
                <w:sz w:val="12"/>
                <w:szCs w:val="12"/>
                <w:color w:val="auto"/>
              </w:rPr>
            </w:pPr>
          </w:p>
        </w:tc>
        <w:tc>
          <w:tcPr>
            <w:tcW w:w="760" w:type="dxa"/>
            <w:vAlign w:val="bottom"/>
          </w:tcPr>
          <w:p>
            <w:pPr>
              <w:jc w:val="right"/>
              <w:ind w:right="153"/>
              <w:spacing w:after="0"/>
              <w:rPr>
                <w:sz w:val="20"/>
                <w:szCs w:val="20"/>
                <w:color w:val="auto"/>
              </w:rPr>
            </w:pPr>
            <w:r>
              <w:rPr>
                <w:rFonts w:ascii="Arial" w:cs="Arial" w:eastAsia="Arial" w:hAnsi="Arial"/>
                <w:sz w:val="13"/>
                <w:szCs w:val="13"/>
                <w:color w:val="auto"/>
              </w:rPr>
              <w:t>L+200</w:t>
            </w:r>
          </w:p>
        </w:tc>
        <w:tc>
          <w:tcPr>
            <w:tcW w:w="900" w:type="dxa"/>
            <w:vAlign w:val="bottom"/>
            <w:gridSpan w:val="3"/>
          </w:tcPr>
          <w:p>
            <w:pPr>
              <w:jc w:val="right"/>
              <w:ind w:right="80"/>
              <w:spacing w:after="0"/>
              <w:rPr>
                <w:sz w:val="20"/>
                <w:szCs w:val="20"/>
                <w:color w:val="auto"/>
              </w:rPr>
            </w:pPr>
            <w:r>
              <w:rPr>
                <w:rFonts w:ascii="Arial" w:cs="Arial" w:eastAsia="Arial" w:hAnsi="Arial"/>
                <w:sz w:val="13"/>
                <w:szCs w:val="13"/>
                <w:color w:val="auto"/>
              </w:rPr>
              <w:t>7,000,000</w:t>
            </w:r>
          </w:p>
        </w:tc>
        <w:tc>
          <w:tcPr>
            <w:tcW w:w="780" w:type="dxa"/>
            <w:vAlign w:val="bottom"/>
          </w:tcPr>
          <w:p>
            <w:pPr>
              <w:jc w:val="right"/>
              <w:ind w:right="13"/>
              <w:spacing w:after="0"/>
              <w:rPr>
                <w:sz w:val="20"/>
                <w:szCs w:val="20"/>
                <w:color w:val="auto"/>
              </w:rPr>
            </w:pPr>
            <w:r>
              <w:rPr>
                <w:rFonts w:ascii="Arial" w:cs="Arial" w:eastAsia="Arial" w:hAnsi="Arial"/>
                <w:sz w:val="13"/>
                <w:szCs w:val="13"/>
                <w:color w:val="auto"/>
              </w:rPr>
              <w:t>7,000,000</w:t>
            </w:r>
          </w:p>
        </w:tc>
        <w:tc>
          <w:tcPr>
            <w:tcW w:w="700" w:type="dxa"/>
            <w:vAlign w:val="bottom"/>
          </w:tcPr>
          <w:p>
            <w:pPr>
              <w:jc w:val="right"/>
              <w:spacing w:after="0"/>
              <w:rPr>
                <w:sz w:val="20"/>
                <w:szCs w:val="20"/>
                <w:color w:val="auto"/>
              </w:rPr>
            </w:pPr>
            <w:r>
              <w:rPr>
                <w:rFonts w:ascii="Arial" w:cs="Arial" w:eastAsia="Arial" w:hAnsi="Arial"/>
                <w:sz w:val="13"/>
                <w:szCs w:val="13"/>
                <w:color w:val="auto"/>
              </w:rPr>
              <w:t>1,324,169</w:t>
            </w:r>
          </w:p>
        </w:tc>
      </w:tr>
      <w:tr>
        <w:trPr>
          <w:trHeight w:val="149"/>
        </w:trPr>
        <w:tc>
          <w:tcPr>
            <w:tcW w:w="3640" w:type="dxa"/>
            <w:vAlign w:val="bottom"/>
            <w:shd w:val="clear" w:color="auto" w:fill="CCEEFF"/>
          </w:tcPr>
          <w:p>
            <w:pPr>
              <w:spacing w:after="0"/>
              <w:rPr>
                <w:sz w:val="20"/>
                <w:szCs w:val="20"/>
                <w:color w:val="auto"/>
              </w:rPr>
            </w:pPr>
            <w:r>
              <w:rPr>
                <w:rFonts w:ascii="Arial" w:cs="Arial" w:eastAsia="Arial" w:hAnsi="Arial"/>
                <w:sz w:val="13"/>
                <w:szCs w:val="13"/>
                <w:color w:val="auto"/>
              </w:rPr>
              <w:t>Hanley- Wood, L.L.C.</w:t>
            </w:r>
          </w:p>
        </w:tc>
        <w:tc>
          <w:tcPr>
            <w:tcW w:w="2100" w:type="dxa"/>
            <w:vAlign w:val="bottom"/>
            <w:shd w:val="clear" w:color="auto" w:fill="CCEEFF"/>
          </w:tcPr>
          <w:p>
            <w:pPr>
              <w:jc w:val="center"/>
              <w:ind w:left="1113"/>
              <w:spacing w:after="0"/>
              <w:rPr>
                <w:sz w:val="20"/>
                <w:szCs w:val="20"/>
                <w:color w:val="auto"/>
              </w:rPr>
            </w:pPr>
            <w:r>
              <w:rPr>
                <w:rFonts w:ascii="Arial" w:cs="Arial" w:eastAsia="Arial" w:hAnsi="Arial"/>
                <w:sz w:val="13"/>
                <w:szCs w:val="13"/>
                <w:color w:val="auto"/>
                <w:w w:val="94"/>
              </w:rPr>
              <w:t>3/8/2014</w:t>
            </w:r>
          </w:p>
        </w:tc>
        <w:tc>
          <w:tcPr>
            <w:tcW w:w="14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7"/>
              </w:rPr>
              <w:t>Other Media</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2.81%</w:t>
            </w:r>
          </w:p>
        </w:tc>
        <w:tc>
          <w:tcPr>
            <w:tcW w:w="280" w:type="dxa"/>
            <w:vAlign w:val="bottom"/>
            <w:shd w:val="clear" w:color="auto" w:fill="CCEEFF"/>
          </w:tcPr>
          <w:p>
            <w:pPr>
              <w:spacing w:after="0"/>
              <w:rPr>
                <w:sz w:val="12"/>
                <w:szCs w:val="12"/>
                <w:color w:val="auto"/>
              </w:rPr>
            </w:pPr>
          </w:p>
        </w:tc>
        <w:tc>
          <w:tcPr>
            <w:tcW w:w="760" w:type="dxa"/>
            <w:vAlign w:val="bottom"/>
            <w:shd w:val="clear" w:color="auto" w:fill="CCEEFF"/>
          </w:tcPr>
          <w:p>
            <w:pPr>
              <w:jc w:val="right"/>
              <w:ind w:right="153"/>
              <w:spacing w:after="0"/>
              <w:rPr>
                <w:sz w:val="20"/>
                <w:szCs w:val="20"/>
                <w:color w:val="auto"/>
              </w:rPr>
            </w:pPr>
            <w:r>
              <w:rPr>
                <w:rFonts w:ascii="Arial" w:cs="Arial" w:eastAsia="Arial" w:hAnsi="Arial"/>
                <w:sz w:val="13"/>
                <w:szCs w:val="13"/>
                <w:color w:val="auto"/>
              </w:rPr>
              <w:t>L+225</w:t>
            </w:r>
          </w:p>
        </w:tc>
        <w:tc>
          <w:tcPr>
            <w:tcW w:w="900" w:type="dxa"/>
            <w:vAlign w:val="bottom"/>
            <w:gridSpan w:val="3"/>
            <w:shd w:val="clear" w:color="auto" w:fill="CCEEFF"/>
          </w:tcPr>
          <w:p>
            <w:pPr>
              <w:jc w:val="right"/>
              <w:ind w:right="80"/>
              <w:spacing w:after="0"/>
              <w:rPr>
                <w:sz w:val="20"/>
                <w:szCs w:val="20"/>
                <w:color w:val="auto"/>
              </w:rPr>
            </w:pPr>
            <w:r>
              <w:rPr>
                <w:rFonts w:ascii="Arial" w:cs="Arial" w:eastAsia="Arial" w:hAnsi="Arial"/>
                <w:sz w:val="13"/>
                <w:szCs w:val="13"/>
                <w:color w:val="auto"/>
              </w:rPr>
              <w:t>8,887,500</w:t>
            </w:r>
          </w:p>
        </w:tc>
        <w:tc>
          <w:tcPr>
            <w:tcW w:w="78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rPr>
              <w:t>8,887,500</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6,114,600</w:t>
            </w:r>
          </w:p>
        </w:tc>
      </w:tr>
      <w:tr>
        <w:trPr>
          <w:trHeight w:val="148"/>
        </w:trPr>
        <w:tc>
          <w:tcPr>
            <w:tcW w:w="3640" w:type="dxa"/>
            <w:vAlign w:val="bottom"/>
          </w:tcPr>
          <w:p>
            <w:pPr>
              <w:spacing w:after="0"/>
              <w:rPr>
                <w:sz w:val="20"/>
                <w:szCs w:val="20"/>
                <w:color w:val="auto"/>
              </w:rPr>
            </w:pPr>
            <w:r>
              <w:rPr>
                <w:rFonts w:ascii="Arial" w:cs="Arial" w:eastAsia="Arial" w:hAnsi="Arial"/>
                <w:sz w:val="13"/>
                <w:szCs w:val="13"/>
                <w:color w:val="auto"/>
              </w:rPr>
              <w:t>Hughes Network Systems, L.L.C.</w:t>
            </w:r>
          </w:p>
        </w:tc>
        <w:tc>
          <w:tcPr>
            <w:tcW w:w="2100" w:type="dxa"/>
            <w:vAlign w:val="bottom"/>
          </w:tcPr>
          <w:p>
            <w:pPr>
              <w:jc w:val="center"/>
              <w:ind w:left="1093"/>
              <w:spacing w:after="0"/>
              <w:rPr>
                <w:sz w:val="20"/>
                <w:szCs w:val="20"/>
                <w:color w:val="auto"/>
              </w:rPr>
            </w:pPr>
            <w:r>
              <w:rPr>
                <w:rFonts w:ascii="Arial" w:cs="Arial" w:eastAsia="Arial" w:hAnsi="Arial"/>
                <w:sz w:val="13"/>
                <w:szCs w:val="13"/>
                <w:color w:val="auto"/>
                <w:w w:val="93"/>
              </w:rPr>
              <w:t>4/15/2014</w:t>
            </w:r>
          </w:p>
        </w:tc>
        <w:tc>
          <w:tcPr>
            <w:tcW w:w="1460" w:type="dxa"/>
            <w:vAlign w:val="bottom"/>
          </w:tcPr>
          <w:p>
            <w:pPr>
              <w:jc w:val="center"/>
              <w:spacing w:after="0"/>
              <w:rPr>
                <w:sz w:val="20"/>
                <w:szCs w:val="20"/>
                <w:color w:val="auto"/>
              </w:rPr>
            </w:pPr>
            <w:r>
              <w:rPr>
                <w:rFonts w:ascii="Arial" w:cs="Arial" w:eastAsia="Arial" w:hAnsi="Arial"/>
                <w:sz w:val="13"/>
                <w:szCs w:val="13"/>
                <w:color w:val="auto"/>
                <w:w w:val="93"/>
              </w:rPr>
              <w:t>Telecommunications</w:t>
            </w:r>
          </w:p>
        </w:tc>
        <w:tc>
          <w:tcPr>
            <w:tcW w:w="620" w:type="dxa"/>
            <w:vAlign w:val="bottom"/>
          </w:tcPr>
          <w:p>
            <w:pPr>
              <w:jc w:val="right"/>
              <w:spacing w:after="0"/>
              <w:rPr>
                <w:sz w:val="20"/>
                <w:szCs w:val="20"/>
                <w:color w:val="auto"/>
              </w:rPr>
            </w:pPr>
            <w:r>
              <w:rPr>
                <w:rFonts w:ascii="Arial" w:cs="Arial" w:eastAsia="Arial" w:hAnsi="Arial"/>
                <w:sz w:val="13"/>
                <w:szCs w:val="13"/>
                <w:color w:val="auto"/>
              </w:rPr>
              <w:t>3.81%</w:t>
            </w:r>
          </w:p>
        </w:tc>
        <w:tc>
          <w:tcPr>
            <w:tcW w:w="280" w:type="dxa"/>
            <w:vAlign w:val="bottom"/>
          </w:tcPr>
          <w:p>
            <w:pPr>
              <w:spacing w:after="0"/>
              <w:rPr>
                <w:sz w:val="12"/>
                <w:szCs w:val="12"/>
                <w:color w:val="auto"/>
              </w:rPr>
            </w:pPr>
          </w:p>
        </w:tc>
        <w:tc>
          <w:tcPr>
            <w:tcW w:w="760" w:type="dxa"/>
            <w:vAlign w:val="bottom"/>
          </w:tcPr>
          <w:p>
            <w:pPr>
              <w:jc w:val="right"/>
              <w:ind w:right="153"/>
              <w:spacing w:after="0"/>
              <w:rPr>
                <w:sz w:val="20"/>
                <w:szCs w:val="20"/>
                <w:color w:val="auto"/>
              </w:rPr>
            </w:pPr>
            <w:r>
              <w:rPr>
                <w:rFonts w:ascii="Arial" w:cs="Arial" w:eastAsia="Arial" w:hAnsi="Arial"/>
                <w:sz w:val="13"/>
                <w:szCs w:val="13"/>
                <w:color w:val="auto"/>
              </w:rPr>
              <w:t>L+250</w:t>
            </w:r>
          </w:p>
        </w:tc>
        <w:tc>
          <w:tcPr>
            <w:tcW w:w="900" w:type="dxa"/>
            <w:vAlign w:val="bottom"/>
            <w:gridSpan w:val="3"/>
          </w:tcPr>
          <w:p>
            <w:pPr>
              <w:jc w:val="right"/>
              <w:ind w:right="80"/>
              <w:spacing w:after="0"/>
              <w:rPr>
                <w:sz w:val="20"/>
                <w:szCs w:val="20"/>
                <w:color w:val="auto"/>
              </w:rPr>
            </w:pPr>
            <w:r>
              <w:rPr>
                <w:rFonts w:ascii="Arial" w:cs="Arial" w:eastAsia="Arial" w:hAnsi="Arial"/>
                <w:sz w:val="13"/>
                <w:szCs w:val="13"/>
                <w:color w:val="auto"/>
              </w:rPr>
              <w:t>5,000,000</w:t>
            </w:r>
          </w:p>
        </w:tc>
        <w:tc>
          <w:tcPr>
            <w:tcW w:w="780" w:type="dxa"/>
            <w:vAlign w:val="bottom"/>
          </w:tcPr>
          <w:p>
            <w:pPr>
              <w:jc w:val="right"/>
              <w:ind w:right="13"/>
              <w:spacing w:after="0"/>
              <w:rPr>
                <w:sz w:val="20"/>
                <w:szCs w:val="20"/>
                <w:color w:val="auto"/>
              </w:rPr>
            </w:pPr>
            <w:r>
              <w:rPr>
                <w:rFonts w:ascii="Arial" w:cs="Arial" w:eastAsia="Arial" w:hAnsi="Arial"/>
                <w:sz w:val="13"/>
                <w:szCs w:val="13"/>
                <w:color w:val="auto"/>
              </w:rPr>
              <w:t>5,000,000</w:t>
            </w:r>
          </w:p>
        </w:tc>
        <w:tc>
          <w:tcPr>
            <w:tcW w:w="700" w:type="dxa"/>
            <w:vAlign w:val="bottom"/>
          </w:tcPr>
          <w:p>
            <w:pPr>
              <w:jc w:val="right"/>
              <w:spacing w:after="0"/>
              <w:rPr>
                <w:sz w:val="20"/>
                <w:szCs w:val="20"/>
                <w:color w:val="auto"/>
              </w:rPr>
            </w:pPr>
            <w:r>
              <w:rPr>
                <w:rFonts w:ascii="Arial" w:cs="Arial" w:eastAsia="Arial" w:hAnsi="Arial"/>
                <w:sz w:val="13"/>
                <w:szCs w:val="13"/>
                <w:color w:val="auto"/>
              </w:rPr>
              <w:t>4,170,000</w:t>
            </w:r>
          </w:p>
        </w:tc>
      </w:tr>
      <w:tr>
        <w:trPr>
          <w:trHeight w:val="138"/>
        </w:trPr>
        <w:tc>
          <w:tcPr>
            <w:tcW w:w="3640" w:type="dxa"/>
            <w:vAlign w:val="bottom"/>
            <w:shd w:val="clear" w:color="auto" w:fill="CCEEFF"/>
          </w:tcPr>
          <w:p>
            <w:pPr>
              <w:spacing w:after="0" w:line="138" w:lineRule="exact"/>
              <w:rPr>
                <w:sz w:val="20"/>
                <w:szCs w:val="20"/>
                <w:color w:val="auto"/>
              </w:rPr>
            </w:pPr>
            <w:r>
              <w:rPr>
                <w:rFonts w:ascii="Arial" w:cs="Arial" w:eastAsia="Arial" w:hAnsi="Arial"/>
                <w:sz w:val="13"/>
                <w:szCs w:val="13"/>
                <w:color w:val="auto"/>
              </w:rPr>
              <w:t>Jacuzzi Brands Corp.</w:t>
            </w:r>
          </w:p>
        </w:tc>
        <w:tc>
          <w:tcPr>
            <w:tcW w:w="2100" w:type="dxa"/>
            <w:vAlign w:val="bottom"/>
            <w:shd w:val="clear" w:color="auto" w:fill="CCEEFF"/>
          </w:tcPr>
          <w:p>
            <w:pPr>
              <w:jc w:val="center"/>
              <w:ind w:left="1113"/>
              <w:spacing w:after="0" w:line="138" w:lineRule="exact"/>
              <w:rPr>
                <w:sz w:val="20"/>
                <w:szCs w:val="20"/>
                <w:color w:val="auto"/>
              </w:rPr>
            </w:pPr>
            <w:r>
              <w:rPr>
                <w:rFonts w:ascii="Arial" w:cs="Arial" w:eastAsia="Arial" w:hAnsi="Arial"/>
                <w:sz w:val="13"/>
                <w:szCs w:val="13"/>
                <w:color w:val="auto"/>
                <w:w w:val="94"/>
              </w:rPr>
              <w:t>2/7/2014</w:t>
            </w:r>
          </w:p>
        </w:tc>
        <w:tc>
          <w:tcPr>
            <w:tcW w:w="1460" w:type="dxa"/>
            <w:vAlign w:val="bottom"/>
            <w:shd w:val="clear" w:color="auto" w:fill="CCEEFF"/>
          </w:tcPr>
          <w:p>
            <w:pPr>
              <w:jc w:val="center"/>
              <w:spacing w:after="0" w:line="138" w:lineRule="exact"/>
              <w:rPr>
                <w:sz w:val="20"/>
                <w:szCs w:val="20"/>
                <w:color w:val="auto"/>
              </w:rPr>
            </w:pPr>
            <w:r>
              <w:rPr>
                <w:rFonts w:ascii="Arial" w:cs="Arial" w:eastAsia="Arial" w:hAnsi="Arial"/>
                <w:sz w:val="13"/>
                <w:szCs w:val="13"/>
                <w:color w:val="auto"/>
                <w:w w:val="96"/>
              </w:rPr>
              <w:t>Home and Office</w:t>
            </w:r>
          </w:p>
        </w:tc>
        <w:tc>
          <w:tcPr>
            <w:tcW w:w="62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2.83%</w:t>
            </w:r>
          </w:p>
        </w:tc>
        <w:tc>
          <w:tcPr>
            <w:tcW w:w="280" w:type="dxa"/>
            <w:vAlign w:val="bottom"/>
            <w:shd w:val="clear" w:color="auto" w:fill="CCEEFF"/>
          </w:tcPr>
          <w:p>
            <w:pPr>
              <w:spacing w:after="0"/>
              <w:rPr>
                <w:sz w:val="11"/>
                <w:szCs w:val="11"/>
                <w:color w:val="auto"/>
              </w:rPr>
            </w:pPr>
          </w:p>
        </w:tc>
        <w:tc>
          <w:tcPr>
            <w:tcW w:w="760" w:type="dxa"/>
            <w:vAlign w:val="bottom"/>
            <w:shd w:val="clear" w:color="auto" w:fill="CCEEFF"/>
          </w:tcPr>
          <w:p>
            <w:pPr>
              <w:jc w:val="right"/>
              <w:ind w:right="153"/>
              <w:spacing w:after="0" w:line="138" w:lineRule="exact"/>
              <w:rPr>
                <w:sz w:val="20"/>
                <w:szCs w:val="20"/>
                <w:color w:val="auto"/>
              </w:rPr>
            </w:pPr>
            <w:r>
              <w:rPr>
                <w:rFonts w:ascii="Arial" w:cs="Arial" w:eastAsia="Arial" w:hAnsi="Arial"/>
                <w:sz w:val="13"/>
                <w:szCs w:val="13"/>
                <w:color w:val="auto"/>
              </w:rPr>
              <w:t>L+225</w:t>
            </w:r>
          </w:p>
        </w:tc>
        <w:tc>
          <w:tcPr>
            <w:tcW w:w="900" w:type="dxa"/>
            <w:vAlign w:val="bottom"/>
            <w:gridSpan w:val="3"/>
            <w:shd w:val="clear" w:color="auto" w:fill="CCEEFF"/>
          </w:tcPr>
          <w:p>
            <w:pPr>
              <w:jc w:val="right"/>
              <w:ind w:right="80"/>
              <w:spacing w:after="0" w:line="138" w:lineRule="exact"/>
              <w:rPr>
                <w:sz w:val="20"/>
                <w:szCs w:val="20"/>
                <w:color w:val="auto"/>
              </w:rPr>
            </w:pPr>
            <w:r>
              <w:rPr>
                <w:rFonts w:ascii="Arial" w:cs="Arial" w:eastAsia="Arial" w:hAnsi="Arial"/>
                <w:sz w:val="13"/>
                <w:szCs w:val="13"/>
                <w:color w:val="auto"/>
              </w:rPr>
              <w:t>9,854,054</w:t>
            </w:r>
          </w:p>
        </w:tc>
        <w:tc>
          <w:tcPr>
            <w:tcW w:w="780" w:type="dxa"/>
            <w:vAlign w:val="bottom"/>
            <w:shd w:val="clear" w:color="auto" w:fill="CCEEFF"/>
          </w:tcPr>
          <w:p>
            <w:pPr>
              <w:jc w:val="right"/>
              <w:ind w:right="13"/>
              <w:spacing w:after="0" w:line="138" w:lineRule="exact"/>
              <w:rPr>
                <w:sz w:val="20"/>
                <w:szCs w:val="20"/>
                <w:color w:val="auto"/>
              </w:rPr>
            </w:pPr>
            <w:r>
              <w:rPr>
                <w:rFonts w:ascii="Arial" w:cs="Arial" w:eastAsia="Arial" w:hAnsi="Arial"/>
                <w:sz w:val="13"/>
                <w:szCs w:val="13"/>
                <w:color w:val="auto"/>
              </w:rPr>
              <w:t>9,854,054</w:t>
            </w:r>
          </w:p>
        </w:tc>
        <w:tc>
          <w:tcPr>
            <w:tcW w:w="70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6,414,989</w:t>
            </w:r>
          </w:p>
        </w:tc>
      </w:tr>
      <w:tr>
        <w:trPr>
          <w:trHeight w:val="148"/>
        </w:trPr>
        <w:tc>
          <w:tcPr>
            <w:tcW w:w="3640" w:type="dxa"/>
            <w:vAlign w:val="bottom"/>
            <w:shd w:val="clear" w:color="auto" w:fill="CCEEFF"/>
          </w:tcPr>
          <w:p>
            <w:pPr>
              <w:spacing w:after="0"/>
              <w:rPr>
                <w:sz w:val="12"/>
                <w:szCs w:val="12"/>
                <w:color w:val="auto"/>
              </w:rPr>
            </w:pPr>
          </w:p>
        </w:tc>
        <w:tc>
          <w:tcPr>
            <w:tcW w:w="2100" w:type="dxa"/>
            <w:vAlign w:val="bottom"/>
            <w:shd w:val="clear" w:color="auto" w:fill="CCEEFF"/>
          </w:tcPr>
          <w:p>
            <w:pPr>
              <w:spacing w:after="0"/>
              <w:rPr>
                <w:sz w:val="12"/>
                <w:szCs w:val="12"/>
                <w:color w:val="auto"/>
              </w:rPr>
            </w:pPr>
          </w:p>
        </w:tc>
        <w:tc>
          <w:tcPr>
            <w:tcW w:w="14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3"/>
              </w:rPr>
              <w:t>Furnishings,</w:t>
            </w:r>
          </w:p>
        </w:tc>
        <w:tc>
          <w:tcPr>
            <w:tcW w:w="6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r>
      <w:tr>
        <w:trPr>
          <w:trHeight w:val="149"/>
        </w:trPr>
        <w:tc>
          <w:tcPr>
            <w:tcW w:w="3640" w:type="dxa"/>
            <w:vAlign w:val="bottom"/>
            <w:shd w:val="clear" w:color="auto" w:fill="CCEEFF"/>
          </w:tcPr>
          <w:p>
            <w:pPr>
              <w:spacing w:after="0"/>
              <w:rPr>
                <w:sz w:val="12"/>
                <w:szCs w:val="12"/>
                <w:color w:val="auto"/>
              </w:rPr>
            </w:pPr>
          </w:p>
        </w:tc>
        <w:tc>
          <w:tcPr>
            <w:tcW w:w="2100" w:type="dxa"/>
            <w:vAlign w:val="bottom"/>
            <w:shd w:val="clear" w:color="auto" w:fill="CCEEFF"/>
          </w:tcPr>
          <w:p>
            <w:pPr>
              <w:spacing w:after="0"/>
              <w:rPr>
                <w:sz w:val="12"/>
                <w:szCs w:val="12"/>
                <w:color w:val="auto"/>
              </w:rPr>
            </w:pPr>
          </w:p>
        </w:tc>
        <w:tc>
          <w:tcPr>
            <w:tcW w:w="14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2"/>
              </w:rPr>
              <w:t>Housewares and</w:t>
            </w:r>
          </w:p>
        </w:tc>
        <w:tc>
          <w:tcPr>
            <w:tcW w:w="6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r>
      <w:tr>
        <w:trPr>
          <w:trHeight w:val="148"/>
        </w:trPr>
        <w:tc>
          <w:tcPr>
            <w:tcW w:w="3640" w:type="dxa"/>
            <w:vAlign w:val="bottom"/>
            <w:shd w:val="clear" w:color="auto" w:fill="CCEEFF"/>
          </w:tcPr>
          <w:p>
            <w:pPr>
              <w:spacing w:after="0"/>
              <w:rPr>
                <w:sz w:val="12"/>
                <w:szCs w:val="12"/>
                <w:color w:val="auto"/>
              </w:rPr>
            </w:pPr>
          </w:p>
        </w:tc>
        <w:tc>
          <w:tcPr>
            <w:tcW w:w="2100" w:type="dxa"/>
            <w:vAlign w:val="bottom"/>
            <w:shd w:val="clear" w:color="auto" w:fill="CCEEFF"/>
          </w:tcPr>
          <w:p>
            <w:pPr>
              <w:spacing w:after="0"/>
              <w:rPr>
                <w:sz w:val="12"/>
                <w:szCs w:val="12"/>
                <w:color w:val="auto"/>
              </w:rPr>
            </w:pPr>
          </w:p>
        </w:tc>
        <w:tc>
          <w:tcPr>
            <w:tcW w:w="14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3"/>
              </w:rPr>
              <w:t>Durable Consumer</w:t>
            </w:r>
          </w:p>
        </w:tc>
        <w:tc>
          <w:tcPr>
            <w:tcW w:w="6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r>
      <w:tr>
        <w:trPr>
          <w:trHeight w:val="159"/>
        </w:trPr>
        <w:tc>
          <w:tcPr>
            <w:tcW w:w="3640" w:type="dxa"/>
            <w:vAlign w:val="bottom"/>
            <w:shd w:val="clear" w:color="auto" w:fill="CCEEFF"/>
          </w:tcPr>
          <w:p>
            <w:pPr>
              <w:spacing w:after="0"/>
              <w:rPr>
                <w:sz w:val="13"/>
                <w:szCs w:val="13"/>
                <w:color w:val="auto"/>
              </w:rPr>
            </w:pPr>
          </w:p>
        </w:tc>
        <w:tc>
          <w:tcPr>
            <w:tcW w:w="2100" w:type="dxa"/>
            <w:vAlign w:val="bottom"/>
            <w:shd w:val="clear" w:color="auto" w:fill="CCEEFF"/>
          </w:tcPr>
          <w:p>
            <w:pPr>
              <w:spacing w:after="0"/>
              <w:rPr>
                <w:sz w:val="13"/>
                <w:szCs w:val="13"/>
                <w:color w:val="auto"/>
              </w:rPr>
            </w:pPr>
          </w:p>
        </w:tc>
        <w:tc>
          <w:tcPr>
            <w:tcW w:w="14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9"/>
              </w:rPr>
              <w:t>Products</w:t>
            </w:r>
          </w:p>
        </w:tc>
        <w:tc>
          <w:tcPr>
            <w:tcW w:w="6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r>
      <w:tr>
        <w:trPr>
          <w:trHeight w:val="148"/>
        </w:trPr>
        <w:tc>
          <w:tcPr>
            <w:tcW w:w="3640" w:type="dxa"/>
            <w:vAlign w:val="bottom"/>
          </w:tcPr>
          <w:p>
            <w:pPr>
              <w:spacing w:after="0"/>
              <w:rPr>
                <w:sz w:val="20"/>
                <w:szCs w:val="20"/>
                <w:color w:val="auto"/>
              </w:rPr>
            </w:pPr>
            <w:r>
              <w:rPr>
                <w:rFonts w:ascii="Arial" w:cs="Arial" w:eastAsia="Arial" w:hAnsi="Arial"/>
                <w:sz w:val="13"/>
                <w:szCs w:val="13"/>
                <w:color w:val="auto"/>
              </w:rPr>
              <w:t>Levlad, L.L.C.</w:t>
            </w:r>
          </w:p>
        </w:tc>
        <w:tc>
          <w:tcPr>
            <w:tcW w:w="2100" w:type="dxa"/>
            <w:vAlign w:val="bottom"/>
          </w:tcPr>
          <w:p>
            <w:pPr>
              <w:jc w:val="center"/>
              <w:ind w:left="1113"/>
              <w:spacing w:after="0"/>
              <w:rPr>
                <w:sz w:val="20"/>
                <w:szCs w:val="20"/>
                <w:color w:val="auto"/>
              </w:rPr>
            </w:pPr>
            <w:r>
              <w:rPr>
                <w:rFonts w:ascii="Arial" w:cs="Arial" w:eastAsia="Arial" w:hAnsi="Arial"/>
                <w:sz w:val="13"/>
                <w:szCs w:val="13"/>
                <w:color w:val="auto"/>
                <w:w w:val="94"/>
              </w:rPr>
              <w:t>3/8/2014</w:t>
            </w:r>
          </w:p>
        </w:tc>
        <w:tc>
          <w:tcPr>
            <w:tcW w:w="1460" w:type="dxa"/>
            <w:vAlign w:val="bottom"/>
          </w:tcPr>
          <w:p>
            <w:pPr>
              <w:jc w:val="center"/>
              <w:spacing w:after="0"/>
              <w:rPr>
                <w:sz w:val="20"/>
                <w:szCs w:val="20"/>
                <w:color w:val="auto"/>
              </w:rPr>
            </w:pPr>
            <w:r>
              <w:rPr>
                <w:rFonts w:ascii="Arial" w:cs="Arial" w:eastAsia="Arial" w:hAnsi="Arial"/>
                <w:sz w:val="13"/>
                <w:szCs w:val="13"/>
                <w:color w:val="auto"/>
                <w:w w:val="92"/>
              </w:rPr>
              <w:t>Consumer Products</w:t>
            </w:r>
          </w:p>
        </w:tc>
        <w:tc>
          <w:tcPr>
            <w:tcW w:w="620" w:type="dxa"/>
            <w:vAlign w:val="bottom"/>
          </w:tcPr>
          <w:p>
            <w:pPr>
              <w:jc w:val="right"/>
              <w:spacing w:after="0"/>
              <w:rPr>
                <w:sz w:val="20"/>
                <w:szCs w:val="20"/>
                <w:color w:val="auto"/>
              </w:rPr>
            </w:pPr>
            <w:r>
              <w:rPr>
                <w:rFonts w:ascii="Arial" w:cs="Arial" w:eastAsia="Arial" w:hAnsi="Arial"/>
                <w:sz w:val="13"/>
                <w:szCs w:val="13"/>
                <w:color w:val="auto"/>
              </w:rPr>
              <w:t>4.50%</w:t>
            </w:r>
          </w:p>
        </w:tc>
        <w:tc>
          <w:tcPr>
            <w:tcW w:w="280" w:type="dxa"/>
            <w:vAlign w:val="bottom"/>
          </w:tcPr>
          <w:p>
            <w:pPr>
              <w:spacing w:after="0"/>
              <w:rPr>
                <w:sz w:val="12"/>
                <w:szCs w:val="12"/>
                <w:color w:val="auto"/>
              </w:rPr>
            </w:pPr>
          </w:p>
        </w:tc>
        <w:tc>
          <w:tcPr>
            <w:tcW w:w="760" w:type="dxa"/>
            <w:vAlign w:val="bottom"/>
          </w:tcPr>
          <w:p>
            <w:pPr>
              <w:jc w:val="right"/>
              <w:ind w:right="153"/>
              <w:spacing w:after="0"/>
              <w:rPr>
                <w:sz w:val="20"/>
                <w:szCs w:val="20"/>
                <w:color w:val="auto"/>
              </w:rPr>
            </w:pPr>
            <w:r>
              <w:rPr>
                <w:rFonts w:ascii="Arial" w:cs="Arial" w:eastAsia="Arial" w:hAnsi="Arial"/>
                <w:sz w:val="13"/>
                <w:szCs w:val="13"/>
                <w:color w:val="auto"/>
              </w:rPr>
              <w:t>P+125</w:t>
            </w:r>
          </w:p>
        </w:tc>
        <w:tc>
          <w:tcPr>
            <w:tcW w:w="900" w:type="dxa"/>
            <w:vAlign w:val="bottom"/>
            <w:gridSpan w:val="3"/>
          </w:tcPr>
          <w:p>
            <w:pPr>
              <w:jc w:val="right"/>
              <w:ind w:right="80"/>
              <w:spacing w:after="0"/>
              <w:rPr>
                <w:sz w:val="20"/>
                <w:szCs w:val="20"/>
                <w:color w:val="auto"/>
              </w:rPr>
            </w:pPr>
            <w:r>
              <w:rPr>
                <w:rFonts w:ascii="Arial" w:cs="Arial" w:eastAsia="Arial" w:hAnsi="Arial"/>
                <w:sz w:val="13"/>
                <w:szCs w:val="13"/>
                <w:color w:val="auto"/>
              </w:rPr>
              <w:t>4,541,392</w:t>
            </w:r>
          </w:p>
        </w:tc>
        <w:tc>
          <w:tcPr>
            <w:tcW w:w="780" w:type="dxa"/>
            <w:vAlign w:val="bottom"/>
          </w:tcPr>
          <w:p>
            <w:pPr>
              <w:jc w:val="right"/>
              <w:ind w:right="13"/>
              <w:spacing w:after="0"/>
              <w:rPr>
                <w:sz w:val="20"/>
                <w:szCs w:val="20"/>
                <w:color w:val="auto"/>
              </w:rPr>
            </w:pPr>
            <w:r>
              <w:rPr>
                <w:rFonts w:ascii="Arial" w:cs="Arial" w:eastAsia="Arial" w:hAnsi="Arial"/>
                <w:sz w:val="13"/>
                <w:szCs w:val="13"/>
                <w:color w:val="auto"/>
              </w:rPr>
              <w:t>4,541,392</w:t>
            </w:r>
          </w:p>
        </w:tc>
        <w:tc>
          <w:tcPr>
            <w:tcW w:w="700" w:type="dxa"/>
            <w:vAlign w:val="bottom"/>
          </w:tcPr>
          <w:p>
            <w:pPr>
              <w:jc w:val="right"/>
              <w:spacing w:after="0"/>
              <w:rPr>
                <w:sz w:val="20"/>
                <w:szCs w:val="20"/>
                <w:color w:val="auto"/>
              </w:rPr>
            </w:pPr>
            <w:r>
              <w:rPr>
                <w:rFonts w:ascii="Arial" w:cs="Arial" w:eastAsia="Arial" w:hAnsi="Arial"/>
                <w:sz w:val="13"/>
                <w:szCs w:val="13"/>
                <w:color w:val="auto"/>
              </w:rPr>
              <w:t>2,515,932</w:t>
            </w:r>
          </w:p>
        </w:tc>
      </w:tr>
      <w:tr>
        <w:trPr>
          <w:trHeight w:val="138"/>
        </w:trPr>
        <w:tc>
          <w:tcPr>
            <w:tcW w:w="3640" w:type="dxa"/>
            <w:vAlign w:val="bottom"/>
            <w:shd w:val="clear" w:color="auto" w:fill="CCEEFF"/>
          </w:tcPr>
          <w:p>
            <w:pPr>
              <w:spacing w:after="0" w:line="138" w:lineRule="exact"/>
              <w:rPr>
                <w:sz w:val="20"/>
                <w:szCs w:val="20"/>
                <w:color w:val="auto"/>
              </w:rPr>
            </w:pPr>
            <w:r>
              <w:rPr>
                <w:rFonts w:ascii="Arial" w:cs="Arial" w:eastAsia="Arial" w:hAnsi="Arial"/>
                <w:sz w:val="13"/>
                <w:szCs w:val="13"/>
                <w:color w:val="auto"/>
              </w:rPr>
              <w:t>Lyondell Chemical Co.</w:t>
            </w:r>
          </w:p>
        </w:tc>
        <w:tc>
          <w:tcPr>
            <w:tcW w:w="2100" w:type="dxa"/>
            <w:vAlign w:val="bottom"/>
            <w:shd w:val="clear" w:color="auto" w:fill="CCEEFF"/>
          </w:tcPr>
          <w:p>
            <w:pPr>
              <w:jc w:val="center"/>
              <w:ind w:left="1093"/>
              <w:spacing w:after="0" w:line="138" w:lineRule="exact"/>
              <w:rPr>
                <w:sz w:val="20"/>
                <w:szCs w:val="20"/>
                <w:color w:val="auto"/>
              </w:rPr>
            </w:pPr>
            <w:r>
              <w:rPr>
                <w:rFonts w:ascii="Arial" w:cs="Arial" w:eastAsia="Arial" w:hAnsi="Arial"/>
                <w:sz w:val="13"/>
                <w:szCs w:val="13"/>
                <w:color w:val="auto"/>
                <w:w w:val="95"/>
              </w:rPr>
              <w:t>12/15/2009</w:t>
            </w:r>
          </w:p>
        </w:tc>
        <w:tc>
          <w:tcPr>
            <w:tcW w:w="1460" w:type="dxa"/>
            <w:vAlign w:val="bottom"/>
            <w:shd w:val="clear" w:color="auto" w:fill="CCEEFF"/>
          </w:tcPr>
          <w:p>
            <w:pPr>
              <w:jc w:val="center"/>
              <w:spacing w:after="0" w:line="138" w:lineRule="exact"/>
              <w:rPr>
                <w:sz w:val="20"/>
                <w:szCs w:val="20"/>
                <w:color w:val="auto"/>
              </w:rPr>
            </w:pPr>
            <w:r>
              <w:rPr>
                <w:rFonts w:ascii="Arial" w:cs="Arial" w:eastAsia="Arial" w:hAnsi="Arial"/>
                <w:sz w:val="13"/>
                <w:szCs w:val="13"/>
                <w:color w:val="auto"/>
                <w:w w:val="94"/>
              </w:rPr>
              <w:t>Chemical, Plastics</w:t>
            </w:r>
          </w:p>
        </w:tc>
        <w:tc>
          <w:tcPr>
            <w:tcW w:w="62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13.00%</w:t>
            </w:r>
          </w:p>
        </w:tc>
        <w:tc>
          <w:tcPr>
            <w:tcW w:w="280" w:type="dxa"/>
            <w:vAlign w:val="bottom"/>
            <w:shd w:val="clear" w:color="auto" w:fill="CCEEFF"/>
          </w:tcPr>
          <w:p>
            <w:pPr>
              <w:spacing w:after="0"/>
              <w:rPr>
                <w:sz w:val="11"/>
                <w:szCs w:val="11"/>
                <w:color w:val="auto"/>
              </w:rPr>
            </w:pPr>
          </w:p>
        </w:tc>
        <w:tc>
          <w:tcPr>
            <w:tcW w:w="76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L+1000(8)</w:t>
            </w:r>
          </w:p>
        </w:tc>
        <w:tc>
          <w:tcPr>
            <w:tcW w:w="900" w:type="dxa"/>
            <w:vAlign w:val="bottom"/>
            <w:gridSpan w:val="3"/>
            <w:shd w:val="clear" w:color="auto" w:fill="CCEEFF"/>
          </w:tcPr>
          <w:p>
            <w:pPr>
              <w:jc w:val="right"/>
              <w:ind w:right="80"/>
              <w:spacing w:after="0" w:line="138" w:lineRule="exact"/>
              <w:rPr>
                <w:sz w:val="20"/>
                <w:szCs w:val="20"/>
                <w:color w:val="auto"/>
              </w:rPr>
            </w:pPr>
            <w:r>
              <w:rPr>
                <w:rFonts w:ascii="Arial" w:cs="Arial" w:eastAsia="Arial" w:hAnsi="Arial"/>
                <w:sz w:val="13"/>
                <w:szCs w:val="13"/>
                <w:color w:val="auto"/>
              </w:rPr>
              <w:t>9,334,769</w:t>
            </w:r>
          </w:p>
        </w:tc>
        <w:tc>
          <w:tcPr>
            <w:tcW w:w="780" w:type="dxa"/>
            <w:vAlign w:val="bottom"/>
            <w:shd w:val="clear" w:color="auto" w:fill="CCEEFF"/>
          </w:tcPr>
          <w:p>
            <w:pPr>
              <w:jc w:val="right"/>
              <w:ind w:right="13"/>
              <w:spacing w:after="0" w:line="138" w:lineRule="exact"/>
              <w:rPr>
                <w:sz w:val="20"/>
                <w:szCs w:val="20"/>
                <w:color w:val="auto"/>
              </w:rPr>
            </w:pPr>
            <w:r>
              <w:rPr>
                <w:rFonts w:ascii="Arial" w:cs="Arial" w:eastAsia="Arial" w:hAnsi="Arial"/>
                <w:sz w:val="13"/>
                <w:szCs w:val="13"/>
                <w:color w:val="auto"/>
              </w:rPr>
              <w:t>9,257,269</w:t>
            </w:r>
          </w:p>
        </w:tc>
        <w:tc>
          <w:tcPr>
            <w:tcW w:w="70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9,224,563</w:t>
            </w:r>
          </w:p>
        </w:tc>
      </w:tr>
      <w:tr>
        <w:trPr>
          <w:trHeight w:val="159"/>
        </w:trPr>
        <w:tc>
          <w:tcPr>
            <w:tcW w:w="3640" w:type="dxa"/>
            <w:vAlign w:val="bottom"/>
            <w:shd w:val="clear" w:color="auto" w:fill="CCEEFF"/>
          </w:tcPr>
          <w:p>
            <w:pPr>
              <w:spacing w:after="0"/>
              <w:rPr>
                <w:sz w:val="13"/>
                <w:szCs w:val="13"/>
                <w:color w:val="auto"/>
              </w:rPr>
            </w:pPr>
          </w:p>
        </w:tc>
        <w:tc>
          <w:tcPr>
            <w:tcW w:w="2100" w:type="dxa"/>
            <w:vAlign w:val="bottom"/>
            <w:shd w:val="clear" w:color="auto" w:fill="CCEEFF"/>
          </w:tcPr>
          <w:p>
            <w:pPr>
              <w:spacing w:after="0"/>
              <w:rPr>
                <w:sz w:val="13"/>
                <w:szCs w:val="13"/>
                <w:color w:val="auto"/>
              </w:rPr>
            </w:pPr>
          </w:p>
        </w:tc>
        <w:tc>
          <w:tcPr>
            <w:tcW w:w="14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1"/>
              </w:rPr>
              <w:t>and Rubber</w:t>
            </w:r>
          </w:p>
        </w:tc>
        <w:tc>
          <w:tcPr>
            <w:tcW w:w="6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r>
      <w:tr>
        <w:trPr>
          <w:trHeight w:val="148"/>
        </w:trPr>
        <w:tc>
          <w:tcPr>
            <w:tcW w:w="3640" w:type="dxa"/>
            <w:vAlign w:val="bottom"/>
          </w:tcPr>
          <w:p>
            <w:pPr>
              <w:spacing w:after="0" w:line="149" w:lineRule="exact"/>
              <w:rPr>
                <w:sz w:val="20"/>
                <w:szCs w:val="20"/>
                <w:color w:val="auto"/>
              </w:rPr>
            </w:pPr>
            <w:r>
              <w:rPr>
                <w:rFonts w:ascii="Arial" w:cs="Arial" w:eastAsia="Arial" w:hAnsi="Arial"/>
                <w:sz w:val="11"/>
                <w:szCs w:val="11"/>
                <w:color w:val="auto"/>
              </w:rPr>
              <w:t xml:space="preserve">Lyondell Chemical Co. </w:t>
            </w:r>
            <w:r>
              <w:rPr>
                <w:rFonts w:ascii="Arial" w:cs="Arial" w:eastAsia="Arial" w:hAnsi="Arial"/>
                <w:sz w:val="17"/>
                <w:szCs w:val="17"/>
                <w:color w:val="auto"/>
                <w:vertAlign w:val="superscript"/>
              </w:rPr>
              <w:t>(9)</w:t>
            </w:r>
          </w:p>
        </w:tc>
        <w:tc>
          <w:tcPr>
            <w:tcW w:w="2100" w:type="dxa"/>
            <w:vAlign w:val="bottom"/>
          </w:tcPr>
          <w:p>
            <w:pPr>
              <w:jc w:val="center"/>
              <w:ind w:left="1093"/>
              <w:spacing w:after="0"/>
              <w:rPr>
                <w:sz w:val="20"/>
                <w:szCs w:val="20"/>
                <w:color w:val="auto"/>
              </w:rPr>
            </w:pPr>
            <w:r>
              <w:rPr>
                <w:rFonts w:ascii="Arial" w:cs="Arial" w:eastAsia="Arial" w:hAnsi="Arial"/>
                <w:sz w:val="13"/>
                <w:szCs w:val="13"/>
                <w:color w:val="auto"/>
                <w:w w:val="95"/>
              </w:rPr>
              <w:t>12/15/2009</w:t>
            </w:r>
          </w:p>
        </w:tc>
        <w:tc>
          <w:tcPr>
            <w:tcW w:w="1460" w:type="dxa"/>
            <w:vAlign w:val="bottom"/>
          </w:tcPr>
          <w:p>
            <w:pPr>
              <w:jc w:val="center"/>
              <w:spacing w:after="0"/>
              <w:rPr>
                <w:sz w:val="20"/>
                <w:szCs w:val="20"/>
                <w:color w:val="auto"/>
              </w:rPr>
            </w:pPr>
            <w:r>
              <w:rPr>
                <w:rFonts w:ascii="Arial" w:cs="Arial" w:eastAsia="Arial" w:hAnsi="Arial"/>
                <w:sz w:val="13"/>
                <w:szCs w:val="13"/>
                <w:color w:val="auto"/>
                <w:w w:val="94"/>
              </w:rPr>
              <w:t>Chemical, Plastics</w:t>
            </w:r>
          </w:p>
        </w:tc>
        <w:tc>
          <w:tcPr>
            <w:tcW w:w="620" w:type="dxa"/>
            <w:vAlign w:val="bottom"/>
          </w:tcPr>
          <w:p>
            <w:pPr>
              <w:jc w:val="right"/>
              <w:ind w:right="133"/>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12"/>
                <w:szCs w:val="12"/>
                <w:color w:val="auto"/>
              </w:rPr>
            </w:pPr>
          </w:p>
        </w:tc>
        <w:tc>
          <w:tcPr>
            <w:tcW w:w="760" w:type="dxa"/>
            <w:vAlign w:val="bottom"/>
          </w:tcPr>
          <w:p>
            <w:pPr>
              <w:jc w:val="right"/>
              <w:ind w:right="213"/>
              <w:spacing w:after="0"/>
              <w:rPr>
                <w:sz w:val="20"/>
                <w:szCs w:val="20"/>
                <w:color w:val="auto"/>
              </w:rPr>
            </w:pPr>
            <w:r>
              <w:rPr>
                <w:rFonts w:ascii="Arial" w:cs="Arial" w:eastAsia="Arial" w:hAnsi="Arial"/>
                <w:sz w:val="13"/>
                <w:szCs w:val="13"/>
                <w:color w:val="auto"/>
              </w:rPr>
              <w:t>—</w:t>
            </w:r>
          </w:p>
        </w:tc>
        <w:tc>
          <w:tcPr>
            <w:tcW w:w="900" w:type="dxa"/>
            <w:vAlign w:val="bottom"/>
            <w:gridSpan w:val="3"/>
          </w:tcPr>
          <w:p>
            <w:pPr>
              <w:jc w:val="right"/>
              <w:ind w:right="80"/>
              <w:spacing w:after="0"/>
              <w:rPr>
                <w:sz w:val="20"/>
                <w:szCs w:val="20"/>
                <w:color w:val="auto"/>
              </w:rPr>
            </w:pPr>
            <w:r>
              <w:rPr>
                <w:rFonts w:ascii="Arial" w:cs="Arial" w:eastAsia="Arial" w:hAnsi="Arial"/>
                <w:sz w:val="13"/>
                <w:szCs w:val="13"/>
                <w:color w:val="auto"/>
              </w:rPr>
              <w:t>4,665,231</w:t>
            </w:r>
          </w:p>
        </w:tc>
        <w:tc>
          <w:tcPr>
            <w:tcW w:w="780" w:type="dxa"/>
            <w:vAlign w:val="bottom"/>
          </w:tcPr>
          <w:p>
            <w:pPr>
              <w:jc w:val="right"/>
              <w:ind w:right="13"/>
              <w:spacing w:after="0"/>
              <w:rPr>
                <w:sz w:val="20"/>
                <w:szCs w:val="20"/>
                <w:color w:val="auto"/>
              </w:rPr>
            </w:pPr>
            <w:r>
              <w:rPr>
                <w:rFonts w:ascii="Arial" w:cs="Arial" w:eastAsia="Arial" w:hAnsi="Arial"/>
                <w:sz w:val="13"/>
                <w:szCs w:val="13"/>
                <w:color w:val="auto"/>
              </w:rPr>
              <w:t>4,665,231</w:t>
            </w:r>
          </w:p>
        </w:tc>
        <w:tc>
          <w:tcPr>
            <w:tcW w:w="700" w:type="dxa"/>
            <w:vAlign w:val="bottom"/>
          </w:tcPr>
          <w:p>
            <w:pPr>
              <w:jc w:val="right"/>
              <w:spacing w:after="0"/>
              <w:rPr>
                <w:sz w:val="20"/>
                <w:szCs w:val="20"/>
                <w:color w:val="auto"/>
              </w:rPr>
            </w:pPr>
            <w:r>
              <w:rPr>
                <w:rFonts w:ascii="Arial" w:cs="Arial" w:eastAsia="Arial" w:hAnsi="Arial"/>
                <w:sz w:val="13"/>
                <w:szCs w:val="13"/>
                <w:color w:val="auto"/>
              </w:rPr>
              <w:t>4,610,153</w:t>
            </w:r>
          </w:p>
        </w:tc>
      </w:tr>
      <w:tr>
        <w:trPr>
          <w:trHeight w:val="149"/>
        </w:trPr>
        <w:tc>
          <w:tcPr>
            <w:tcW w:w="364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1460" w:type="dxa"/>
            <w:vAlign w:val="bottom"/>
          </w:tcPr>
          <w:p>
            <w:pPr>
              <w:jc w:val="center"/>
              <w:spacing w:after="0"/>
              <w:rPr>
                <w:sz w:val="20"/>
                <w:szCs w:val="20"/>
                <w:color w:val="auto"/>
              </w:rPr>
            </w:pPr>
            <w:r>
              <w:rPr>
                <w:rFonts w:ascii="Arial" w:cs="Arial" w:eastAsia="Arial" w:hAnsi="Arial"/>
                <w:sz w:val="13"/>
                <w:szCs w:val="13"/>
                <w:color w:val="auto"/>
                <w:w w:val="91"/>
              </w:rPr>
              <w:t>and Rubber</w:t>
            </w: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00" w:type="dxa"/>
            <w:vAlign w:val="bottom"/>
          </w:tcPr>
          <w:p>
            <w:pPr>
              <w:spacing w:after="0"/>
              <w:rPr>
                <w:sz w:val="12"/>
                <w:szCs w:val="12"/>
                <w:color w:val="auto"/>
              </w:rPr>
            </w:pPr>
          </w:p>
        </w:tc>
      </w:tr>
      <w:tr>
        <w:trPr>
          <w:trHeight w:val="138"/>
        </w:trPr>
        <w:tc>
          <w:tcPr>
            <w:tcW w:w="3640" w:type="dxa"/>
            <w:vAlign w:val="bottom"/>
            <w:shd w:val="clear" w:color="auto" w:fill="CCEEFF"/>
          </w:tcPr>
          <w:p>
            <w:pPr>
              <w:spacing w:after="0" w:line="138" w:lineRule="exact"/>
              <w:rPr>
                <w:sz w:val="20"/>
                <w:szCs w:val="20"/>
                <w:color w:val="auto"/>
              </w:rPr>
            </w:pPr>
            <w:r>
              <w:rPr>
                <w:rFonts w:ascii="Arial" w:cs="Arial" w:eastAsia="Arial" w:hAnsi="Arial"/>
                <w:sz w:val="13"/>
                <w:szCs w:val="13"/>
                <w:color w:val="auto"/>
              </w:rPr>
              <w:t>Mattress Holding Corp.</w:t>
            </w:r>
          </w:p>
        </w:tc>
        <w:tc>
          <w:tcPr>
            <w:tcW w:w="2100" w:type="dxa"/>
            <w:vAlign w:val="bottom"/>
            <w:shd w:val="clear" w:color="auto" w:fill="CCEEFF"/>
          </w:tcPr>
          <w:p>
            <w:pPr>
              <w:jc w:val="center"/>
              <w:ind w:left="1093"/>
              <w:spacing w:after="0" w:line="138" w:lineRule="exact"/>
              <w:rPr>
                <w:sz w:val="20"/>
                <w:szCs w:val="20"/>
                <w:color w:val="auto"/>
              </w:rPr>
            </w:pPr>
            <w:r>
              <w:rPr>
                <w:rFonts w:ascii="Arial" w:cs="Arial" w:eastAsia="Arial" w:hAnsi="Arial"/>
                <w:sz w:val="13"/>
                <w:szCs w:val="13"/>
                <w:color w:val="auto"/>
                <w:w w:val="93"/>
              </w:rPr>
              <w:t>1/18/2014</w:t>
            </w:r>
          </w:p>
        </w:tc>
        <w:tc>
          <w:tcPr>
            <w:tcW w:w="1460" w:type="dxa"/>
            <w:vAlign w:val="bottom"/>
            <w:shd w:val="clear" w:color="auto" w:fill="CCEEFF"/>
          </w:tcPr>
          <w:p>
            <w:pPr>
              <w:jc w:val="center"/>
              <w:spacing w:after="0" w:line="138" w:lineRule="exact"/>
              <w:rPr>
                <w:sz w:val="20"/>
                <w:szCs w:val="20"/>
                <w:color w:val="auto"/>
              </w:rPr>
            </w:pPr>
            <w:r>
              <w:rPr>
                <w:rFonts w:ascii="Arial" w:cs="Arial" w:eastAsia="Arial" w:hAnsi="Arial"/>
                <w:sz w:val="13"/>
                <w:szCs w:val="13"/>
                <w:color w:val="auto"/>
                <w:w w:val="96"/>
              </w:rPr>
              <w:t>Home and Office</w:t>
            </w:r>
          </w:p>
        </w:tc>
        <w:tc>
          <w:tcPr>
            <w:tcW w:w="62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2.77%</w:t>
            </w:r>
          </w:p>
        </w:tc>
        <w:tc>
          <w:tcPr>
            <w:tcW w:w="280" w:type="dxa"/>
            <w:vAlign w:val="bottom"/>
            <w:shd w:val="clear" w:color="auto" w:fill="CCEEFF"/>
          </w:tcPr>
          <w:p>
            <w:pPr>
              <w:spacing w:after="0"/>
              <w:rPr>
                <w:sz w:val="11"/>
                <w:szCs w:val="11"/>
                <w:color w:val="auto"/>
              </w:rPr>
            </w:pPr>
          </w:p>
        </w:tc>
        <w:tc>
          <w:tcPr>
            <w:tcW w:w="760" w:type="dxa"/>
            <w:vAlign w:val="bottom"/>
            <w:shd w:val="clear" w:color="auto" w:fill="CCEEFF"/>
          </w:tcPr>
          <w:p>
            <w:pPr>
              <w:jc w:val="right"/>
              <w:ind w:right="153"/>
              <w:spacing w:after="0" w:line="138" w:lineRule="exact"/>
              <w:rPr>
                <w:sz w:val="20"/>
                <w:szCs w:val="20"/>
                <w:color w:val="auto"/>
              </w:rPr>
            </w:pPr>
            <w:r>
              <w:rPr>
                <w:rFonts w:ascii="Arial" w:cs="Arial" w:eastAsia="Arial" w:hAnsi="Arial"/>
                <w:sz w:val="13"/>
                <w:szCs w:val="13"/>
                <w:color w:val="auto"/>
              </w:rPr>
              <w:t>L+225</w:t>
            </w:r>
          </w:p>
        </w:tc>
        <w:tc>
          <w:tcPr>
            <w:tcW w:w="900" w:type="dxa"/>
            <w:vAlign w:val="bottom"/>
            <w:gridSpan w:val="3"/>
            <w:shd w:val="clear" w:color="auto" w:fill="CCEEFF"/>
          </w:tcPr>
          <w:p>
            <w:pPr>
              <w:jc w:val="right"/>
              <w:ind w:right="80"/>
              <w:spacing w:after="0" w:line="138" w:lineRule="exact"/>
              <w:rPr>
                <w:sz w:val="20"/>
                <w:szCs w:val="20"/>
                <w:color w:val="auto"/>
              </w:rPr>
            </w:pPr>
            <w:r>
              <w:rPr>
                <w:rFonts w:ascii="Arial" w:cs="Arial" w:eastAsia="Arial" w:hAnsi="Arial"/>
                <w:sz w:val="13"/>
                <w:szCs w:val="13"/>
                <w:color w:val="auto"/>
              </w:rPr>
              <w:t>3,930,150</w:t>
            </w:r>
          </w:p>
        </w:tc>
        <w:tc>
          <w:tcPr>
            <w:tcW w:w="780" w:type="dxa"/>
            <w:vAlign w:val="bottom"/>
            <w:shd w:val="clear" w:color="auto" w:fill="CCEEFF"/>
          </w:tcPr>
          <w:p>
            <w:pPr>
              <w:jc w:val="right"/>
              <w:ind w:right="13"/>
              <w:spacing w:after="0" w:line="138" w:lineRule="exact"/>
              <w:rPr>
                <w:sz w:val="20"/>
                <w:szCs w:val="20"/>
                <w:color w:val="auto"/>
              </w:rPr>
            </w:pPr>
            <w:r>
              <w:rPr>
                <w:rFonts w:ascii="Arial" w:cs="Arial" w:eastAsia="Arial" w:hAnsi="Arial"/>
                <w:sz w:val="13"/>
                <w:szCs w:val="13"/>
                <w:color w:val="auto"/>
              </w:rPr>
              <w:t>3,930,150</w:t>
            </w:r>
          </w:p>
        </w:tc>
        <w:tc>
          <w:tcPr>
            <w:tcW w:w="70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2,806,127</w:t>
            </w:r>
          </w:p>
        </w:tc>
      </w:tr>
      <w:tr>
        <w:trPr>
          <w:trHeight w:val="148"/>
        </w:trPr>
        <w:tc>
          <w:tcPr>
            <w:tcW w:w="3640" w:type="dxa"/>
            <w:vAlign w:val="bottom"/>
            <w:shd w:val="clear" w:color="auto" w:fill="CCEEFF"/>
          </w:tcPr>
          <w:p>
            <w:pPr>
              <w:spacing w:after="0"/>
              <w:rPr>
                <w:sz w:val="12"/>
                <w:szCs w:val="12"/>
                <w:color w:val="auto"/>
              </w:rPr>
            </w:pPr>
          </w:p>
        </w:tc>
        <w:tc>
          <w:tcPr>
            <w:tcW w:w="2100" w:type="dxa"/>
            <w:vAlign w:val="bottom"/>
            <w:shd w:val="clear" w:color="auto" w:fill="CCEEFF"/>
          </w:tcPr>
          <w:p>
            <w:pPr>
              <w:spacing w:after="0"/>
              <w:rPr>
                <w:sz w:val="12"/>
                <w:szCs w:val="12"/>
                <w:color w:val="auto"/>
              </w:rPr>
            </w:pPr>
          </w:p>
        </w:tc>
        <w:tc>
          <w:tcPr>
            <w:tcW w:w="14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3"/>
              </w:rPr>
              <w:t>Furnishings,</w:t>
            </w:r>
          </w:p>
        </w:tc>
        <w:tc>
          <w:tcPr>
            <w:tcW w:w="6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r>
      <w:tr>
        <w:trPr>
          <w:trHeight w:val="148"/>
        </w:trPr>
        <w:tc>
          <w:tcPr>
            <w:tcW w:w="3640" w:type="dxa"/>
            <w:vAlign w:val="bottom"/>
            <w:shd w:val="clear" w:color="auto" w:fill="CCEEFF"/>
          </w:tcPr>
          <w:p>
            <w:pPr>
              <w:spacing w:after="0"/>
              <w:rPr>
                <w:sz w:val="12"/>
                <w:szCs w:val="12"/>
                <w:color w:val="auto"/>
              </w:rPr>
            </w:pPr>
          </w:p>
        </w:tc>
        <w:tc>
          <w:tcPr>
            <w:tcW w:w="2100" w:type="dxa"/>
            <w:vAlign w:val="bottom"/>
            <w:shd w:val="clear" w:color="auto" w:fill="CCEEFF"/>
          </w:tcPr>
          <w:p>
            <w:pPr>
              <w:spacing w:after="0"/>
              <w:rPr>
                <w:sz w:val="12"/>
                <w:szCs w:val="12"/>
                <w:color w:val="auto"/>
              </w:rPr>
            </w:pPr>
          </w:p>
        </w:tc>
        <w:tc>
          <w:tcPr>
            <w:tcW w:w="14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2"/>
              </w:rPr>
              <w:t>Housewares and</w:t>
            </w:r>
          </w:p>
        </w:tc>
        <w:tc>
          <w:tcPr>
            <w:tcW w:w="6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r>
      <w:tr>
        <w:trPr>
          <w:trHeight w:val="149"/>
        </w:trPr>
        <w:tc>
          <w:tcPr>
            <w:tcW w:w="3640" w:type="dxa"/>
            <w:vAlign w:val="bottom"/>
            <w:shd w:val="clear" w:color="auto" w:fill="CCEEFF"/>
          </w:tcPr>
          <w:p>
            <w:pPr>
              <w:spacing w:after="0"/>
              <w:rPr>
                <w:sz w:val="12"/>
                <w:szCs w:val="12"/>
                <w:color w:val="auto"/>
              </w:rPr>
            </w:pPr>
          </w:p>
        </w:tc>
        <w:tc>
          <w:tcPr>
            <w:tcW w:w="2100" w:type="dxa"/>
            <w:vAlign w:val="bottom"/>
            <w:shd w:val="clear" w:color="auto" w:fill="CCEEFF"/>
          </w:tcPr>
          <w:p>
            <w:pPr>
              <w:spacing w:after="0"/>
              <w:rPr>
                <w:sz w:val="12"/>
                <w:szCs w:val="12"/>
                <w:color w:val="auto"/>
              </w:rPr>
            </w:pPr>
          </w:p>
        </w:tc>
        <w:tc>
          <w:tcPr>
            <w:tcW w:w="14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3"/>
              </w:rPr>
              <w:t>Durable Consumer</w:t>
            </w:r>
          </w:p>
        </w:tc>
        <w:tc>
          <w:tcPr>
            <w:tcW w:w="6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r>
      <w:tr>
        <w:trPr>
          <w:trHeight w:val="159"/>
        </w:trPr>
        <w:tc>
          <w:tcPr>
            <w:tcW w:w="3640" w:type="dxa"/>
            <w:vAlign w:val="bottom"/>
            <w:shd w:val="clear" w:color="auto" w:fill="CCEEFF"/>
          </w:tcPr>
          <w:p>
            <w:pPr>
              <w:spacing w:after="0"/>
              <w:rPr>
                <w:sz w:val="13"/>
                <w:szCs w:val="13"/>
                <w:color w:val="auto"/>
              </w:rPr>
            </w:pPr>
          </w:p>
        </w:tc>
        <w:tc>
          <w:tcPr>
            <w:tcW w:w="2100" w:type="dxa"/>
            <w:vAlign w:val="bottom"/>
            <w:shd w:val="clear" w:color="auto" w:fill="CCEEFF"/>
          </w:tcPr>
          <w:p>
            <w:pPr>
              <w:spacing w:after="0"/>
              <w:rPr>
                <w:sz w:val="13"/>
                <w:szCs w:val="13"/>
                <w:color w:val="auto"/>
              </w:rPr>
            </w:pPr>
          </w:p>
        </w:tc>
        <w:tc>
          <w:tcPr>
            <w:tcW w:w="14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9"/>
              </w:rPr>
              <w:t>Products</w:t>
            </w:r>
          </w:p>
        </w:tc>
        <w:tc>
          <w:tcPr>
            <w:tcW w:w="6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r>
      <w:tr>
        <w:trPr>
          <w:trHeight w:val="172"/>
        </w:trPr>
        <w:tc>
          <w:tcPr>
            <w:tcW w:w="3640" w:type="dxa"/>
            <w:vAlign w:val="bottom"/>
          </w:tcPr>
          <w:p>
            <w:pPr>
              <w:spacing w:after="0"/>
              <w:rPr>
                <w:sz w:val="20"/>
                <w:szCs w:val="20"/>
                <w:color w:val="auto"/>
              </w:rPr>
            </w:pPr>
            <w:r>
              <w:rPr>
                <w:rFonts w:ascii="Arial" w:cs="Arial" w:eastAsia="Arial" w:hAnsi="Arial"/>
                <w:sz w:val="13"/>
                <w:szCs w:val="13"/>
                <w:color w:val="auto"/>
              </w:rPr>
              <w:t>Mitchell International, Inc.</w:t>
            </w:r>
          </w:p>
        </w:tc>
        <w:tc>
          <w:tcPr>
            <w:tcW w:w="2100" w:type="dxa"/>
            <w:vAlign w:val="bottom"/>
          </w:tcPr>
          <w:p>
            <w:pPr>
              <w:jc w:val="center"/>
              <w:ind w:left="1093"/>
              <w:spacing w:after="0"/>
              <w:rPr>
                <w:sz w:val="20"/>
                <w:szCs w:val="20"/>
                <w:color w:val="auto"/>
              </w:rPr>
            </w:pPr>
            <w:r>
              <w:rPr>
                <w:rFonts w:ascii="Arial" w:cs="Arial" w:eastAsia="Arial" w:hAnsi="Arial"/>
                <w:sz w:val="13"/>
                <w:szCs w:val="13"/>
                <w:color w:val="auto"/>
                <w:w w:val="93"/>
              </w:rPr>
              <w:t>3/28/2014</w:t>
            </w:r>
          </w:p>
        </w:tc>
        <w:tc>
          <w:tcPr>
            <w:tcW w:w="1460" w:type="dxa"/>
            <w:vAlign w:val="bottom"/>
          </w:tcPr>
          <w:p>
            <w:pPr>
              <w:jc w:val="center"/>
              <w:spacing w:after="0"/>
              <w:rPr>
                <w:sz w:val="20"/>
                <w:szCs w:val="20"/>
                <w:color w:val="auto"/>
              </w:rPr>
            </w:pPr>
            <w:r>
              <w:rPr>
                <w:rFonts w:ascii="Arial" w:cs="Arial" w:eastAsia="Arial" w:hAnsi="Arial"/>
                <w:sz w:val="13"/>
                <w:szCs w:val="13"/>
                <w:color w:val="auto"/>
                <w:w w:val="92"/>
              </w:rPr>
              <w:t>Business Services</w:t>
            </w:r>
          </w:p>
        </w:tc>
        <w:tc>
          <w:tcPr>
            <w:tcW w:w="620" w:type="dxa"/>
            <w:vAlign w:val="bottom"/>
          </w:tcPr>
          <w:p>
            <w:pPr>
              <w:jc w:val="right"/>
              <w:spacing w:after="0"/>
              <w:rPr>
                <w:sz w:val="20"/>
                <w:szCs w:val="20"/>
                <w:color w:val="auto"/>
              </w:rPr>
            </w:pPr>
            <w:r>
              <w:rPr>
                <w:rFonts w:ascii="Arial" w:cs="Arial" w:eastAsia="Arial" w:hAnsi="Arial"/>
                <w:sz w:val="13"/>
                <w:szCs w:val="13"/>
                <w:color w:val="auto"/>
              </w:rPr>
              <w:t>3.25%</w:t>
            </w:r>
          </w:p>
        </w:tc>
        <w:tc>
          <w:tcPr>
            <w:tcW w:w="280" w:type="dxa"/>
            <w:vAlign w:val="bottom"/>
          </w:tcPr>
          <w:p>
            <w:pPr>
              <w:spacing w:after="0"/>
              <w:rPr>
                <w:sz w:val="14"/>
                <w:szCs w:val="14"/>
                <w:color w:val="auto"/>
              </w:rPr>
            </w:pPr>
          </w:p>
        </w:tc>
        <w:tc>
          <w:tcPr>
            <w:tcW w:w="760" w:type="dxa"/>
            <w:vAlign w:val="bottom"/>
          </w:tcPr>
          <w:p>
            <w:pPr>
              <w:jc w:val="right"/>
              <w:ind w:right="153"/>
              <w:spacing w:after="0"/>
              <w:rPr>
                <w:sz w:val="20"/>
                <w:szCs w:val="20"/>
                <w:color w:val="auto"/>
              </w:rPr>
            </w:pPr>
            <w:r>
              <w:rPr>
                <w:rFonts w:ascii="Arial" w:cs="Arial" w:eastAsia="Arial" w:hAnsi="Arial"/>
                <w:sz w:val="13"/>
                <w:szCs w:val="13"/>
                <w:color w:val="auto"/>
              </w:rPr>
              <w:t>L+200</w:t>
            </w:r>
          </w:p>
        </w:tc>
        <w:tc>
          <w:tcPr>
            <w:tcW w:w="900" w:type="dxa"/>
            <w:vAlign w:val="bottom"/>
            <w:gridSpan w:val="3"/>
          </w:tcPr>
          <w:p>
            <w:pPr>
              <w:jc w:val="right"/>
              <w:ind w:right="80"/>
              <w:spacing w:after="0"/>
              <w:rPr>
                <w:sz w:val="20"/>
                <w:szCs w:val="20"/>
                <w:color w:val="auto"/>
              </w:rPr>
            </w:pPr>
            <w:r>
              <w:rPr>
                <w:rFonts w:ascii="Arial" w:cs="Arial" w:eastAsia="Arial" w:hAnsi="Arial"/>
                <w:sz w:val="13"/>
                <w:szCs w:val="13"/>
                <w:color w:val="auto"/>
              </w:rPr>
              <w:t>3,920,000</w:t>
            </w:r>
          </w:p>
        </w:tc>
        <w:tc>
          <w:tcPr>
            <w:tcW w:w="780" w:type="dxa"/>
            <w:vAlign w:val="bottom"/>
          </w:tcPr>
          <w:p>
            <w:pPr>
              <w:jc w:val="right"/>
              <w:ind w:right="13"/>
              <w:spacing w:after="0"/>
              <w:rPr>
                <w:sz w:val="20"/>
                <w:szCs w:val="20"/>
                <w:color w:val="auto"/>
              </w:rPr>
            </w:pPr>
            <w:r>
              <w:rPr>
                <w:rFonts w:ascii="Arial" w:cs="Arial" w:eastAsia="Arial" w:hAnsi="Arial"/>
                <w:sz w:val="13"/>
                <w:szCs w:val="13"/>
                <w:color w:val="auto"/>
              </w:rPr>
              <w:t>3,920,000</w:t>
            </w:r>
          </w:p>
        </w:tc>
        <w:tc>
          <w:tcPr>
            <w:tcW w:w="700" w:type="dxa"/>
            <w:vAlign w:val="bottom"/>
          </w:tcPr>
          <w:p>
            <w:pPr>
              <w:jc w:val="right"/>
              <w:spacing w:after="0"/>
              <w:rPr>
                <w:sz w:val="20"/>
                <w:szCs w:val="20"/>
                <w:color w:val="auto"/>
              </w:rPr>
            </w:pPr>
            <w:r>
              <w:rPr>
                <w:rFonts w:ascii="Arial" w:cs="Arial" w:eastAsia="Arial" w:hAnsi="Arial"/>
                <w:sz w:val="13"/>
                <w:szCs w:val="13"/>
                <w:color w:val="auto"/>
              </w:rPr>
              <w:t>3,226,160</w:t>
            </w:r>
          </w:p>
        </w:tc>
      </w:tr>
    </w:tbl>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40"/>
          </w:cols>
          <w:pgMar w:left="320" w:top="459" w:right="3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206375</wp:posOffset>
            </wp:positionH>
            <wp:positionV relativeFrom="page">
              <wp:posOffset>88900</wp:posOffset>
            </wp:positionV>
            <wp:extent cx="7153275" cy="279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32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PENNANTPARK INVESTMENT CORPORATION</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SCHEDULE OF INVESTMENTS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MARCH 31, 2009</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760" w:type="dxa"/>
            <w:vAlign w:val="bottom"/>
          </w:tcPr>
          <w:p>
            <w:pPr>
              <w:spacing w:after="0"/>
              <w:rPr>
                <w:sz w:val="13"/>
                <w:szCs w:val="13"/>
                <w:color w:val="auto"/>
              </w:rPr>
            </w:pPr>
          </w:p>
        </w:tc>
        <w:tc>
          <w:tcPr>
            <w:tcW w:w="45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0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6"/>
              </w:rPr>
              <w:t>Basis</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760" w:type="dxa"/>
            <w:vAlign w:val="bottom"/>
          </w:tcPr>
          <w:p>
            <w:pPr>
              <w:spacing w:after="0"/>
              <w:rPr>
                <w:sz w:val="12"/>
                <w:szCs w:val="12"/>
                <w:color w:val="auto"/>
              </w:rPr>
            </w:pPr>
          </w:p>
        </w:tc>
        <w:tc>
          <w:tcPr>
            <w:tcW w:w="45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0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2"/>
              </w:rPr>
              <w:t>Point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60" w:type="dxa"/>
            <w:vAlign w:val="bottom"/>
          </w:tcPr>
          <w:p>
            <w:pPr>
              <w:spacing w:after="0"/>
              <w:rPr>
                <w:sz w:val="12"/>
                <w:szCs w:val="12"/>
                <w:color w:val="auto"/>
              </w:rPr>
            </w:pPr>
          </w:p>
        </w:tc>
        <w:tc>
          <w:tcPr>
            <w:tcW w:w="45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0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5"/>
              </w:rPr>
              <w:t>Spread</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760" w:type="dxa"/>
            <w:vAlign w:val="bottom"/>
          </w:tcPr>
          <w:p>
            <w:pPr>
              <w:spacing w:after="0"/>
              <w:rPr>
                <w:sz w:val="14"/>
                <w:szCs w:val="14"/>
                <w:color w:val="auto"/>
              </w:rPr>
            </w:pPr>
          </w:p>
        </w:tc>
        <w:tc>
          <w:tcPr>
            <w:tcW w:w="45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tcPr>
          <w:p>
            <w:pPr>
              <w:jc w:val="right"/>
              <w:ind w:right="420"/>
              <w:spacing w:after="0"/>
              <w:rPr>
                <w:sz w:val="20"/>
                <w:szCs w:val="20"/>
                <w:color w:val="auto"/>
              </w:rPr>
            </w:pPr>
            <w:r>
              <w:rPr>
                <w:rFonts w:ascii="Arial" w:cs="Arial" w:eastAsia="Arial" w:hAnsi="Arial"/>
                <w:sz w:val="13"/>
                <w:szCs w:val="13"/>
                <w:b w:val="1"/>
                <w:bCs w:val="1"/>
                <w:color w:val="auto"/>
                <w:w w:val="97"/>
              </w:rPr>
              <w:t>Current</w:t>
            </w:r>
          </w:p>
        </w:tc>
        <w:tc>
          <w:tcPr>
            <w:tcW w:w="70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5"/>
              </w:rPr>
              <w:t>Above</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rPr>
              <w:t>Fair</w:t>
            </w:r>
          </w:p>
        </w:tc>
        <w:tc>
          <w:tcPr>
            <w:tcW w:w="0" w:type="dxa"/>
            <w:vAlign w:val="bottom"/>
          </w:tcPr>
          <w:p>
            <w:pPr>
              <w:spacing w:after="0"/>
              <w:rPr>
                <w:sz w:val="1"/>
                <w:szCs w:val="1"/>
                <w:color w:val="auto"/>
              </w:rPr>
            </w:pPr>
          </w:p>
        </w:tc>
      </w:tr>
      <w:tr>
        <w:trPr>
          <w:trHeight w:val="175"/>
        </w:trPr>
        <w:tc>
          <w:tcPr>
            <w:tcW w:w="76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w w:val="95"/>
              </w:rPr>
              <w:t>Issuer Name</w:t>
            </w:r>
          </w:p>
        </w:tc>
        <w:tc>
          <w:tcPr>
            <w:tcW w:w="4500" w:type="dxa"/>
            <w:vAlign w:val="bottom"/>
          </w:tcPr>
          <w:p>
            <w:pPr>
              <w:spacing w:after="0"/>
              <w:rPr>
                <w:sz w:val="15"/>
                <w:szCs w:val="15"/>
                <w:color w:val="auto"/>
              </w:rPr>
            </w:pPr>
          </w:p>
        </w:tc>
        <w:tc>
          <w:tcPr>
            <w:tcW w:w="56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Maturity</w:t>
            </w:r>
          </w:p>
        </w:tc>
        <w:tc>
          <w:tcPr>
            <w:tcW w:w="100" w:type="dxa"/>
            <w:vAlign w:val="bottom"/>
          </w:tcPr>
          <w:p>
            <w:pPr>
              <w:spacing w:after="0"/>
              <w:rPr>
                <w:sz w:val="15"/>
                <w:szCs w:val="15"/>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7"/>
              </w:rPr>
              <w:t>Industry</w:t>
            </w:r>
          </w:p>
        </w:tc>
        <w:tc>
          <w:tcPr>
            <w:tcW w:w="100" w:type="dxa"/>
            <w:vAlign w:val="bottom"/>
          </w:tcPr>
          <w:p>
            <w:pPr>
              <w:spacing w:after="0"/>
              <w:rPr>
                <w:sz w:val="15"/>
                <w:szCs w:val="15"/>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w w:val="89"/>
              </w:rPr>
              <w:t>Coupon</w:t>
            </w:r>
          </w:p>
        </w:tc>
        <w:tc>
          <w:tcPr>
            <w:tcW w:w="420" w:type="dxa"/>
            <w:vAlign w:val="bottom"/>
          </w:tcPr>
          <w:p>
            <w:pPr>
              <w:spacing w:after="0"/>
              <w:rPr>
                <w:sz w:val="15"/>
                <w:szCs w:val="15"/>
                <w:color w:val="auto"/>
              </w:rPr>
            </w:pPr>
          </w:p>
        </w:tc>
        <w:tc>
          <w:tcPr>
            <w:tcW w:w="46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2"/>
                <w:szCs w:val="12"/>
                <w:b w:val="1"/>
                <w:bCs w:val="1"/>
                <w:color w:val="auto"/>
                <w:w w:val="92"/>
              </w:rPr>
              <w:t>Index</w:t>
            </w:r>
            <w:r>
              <w:rPr>
                <w:rFonts w:ascii="Arial" w:cs="Arial" w:eastAsia="Arial" w:hAnsi="Arial"/>
                <w:sz w:val="20"/>
                <w:szCs w:val="20"/>
                <w:b w:val="1"/>
                <w:bCs w:val="1"/>
                <w:color w:val="auto"/>
                <w:w w:val="92"/>
                <w:vertAlign w:val="superscript"/>
              </w:rPr>
              <w:t>(4)</w:t>
            </w: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center"/>
              <w:ind w:right="13"/>
              <w:spacing w:after="0"/>
              <w:rPr>
                <w:sz w:val="20"/>
                <w:szCs w:val="20"/>
                <w:color w:val="auto"/>
              </w:rPr>
            </w:pPr>
            <w:r>
              <w:rPr>
                <w:rFonts w:ascii="Arial" w:cs="Arial" w:eastAsia="Arial" w:hAnsi="Arial"/>
                <w:sz w:val="13"/>
                <w:szCs w:val="13"/>
                <w:b w:val="1"/>
                <w:bCs w:val="1"/>
                <w:color w:val="auto"/>
                <w:w w:val="95"/>
              </w:rPr>
              <w:t>Par</w:t>
            </w:r>
          </w:p>
        </w:tc>
        <w:tc>
          <w:tcPr>
            <w:tcW w:w="100" w:type="dxa"/>
            <w:vAlign w:val="bottom"/>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173"/>
              <w:spacing w:after="0"/>
              <w:rPr>
                <w:sz w:val="20"/>
                <w:szCs w:val="20"/>
                <w:color w:val="auto"/>
              </w:rPr>
            </w:pPr>
            <w:r>
              <w:rPr>
                <w:rFonts w:ascii="Arial" w:cs="Arial" w:eastAsia="Arial" w:hAnsi="Arial"/>
                <w:sz w:val="13"/>
                <w:szCs w:val="13"/>
                <w:b w:val="1"/>
                <w:bCs w:val="1"/>
                <w:color w:val="auto"/>
              </w:rPr>
              <w:t>Cost</w:t>
            </w:r>
          </w:p>
        </w:tc>
        <w:tc>
          <w:tcPr>
            <w:tcW w:w="10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center"/>
              <w:spacing w:after="0" w:line="176" w:lineRule="exact"/>
              <w:rPr>
                <w:sz w:val="20"/>
                <w:szCs w:val="20"/>
                <w:color w:val="auto"/>
              </w:rPr>
            </w:pPr>
            <w:r>
              <w:rPr>
                <w:rFonts w:ascii="Arial" w:cs="Arial" w:eastAsia="Arial" w:hAnsi="Arial"/>
                <w:sz w:val="12"/>
                <w:szCs w:val="12"/>
                <w:b w:val="1"/>
                <w:bCs w:val="1"/>
                <w:color w:val="auto"/>
                <w:w w:val="96"/>
              </w:rPr>
              <w:t xml:space="preserve">Value </w:t>
            </w:r>
            <w:r>
              <w:rPr>
                <w:rFonts w:ascii="Arial" w:cs="Arial" w:eastAsia="Arial" w:hAnsi="Arial"/>
                <w:sz w:val="20"/>
                <w:szCs w:val="20"/>
                <w:b w:val="1"/>
                <w:bCs w:val="1"/>
                <w:color w:val="auto"/>
                <w:w w:val="96"/>
                <w:vertAlign w:val="superscript"/>
              </w:rPr>
              <w:t>(3)</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1"/>
        </w:trPr>
        <w:tc>
          <w:tcPr>
            <w:tcW w:w="5260" w:type="dxa"/>
            <w:vAlign w:val="bottom"/>
            <w:gridSpan w:val="2"/>
            <w:shd w:val="clear" w:color="auto" w:fill="CCEEFF"/>
          </w:tcPr>
          <w:p>
            <w:pPr>
              <w:spacing w:after="0" w:line="131" w:lineRule="exact"/>
              <w:rPr>
                <w:sz w:val="20"/>
                <w:szCs w:val="20"/>
                <w:color w:val="auto"/>
              </w:rPr>
            </w:pPr>
            <w:r>
              <w:rPr>
                <w:rFonts w:ascii="Arial" w:cs="Arial" w:eastAsia="Arial" w:hAnsi="Arial"/>
                <w:sz w:val="13"/>
                <w:szCs w:val="13"/>
                <w:color w:val="auto"/>
              </w:rPr>
              <w:t>National Bedding Co., L.L.C.</w:t>
            </w:r>
          </w:p>
        </w:tc>
        <w:tc>
          <w:tcPr>
            <w:tcW w:w="560" w:type="dxa"/>
            <w:vAlign w:val="bottom"/>
            <w:shd w:val="clear" w:color="auto" w:fill="CCEEFF"/>
          </w:tcPr>
          <w:p>
            <w:pPr>
              <w:jc w:val="center"/>
              <w:spacing w:after="0" w:line="131" w:lineRule="exact"/>
              <w:rPr>
                <w:sz w:val="20"/>
                <w:szCs w:val="20"/>
                <w:color w:val="auto"/>
              </w:rPr>
            </w:pPr>
            <w:r>
              <w:rPr>
                <w:rFonts w:ascii="Arial" w:cs="Arial" w:eastAsia="Arial" w:hAnsi="Arial"/>
                <w:sz w:val="13"/>
                <w:szCs w:val="13"/>
                <w:color w:val="auto"/>
                <w:w w:val="96"/>
              </w:rPr>
              <w:t>2/28/2013</w:t>
            </w:r>
          </w:p>
        </w:tc>
        <w:tc>
          <w:tcPr>
            <w:tcW w:w="100" w:type="dxa"/>
            <w:vAlign w:val="bottom"/>
            <w:shd w:val="clear" w:color="auto" w:fill="CCEEFF"/>
          </w:tcPr>
          <w:p>
            <w:pPr>
              <w:spacing w:after="0"/>
              <w:rPr>
                <w:sz w:val="11"/>
                <w:szCs w:val="11"/>
                <w:color w:val="auto"/>
              </w:rPr>
            </w:pPr>
          </w:p>
        </w:tc>
        <w:tc>
          <w:tcPr>
            <w:tcW w:w="980" w:type="dxa"/>
            <w:vAlign w:val="bottom"/>
            <w:shd w:val="clear" w:color="auto" w:fill="CCEEFF"/>
          </w:tcPr>
          <w:p>
            <w:pPr>
              <w:jc w:val="center"/>
              <w:spacing w:after="0" w:line="131" w:lineRule="exact"/>
              <w:rPr>
                <w:sz w:val="20"/>
                <w:szCs w:val="20"/>
                <w:color w:val="auto"/>
              </w:rPr>
            </w:pPr>
            <w:r>
              <w:rPr>
                <w:rFonts w:ascii="Arial" w:cs="Arial" w:eastAsia="Arial" w:hAnsi="Arial"/>
                <w:sz w:val="13"/>
                <w:szCs w:val="13"/>
                <w:color w:val="auto"/>
                <w:w w:val="96"/>
              </w:rPr>
              <w:t>Home and Office</w:t>
            </w:r>
          </w:p>
        </w:tc>
        <w:tc>
          <w:tcPr>
            <w:tcW w:w="1000" w:type="dxa"/>
            <w:vAlign w:val="bottom"/>
            <w:gridSpan w:val="3"/>
            <w:shd w:val="clear" w:color="auto" w:fill="CCEEFF"/>
          </w:tcPr>
          <w:p>
            <w:pPr>
              <w:jc w:val="right"/>
              <w:ind w:right="320"/>
              <w:spacing w:after="0" w:line="131" w:lineRule="exact"/>
              <w:rPr>
                <w:sz w:val="20"/>
                <w:szCs w:val="20"/>
                <w:color w:val="auto"/>
              </w:rPr>
            </w:pPr>
            <w:r>
              <w:rPr>
                <w:rFonts w:ascii="Arial" w:cs="Arial" w:eastAsia="Arial" w:hAnsi="Arial"/>
                <w:sz w:val="13"/>
                <w:szCs w:val="13"/>
                <w:color w:val="auto"/>
              </w:rPr>
              <w:t>2.57%</w:t>
            </w:r>
          </w:p>
        </w:tc>
        <w:tc>
          <w:tcPr>
            <w:tcW w:w="700" w:type="dxa"/>
            <w:vAlign w:val="bottom"/>
            <w:gridSpan w:val="2"/>
            <w:shd w:val="clear" w:color="auto" w:fill="CCEEFF"/>
          </w:tcPr>
          <w:p>
            <w:pPr>
              <w:jc w:val="right"/>
              <w:ind w:right="240"/>
              <w:spacing w:after="0" w:line="131" w:lineRule="exact"/>
              <w:rPr>
                <w:sz w:val="20"/>
                <w:szCs w:val="20"/>
                <w:color w:val="auto"/>
              </w:rPr>
            </w:pPr>
            <w:r>
              <w:rPr>
                <w:rFonts w:ascii="Arial" w:cs="Arial" w:eastAsia="Arial" w:hAnsi="Arial"/>
                <w:sz w:val="13"/>
                <w:szCs w:val="13"/>
                <w:color w:val="auto"/>
              </w:rPr>
              <w:t>L+200</w:t>
            </w:r>
          </w:p>
        </w:tc>
        <w:tc>
          <w:tcPr>
            <w:tcW w:w="160" w:type="dxa"/>
            <w:vAlign w:val="bottom"/>
            <w:gridSpan w:val="2"/>
            <w:shd w:val="clear" w:color="auto" w:fill="CCEEFF"/>
          </w:tcPr>
          <w:p>
            <w:pPr>
              <w:jc w:val="right"/>
              <w:spacing w:after="0" w:line="131" w:lineRule="exact"/>
              <w:rPr>
                <w:sz w:val="20"/>
                <w:szCs w:val="20"/>
                <w:color w:val="auto"/>
              </w:rPr>
            </w:pPr>
            <w:r>
              <w:rPr>
                <w:rFonts w:ascii="Arial" w:cs="Arial" w:eastAsia="Arial" w:hAnsi="Arial"/>
                <w:sz w:val="13"/>
                <w:szCs w:val="13"/>
                <w:color w:val="auto"/>
              </w:rPr>
              <w:t>$</w:t>
            </w:r>
          </w:p>
        </w:tc>
        <w:tc>
          <w:tcPr>
            <w:tcW w:w="780" w:type="dxa"/>
            <w:vAlign w:val="bottom"/>
            <w:gridSpan w:val="2"/>
            <w:shd w:val="clear" w:color="auto" w:fill="CCEEFF"/>
          </w:tcPr>
          <w:p>
            <w:pPr>
              <w:jc w:val="right"/>
              <w:ind w:right="100"/>
              <w:spacing w:after="0" w:line="131" w:lineRule="exact"/>
              <w:rPr>
                <w:sz w:val="20"/>
                <w:szCs w:val="20"/>
                <w:color w:val="auto"/>
              </w:rPr>
            </w:pPr>
            <w:r>
              <w:rPr>
                <w:rFonts w:ascii="Arial" w:cs="Arial" w:eastAsia="Arial" w:hAnsi="Arial"/>
                <w:sz w:val="13"/>
                <w:szCs w:val="13"/>
                <w:color w:val="auto"/>
              </w:rPr>
              <w:t>6,860,000</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shd w:val="clear" w:color="auto" w:fill="CCEEFF"/>
          </w:tcPr>
          <w:p>
            <w:pPr>
              <w:jc w:val="right"/>
              <w:spacing w:after="0" w:line="131" w:lineRule="exact"/>
              <w:rPr>
                <w:sz w:val="20"/>
                <w:szCs w:val="20"/>
                <w:color w:val="auto"/>
              </w:rPr>
            </w:pPr>
            <w:r>
              <w:rPr>
                <w:rFonts w:ascii="Arial" w:cs="Arial" w:eastAsia="Arial" w:hAnsi="Arial"/>
                <w:sz w:val="13"/>
                <w:szCs w:val="13"/>
                <w:color w:val="auto"/>
              </w:rPr>
              <w:t>6,864,910</w:t>
            </w:r>
          </w:p>
        </w:tc>
        <w:tc>
          <w:tcPr>
            <w:tcW w:w="180" w:type="dxa"/>
            <w:vAlign w:val="bottom"/>
            <w:gridSpan w:val="2"/>
            <w:shd w:val="clear" w:color="auto" w:fill="CCEEFF"/>
          </w:tcPr>
          <w:p>
            <w:pPr>
              <w:jc w:val="right"/>
              <w:spacing w:after="0" w:line="131" w:lineRule="exact"/>
              <w:rPr>
                <w:sz w:val="20"/>
                <w:szCs w:val="20"/>
                <w:color w:val="auto"/>
              </w:rPr>
            </w:pPr>
            <w:r>
              <w:rPr>
                <w:rFonts w:ascii="Arial" w:cs="Arial" w:eastAsia="Arial" w:hAnsi="Arial"/>
                <w:sz w:val="13"/>
                <w:szCs w:val="13"/>
                <w:color w:val="auto"/>
              </w:rPr>
              <w:t>$</w:t>
            </w:r>
          </w:p>
        </w:tc>
        <w:tc>
          <w:tcPr>
            <w:tcW w:w="780" w:type="dxa"/>
            <w:vAlign w:val="bottom"/>
            <w:gridSpan w:val="2"/>
            <w:shd w:val="clear" w:color="auto" w:fill="CCEEFF"/>
          </w:tcPr>
          <w:p>
            <w:pPr>
              <w:jc w:val="right"/>
              <w:ind w:right="60"/>
              <w:spacing w:after="0" w:line="131" w:lineRule="exact"/>
              <w:rPr>
                <w:sz w:val="20"/>
                <w:szCs w:val="20"/>
                <w:color w:val="auto"/>
              </w:rPr>
            </w:pPr>
            <w:r>
              <w:rPr>
                <w:rFonts w:ascii="Arial" w:cs="Arial" w:eastAsia="Arial" w:hAnsi="Arial"/>
                <w:sz w:val="13"/>
                <w:szCs w:val="13"/>
                <w:color w:val="auto"/>
              </w:rPr>
              <w:t>5,268,480</w:t>
            </w:r>
          </w:p>
        </w:tc>
        <w:tc>
          <w:tcPr>
            <w:tcW w:w="0" w:type="dxa"/>
            <w:vAlign w:val="bottom"/>
          </w:tcPr>
          <w:p>
            <w:pPr>
              <w:spacing w:after="0"/>
              <w:rPr>
                <w:sz w:val="1"/>
                <w:szCs w:val="1"/>
                <w:color w:val="auto"/>
              </w:rPr>
            </w:pPr>
          </w:p>
        </w:tc>
      </w:tr>
      <w:tr>
        <w:trPr>
          <w:trHeight w:val="148"/>
        </w:trPr>
        <w:tc>
          <w:tcPr>
            <w:tcW w:w="760" w:type="dxa"/>
            <w:vAlign w:val="bottom"/>
            <w:shd w:val="clear" w:color="auto" w:fill="CCEEFF"/>
          </w:tcPr>
          <w:p>
            <w:pPr>
              <w:spacing w:after="0"/>
              <w:rPr>
                <w:sz w:val="12"/>
                <w:szCs w:val="12"/>
                <w:color w:val="auto"/>
              </w:rPr>
            </w:pPr>
          </w:p>
        </w:tc>
        <w:tc>
          <w:tcPr>
            <w:tcW w:w="45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3"/>
              </w:rPr>
              <w:t>Furnishings,</w:t>
            </w: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60" w:type="dxa"/>
            <w:vAlign w:val="bottom"/>
            <w:shd w:val="clear" w:color="auto" w:fill="CCEEFF"/>
          </w:tcPr>
          <w:p>
            <w:pPr>
              <w:spacing w:after="0"/>
              <w:rPr>
                <w:sz w:val="12"/>
                <w:szCs w:val="12"/>
                <w:color w:val="auto"/>
              </w:rPr>
            </w:pPr>
          </w:p>
        </w:tc>
        <w:tc>
          <w:tcPr>
            <w:tcW w:w="45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2"/>
              </w:rPr>
              <w:t>Housewares and</w:t>
            </w: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60" w:type="dxa"/>
            <w:vAlign w:val="bottom"/>
            <w:shd w:val="clear" w:color="auto" w:fill="CCEEFF"/>
          </w:tcPr>
          <w:p>
            <w:pPr>
              <w:spacing w:after="0"/>
              <w:rPr>
                <w:sz w:val="12"/>
                <w:szCs w:val="12"/>
                <w:color w:val="auto"/>
              </w:rPr>
            </w:pPr>
          </w:p>
        </w:tc>
        <w:tc>
          <w:tcPr>
            <w:tcW w:w="45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6"/>
              </w:rPr>
              <w:t>Durable</w:t>
            </w: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60" w:type="dxa"/>
            <w:vAlign w:val="bottom"/>
            <w:shd w:val="clear" w:color="auto" w:fill="CCEEFF"/>
          </w:tcPr>
          <w:p>
            <w:pPr>
              <w:spacing w:after="0"/>
              <w:rPr>
                <w:sz w:val="12"/>
                <w:szCs w:val="12"/>
                <w:color w:val="auto"/>
              </w:rPr>
            </w:pPr>
          </w:p>
        </w:tc>
        <w:tc>
          <w:tcPr>
            <w:tcW w:w="45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3"/>
              </w:rPr>
              <w:t>Consumer</w:t>
            </w: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760" w:type="dxa"/>
            <w:vAlign w:val="bottom"/>
            <w:shd w:val="clear" w:color="auto" w:fill="CCEEFF"/>
          </w:tcPr>
          <w:p>
            <w:pPr>
              <w:spacing w:after="0"/>
              <w:rPr>
                <w:sz w:val="13"/>
                <w:szCs w:val="13"/>
                <w:color w:val="auto"/>
              </w:rPr>
            </w:pPr>
          </w:p>
        </w:tc>
        <w:tc>
          <w:tcPr>
            <w:tcW w:w="450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9"/>
              </w:rPr>
              <w:t>Products</w:t>
            </w:r>
          </w:p>
        </w:tc>
        <w:tc>
          <w:tcPr>
            <w:tcW w:w="1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70"/>
        </w:trPr>
        <w:tc>
          <w:tcPr>
            <w:tcW w:w="5260" w:type="dxa"/>
            <w:vAlign w:val="bottom"/>
            <w:gridSpan w:val="2"/>
          </w:tcPr>
          <w:p>
            <w:pPr>
              <w:spacing w:after="0"/>
              <w:rPr>
                <w:sz w:val="20"/>
                <w:szCs w:val="20"/>
                <w:color w:val="auto"/>
              </w:rPr>
            </w:pPr>
            <w:r>
              <w:rPr>
                <w:rFonts w:ascii="Arial" w:cs="Arial" w:eastAsia="Arial" w:hAnsi="Arial"/>
                <w:sz w:val="13"/>
                <w:szCs w:val="13"/>
                <w:color w:val="auto"/>
              </w:rPr>
              <w:t>Penton Media, Inc.</w:t>
            </w:r>
          </w:p>
        </w:tc>
        <w:tc>
          <w:tcPr>
            <w:tcW w:w="560" w:type="dxa"/>
            <w:vAlign w:val="bottom"/>
          </w:tcPr>
          <w:p>
            <w:pPr>
              <w:jc w:val="center"/>
              <w:spacing w:after="0"/>
              <w:rPr>
                <w:sz w:val="20"/>
                <w:szCs w:val="20"/>
                <w:color w:val="auto"/>
              </w:rPr>
            </w:pPr>
            <w:r>
              <w:rPr>
                <w:rFonts w:ascii="Arial" w:cs="Arial" w:eastAsia="Arial" w:hAnsi="Arial"/>
                <w:sz w:val="13"/>
                <w:szCs w:val="13"/>
                <w:color w:val="auto"/>
                <w:w w:val="94"/>
              </w:rPr>
              <w:t>2/1/2013</w:t>
            </w:r>
          </w:p>
        </w:tc>
        <w:tc>
          <w:tcPr>
            <w:tcW w:w="100" w:type="dxa"/>
            <w:vAlign w:val="bottom"/>
          </w:tcPr>
          <w:p>
            <w:pPr>
              <w:spacing w:after="0"/>
              <w:rPr>
                <w:sz w:val="23"/>
                <w:szCs w:val="23"/>
                <w:color w:val="auto"/>
              </w:rPr>
            </w:pPr>
          </w:p>
        </w:tc>
        <w:tc>
          <w:tcPr>
            <w:tcW w:w="980" w:type="dxa"/>
            <w:vAlign w:val="bottom"/>
          </w:tcPr>
          <w:p>
            <w:pPr>
              <w:jc w:val="center"/>
              <w:spacing w:after="0"/>
              <w:rPr>
                <w:sz w:val="20"/>
                <w:szCs w:val="20"/>
                <w:color w:val="auto"/>
              </w:rPr>
            </w:pPr>
            <w:r>
              <w:rPr>
                <w:rFonts w:ascii="Arial" w:cs="Arial" w:eastAsia="Arial" w:hAnsi="Arial"/>
                <w:sz w:val="13"/>
                <w:szCs w:val="13"/>
                <w:color w:val="auto"/>
                <w:w w:val="97"/>
              </w:rPr>
              <w:t>Other Media</w:t>
            </w:r>
          </w:p>
        </w:tc>
        <w:tc>
          <w:tcPr>
            <w:tcW w:w="1000" w:type="dxa"/>
            <w:vAlign w:val="bottom"/>
            <w:gridSpan w:val="3"/>
          </w:tcPr>
          <w:p>
            <w:pPr>
              <w:jc w:val="right"/>
              <w:ind w:right="320"/>
              <w:spacing w:after="0"/>
              <w:rPr>
                <w:sz w:val="20"/>
                <w:szCs w:val="20"/>
                <w:color w:val="auto"/>
              </w:rPr>
            </w:pPr>
            <w:r>
              <w:rPr>
                <w:rFonts w:ascii="Arial" w:cs="Arial" w:eastAsia="Arial" w:hAnsi="Arial"/>
                <w:sz w:val="13"/>
                <w:szCs w:val="13"/>
                <w:color w:val="auto"/>
              </w:rPr>
              <w:t>3.36%</w:t>
            </w:r>
          </w:p>
        </w:tc>
        <w:tc>
          <w:tcPr>
            <w:tcW w:w="700" w:type="dxa"/>
            <w:vAlign w:val="bottom"/>
            <w:gridSpan w:val="2"/>
          </w:tcPr>
          <w:p>
            <w:pPr>
              <w:jc w:val="right"/>
              <w:ind w:right="240"/>
              <w:spacing w:after="0"/>
              <w:rPr>
                <w:sz w:val="20"/>
                <w:szCs w:val="20"/>
                <w:color w:val="auto"/>
              </w:rPr>
            </w:pPr>
            <w:r>
              <w:rPr>
                <w:rFonts w:ascii="Arial" w:cs="Arial" w:eastAsia="Arial" w:hAnsi="Arial"/>
                <w:sz w:val="13"/>
                <w:szCs w:val="13"/>
                <w:color w:val="auto"/>
              </w:rPr>
              <w:t>L+225</w:t>
            </w: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3"/>
                <w:szCs w:val="13"/>
                <w:color w:val="auto"/>
              </w:rPr>
              <w:t>4,900,000</w:t>
            </w:r>
          </w:p>
        </w:tc>
        <w:tc>
          <w:tcPr>
            <w:tcW w:w="6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4,900,000</w:t>
            </w:r>
          </w:p>
        </w:tc>
        <w:tc>
          <w:tcPr>
            <w:tcW w:w="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3"/>
                <w:szCs w:val="13"/>
                <w:color w:val="auto"/>
              </w:rPr>
              <w:t>3,508,400</w:t>
            </w:r>
          </w:p>
        </w:tc>
        <w:tc>
          <w:tcPr>
            <w:tcW w:w="0" w:type="dxa"/>
            <w:vAlign w:val="bottom"/>
          </w:tcPr>
          <w:p>
            <w:pPr>
              <w:spacing w:after="0"/>
              <w:rPr>
                <w:sz w:val="1"/>
                <w:szCs w:val="1"/>
                <w:color w:val="auto"/>
              </w:rPr>
            </w:pPr>
          </w:p>
        </w:tc>
      </w:tr>
      <w:tr>
        <w:trPr>
          <w:trHeight w:val="95"/>
        </w:trPr>
        <w:tc>
          <w:tcPr>
            <w:tcW w:w="760" w:type="dxa"/>
            <w:vAlign w:val="bottom"/>
          </w:tcPr>
          <w:p>
            <w:pPr>
              <w:spacing w:after="0"/>
              <w:rPr>
                <w:sz w:val="8"/>
                <w:szCs w:val="8"/>
                <w:color w:val="auto"/>
              </w:rPr>
            </w:pPr>
          </w:p>
        </w:tc>
        <w:tc>
          <w:tcPr>
            <w:tcW w:w="45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9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420" w:type="dxa"/>
            <w:vAlign w:val="bottom"/>
          </w:tcPr>
          <w:p>
            <w:pPr>
              <w:spacing w:after="0"/>
              <w:rPr>
                <w:sz w:val="8"/>
                <w:szCs w:val="8"/>
                <w:color w:val="auto"/>
              </w:rPr>
            </w:pPr>
          </w:p>
        </w:tc>
        <w:tc>
          <w:tcPr>
            <w:tcW w:w="46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8"/>
        </w:trPr>
        <w:tc>
          <w:tcPr>
            <w:tcW w:w="5260" w:type="dxa"/>
            <w:vAlign w:val="bottom"/>
            <w:gridSpan w:val="2"/>
            <w:shd w:val="clear" w:color="auto" w:fill="CCEEFF"/>
          </w:tcPr>
          <w:p>
            <w:pPr>
              <w:spacing w:after="0" w:line="138" w:lineRule="exact"/>
              <w:rPr>
                <w:sz w:val="20"/>
                <w:szCs w:val="20"/>
                <w:color w:val="auto"/>
              </w:rPr>
            </w:pPr>
            <w:r>
              <w:rPr>
                <w:rFonts w:ascii="Arial" w:cs="Arial" w:eastAsia="Arial" w:hAnsi="Arial"/>
                <w:sz w:val="13"/>
                <w:szCs w:val="13"/>
                <w:color w:val="auto"/>
              </w:rPr>
              <w:t>Philosophy, Inc.</w:t>
            </w:r>
          </w:p>
        </w:tc>
        <w:tc>
          <w:tcPr>
            <w:tcW w:w="560" w:type="dxa"/>
            <w:vAlign w:val="bottom"/>
            <w:shd w:val="clear" w:color="auto" w:fill="CCEEFF"/>
          </w:tcPr>
          <w:p>
            <w:pPr>
              <w:jc w:val="center"/>
              <w:spacing w:after="0" w:line="138" w:lineRule="exact"/>
              <w:rPr>
                <w:sz w:val="20"/>
                <w:szCs w:val="20"/>
                <w:color w:val="auto"/>
              </w:rPr>
            </w:pPr>
            <w:r>
              <w:rPr>
                <w:rFonts w:ascii="Arial" w:cs="Arial" w:eastAsia="Arial" w:hAnsi="Arial"/>
                <w:sz w:val="13"/>
                <w:szCs w:val="13"/>
                <w:color w:val="auto"/>
                <w:w w:val="96"/>
              </w:rPr>
              <w:t>3/16/2014</w:t>
            </w:r>
          </w:p>
        </w:tc>
        <w:tc>
          <w:tcPr>
            <w:tcW w:w="100" w:type="dxa"/>
            <w:vAlign w:val="bottom"/>
            <w:shd w:val="clear" w:color="auto" w:fill="CCEEFF"/>
          </w:tcPr>
          <w:p>
            <w:pPr>
              <w:spacing w:after="0"/>
              <w:rPr>
                <w:sz w:val="11"/>
                <w:szCs w:val="11"/>
                <w:color w:val="auto"/>
              </w:rPr>
            </w:pPr>
          </w:p>
        </w:tc>
        <w:tc>
          <w:tcPr>
            <w:tcW w:w="980" w:type="dxa"/>
            <w:vAlign w:val="bottom"/>
            <w:shd w:val="clear" w:color="auto" w:fill="CCEEFF"/>
          </w:tcPr>
          <w:p>
            <w:pPr>
              <w:jc w:val="center"/>
              <w:spacing w:after="0" w:line="138" w:lineRule="exact"/>
              <w:rPr>
                <w:sz w:val="20"/>
                <w:szCs w:val="20"/>
                <w:color w:val="auto"/>
              </w:rPr>
            </w:pPr>
            <w:r>
              <w:rPr>
                <w:rFonts w:ascii="Arial" w:cs="Arial" w:eastAsia="Arial" w:hAnsi="Arial"/>
                <w:sz w:val="13"/>
                <w:szCs w:val="13"/>
                <w:color w:val="auto"/>
                <w:w w:val="93"/>
              </w:rPr>
              <w:t>Consumer</w:t>
            </w:r>
          </w:p>
        </w:tc>
        <w:tc>
          <w:tcPr>
            <w:tcW w:w="1000" w:type="dxa"/>
            <w:vAlign w:val="bottom"/>
            <w:gridSpan w:val="3"/>
            <w:shd w:val="clear" w:color="auto" w:fill="CCEEFF"/>
          </w:tcPr>
          <w:p>
            <w:pPr>
              <w:jc w:val="right"/>
              <w:ind w:right="320"/>
              <w:spacing w:after="0" w:line="138" w:lineRule="exact"/>
              <w:rPr>
                <w:sz w:val="20"/>
                <w:szCs w:val="20"/>
                <w:color w:val="auto"/>
              </w:rPr>
            </w:pPr>
            <w:r>
              <w:rPr>
                <w:rFonts w:ascii="Arial" w:cs="Arial" w:eastAsia="Arial" w:hAnsi="Arial"/>
                <w:sz w:val="13"/>
                <w:szCs w:val="13"/>
                <w:color w:val="auto"/>
              </w:rPr>
              <w:t>2.52%</w:t>
            </w:r>
          </w:p>
        </w:tc>
        <w:tc>
          <w:tcPr>
            <w:tcW w:w="700" w:type="dxa"/>
            <w:vAlign w:val="bottom"/>
            <w:gridSpan w:val="2"/>
            <w:shd w:val="clear" w:color="auto" w:fill="CCEEFF"/>
          </w:tcPr>
          <w:p>
            <w:pPr>
              <w:jc w:val="right"/>
              <w:ind w:right="240"/>
              <w:spacing w:after="0" w:line="138" w:lineRule="exact"/>
              <w:rPr>
                <w:sz w:val="20"/>
                <w:szCs w:val="20"/>
                <w:color w:val="auto"/>
              </w:rPr>
            </w:pPr>
            <w:r>
              <w:rPr>
                <w:rFonts w:ascii="Arial" w:cs="Arial" w:eastAsia="Arial" w:hAnsi="Arial"/>
                <w:sz w:val="13"/>
                <w:szCs w:val="13"/>
                <w:color w:val="auto"/>
              </w:rPr>
              <w:t>L+200</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100"/>
              <w:spacing w:after="0" w:line="138" w:lineRule="exact"/>
              <w:rPr>
                <w:sz w:val="20"/>
                <w:szCs w:val="20"/>
                <w:color w:val="auto"/>
              </w:rPr>
            </w:pPr>
            <w:r>
              <w:rPr>
                <w:rFonts w:ascii="Arial" w:cs="Arial" w:eastAsia="Arial" w:hAnsi="Arial"/>
                <w:sz w:val="13"/>
                <w:szCs w:val="13"/>
                <w:color w:val="auto"/>
              </w:rPr>
              <w:t>1,467,200</w:t>
            </w:r>
          </w:p>
        </w:tc>
        <w:tc>
          <w:tcPr>
            <w:tcW w:w="6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1,467,200</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60"/>
              <w:spacing w:after="0" w:line="138" w:lineRule="exact"/>
              <w:rPr>
                <w:sz w:val="20"/>
                <w:szCs w:val="20"/>
                <w:color w:val="auto"/>
              </w:rPr>
            </w:pPr>
            <w:r>
              <w:rPr>
                <w:rFonts w:ascii="Arial" w:cs="Arial" w:eastAsia="Arial" w:hAnsi="Arial"/>
                <w:sz w:val="13"/>
                <w:szCs w:val="13"/>
                <w:color w:val="auto"/>
              </w:rPr>
              <w:t>1,109,203</w:t>
            </w:r>
          </w:p>
        </w:tc>
        <w:tc>
          <w:tcPr>
            <w:tcW w:w="0" w:type="dxa"/>
            <w:vAlign w:val="bottom"/>
          </w:tcPr>
          <w:p>
            <w:pPr>
              <w:spacing w:after="0"/>
              <w:rPr>
                <w:sz w:val="1"/>
                <w:szCs w:val="1"/>
                <w:color w:val="auto"/>
              </w:rPr>
            </w:pPr>
          </w:p>
        </w:tc>
      </w:tr>
      <w:tr>
        <w:trPr>
          <w:trHeight w:val="159"/>
        </w:trPr>
        <w:tc>
          <w:tcPr>
            <w:tcW w:w="760" w:type="dxa"/>
            <w:vAlign w:val="bottom"/>
            <w:shd w:val="clear" w:color="auto" w:fill="CCEEFF"/>
          </w:tcPr>
          <w:p>
            <w:pPr>
              <w:spacing w:after="0"/>
              <w:rPr>
                <w:sz w:val="13"/>
                <w:szCs w:val="13"/>
                <w:color w:val="auto"/>
              </w:rPr>
            </w:pPr>
          </w:p>
        </w:tc>
        <w:tc>
          <w:tcPr>
            <w:tcW w:w="450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9"/>
              </w:rPr>
              <w:t>Products</w:t>
            </w:r>
          </w:p>
        </w:tc>
        <w:tc>
          <w:tcPr>
            <w:tcW w:w="1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70"/>
        </w:trPr>
        <w:tc>
          <w:tcPr>
            <w:tcW w:w="5260" w:type="dxa"/>
            <w:vAlign w:val="bottom"/>
            <w:gridSpan w:val="2"/>
          </w:tcPr>
          <w:p>
            <w:pPr>
              <w:spacing w:after="0"/>
              <w:rPr>
                <w:sz w:val="20"/>
                <w:szCs w:val="20"/>
                <w:color w:val="auto"/>
              </w:rPr>
            </w:pPr>
            <w:r>
              <w:rPr>
                <w:rFonts w:ascii="Arial" w:cs="Arial" w:eastAsia="Arial" w:hAnsi="Arial"/>
                <w:sz w:val="13"/>
                <w:szCs w:val="13"/>
                <w:color w:val="auto"/>
              </w:rPr>
              <w:t>Questex Media Group, Inc.</w:t>
            </w:r>
          </w:p>
        </w:tc>
        <w:tc>
          <w:tcPr>
            <w:tcW w:w="560" w:type="dxa"/>
            <w:vAlign w:val="bottom"/>
          </w:tcPr>
          <w:p>
            <w:pPr>
              <w:jc w:val="center"/>
              <w:spacing w:after="0"/>
              <w:rPr>
                <w:sz w:val="20"/>
                <w:szCs w:val="20"/>
                <w:color w:val="auto"/>
              </w:rPr>
            </w:pPr>
            <w:r>
              <w:rPr>
                <w:rFonts w:ascii="Arial" w:cs="Arial" w:eastAsia="Arial" w:hAnsi="Arial"/>
                <w:sz w:val="13"/>
                <w:szCs w:val="13"/>
                <w:color w:val="auto"/>
                <w:w w:val="94"/>
              </w:rPr>
              <w:t>5/4/2014</w:t>
            </w:r>
          </w:p>
        </w:tc>
        <w:tc>
          <w:tcPr>
            <w:tcW w:w="100" w:type="dxa"/>
            <w:vAlign w:val="bottom"/>
          </w:tcPr>
          <w:p>
            <w:pPr>
              <w:spacing w:after="0"/>
              <w:rPr>
                <w:sz w:val="23"/>
                <w:szCs w:val="23"/>
                <w:color w:val="auto"/>
              </w:rPr>
            </w:pPr>
          </w:p>
        </w:tc>
        <w:tc>
          <w:tcPr>
            <w:tcW w:w="980" w:type="dxa"/>
            <w:vAlign w:val="bottom"/>
          </w:tcPr>
          <w:p>
            <w:pPr>
              <w:jc w:val="center"/>
              <w:spacing w:after="0"/>
              <w:rPr>
                <w:sz w:val="20"/>
                <w:szCs w:val="20"/>
                <w:color w:val="auto"/>
              </w:rPr>
            </w:pPr>
            <w:r>
              <w:rPr>
                <w:rFonts w:ascii="Arial" w:cs="Arial" w:eastAsia="Arial" w:hAnsi="Arial"/>
                <w:sz w:val="13"/>
                <w:szCs w:val="13"/>
                <w:color w:val="auto"/>
                <w:w w:val="97"/>
              </w:rPr>
              <w:t>Other Media</w:t>
            </w:r>
          </w:p>
        </w:tc>
        <w:tc>
          <w:tcPr>
            <w:tcW w:w="1000" w:type="dxa"/>
            <w:vAlign w:val="bottom"/>
            <w:gridSpan w:val="3"/>
          </w:tcPr>
          <w:p>
            <w:pPr>
              <w:jc w:val="right"/>
              <w:ind w:right="320"/>
              <w:spacing w:after="0"/>
              <w:rPr>
                <w:sz w:val="20"/>
                <w:szCs w:val="20"/>
                <w:color w:val="auto"/>
              </w:rPr>
            </w:pPr>
            <w:r>
              <w:rPr>
                <w:rFonts w:ascii="Arial" w:cs="Arial" w:eastAsia="Arial" w:hAnsi="Arial"/>
                <w:sz w:val="13"/>
                <w:szCs w:val="13"/>
                <w:color w:val="auto"/>
              </w:rPr>
              <w:t>3.50%</w:t>
            </w:r>
          </w:p>
        </w:tc>
        <w:tc>
          <w:tcPr>
            <w:tcW w:w="700" w:type="dxa"/>
            <w:vAlign w:val="bottom"/>
            <w:gridSpan w:val="2"/>
          </w:tcPr>
          <w:p>
            <w:pPr>
              <w:jc w:val="right"/>
              <w:ind w:right="240"/>
              <w:spacing w:after="0"/>
              <w:rPr>
                <w:sz w:val="20"/>
                <w:szCs w:val="20"/>
                <w:color w:val="auto"/>
              </w:rPr>
            </w:pPr>
            <w:r>
              <w:rPr>
                <w:rFonts w:ascii="Arial" w:cs="Arial" w:eastAsia="Arial" w:hAnsi="Arial"/>
                <w:sz w:val="13"/>
                <w:szCs w:val="13"/>
                <w:color w:val="auto"/>
              </w:rPr>
              <w:t>L+300</w:t>
            </w: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3"/>
                <w:szCs w:val="13"/>
                <w:color w:val="auto"/>
              </w:rPr>
              <w:t>4,899,167</w:t>
            </w:r>
          </w:p>
        </w:tc>
        <w:tc>
          <w:tcPr>
            <w:tcW w:w="6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4,899,167</w:t>
            </w:r>
          </w:p>
        </w:tc>
        <w:tc>
          <w:tcPr>
            <w:tcW w:w="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3"/>
                <w:szCs w:val="13"/>
                <w:color w:val="auto"/>
              </w:rPr>
              <w:t>3,542,098</w:t>
            </w:r>
          </w:p>
        </w:tc>
        <w:tc>
          <w:tcPr>
            <w:tcW w:w="0" w:type="dxa"/>
            <w:vAlign w:val="bottom"/>
          </w:tcPr>
          <w:p>
            <w:pPr>
              <w:spacing w:after="0"/>
              <w:rPr>
                <w:sz w:val="1"/>
                <w:szCs w:val="1"/>
                <w:color w:val="auto"/>
              </w:rPr>
            </w:pPr>
          </w:p>
        </w:tc>
      </w:tr>
      <w:tr>
        <w:trPr>
          <w:trHeight w:val="95"/>
        </w:trPr>
        <w:tc>
          <w:tcPr>
            <w:tcW w:w="760" w:type="dxa"/>
            <w:vAlign w:val="bottom"/>
          </w:tcPr>
          <w:p>
            <w:pPr>
              <w:spacing w:after="0"/>
              <w:rPr>
                <w:sz w:val="8"/>
                <w:szCs w:val="8"/>
                <w:color w:val="auto"/>
              </w:rPr>
            </w:pPr>
          </w:p>
        </w:tc>
        <w:tc>
          <w:tcPr>
            <w:tcW w:w="45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9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420" w:type="dxa"/>
            <w:vAlign w:val="bottom"/>
          </w:tcPr>
          <w:p>
            <w:pPr>
              <w:spacing w:after="0"/>
              <w:rPr>
                <w:sz w:val="8"/>
                <w:szCs w:val="8"/>
                <w:color w:val="auto"/>
              </w:rPr>
            </w:pPr>
          </w:p>
        </w:tc>
        <w:tc>
          <w:tcPr>
            <w:tcW w:w="46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8"/>
        </w:trPr>
        <w:tc>
          <w:tcPr>
            <w:tcW w:w="5260" w:type="dxa"/>
            <w:vAlign w:val="bottom"/>
            <w:gridSpan w:val="2"/>
            <w:shd w:val="clear" w:color="auto" w:fill="CCEEFF"/>
          </w:tcPr>
          <w:p>
            <w:pPr>
              <w:spacing w:after="0" w:line="138" w:lineRule="exact"/>
              <w:rPr>
                <w:sz w:val="20"/>
                <w:szCs w:val="20"/>
                <w:color w:val="auto"/>
              </w:rPr>
            </w:pPr>
            <w:r>
              <w:rPr>
                <w:rFonts w:ascii="Arial" w:cs="Arial" w:eastAsia="Arial" w:hAnsi="Arial"/>
                <w:sz w:val="13"/>
                <w:szCs w:val="13"/>
                <w:color w:val="auto"/>
              </w:rPr>
              <w:t>Rexnord , L.L.C.</w:t>
            </w:r>
          </w:p>
        </w:tc>
        <w:tc>
          <w:tcPr>
            <w:tcW w:w="560" w:type="dxa"/>
            <w:vAlign w:val="bottom"/>
            <w:shd w:val="clear" w:color="auto" w:fill="CCEEFF"/>
          </w:tcPr>
          <w:p>
            <w:pPr>
              <w:jc w:val="center"/>
              <w:spacing w:after="0" w:line="138" w:lineRule="exact"/>
              <w:rPr>
                <w:sz w:val="20"/>
                <w:szCs w:val="20"/>
                <w:color w:val="auto"/>
              </w:rPr>
            </w:pPr>
            <w:r>
              <w:rPr>
                <w:rFonts w:ascii="Arial" w:cs="Arial" w:eastAsia="Arial" w:hAnsi="Arial"/>
                <w:sz w:val="13"/>
                <w:szCs w:val="13"/>
                <w:color w:val="auto"/>
                <w:w w:val="96"/>
              </w:rPr>
              <w:t>7/19/2013</w:t>
            </w:r>
          </w:p>
        </w:tc>
        <w:tc>
          <w:tcPr>
            <w:tcW w:w="100" w:type="dxa"/>
            <w:vAlign w:val="bottom"/>
            <w:shd w:val="clear" w:color="auto" w:fill="CCEEFF"/>
          </w:tcPr>
          <w:p>
            <w:pPr>
              <w:spacing w:after="0"/>
              <w:rPr>
                <w:sz w:val="11"/>
                <w:szCs w:val="11"/>
                <w:color w:val="auto"/>
              </w:rPr>
            </w:pPr>
          </w:p>
        </w:tc>
        <w:tc>
          <w:tcPr>
            <w:tcW w:w="980" w:type="dxa"/>
            <w:vAlign w:val="bottom"/>
            <w:shd w:val="clear" w:color="auto" w:fill="CCEEFF"/>
          </w:tcPr>
          <w:p>
            <w:pPr>
              <w:jc w:val="center"/>
              <w:spacing w:after="0" w:line="138" w:lineRule="exact"/>
              <w:rPr>
                <w:sz w:val="20"/>
                <w:szCs w:val="20"/>
                <w:color w:val="auto"/>
              </w:rPr>
            </w:pPr>
            <w:r>
              <w:rPr>
                <w:rFonts w:ascii="Arial" w:cs="Arial" w:eastAsia="Arial" w:hAnsi="Arial"/>
                <w:sz w:val="13"/>
                <w:szCs w:val="13"/>
                <w:color w:val="auto"/>
                <w:w w:val="97"/>
              </w:rPr>
              <w:t>Manufacturing</w:t>
            </w:r>
          </w:p>
        </w:tc>
        <w:tc>
          <w:tcPr>
            <w:tcW w:w="1000" w:type="dxa"/>
            <w:vAlign w:val="bottom"/>
            <w:gridSpan w:val="3"/>
            <w:shd w:val="clear" w:color="auto" w:fill="CCEEFF"/>
          </w:tcPr>
          <w:p>
            <w:pPr>
              <w:jc w:val="right"/>
              <w:ind w:right="320"/>
              <w:spacing w:after="0" w:line="138" w:lineRule="exact"/>
              <w:rPr>
                <w:sz w:val="20"/>
                <w:szCs w:val="20"/>
                <w:color w:val="auto"/>
              </w:rPr>
            </w:pPr>
            <w:r>
              <w:rPr>
                <w:rFonts w:ascii="Arial" w:cs="Arial" w:eastAsia="Arial" w:hAnsi="Arial"/>
                <w:sz w:val="13"/>
                <w:szCs w:val="13"/>
                <w:color w:val="auto"/>
              </w:rPr>
              <w:t>2.56%</w:t>
            </w:r>
          </w:p>
        </w:tc>
        <w:tc>
          <w:tcPr>
            <w:tcW w:w="700" w:type="dxa"/>
            <w:vAlign w:val="bottom"/>
            <w:gridSpan w:val="2"/>
            <w:shd w:val="clear" w:color="auto" w:fill="CCEEFF"/>
          </w:tcPr>
          <w:p>
            <w:pPr>
              <w:jc w:val="right"/>
              <w:ind w:right="240"/>
              <w:spacing w:after="0" w:line="138" w:lineRule="exact"/>
              <w:rPr>
                <w:sz w:val="20"/>
                <w:szCs w:val="20"/>
                <w:color w:val="auto"/>
              </w:rPr>
            </w:pPr>
            <w:r>
              <w:rPr>
                <w:rFonts w:ascii="Arial" w:cs="Arial" w:eastAsia="Arial" w:hAnsi="Arial"/>
                <w:sz w:val="13"/>
                <w:szCs w:val="13"/>
                <w:color w:val="auto"/>
              </w:rPr>
              <w:t>L+200</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100"/>
              <w:spacing w:after="0" w:line="138" w:lineRule="exact"/>
              <w:rPr>
                <w:sz w:val="20"/>
                <w:szCs w:val="20"/>
                <w:color w:val="auto"/>
              </w:rPr>
            </w:pPr>
            <w:r>
              <w:rPr>
                <w:rFonts w:ascii="Arial" w:cs="Arial" w:eastAsia="Arial" w:hAnsi="Arial"/>
                <w:sz w:val="13"/>
                <w:szCs w:val="13"/>
                <w:color w:val="auto"/>
              </w:rPr>
              <w:t>2,902,728</w:t>
            </w:r>
          </w:p>
        </w:tc>
        <w:tc>
          <w:tcPr>
            <w:tcW w:w="6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2,902,728</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60"/>
              <w:spacing w:after="0" w:line="138" w:lineRule="exact"/>
              <w:rPr>
                <w:sz w:val="20"/>
                <w:szCs w:val="20"/>
                <w:color w:val="auto"/>
              </w:rPr>
            </w:pPr>
            <w:r>
              <w:rPr>
                <w:rFonts w:ascii="Arial" w:cs="Arial" w:eastAsia="Arial" w:hAnsi="Arial"/>
                <w:sz w:val="13"/>
                <w:szCs w:val="13"/>
                <w:color w:val="auto"/>
              </w:rPr>
              <w:t>2,478,930</w:t>
            </w:r>
          </w:p>
        </w:tc>
        <w:tc>
          <w:tcPr>
            <w:tcW w:w="0" w:type="dxa"/>
            <w:vAlign w:val="bottom"/>
          </w:tcPr>
          <w:p>
            <w:pPr>
              <w:spacing w:after="0"/>
              <w:rPr>
                <w:sz w:val="1"/>
                <w:szCs w:val="1"/>
                <w:color w:val="auto"/>
              </w:rPr>
            </w:pPr>
          </w:p>
        </w:tc>
      </w:tr>
      <w:tr>
        <w:trPr>
          <w:trHeight w:val="159"/>
        </w:trPr>
        <w:tc>
          <w:tcPr>
            <w:tcW w:w="760" w:type="dxa"/>
            <w:vAlign w:val="bottom"/>
            <w:shd w:val="clear" w:color="auto" w:fill="CCEEFF"/>
          </w:tcPr>
          <w:p>
            <w:pPr>
              <w:spacing w:after="0"/>
              <w:rPr>
                <w:sz w:val="13"/>
                <w:szCs w:val="13"/>
                <w:color w:val="auto"/>
              </w:rPr>
            </w:pPr>
          </w:p>
        </w:tc>
        <w:tc>
          <w:tcPr>
            <w:tcW w:w="450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6"/>
              </w:rPr>
              <w:t>/Basic Industry</w:t>
            </w:r>
          </w:p>
        </w:tc>
        <w:tc>
          <w:tcPr>
            <w:tcW w:w="1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57"/>
        </w:trPr>
        <w:tc>
          <w:tcPr>
            <w:tcW w:w="5260" w:type="dxa"/>
            <w:vAlign w:val="bottom"/>
            <w:gridSpan w:val="2"/>
          </w:tcPr>
          <w:p>
            <w:pPr>
              <w:spacing w:after="0"/>
              <w:rPr>
                <w:sz w:val="20"/>
                <w:szCs w:val="20"/>
                <w:color w:val="auto"/>
              </w:rPr>
            </w:pPr>
            <w:r>
              <w:rPr>
                <w:rFonts w:ascii="Arial" w:cs="Arial" w:eastAsia="Arial" w:hAnsi="Arial"/>
                <w:sz w:val="13"/>
                <w:szCs w:val="13"/>
                <w:color w:val="auto"/>
              </w:rPr>
              <w:t>Sitel, L.L.C.</w:t>
            </w:r>
          </w:p>
        </w:tc>
        <w:tc>
          <w:tcPr>
            <w:tcW w:w="560" w:type="dxa"/>
            <w:vAlign w:val="bottom"/>
          </w:tcPr>
          <w:p>
            <w:pPr>
              <w:jc w:val="center"/>
              <w:spacing w:after="0"/>
              <w:rPr>
                <w:sz w:val="20"/>
                <w:szCs w:val="20"/>
                <w:color w:val="auto"/>
              </w:rPr>
            </w:pPr>
            <w:r>
              <w:rPr>
                <w:rFonts w:ascii="Arial" w:cs="Arial" w:eastAsia="Arial" w:hAnsi="Arial"/>
                <w:sz w:val="13"/>
                <w:szCs w:val="13"/>
                <w:color w:val="auto"/>
                <w:w w:val="96"/>
              </w:rPr>
              <w:t>1/30/2014</w:t>
            </w:r>
          </w:p>
        </w:tc>
        <w:tc>
          <w:tcPr>
            <w:tcW w:w="100" w:type="dxa"/>
            <w:vAlign w:val="bottom"/>
          </w:tcPr>
          <w:p>
            <w:pPr>
              <w:spacing w:after="0"/>
              <w:rPr>
                <w:sz w:val="22"/>
                <w:szCs w:val="22"/>
                <w:color w:val="auto"/>
              </w:rPr>
            </w:pPr>
          </w:p>
        </w:tc>
        <w:tc>
          <w:tcPr>
            <w:tcW w:w="980" w:type="dxa"/>
            <w:vAlign w:val="bottom"/>
          </w:tcPr>
          <w:p>
            <w:pPr>
              <w:jc w:val="center"/>
              <w:spacing w:after="0"/>
              <w:rPr>
                <w:sz w:val="20"/>
                <w:szCs w:val="20"/>
                <w:color w:val="auto"/>
              </w:rPr>
            </w:pPr>
            <w:r>
              <w:rPr>
                <w:rFonts w:ascii="Arial" w:cs="Arial" w:eastAsia="Arial" w:hAnsi="Arial"/>
                <w:sz w:val="13"/>
                <w:szCs w:val="13"/>
                <w:color w:val="auto"/>
                <w:w w:val="92"/>
              </w:rPr>
              <w:t>Business Services</w:t>
            </w:r>
          </w:p>
        </w:tc>
        <w:tc>
          <w:tcPr>
            <w:tcW w:w="1000" w:type="dxa"/>
            <w:vAlign w:val="bottom"/>
            <w:gridSpan w:val="3"/>
          </w:tcPr>
          <w:p>
            <w:pPr>
              <w:jc w:val="right"/>
              <w:ind w:right="320"/>
              <w:spacing w:after="0"/>
              <w:rPr>
                <w:sz w:val="20"/>
                <w:szCs w:val="20"/>
                <w:color w:val="auto"/>
              </w:rPr>
            </w:pPr>
            <w:r>
              <w:rPr>
                <w:rFonts w:ascii="Arial" w:cs="Arial" w:eastAsia="Arial" w:hAnsi="Arial"/>
                <w:sz w:val="13"/>
                <w:szCs w:val="13"/>
                <w:color w:val="auto"/>
              </w:rPr>
              <w:t>6.63%</w:t>
            </w:r>
          </w:p>
        </w:tc>
        <w:tc>
          <w:tcPr>
            <w:tcW w:w="700" w:type="dxa"/>
            <w:vAlign w:val="bottom"/>
            <w:gridSpan w:val="2"/>
          </w:tcPr>
          <w:p>
            <w:pPr>
              <w:jc w:val="right"/>
              <w:ind w:right="240"/>
              <w:spacing w:after="0"/>
              <w:rPr>
                <w:sz w:val="20"/>
                <w:szCs w:val="20"/>
                <w:color w:val="auto"/>
              </w:rPr>
            </w:pPr>
            <w:r>
              <w:rPr>
                <w:rFonts w:ascii="Arial" w:cs="Arial" w:eastAsia="Arial" w:hAnsi="Arial"/>
                <w:sz w:val="13"/>
                <w:szCs w:val="13"/>
                <w:color w:val="auto"/>
              </w:rPr>
              <w:t>L+550</w:t>
            </w: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3"/>
                <w:szCs w:val="13"/>
                <w:color w:val="auto"/>
              </w:rPr>
              <w:t>2,682,328</w:t>
            </w:r>
          </w:p>
        </w:tc>
        <w:tc>
          <w:tcPr>
            <w:tcW w:w="6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2,682,328</w:t>
            </w: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3"/>
                <w:szCs w:val="13"/>
                <w:color w:val="auto"/>
              </w:rPr>
              <w:t>2,296,073</w:t>
            </w:r>
          </w:p>
        </w:tc>
        <w:tc>
          <w:tcPr>
            <w:tcW w:w="0" w:type="dxa"/>
            <w:vAlign w:val="bottom"/>
          </w:tcPr>
          <w:p>
            <w:pPr>
              <w:spacing w:after="0"/>
              <w:rPr>
                <w:sz w:val="1"/>
                <w:szCs w:val="1"/>
                <w:color w:val="auto"/>
              </w:rPr>
            </w:pPr>
          </w:p>
        </w:tc>
      </w:tr>
      <w:tr>
        <w:trPr>
          <w:trHeight w:val="115"/>
        </w:trPr>
        <w:tc>
          <w:tcPr>
            <w:tcW w:w="760" w:type="dxa"/>
            <w:vAlign w:val="bottom"/>
          </w:tcPr>
          <w:p>
            <w:pPr>
              <w:spacing w:after="0"/>
              <w:rPr>
                <w:sz w:val="10"/>
                <w:szCs w:val="10"/>
                <w:color w:val="auto"/>
              </w:rPr>
            </w:pPr>
          </w:p>
        </w:tc>
        <w:tc>
          <w:tcPr>
            <w:tcW w:w="45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5260" w:type="dxa"/>
            <w:vAlign w:val="bottom"/>
            <w:gridSpan w:val="2"/>
            <w:shd w:val="clear" w:color="auto" w:fill="CCEEFF"/>
          </w:tcPr>
          <w:p>
            <w:pPr>
              <w:spacing w:after="0"/>
              <w:rPr>
                <w:sz w:val="20"/>
                <w:szCs w:val="20"/>
                <w:color w:val="auto"/>
              </w:rPr>
            </w:pPr>
            <w:r>
              <w:rPr>
                <w:rFonts w:ascii="Arial" w:cs="Arial" w:eastAsia="Arial" w:hAnsi="Arial"/>
                <w:sz w:val="13"/>
                <w:szCs w:val="13"/>
                <w:b w:val="1"/>
                <w:bCs w:val="1"/>
                <w:color w:val="auto"/>
              </w:rPr>
              <w:t>Total First Lien Secured Debt</w:t>
            </w: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1"/>
              </w:rPr>
              <w:t>105,767,920</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1"/>
              </w:rPr>
              <w:t>104,778,488</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77,184,935</w:t>
            </w:r>
          </w:p>
        </w:tc>
        <w:tc>
          <w:tcPr>
            <w:tcW w:w="0" w:type="dxa"/>
            <w:vAlign w:val="bottom"/>
          </w:tcPr>
          <w:p>
            <w:pPr>
              <w:spacing w:after="0"/>
              <w:rPr>
                <w:sz w:val="1"/>
                <w:szCs w:val="1"/>
                <w:color w:val="auto"/>
              </w:rPr>
            </w:pPr>
          </w:p>
        </w:tc>
      </w:tr>
      <w:tr>
        <w:trPr>
          <w:trHeight w:val="20"/>
        </w:trPr>
        <w:tc>
          <w:tcPr>
            <w:tcW w:w="526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Investments in Non-Controlled, Non-Affiliated Portfolio Companies</w:t>
            </w: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5260" w:type="dxa"/>
            <w:vAlign w:val="bottom"/>
            <w:gridSpan w:val="2"/>
            <w:vMerge w:val="continue"/>
          </w:tcPr>
          <w:p>
            <w:pPr>
              <w:spacing w:after="0"/>
              <w:rPr>
                <w:sz w:val="22"/>
                <w:szCs w:val="22"/>
                <w:color w:val="auto"/>
              </w:rPr>
            </w:pPr>
          </w:p>
        </w:tc>
        <w:tc>
          <w:tcPr>
            <w:tcW w:w="5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w w:val="91"/>
              </w:rPr>
              <w:t>433,594,451</w:t>
            </w: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3"/>
                <w:szCs w:val="13"/>
                <w:color w:val="auto"/>
                <w:w w:val="96"/>
              </w:rPr>
              <w:t>347,599,004</w:t>
            </w:r>
          </w:p>
        </w:tc>
        <w:tc>
          <w:tcPr>
            <w:tcW w:w="0" w:type="dxa"/>
            <w:vAlign w:val="bottom"/>
          </w:tcPr>
          <w:p>
            <w:pPr>
              <w:spacing w:after="0"/>
              <w:rPr>
                <w:sz w:val="1"/>
                <w:szCs w:val="1"/>
                <w:color w:val="auto"/>
              </w:rPr>
            </w:pPr>
          </w:p>
        </w:tc>
      </w:tr>
      <w:tr>
        <w:trPr>
          <w:trHeight w:val="115"/>
        </w:trPr>
        <w:tc>
          <w:tcPr>
            <w:tcW w:w="760" w:type="dxa"/>
            <w:vAlign w:val="bottom"/>
          </w:tcPr>
          <w:p>
            <w:pPr>
              <w:spacing w:after="0"/>
              <w:rPr>
                <w:sz w:val="10"/>
                <w:szCs w:val="10"/>
                <w:color w:val="auto"/>
              </w:rPr>
            </w:pPr>
          </w:p>
        </w:tc>
        <w:tc>
          <w:tcPr>
            <w:tcW w:w="45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6"/>
        </w:trPr>
        <w:tc>
          <w:tcPr>
            <w:tcW w:w="5260" w:type="dxa"/>
            <w:vAlign w:val="bottom"/>
            <w:gridSpan w:val="2"/>
            <w:shd w:val="clear" w:color="auto" w:fill="CCEEFF"/>
          </w:tcPr>
          <w:p>
            <w:pPr>
              <w:spacing w:after="0" w:line="176" w:lineRule="exact"/>
              <w:rPr>
                <w:sz w:val="20"/>
                <w:szCs w:val="20"/>
                <w:color w:val="auto"/>
              </w:rPr>
            </w:pPr>
            <w:r>
              <w:rPr>
                <w:rFonts w:ascii="Arial" w:cs="Arial" w:eastAsia="Arial" w:hAnsi="Arial"/>
                <w:sz w:val="12"/>
                <w:szCs w:val="12"/>
                <w:b w:val="1"/>
                <w:bCs w:val="1"/>
                <w:color w:val="auto"/>
              </w:rPr>
              <w:t>Investments in Non-Controlled, Affiliated Portfolio Companies – 6.3%</w:t>
            </w:r>
            <w:r>
              <w:rPr>
                <w:rFonts w:ascii="Arial" w:cs="Arial" w:eastAsia="Arial" w:hAnsi="Arial"/>
                <w:sz w:val="20"/>
                <w:szCs w:val="20"/>
                <w:b w:val="1"/>
                <w:bCs w:val="1"/>
                <w:color w:val="auto"/>
                <w:vertAlign w:val="superscript"/>
              </w:rPr>
              <w:t>(1)(2)</w:t>
            </w:r>
          </w:p>
        </w:tc>
        <w:tc>
          <w:tcPr>
            <w:tcW w:w="5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56"/>
        </w:trPr>
        <w:tc>
          <w:tcPr>
            <w:tcW w:w="5260" w:type="dxa"/>
            <w:vAlign w:val="bottom"/>
            <w:gridSpan w:val="2"/>
          </w:tcPr>
          <w:p>
            <w:pPr>
              <w:spacing w:after="0"/>
              <w:rPr>
                <w:sz w:val="20"/>
                <w:szCs w:val="20"/>
                <w:color w:val="auto"/>
              </w:rPr>
            </w:pPr>
            <w:r>
              <w:rPr>
                <w:rFonts w:ascii="Arial" w:cs="Arial" w:eastAsia="Arial" w:hAnsi="Arial"/>
                <w:sz w:val="13"/>
                <w:szCs w:val="13"/>
                <w:b w:val="1"/>
                <w:bCs w:val="1"/>
                <w:color w:val="auto"/>
              </w:rPr>
              <w:t>Subordinated Debt / Corporate Notes – 1.8%</w:t>
            </w:r>
          </w:p>
        </w:tc>
        <w:tc>
          <w:tcPr>
            <w:tcW w:w="5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38"/>
        </w:trPr>
        <w:tc>
          <w:tcPr>
            <w:tcW w:w="5260" w:type="dxa"/>
            <w:vAlign w:val="bottom"/>
            <w:gridSpan w:val="2"/>
            <w:shd w:val="clear" w:color="auto" w:fill="CCEEFF"/>
          </w:tcPr>
          <w:p>
            <w:pPr>
              <w:spacing w:after="0" w:line="138" w:lineRule="exact"/>
              <w:rPr>
                <w:sz w:val="20"/>
                <w:szCs w:val="20"/>
                <w:color w:val="auto"/>
              </w:rPr>
            </w:pPr>
            <w:r>
              <w:rPr>
                <w:rFonts w:ascii="Arial" w:cs="Arial" w:eastAsia="Arial" w:hAnsi="Arial"/>
                <w:sz w:val="13"/>
                <w:szCs w:val="13"/>
                <w:color w:val="auto"/>
              </w:rPr>
              <w:t>Performance Holdings, Inc.</w:t>
            </w:r>
          </w:p>
        </w:tc>
        <w:tc>
          <w:tcPr>
            <w:tcW w:w="560" w:type="dxa"/>
            <w:vAlign w:val="bottom"/>
            <w:shd w:val="clear" w:color="auto" w:fill="CCEEFF"/>
          </w:tcPr>
          <w:p>
            <w:pPr>
              <w:jc w:val="center"/>
              <w:spacing w:after="0" w:line="138" w:lineRule="exact"/>
              <w:rPr>
                <w:sz w:val="20"/>
                <w:szCs w:val="20"/>
                <w:color w:val="auto"/>
              </w:rPr>
            </w:pPr>
            <w:r>
              <w:rPr>
                <w:rFonts w:ascii="Arial" w:cs="Arial" w:eastAsia="Arial" w:hAnsi="Arial"/>
                <w:sz w:val="13"/>
                <w:szCs w:val="13"/>
                <w:color w:val="auto"/>
                <w:w w:val="94"/>
              </w:rPr>
              <w:t>7/2/2014</w:t>
            </w:r>
          </w:p>
        </w:tc>
        <w:tc>
          <w:tcPr>
            <w:tcW w:w="100" w:type="dxa"/>
            <w:vAlign w:val="bottom"/>
            <w:shd w:val="clear" w:color="auto" w:fill="CCEEFF"/>
          </w:tcPr>
          <w:p>
            <w:pPr>
              <w:spacing w:after="0"/>
              <w:rPr>
                <w:sz w:val="11"/>
                <w:szCs w:val="11"/>
                <w:color w:val="auto"/>
              </w:rPr>
            </w:pPr>
          </w:p>
        </w:tc>
        <w:tc>
          <w:tcPr>
            <w:tcW w:w="980" w:type="dxa"/>
            <w:vAlign w:val="bottom"/>
            <w:shd w:val="clear" w:color="auto" w:fill="CCEEFF"/>
          </w:tcPr>
          <w:p>
            <w:pPr>
              <w:jc w:val="center"/>
              <w:spacing w:after="0" w:line="138" w:lineRule="exact"/>
              <w:rPr>
                <w:sz w:val="20"/>
                <w:szCs w:val="20"/>
                <w:color w:val="auto"/>
              </w:rPr>
            </w:pPr>
            <w:r>
              <w:rPr>
                <w:rFonts w:ascii="Arial" w:cs="Arial" w:eastAsia="Arial" w:hAnsi="Arial"/>
                <w:sz w:val="13"/>
                <w:szCs w:val="13"/>
                <w:color w:val="auto"/>
                <w:w w:val="95"/>
              </w:rPr>
              <w:t>Leisure,</w:t>
            </w:r>
          </w:p>
        </w:tc>
        <w:tc>
          <w:tcPr>
            <w:tcW w:w="1000" w:type="dxa"/>
            <w:vAlign w:val="bottom"/>
            <w:gridSpan w:val="3"/>
            <w:shd w:val="clear" w:color="auto" w:fill="CCEEFF"/>
          </w:tcPr>
          <w:p>
            <w:pPr>
              <w:jc w:val="right"/>
              <w:ind w:right="120"/>
              <w:spacing w:after="0" w:line="138" w:lineRule="exact"/>
              <w:rPr>
                <w:sz w:val="20"/>
                <w:szCs w:val="20"/>
                <w:color w:val="auto"/>
              </w:rPr>
            </w:pPr>
            <w:r>
              <w:rPr>
                <w:rFonts w:ascii="Arial" w:cs="Arial" w:eastAsia="Arial" w:hAnsi="Arial"/>
                <w:sz w:val="13"/>
                <w:szCs w:val="13"/>
                <w:color w:val="auto"/>
              </w:rPr>
              <w:t>14.25% (6)</w:t>
            </w:r>
          </w:p>
        </w:tc>
        <w:tc>
          <w:tcPr>
            <w:tcW w:w="700" w:type="dxa"/>
            <w:vAlign w:val="bottom"/>
            <w:gridSpan w:val="2"/>
            <w:shd w:val="clear" w:color="auto" w:fill="CCEEFF"/>
          </w:tcPr>
          <w:p>
            <w:pPr>
              <w:jc w:val="right"/>
              <w:ind w:right="300"/>
              <w:spacing w:after="0" w:line="138"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100"/>
              <w:spacing w:after="0" w:line="138" w:lineRule="exact"/>
              <w:rPr>
                <w:sz w:val="20"/>
                <w:szCs w:val="20"/>
                <w:color w:val="auto"/>
              </w:rPr>
            </w:pPr>
            <w:r>
              <w:rPr>
                <w:rFonts w:ascii="Arial" w:cs="Arial" w:eastAsia="Arial" w:hAnsi="Arial"/>
                <w:sz w:val="13"/>
                <w:szCs w:val="13"/>
                <w:color w:val="auto"/>
              </w:rPr>
              <w:t>4,734,481</w:t>
            </w:r>
          </w:p>
        </w:tc>
        <w:tc>
          <w:tcPr>
            <w:tcW w:w="6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4,524,962</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60"/>
              <w:spacing w:after="0" w:line="138" w:lineRule="exact"/>
              <w:rPr>
                <w:sz w:val="20"/>
                <w:szCs w:val="20"/>
                <w:color w:val="auto"/>
              </w:rPr>
            </w:pPr>
            <w:r>
              <w:rPr>
                <w:rFonts w:ascii="Arial" w:cs="Arial" w:eastAsia="Arial" w:hAnsi="Arial"/>
                <w:sz w:val="13"/>
                <w:szCs w:val="13"/>
                <w:color w:val="auto"/>
              </w:rPr>
              <w:t>4,523,797</w:t>
            </w:r>
          </w:p>
        </w:tc>
        <w:tc>
          <w:tcPr>
            <w:tcW w:w="0" w:type="dxa"/>
            <w:vAlign w:val="bottom"/>
          </w:tcPr>
          <w:p>
            <w:pPr>
              <w:spacing w:after="0"/>
              <w:rPr>
                <w:sz w:val="1"/>
                <w:szCs w:val="1"/>
                <w:color w:val="auto"/>
              </w:rPr>
            </w:pPr>
          </w:p>
        </w:tc>
      </w:tr>
      <w:tr>
        <w:trPr>
          <w:trHeight w:val="148"/>
        </w:trPr>
        <w:tc>
          <w:tcPr>
            <w:tcW w:w="760" w:type="dxa"/>
            <w:vAlign w:val="bottom"/>
            <w:shd w:val="clear" w:color="auto" w:fill="CCEEFF"/>
          </w:tcPr>
          <w:p>
            <w:pPr>
              <w:spacing w:after="0"/>
              <w:rPr>
                <w:sz w:val="12"/>
                <w:szCs w:val="12"/>
                <w:color w:val="auto"/>
              </w:rPr>
            </w:pPr>
          </w:p>
        </w:tc>
        <w:tc>
          <w:tcPr>
            <w:tcW w:w="45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5"/>
              </w:rPr>
              <w:t>Amusement,</w:t>
            </w: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60" w:type="dxa"/>
            <w:vAlign w:val="bottom"/>
            <w:shd w:val="clear" w:color="auto" w:fill="CCEEFF"/>
          </w:tcPr>
          <w:p>
            <w:pPr>
              <w:spacing w:after="0"/>
              <w:rPr>
                <w:sz w:val="12"/>
                <w:szCs w:val="12"/>
                <w:color w:val="auto"/>
              </w:rPr>
            </w:pPr>
          </w:p>
        </w:tc>
        <w:tc>
          <w:tcPr>
            <w:tcW w:w="45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6"/>
              </w:rPr>
              <w:t>Motion Pictures,</w:t>
            </w: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760" w:type="dxa"/>
            <w:vAlign w:val="bottom"/>
            <w:shd w:val="clear" w:color="auto" w:fill="CCEEFF"/>
          </w:tcPr>
          <w:p>
            <w:pPr>
              <w:spacing w:after="0"/>
              <w:rPr>
                <w:sz w:val="13"/>
                <w:szCs w:val="13"/>
                <w:color w:val="auto"/>
              </w:rPr>
            </w:pPr>
          </w:p>
        </w:tc>
        <w:tc>
          <w:tcPr>
            <w:tcW w:w="450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3"/>
              </w:rPr>
              <w:t>Entertainment</w:t>
            </w:r>
          </w:p>
        </w:tc>
        <w:tc>
          <w:tcPr>
            <w:tcW w:w="1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680" w:type="dxa"/>
            <w:vAlign w:val="bottom"/>
            <w:tcBorders>
              <w:bottom w:val="single" w:sz="8" w:color="auto"/>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 w:type="dxa"/>
            <w:vAlign w:val="bottom"/>
            <w:tcBorders>
              <w:bottom w:val="single" w:sz="8" w:color="auto"/>
            </w:tcBorders>
            <w:shd w:val="clear" w:color="auto" w:fill="CCEEFF"/>
          </w:tcPr>
          <w:p>
            <w:pPr>
              <w:spacing w:after="0"/>
              <w:rPr>
                <w:sz w:val="13"/>
                <w:szCs w:val="13"/>
                <w:color w:val="auto"/>
              </w:rPr>
            </w:pPr>
          </w:p>
        </w:tc>
        <w:tc>
          <w:tcPr>
            <w:tcW w:w="680" w:type="dxa"/>
            <w:vAlign w:val="bottom"/>
            <w:tcBorders>
              <w:bottom w:val="single" w:sz="8" w:color="auto"/>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720" w:type="dxa"/>
            <w:vAlign w:val="bottom"/>
            <w:tcBorders>
              <w:bottom w:val="single" w:sz="8" w:color="auto"/>
            </w:tcBorders>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64"/>
        </w:trPr>
        <w:tc>
          <w:tcPr>
            <w:tcW w:w="5260" w:type="dxa"/>
            <w:vAlign w:val="bottom"/>
            <w:gridSpan w:val="2"/>
          </w:tcPr>
          <w:p>
            <w:pPr>
              <w:spacing w:after="0"/>
              <w:rPr>
                <w:sz w:val="20"/>
                <w:szCs w:val="20"/>
                <w:color w:val="auto"/>
              </w:rPr>
            </w:pPr>
            <w:r>
              <w:rPr>
                <w:rFonts w:ascii="Arial" w:cs="Arial" w:eastAsia="Arial" w:hAnsi="Arial"/>
                <w:sz w:val="13"/>
                <w:szCs w:val="13"/>
                <w:b w:val="1"/>
                <w:bCs w:val="1"/>
                <w:color w:val="auto"/>
              </w:rPr>
              <w:t>Second Lien Secured Debt – 3.1%</w:t>
            </w:r>
          </w:p>
        </w:tc>
        <w:tc>
          <w:tcPr>
            <w:tcW w:w="5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38"/>
        </w:trPr>
        <w:tc>
          <w:tcPr>
            <w:tcW w:w="5260" w:type="dxa"/>
            <w:vAlign w:val="bottom"/>
            <w:gridSpan w:val="2"/>
            <w:shd w:val="clear" w:color="auto" w:fill="CCEEFF"/>
          </w:tcPr>
          <w:p>
            <w:pPr>
              <w:spacing w:after="0" w:line="138" w:lineRule="exact"/>
              <w:rPr>
                <w:sz w:val="20"/>
                <w:szCs w:val="20"/>
                <w:color w:val="auto"/>
              </w:rPr>
            </w:pPr>
            <w:r>
              <w:rPr>
                <w:rFonts w:ascii="Arial" w:cs="Arial" w:eastAsia="Arial" w:hAnsi="Arial"/>
                <w:sz w:val="13"/>
                <w:szCs w:val="13"/>
                <w:color w:val="auto"/>
              </w:rPr>
              <w:t>Performance, Inc.</w:t>
            </w:r>
          </w:p>
        </w:tc>
        <w:tc>
          <w:tcPr>
            <w:tcW w:w="560" w:type="dxa"/>
            <w:vAlign w:val="bottom"/>
            <w:shd w:val="clear" w:color="auto" w:fill="CCEEFF"/>
          </w:tcPr>
          <w:p>
            <w:pPr>
              <w:jc w:val="center"/>
              <w:spacing w:after="0" w:line="138" w:lineRule="exact"/>
              <w:rPr>
                <w:sz w:val="20"/>
                <w:szCs w:val="20"/>
                <w:color w:val="auto"/>
              </w:rPr>
            </w:pPr>
            <w:r>
              <w:rPr>
                <w:rFonts w:ascii="Arial" w:cs="Arial" w:eastAsia="Arial" w:hAnsi="Arial"/>
                <w:sz w:val="13"/>
                <w:szCs w:val="13"/>
                <w:color w:val="auto"/>
                <w:w w:val="94"/>
              </w:rPr>
              <w:t>7/2/2013</w:t>
            </w:r>
          </w:p>
        </w:tc>
        <w:tc>
          <w:tcPr>
            <w:tcW w:w="100" w:type="dxa"/>
            <w:vAlign w:val="bottom"/>
            <w:shd w:val="clear" w:color="auto" w:fill="CCEEFF"/>
          </w:tcPr>
          <w:p>
            <w:pPr>
              <w:spacing w:after="0"/>
              <w:rPr>
                <w:sz w:val="11"/>
                <w:szCs w:val="11"/>
                <w:color w:val="auto"/>
              </w:rPr>
            </w:pPr>
          </w:p>
        </w:tc>
        <w:tc>
          <w:tcPr>
            <w:tcW w:w="980" w:type="dxa"/>
            <w:vAlign w:val="bottom"/>
            <w:shd w:val="clear" w:color="auto" w:fill="CCEEFF"/>
          </w:tcPr>
          <w:p>
            <w:pPr>
              <w:jc w:val="center"/>
              <w:spacing w:after="0" w:line="138" w:lineRule="exact"/>
              <w:rPr>
                <w:sz w:val="20"/>
                <w:szCs w:val="20"/>
                <w:color w:val="auto"/>
              </w:rPr>
            </w:pPr>
            <w:r>
              <w:rPr>
                <w:rFonts w:ascii="Arial" w:cs="Arial" w:eastAsia="Arial" w:hAnsi="Arial"/>
                <w:sz w:val="13"/>
                <w:szCs w:val="13"/>
                <w:color w:val="auto"/>
                <w:w w:val="95"/>
              </w:rPr>
              <w:t>Leisure,</w:t>
            </w:r>
          </w:p>
        </w:tc>
        <w:tc>
          <w:tcPr>
            <w:tcW w:w="1000" w:type="dxa"/>
            <w:vAlign w:val="bottom"/>
            <w:gridSpan w:val="3"/>
            <w:shd w:val="clear" w:color="auto" w:fill="CCEEFF"/>
          </w:tcPr>
          <w:p>
            <w:pPr>
              <w:jc w:val="right"/>
              <w:ind w:right="320"/>
              <w:spacing w:after="0" w:line="138" w:lineRule="exact"/>
              <w:rPr>
                <w:sz w:val="20"/>
                <w:szCs w:val="20"/>
                <w:color w:val="auto"/>
              </w:rPr>
            </w:pPr>
            <w:r>
              <w:rPr>
                <w:rFonts w:ascii="Arial" w:cs="Arial" w:eastAsia="Arial" w:hAnsi="Arial"/>
                <w:sz w:val="13"/>
                <w:szCs w:val="13"/>
                <w:color w:val="auto"/>
              </w:rPr>
              <w:t>6.93%</w:t>
            </w:r>
          </w:p>
        </w:tc>
        <w:tc>
          <w:tcPr>
            <w:tcW w:w="700" w:type="dxa"/>
            <w:vAlign w:val="bottom"/>
            <w:gridSpan w:val="2"/>
            <w:shd w:val="clear" w:color="auto" w:fill="CCEEFF"/>
          </w:tcPr>
          <w:p>
            <w:pPr>
              <w:jc w:val="right"/>
              <w:ind w:right="240"/>
              <w:spacing w:after="0" w:line="138" w:lineRule="exact"/>
              <w:rPr>
                <w:sz w:val="20"/>
                <w:szCs w:val="20"/>
                <w:color w:val="auto"/>
              </w:rPr>
            </w:pPr>
            <w:r>
              <w:rPr>
                <w:rFonts w:ascii="Arial" w:cs="Arial" w:eastAsia="Arial" w:hAnsi="Arial"/>
                <w:sz w:val="13"/>
                <w:szCs w:val="13"/>
                <w:color w:val="auto"/>
              </w:rPr>
              <w:t>L+575</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100"/>
              <w:spacing w:after="0" w:line="138" w:lineRule="exact"/>
              <w:rPr>
                <w:sz w:val="20"/>
                <w:szCs w:val="20"/>
                <w:color w:val="auto"/>
              </w:rPr>
            </w:pPr>
            <w:r>
              <w:rPr>
                <w:rFonts w:ascii="Arial" w:cs="Arial" w:eastAsia="Arial" w:hAnsi="Arial"/>
                <w:sz w:val="13"/>
                <w:szCs w:val="13"/>
                <w:color w:val="auto"/>
              </w:rPr>
              <w:t>8,750,000</w:t>
            </w:r>
          </w:p>
        </w:tc>
        <w:tc>
          <w:tcPr>
            <w:tcW w:w="6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8,750,000</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60"/>
              <w:spacing w:after="0" w:line="138" w:lineRule="exact"/>
              <w:rPr>
                <w:sz w:val="20"/>
                <w:szCs w:val="20"/>
                <w:color w:val="auto"/>
              </w:rPr>
            </w:pPr>
            <w:r>
              <w:rPr>
                <w:rFonts w:ascii="Arial" w:cs="Arial" w:eastAsia="Arial" w:hAnsi="Arial"/>
                <w:sz w:val="13"/>
                <w:szCs w:val="13"/>
                <w:color w:val="auto"/>
              </w:rPr>
              <w:t>7,726,250</w:t>
            </w:r>
          </w:p>
        </w:tc>
        <w:tc>
          <w:tcPr>
            <w:tcW w:w="0" w:type="dxa"/>
            <w:vAlign w:val="bottom"/>
          </w:tcPr>
          <w:p>
            <w:pPr>
              <w:spacing w:after="0"/>
              <w:rPr>
                <w:sz w:val="1"/>
                <w:szCs w:val="1"/>
                <w:color w:val="auto"/>
              </w:rPr>
            </w:pPr>
          </w:p>
        </w:tc>
      </w:tr>
      <w:tr>
        <w:trPr>
          <w:trHeight w:val="148"/>
        </w:trPr>
        <w:tc>
          <w:tcPr>
            <w:tcW w:w="760" w:type="dxa"/>
            <w:vAlign w:val="bottom"/>
            <w:shd w:val="clear" w:color="auto" w:fill="CCEEFF"/>
          </w:tcPr>
          <w:p>
            <w:pPr>
              <w:spacing w:after="0"/>
              <w:rPr>
                <w:sz w:val="12"/>
                <w:szCs w:val="12"/>
                <w:color w:val="auto"/>
              </w:rPr>
            </w:pPr>
          </w:p>
        </w:tc>
        <w:tc>
          <w:tcPr>
            <w:tcW w:w="45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5"/>
              </w:rPr>
              <w:t>Amusement,</w:t>
            </w: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60" w:type="dxa"/>
            <w:vAlign w:val="bottom"/>
            <w:shd w:val="clear" w:color="auto" w:fill="CCEEFF"/>
          </w:tcPr>
          <w:p>
            <w:pPr>
              <w:spacing w:after="0"/>
              <w:rPr>
                <w:sz w:val="12"/>
                <w:szCs w:val="12"/>
                <w:color w:val="auto"/>
              </w:rPr>
            </w:pPr>
          </w:p>
        </w:tc>
        <w:tc>
          <w:tcPr>
            <w:tcW w:w="45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6"/>
              </w:rPr>
              <w:t>Motion Pictures,</w:t>
            </w: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760" w:type="dxa"/>
            <w:vAlign w:val="bottom"/>
            <w:shd w:val="clear" w:color="auto" w:fill="CCEEFF"/>
          </w:tcPr>
          <w:p>
            <w:pPr>
              <w:spacing w:after="0"/>
              <w:rPr>
                <w:sz w:val="13"/>
                <w:szCs w:val="13"/>
                <w:color w:val="auto"/>
              </w:rPr>
            </w:pPr>
          </w:p>
        </w:tc>
        <w:tc>
          <w:tcPr>
            <w:tcW w:w="450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3"/>
              </w:rPr>
              <w:t>Entertainment</w:t>
            </w:r>
          </w:p>
        </w:tc>
        <w:tc>
          <w:tcPr>
            <w:tcW w:w="1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680" w:type="dxa"/>
            <w:vAlign w:val="bottom"/>
            <w:tcBorders>
              <w:bottom w:val="single" w:sz="8" w:color="auto"/>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 w:type="dxa"/>
            <w:vAlign w:val="bottom"/>
            <w:tcBorders>
              <w:bottom w:val="single" w:sz="8" w:color="auto"/>
            </w:tcBorders>
            <w:shd w:val="clear" w:color="auto" w:fill="CCEEFF"/>
          </w:tcPr>
          <w:p>
            <w:pPr>
              <w:spacing w:after="0"/>
              <w:rPr>
                <w:sz w:val="13"/>
                <w:szCs w:val="13"/>
                <w:color w:val="auto"/>
              </w:rPr>
            </w:pPr>
          </w:p>
        </w:tc>
        <w:tc>
          <w:tcPr>
            <w:tcW w:w="680" w:type="dxa"/>
            <w:vAlign w:val="bottom"/>
            <w:tcBorders>
              <w:bottom w:val="single" w:sz="8" w:color="auto"/>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720" w:type="dxa"/>
            <w:vAlign w:val="bottom"/>
            <w:tcBorders>
              <w:bottom w:val="single" w:sz="8" w:color="auto"/>
            </w:tcBorders>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90"/>
        </w:trPr>
        <w:tc>
          <w:tcPr>
            <w:tcW w:w="760" w:type="dxa"/>
            <w:vAlign w:val="bottom"/>
          </w:tcPr>
          <w:p>
            <w:pPr>
              <w:spacing w:after="0"/>
              <w:rPr>
                <w:sz w:val="24"/>
                <w:szCs w:val="24"/>
                <w:color w:val="auto"/>
              </w:rPr>
            </w:pPr>
          </w:p>
        </w:tc>
        <w:tc>
          <w:tcPr>
            <w:tcW w:w="45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2"/>
              </w:rPr>
              <w:t>Shares</w:t>
            </w:r>
          </w:p>
        </w:tc>
        <w:tc>
          <w:tcPr>
            <w:tcW w:w="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5260" w:type="dxa"/>
            <w:vAlign w:val="bottom"/>
            <w:gridSpan w:val="2"/>
            <w:shd w:val="clear" w:color="auto" w:fill="CCEEFF"/>
          </w:tcPr>
          <w:p>
            <w:pPr>
              <w:spacing w:after="0" w:line="142" w:lineRule="exact"/>
              <w:rPr>
                <w:sz w:val="20"/>
                <w:szCs w:val="20"/>
                <w:color w:val="auto"/>
              </w:rPr>
            </w:pPr>
            <w:r>
              <w:rPr>
                <w:rFonts w:ascii="Arial" w:cs="Arial" w:eastAsia="Arial" w:hAnsi="Arial"/>
                <w:sz w:val="13"/>
                <w:szCs w:val="13"/>
                <w:b w:val="1"/>
                <w:bCs w:val="1"/>
                <w:color w:val="auto"/>
              </w:rPr>
              <w:t>Common Equity/Partnership Interest – 1.4%</w:t>
            </w: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5260" w:type="dxa"/>
            <w:vAlign w:val="bottom"/>
            <w:gridSpan w:val="2"/>
          </w:tcPr>
          <w:p>
            <w:pPr>
              <w:spacing w:after="0" w:line="138" w:lineRule="exact"/>
              <w:rPr>
                <w:sz w:val="20"/>
                <w:szCs w:val="20"/>
                <w:color w:val="auto"/>
              </w:rPr>
            </w:pPr>
            <w:r>
              <w:rPr>
                <w:rFonts w:ascii="Arial" w:cs="Arial" w:eastAsia="Arial" w:hAnsi="Arial"/>
                <w:sz w:val="13"/>
                <w:szCs w:val="13"/>
                <w:color w:val="auto"/>
              </w:rPr>
              <w:t>NCP-Performance</w:t>
            </w:r>
          </w:p>
        </w:tc>
        <w:tc>
          <w:tcPr>
            <w:tcW w:w="560" w:type="dxa"/>
            <w:vAlign w:val="bottom"/>
          </w:tcPr>
          <w:p>
            <w:pPr>
              <w:ind w:left="360"/>
              <w:spacing w:after="0" w:line="138"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980" w:type="dxa"/>
            <w:vAlign w:val="bottom"/>
          </w:tcPr>
          <w:p>
            <w:pPr>
              <w:jc w:val="center"/>
              <w:spacing w:after="0" w:line="138" w:lineRule="exact"/>
              <w:rPr>
                <w:sz w:val="20"/>
                <w:szCs w:val="20"/>
                <w:color w:val="auto"/>
              </w:rPr>
            </w:pPr>
            <w:r>
              <w:rPr>
                <w:rFonts w:ascii="Arial" w:cs="Arial" w:eastAsia="Arial" w:hAnsi="Arial"/>
                <w:sz w:val="13"/>
                <w:szCs w:val="13"/>
                <w:color w:val="auto"/>
                <w:w w:val="95"/>
              </w:rPr>
              <w:t>Leisure,</w:t>
            </w:r>
          </w:p>
        </w:tc>
        <w:tc>
          <w:tcPr>
            <w:tcW w:w="100" w:type="dxa"/>
            <w:vAlign w:val="bottom"/>
          </w:tcPr>
          <w:p>
            <w:pPr>
              <w:spacing w:after="0"/>
              <w:rPr>
                <w:sz w:val="11"/>
                <w:szCs w:val="11"/>
                <w:color w:val="auto"/>
              </w:rPr>
            </w:pPr>
          </w:p>
        </w:tc>
        <w:tc>
          <w:tcPr>
            <w:tcW w:w="900" w:type="dxa"/>
            <w:vAlign w:val="bottom"/>
            <w:gridSpan w:val="2"/>
          </w:tcPr>
          <w:p>
            <w:pPr>
              <w:jc w:val="right"/>
              <w:ind w:right="500"/>
              <w:spacing w:after="0" w:line="138" w:lineRule="exact"/>
              <w:rPr>
                <w:sz w:val="20"/>
                <w:szCs w:val="20"/>
                <w:color w:val="auto"/>
              </w:rPr>
            </w:pPr>
            <w:r>
              <w:rPr>
                <w:rFonts w:ascii="Arial" w:cs="Arial" w:eastAsia="Arial" w:hAnsi="Arial"/>
                <w:sz w:val="13"/>
                <w:szCs w:val="13"/>
                <w:color w:val="auto"/>
              </w:rPr>
              <w:t>—</w:t>
            </w:r>
          </w:p>
        </w:tc>
        <w:tc>
          <w:tcPr>
            <w:tcW w:w="700" w:type="dxa"/>
            <w:vAlign w:val="bottom"/>
            <w:gridSpan w:val="2"/>
          </w:tcPr>
          <w:p>
            <w:pPr>
              <w:jc w:val="right"/>
              <w:ind w:right="100"/>
              <w:spacing w:after="0" w:line="138" w:lineRule="exact"/>
              <w:rPr>
                <w:sz w:val="20"/>
                <w:szCs w:val="20"/>
                <w:color w:val="auto"/>
              </w:rPr>
            </w:pPr>
            <w:r>
              <w:rPr>
                <w:rFonts w:ascii="Arial" w:cs="Arial" w:eastAsia="Arial" w:hAnsi="Arial"/>
                <w:sz w:val="15"/>
                <w:szCs w:val="15"/>
                <w:color w:val="auto"/>
                <w:vertAlign w:val="subscript"/>
              </w:rPr>
              <w:t>—</w:t>
            </w:r>
            <w:r>
              <w:rPr>
                <w:rFonts w:ascii="Arial" w:cs="Arial" w:eastAsia="Arial" w:hAnsi="Arial"/>
                <w:sz w:val="8"/>
                <w:szCs w:val="8"/>
                <w:color w:val="auto"/>
              </w:rPr>
              <w:t xml:space="preserve">  (7)</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gridSpan w:val="2"/>
          </w:tcPr>
          <w:p>
            <w:pPr>
              <w:jc w:val="right"/>
              <w:ind w:right="100"/>
              <w:spacing w:after="0" w:line="138" w:lineRule="exact"/>
              <w:rPr>
                <w:sz w:val="20"/>
                <w:szCs w:val="20"/>
                <w:color w:val="auto"/>
              </w:rPr>
            </w:pPr>
            <w:r>
              <w:rPr>
                <w:rFonts w:ascii="Arial" w:cs="Arial" w:eastAsia="Arial" w:hAnsi="Arial"/>
                <w:sz w:val="13"/>
                <w:szCs w:val="13"/>
                <w:color w:val="auto"/>
              </w:rPr>
              <w:t>37,500</w:t>
            </w:r>
          </w:p>
        </w:tc>
        <w:tc>
          <w:tcPr>
            <w:tcW w:w="60" w:type="dxa"/>
            <w:vAlign w:val="bottom"/>
          </w:tcPr>
          <w:p>
            <w:pPr>
              <w:spacing w:after="0"/>
              <w:rPr>
                <w:sz w:val="11"/>
                <w:szCs w:val="11"/>
                <w:color w:val="auto"/>
              </w:rPr>
            </w:pPr>
          </w:p>
        </w:tc>
        <w:tc>
          <w:tcPr>
            <w:tcW w:w="680" w:type="dxa"/>
            <w:vAlign w:val="bottom"/>
          </w:tcPr>
          <w:p>
            <w:pPr>
              <w:jc w:val="right"/>
              <w:spacing w:after="0" w:line="138" w:lineRule="exact"/>
              <w:rPr>
                <w:sz w:val="20"/>
                <w:szCs w:val="20"/>
                <w:color w:val="auto"/>
              </w:rPr>
            </w:pPr>
            <w:r>
              <w:rPr>
                <w:rFonts w:ascii="Arial" w:cs="Arial" w:eastAsia="Arial" w:hAnsi="Arial"/>
                <w:sz w:val="13"/>
                <w:szCs w:val="13"/>
                <w:color w:val="auto"/>
              </w:rPr>
              <w:t>3,750,000</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gridSpan w:val="2"/>
          </w:tcPr>
          <w:p>
            <w:pPr>
              <w:jc w:val="right"/>
              <w:ind w:right="60"/>
              <w:spacing w:after="0" w:line="138" w:lineRule="exact"/>
              <w:rPr>
                <w:sz w:val="20"/>
                <w:szCs w:val="20"/>
                <w:color w:val="auto"/>
              </w:rPr>
            </w:pPr>
            <w:r>
              <w:rPr>
                <w:rFonts w:ascii="Arial" w:cs="Arial" w:eastAsia="Arial" w:hAnsi="Arial"/>
                <w:sz w:val="13"/>
                <w:szCs w:val="13"/>
                <w:color w:val="auto"/>
              </w:rPr>
              <w:t>3,648,155</w:t>
            </w:r>
          </w:p>
        </w:tc>
        <w:tc>
          <w:tcPr>
            <w:tcW w:w="0" w:type="dxa"/>
            <w:vAlign w:val="bottom"/>
          </w:tcPr>
          <w:p>
            <w:pPr>
              <w:spacing w:after="0"/>
              <w:rPr>
                <w:sz w:val="1"/>
                <w:szCs w:val="1"/>
                <w:color w:val="auto"/>
              </w:rPr>
            </w:pPr>
          </w:p>
        </w:tc>
      </w:tr>
      <w:tr>
        <w:trPr>
          <w:trHeight w:val="148"/>
        </w:trPr>
        <w:tc>
          <w:tcPr>
            <w:tcW w:w="5260" w:type="dxa"/>
            <w:vAlign w:val="bottom"/>
            <w:gridSpan w:val="2"/>
          </w:tcPr>
          <w:p>
            <w:pPr>
              <w:spacing w:after="0"/>
              <w:rPr>
                <w:sz w:val="20"/>
                <w:szCs w:val="20"/>
                <w:color w:val="auto"/>
              </w:rPr>
            </w:pPr>
            <w:r>
              <w:rPr>
                <w:rFonts w:ascii="Arial" w:cs="Arial" w:eastAsia="Arial" w:hAnsi="Arial"/>
                <w:sz w:val="13"/>
                <w:szCs w:val="13"/>
                <w:color w:val="auto"/>
              </w:rPr>
              <w:t>(Performance Holdings, Inc.)</w:t>
            </w: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jc w:val="center"/>
              <w:spacing w:after="0"/>
              <w:rPr>
                <w:sz w:val="20"/>
                <w:szCs w:val="20"/>
                <w:color w:val="auto"/>
              </w:rPr>
            </w:pPr>
            <w:r>
              <w:rPr>
                <w:rFonts w:ascii="Arial" w:cs="Arial" w:eastAsia="Arial" w:hAnsi="Arial"/>
                <w:sz w:val="13"/>
                <w:szCs w:val="13"/>
                <w:color w:val="auto"/>
                <w:w w:val="95"/>
              </w:rPr>
              <w:t>Amusement,</w:t>
            </w: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60" w:type="dxa"/>
            <w:vAlign w:val="bottom"/>
          </w:tcPr>
          <w:p>
            <w:pPr>
              <w:spacing w:after="0"/>
              <w:rPr>
                <w:sz w:val="12"/>
                <w:szCs w:val="12"/>
                <w:color w:val="auto"/>
              </w:rPr>
            </w:pPr>
          </w:p>
        </w:tc>
        <w:tc>
          <w:tcPr>
            <w:tcW w:w="45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jc w:val="center"/>
              <w:spacing w:after="0"/>
              <w:rPr>
                <w:sz w:val="20"/>
                <w:szCs w:val="20"/>
                <w:color w:val="auto"/>
              </w:rPr>
            </w:pPr>
            <w:r>
              <w:rPr>
                <w:rFonts w:ascii="Arial" w:cs="Arial" w:eastAsia="Arial" w:hAnsi="Arial"/>
                <w:sz w:val="13"/>
                <w:szCs w:val="13"/>
                <w:color w:val="auto"/>
                <w:w w:val="96"/>
              </w:rPr>
              <w:t>Motion Pictures,</w:t>
            </w: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760" w:type="dxa"/>
            <w:vAlign w:val="bottom"/>
          </w:tcPr>
          <w:p>
            <w:pPr>
              <w:spacing w:after="0"/>
              <w:rPr>
                <w:sz w:val="14"/>
                <w:szCs w:val="14"/>
                <w:color w:val="auto"/>
              </w:rPr>
            </w:pPr>
          </w:p>
        </w:tc>
        <w:tc>
          <w:tcPr>
            <w:tcW w:w="45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jc w:val="center"/>
              <w:spacing w:after="0"/>
              <w:rPr>
                <w:sz w:val="20"/>
                <w:szCs w:val="20"/>
                <w:color w:val="auto"/>
              </w:rPr>
            </w:pPr>
            <w:r>
              <w:rPr>
                <w:rFonts w:ascii="Arial" w:cs="Arial" w:eastAsia="Arial" w:hAnsi="Arial"/>
                <w:sz w:val="13"/>
                <w:szCs w:val="13"/>
                <w:color w:val="auto"/>
                <w:w w:val="93"/>
              </w:rPr>
              <w:t>Entertainment</w:t>
            </w: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260" w:type="dxa"/>
            <w:vAlign w:val="bottom"/>
            <w:gridSpan w:val="2"/>
            <w:shd w:val="clear" w:color="auto" w:fill="CCEEFF"/>
          </w:tcPr>
          <w:p>
            <w:pPr>
              <w:spacing w:after="0"/>
              <w:rPr>
                <w:sz w:val="20"/>
                <w:szCs w:val="20"/>
                <w:color w:val="auto"/>
              </w:rPr>
            </w:pPr>
            <w:r>
              <w:rPr>
                <w:rFonts w:ascii="Arial" w:cs="Arial" w:eastAsia="Arial" w:hAnsi="Arial"/>
                <w:sz w:val="13"/>
                <w:szCs w:val="13"/>
                <w:b w:val="1"/>
                <w:bCs w:val="1"/>
                <w:color w:val="auto"/>
              </w:rPr>
              <w:t>Investments in Non-Controlled, Affiliated Portfolio Companies</w:t>
            </w: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17,024,962</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15,898,202</w:t>
            </w:r>
          </w:p>
        </w:tc>
        <w:tc>
          <w:tcPr>
            <w:tcW w:w="0" w:type="dxa"/>
            <w:vAlign w:val="bottom"/>
          </w:tcPr>
          <w:p>
            <w:pPr>
              <w:spacing w:after="0"/>
              <w:rPr>
                <w:sz w:val="1"/>
                <w:szCs w:val="1"/>
                <w:color w:val="auto"/>
              </w:rPr>
            </w:pPr>
          </w:p>
        </w:tc>
      </w:tr>
      <w:tr>
        <w:trPr>
          <w:trHeight w:val="20"/>
        </w:trPr>
        <w:tc>
          <w:tcPr>
            <w:tcW w:w="526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Total Investments – 143.8%</w:t>
            </w: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5260" w:type="dxa"/>
            <w:vAlign w:val="bottom"/>
            <w:gridSpan w:val="2"/>
            <w:vMerge w:val="continue"/>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jc w:val="right"/>
              <w:spacing w:after="0"/>
              <w:rPr>
                <w:sz w:val="20"/>
                <w:szCs w:val="20"/>
                <w:color w:val="auto"/>
              </w:rPr>
            </w:pPr>
            <w:r>
              <w:rPr>
                <w:rFonts w:ascii="Arial" w:cs="Arial" w:eastAsia="Arial" w:hAnsi="Arial"/>
                <w:sz w:val="10"/>
                <w:szCs w:val="10"/>
                <w:u w:val="single" w:color="auto"/>
                <w:color w:val="auto"/>
                <w:w w:val="71"/>
              </w:rPr>
              <w:t>$</w:t>
            </w:r>
          </w:p>
        </w:tc>
        <w:tc>
          <w:tcPr>
            <w:tcW w:w="680" w:type="dxa"/>
            <w:vAlign w:val="bottom"/>
          </w:tcPr>
          <w:p>
            <w:pPr>
              <w:jc w:val="right"/>
              <w:spacing w:after="0"/>
              <w:rPr>
                <w:sz w:val="20"/>
                <w:szCs w:val="20"/>
                <w:color w:val="auto"/>
              </w:rPr>
            </w:pPr>
            <w:r>
              <w:rPr>
                <w:rFonts w:ascii="Arial" w:cs="Arial" w:eastAsia="Arial" w:hAnsi="Arial"/>
                <w:sz w:val="13"/>
                <w:szCs w:val="13"/>
                <w:color w:val="auto"/>
                <w:w w:val="91"/>
              </w:rPr>
              <w:t>450,619,413</w:t>
            </w:r>
          </w:p>
        </w:tc>
        <w:tc>
          <w:tcPr>
            <w:tcW w:w="10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gridSpan w:val="2"/>
          </w:tcPr>
          <w:p>
            <w:pPr>
              <w:jc w:val="right"/>
              <w:ind w:right="60"/>
              <w:spacing w:after="0"/>
              <w:rPr>
                <w:sz w:val="20"/>
                <w:szCs w:val="20"/>
                <w:color w:val="auto"/>
              </w:rPr>
            </w:pPr>
            <w:r>
              <w:rPr>
                <w:rFonts w:ascii="Arial" w:cs="Arial" w:eastAsia="Arial" w:hAnsi="Arial"/>
                <w:sz w:val="13"/>
                <w:szCs w:val="13"/>
                <w:color w:val="auto"/>
                <w:w w:val="96"/>
              </w:rPr>
              <w:t>363,497,206</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gridSpan w:val="2"/>
            <w:vMerge w:val="restart"/>
          </w:tcPr>
          <w:p>
            <w:pPr>
              <w:jc w:val="center"/>
              <w:ind w:right="180"/>
              <w:spacing w:after="0"/>
              <w:rPr>
                <w:sz w:val="20"/>
                <w:szCs w:val="20"/>
                <w:color w:val="auto"/>
              </w:rPr>
            </w:pPr>
            <w:r>
              <w:rPr>
                <w:rFonts w:ascii="Arial" w:cs="Arial" w:eastAsia="Arial" w:hAnsi="Arial"/>
                <w:sz w:val="13"/>
                <w:szCs w:val="13"/>
                <w:b w:val="1"/>
                <w:bCs w:val="1"/>
                <w:color w:val="auto"/>
                <w:w w:val="95"/>
              </w:rPr>
              <w:t>Par</w:t>
            </w:r>
          </w:p>
        </w:tc>
        <w:tc>
          <w:tcPr>
            <w:tcW w:w="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760" w:type="dxa"/>
            <w:vAlign w:val="bottom"/>
          </w:tcPr>
          <w:p>
            <w:pPr>
              <w:spacing w:after="0"/>
              <w:rPr>
                <w:sz w:val="24"/>
                <w:szCs w:val="24"/>
                <w:color w:val="auto"/>
              </w:rPr>
            </w:pPr>
          </w:p>
        </w:tc>
        <w:tc>
          <w:tcPr>
            <w:tcW w:w="45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gridSpan w:val="2"/>
            <w:vMerge w:val="continue"/>
          </w:tcPr>
          <w:p>
            <w:pPr>
              <w:spacing w:after="0"/>
              <w:rPr>
                <w:sz w:val="24"/>
                <w:szCs w:val="24"/>
                <w:color w:val="auto"/>
              </w:rPr>
            </w:pPr>
          </w:p>
        </w:tc>
        <w:tc>
          <w:tcPr>
            <w:tcW w:w="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5260" w:type="dxa"/>
            <w:vAlign w:val="bottom"/>
            <w:gridSpan w:val="2"/>
            <w:shd w:val="clear" w:color="auto" w:fill="CCEEFF"/>
          </w:tcPr>
          <w:p>
            <w:pPr>
              <w:spacing w:after="0" w:line="142" w:lineRule="exact"/>
              <w:rPr>
                <w:sz w:val="20"/>
                <w:szCs w:val="20"/>
                <w:color w:val="auto"/>
              </w:rPr>
            </w:pPr>
            <w:r>
              <w:rPr>
                <w:rFonts w:ascii="Arial" w:cs="Arial" w:eastAsia="Arial" w:hAnsi="Arial"/>
                <w:sz w:val="13"/>
                <w:szCs w:val="13"/>
                <w:b w:val="1"/>
                <w:bCs w:val="1"/>
                <w:color w:val="auto"/>
              </w:rPr>
              <w:t>Cash Equivalents – 11.8%</w:t>
            </w: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260" w:type="dxa"/>
            <w:vAlign w:val="bottom"/>
            <w:gridSpan w:val="2"/>
          </w:tcPr>
          <w:p>
            <w:pPr>
              <w:spacing w:after="0"/>
              <w:rPr>
                <w:sz w:val="20"/>
                <w:szCs w:val="20"/>
                <w:color w:val="auto"/>
              </w:rPr>
            </w:pPr>
            <w:r>
              <w:rPr>
                <w:rFonts w:ascii="Arial" w:cs="Arial" w:eastAsia="Arial" w:hAnsi="Arial"/>
                <w:sz w:val="13"/>
                <w:szCs w:val="13"/>
                <w:color w:val="auto"/>
              </w:rPr>
              <w:t>Money Market - Mutual Funds</w:t>
            </w: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right"/>
              <w:ind w:right="500"/>
              <w:spacing w:after="0"/>
              <w:rPr>
                <w:sz w:val="20"/>
                <w:szCs w:val="20"/>
                <w:color w:val="auto"/>
              </w:rPr>
            </w:pPr>
            <w:r>
              <w:rPr>
                <w:rFonts w:ascii="Arial" w:cs="Arial" w:eastAsia="Arial" w:hAnsi="Arial"/>
                <w:sz w:val="13"/>
                <w:szCs w:val="13"/>
                <w:color w:val="auto"/>
              </w:rPr>
              <w:t>—</w:t>
            </w:r>
          </w:p>
        </w:tc>
        <w:tc>
          <w:tcPr>
            <w:tcW w:w="700" w:type="dxa"/>
            <w:vAlign w:val="bottom"/>
            <w:gridSpan w:val="2"/>
          </w:tcPr>
          <w:p>
            <w:pPr>
              <w:jc w:val="right"/>
              <w:ind w:right="30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29,906,268</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29,906,268</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3"/>
                <w:szCs w:val="13"/>
                <w:color w:val="auto"/>
              </w:rPr>
              <w:t>29,906,268</w:t>
            </w:r>
          </w:p>
        </w:tc>
        <w:tc>
          <w:tcPr>
            <w:tcW w:w="0" w:type="dxa"/>
            <w:vAlign w:val="bottom"/>
          </w:tcPr>
          <w:p>
            <w:pPr>
              <w:spacing w:after="0"/>
              <w:rPr>
                <w:sz w:val="1"/>
                <w:szCs w:val="1"/>
                <w:color w:val="auto"/>
              </w:rPr>
            </w:pPr>
          </w:p>
        </w:tc>
      </w:tr>
      <w:tr>
        <w:trPr>
          <w:trHeight w:val="27"/>
        </w:trPr>
        <w:tc>
          <w:tcPr>
            <w:tcW w:w="760" w:type="dxa"/>
            <w:vAlign w:val="bottom"/>
          </w:tcPr>
          <w:p>
            <w:pPr>
              <w:spacing w:after="0"/>
              <w:rPr>
                <w:sz w:val="2"/>
                <w:szCs w:val="2"/>
                <w:color w:val="auto"/>
              </w:rPr>
            </w:pPr>
          </w:p>
        </w:tc>
        <w:tc>
          <w:tcPr>
            <w:tcW w:w="45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420" w:type="dxa"/>
            <w:vAlign w:val="bottom"/>
          </w:tcPr>
          <w:p>
            <w:pPr>
              <w:spacing w:after="0"/>
              <w:rPr>
                <w:sz w:val="2"/>
                <w:szCs w:val="2"/>
                <w:color w:val="auto"/>
              </w:rPr>
            </w:pPr>
          </w:p>
        </w:tc>
        <w:tc>
          <w:tcPr>
            <w:tcW w:w="4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5260" w:type="dxa"/>
            <w:vAlign w:val="bottom"/>
            <w:gridSpan w:val="2"/>
            <w:shd w:val="clear" w:color="auto" w:fill="CCEEFF"/>
          </w:tcPr>
          <w:p>
            <w:pPr>
              <w:spacing w:after="0"/>
              <w:rPr>
                <w:sz w:val="20"/>
                <w:szCs w:val="20"/>
                <w:color w:val="auto"/>
              </w:rPr>
            </w:pPr>
            <w:r>
              <w:rPr>
                <w:rFonts w:ascii="Arial" w:cs="Arial" w:eastAsia="Arial" w:hAnsi="Arial"/>
                <w:sz w:val="13"/>
                <w:szCs w:val="13"/>
                <w:b w:val="1"/>
                <w:bCs w:val="1"/>
                <w:color w:val="auto"/>
              </w:rPr>
              <w:t>Total Investments and Cash Equivalents – 155.6%</w:t>
            </w: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u w:val="single" w:color="auto"/>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1"/>
              </w:rPr>
              <w:t>480,525,681</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w w:val="96"/>
              </w:rPr>
              <w:t>393,403,474</w:t>
            </w:r>
          </w:p>
        </w:tc>
        <w:tc>
          <w:tcPr>
            <w:tcW w:w="0" w:type="dxa"/>
            <w:vAlign w:val="bottom"/>
          </w:tcPr>
          <w:p>
            <w:pPr>
              <w:spacing w:after="0"/>
              <w:rPr>
                <w:sz w:val="1"/>
                <w:szCs w:val="1"/>
                <w:color w:val="auto"/>
              </w:rPr>
            </w:pPr>
          </w:p>
        </w:tc>
      </w:tr>
      <w:tr>
        <w:trPr>
          <w:trHeight w:val="20"/>
        </w:trPr>
        <w:tc>
          <w:tcPr>
            <w:tcW w:w="526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Liabilities in Excess of Other Assets – (55.6%)</w:t>
            </w: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5260" w:type="dxa"/>
            <w:vAlign w:val="bottom"/>
            <w:gridSpan w:val="2"/>
            <w:vMerge w:val="continue"/>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gridSpan w:val="2"/>
          </w:tcPr>
          <w:p>
            <w:pPr>
              <w:jc w:val="right"/>
              <w:spacing w:after="0" w:line="143" w:lineRule="exact"/>
              <w:rPr>
                <w:sz w:val="20"/>
                <w:szCs w:val="20"/>
                <w:color w:val="auto"/>
              </w:rPr>
            </w:pPr>
            <w:r>
              <w:rPr>
                <w:rFonts w:ascii="Arial" w:cs="Arial" w:eastAsia="Arial" w:hAnsi="Arial"/>
                <w:sz w:val="13"/>
                <w:szCs w:val="13"/>
                <w:color w:val="auto"/>
              </w:rPr>
              <w:t>$</w:t>
            </w:r>
          </w:p>
        </w:tc>
        <w:tc>
          <w:tcPr>
            <w:tcW w:w="780" w:type="dxa"/>
            <w:vAlign w:val="bottom"/>
            <w:gridSpan w:val="2"/>
          </w:tcPr>
          <w:p>
            <w:pPr>
              <w:jc w:val="right"/>
              <w:spacing w:after="0" w:line="143" w:lineRule="exact"/>
              <w:rPr>
                <w:sz w:val="20"/>
                <w:szCs w:val="20"/>
                <w:color w:val="auto"/>
              </w:rPr>
            </w:pPr>
            <w:r>
              <w:rPr>
                <w:rFonts w:ascii="Arial" w:cs="Arial" w:eastAsia="Arial" w:hAnsi="Arial"/>
                <w:sz w:val="13"/>
                <w:szCs w:val="13"/>
                <w:color w:val="auto"/>
                <w:w w:val="93"/>
              </w:rPr>
              <w:t>(140,549,959)</w:t>
            </w:r>
          </w:p>
        </w:tc>
        <w:tc>
          <w:tcPr>
            <w:tcW w:w="0" w:type="dxa"/>
            <w:vAlign w:val="bottom"/>
          </w:tcPr>
          <w:p>
            <w:pPr>
              <w:spacing w:after="0"/>
              <w:rPr>
                <w:sz w:val="1"/>
                <w:szCs w:val="1"/>
                <w:color w:val="auto"/>
              </w:rPr>
            </w:pPr>
          </w:p>
        </w:tc>
      </w:tr>
      <w:tr>
        <w:trPr>
          <w:trHeight w:val="148"/>
        </w:trPr>
        <w:tc>
          <w:tcPr>
            <w:tcW w:w="5260" w:type="dxa"/>
            <w:vAlign w:val="bottom"/>
            <w:gridSpan w:val="2"/>
            <w:shd w:val="clear" w:color="auto" w:fill="CCEEFF"/>
          </w:tcPr>
          <w:p>
            <w:pPr>
              <w:spacing w:after="0"/>
              <w:rPr>
                <w:sz w:val="20"/>
                <w:szCs w:val="20"/>
                <w:color w:val="auto"/>
              </w:rPr>
            </w:pPr>
            <w:r>
              <w:rPr>
                <w:rFonts w:ascii="Arial" w:cs="Arial" w:eastAsia="Arial" w:hAnsi="Arial"/>
                <w:sz w:val="13"/>
                <w:szCs w:val="13"/>
                <w:b w:val="1"/>
                <w:bCs w:val="1"/>
                <w:color w:val="auto"/>
              </w:rPr>
              <w:t>Net Assets – 100.0%</w:t>
            </w: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w w:val="96"/>
              </w:rPr>
              <w:t>252,853,515</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76835</wp:posOffset>
            </wp:positionV>
            <wp:extent cx="71120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1200" cy="8890"/>
                    </a:xfrm>
                    <a:prstGeom prst="rect">
                      <a:avLst/>
                    </a:prstGeom>
                    <a:noFill/>
                  </pic:spPr>
                </pic:pic>
              </a:graphicData>
            </a:graphic>
          </wp:anchor>
        </w:drawing>
      </w:r>
    </w:p>
    <w:p>
      <w:pPr>
        <w:spacing w:after="0" w:line="131" w:lineRule="exact"/>
        <w:rPr>
          <w:sz w:val="20"/>
          <w:szCs w:val="20"/>
          <w:color w:val="auto"/>
        </w:rPr>
      </w:pPr>
    </w:p>
    <w:p>
      <w:pPr>
        <w:ind w:left="340" w:right="140" w:hanging="332"/>
        <w:spacing w:after="0" w:line="248" w:lineRule="auto"/>
        <w:tabs>
          <w:tab w:leader="none" w:pos="340" w:val="left"/>
        </w:tabs>
        <w:numPr>
          <w:ilvl w:val="0"/>
          <w:numId w:val="3"/>
        </w:numPr>
        <w:rPr>
          <w:rFonts w:ascii="Arial" w:cs="Arial" w:eastAsia="Arial" w:hAnsi="Arial"/>
          <w:sz w:val="13"/>
          <w:szCs w:val="13"/>
          <w:color w:val="auto"/>
        </w:rPr>
      </w:pPr>
      <w:r>
        <w:rPr>
          <w:rFonts w:ascii="Arial" w:cs="Arial" w:eastAsia="Arial" w:hAnsi="Arial"/>
          <w:sz w:val="13"/>
          <w:szCs w:val="13"/>
          <w:color w:val="auto"/>
        </w:rPr>
        <w:t>As used in this Schedule of Investments and in accordance with the Investment Company Act of 1940 (the “1940 Act”) “non-controlled” means we own less than 25% of a portfolio company’s voting securities.</w:t>
      </w:r>
    </w:p>
    <w:p>
      <w:pPr>
        <w:ind w:left="340" w:right="80" w:hanging="332"/>
        <w:spacing w:after="0" w:line="238" w:lineRule="auto"/>
        <w:tabs>
          <w:tab w:leader="none" w:pos="340" w:val="left"/>
        </w:tabs>
        <w:numPr>
          <w:ilvl w:val="0"/>
          <w:numId w:val="3"/>
        </w:numPr>
        <w:rPr>
          <w:rFonts w:ascii="Arial" w:cs="Arial" w:eastAsia="Arial" w:hAnsi="Arial"/>
          <w:sz w:val="13"/>
          <w:szCs w:val="13"/>
          <w:color w:val="auto"/>
        </w:rPr>
      </w:pPr>
      <w:r>
        <w:rPr>
          <w:rFonts w:ascii="Arial" w:cs="Arial" w:eastAsia="Arial" w:hAnsi="Arial"/>
          <w:sz w:val="13"/>
          <w:szCs w:val="13"/>
          <w:color w:val="auto"/>
        </w:rPr>
        <w:t>As used in this Schedule of Investments and in accordance with the 1940 Act “non-affiliated” means we own less than 5% of a portfolio company’s voting securities and “affiliated” means that we own more than 5% of a portfolio company’s voting securities.</w:t>
      </w:r>
    </w:p>
    <w:p>
      <w:pPr>
        <w:ind w:left="340" w:hanging="332"/>
        <w:spacing w:after="0"/>
        <w:tabs>
          <w:tab w:leader="none" w:pos="340" w:val="left"/>
        </w:tabs>
        <w:numPr>
          <w:ilvl w:val="0"/>
          <w:numId w:val="3"/>
        </w:numPr>
        <w:rPr>
          <w:rFonts w:ascii="Arial" w:cs="Arial" w:eastAsia="Arial" w:hAnsi="Arial"/>
          <w:sz w:val="13"/>
          <w:szCs w:val="13"/>
          <w:color w:val="auto"/>
        </w:rPr>
      </w:pPr>
      <w:r>
        <w:rPr>
          <w:rFonts w:ascii="Arial" w:cs="Arial" w:eastAsia="Arial" w:hAnsi="Arial"/>
          <w:sz w:val="13"/>
          <w:szCs w:val="13"/>
          <w:color w:val="auto"/>
        </w:rPr>
        <w:t>Valued based on our accounting policy (see Note 2 to our financial statements).</w:t>
      </w:r>
    </w:p>
    <w:p>
      <w:pPr>
        <w:ind w:left="340" w:right="240" w:hanging="332"/>
        <w:spacing w:after="0" w:line="238" w:lineRule="auto"/>
        <w:tabs>
          <w:tab w:leader="none" w:pos="340" w:val="left"/>
        </w:tabs>
        <w:numPr>
          <w:ilvl w:val="0"/>
          <w:numId w:val="3"/>
        </w:numPr>
        <w:rPr>
          <w:rFonts w:ascii="Arial" w:cs="Arial" w:eastAsia="Arial" w:hAnsi="Arial"/>
          <w:sz w:val="13"/>
          <w:szCs w:val="13"/>
          <w:color w:val="auto"/>
        </w:rPr>
      </w:pPr>
      <w:r>
        <w:rPr>
          <w:rFonts w:ascii="Arial" w:cs="Arial" w:eastAsia="Arial" w:hAnsi="Arial"/>
          <w:sz w:val="13"/>
          <w:szCs w:val="13"/>
          <w:color w:val="auto"/>
        </w:rPr>
        <w:t>Represents floating rate instruments that accrue interest at a predetermined spread relative to an index, typically the applicable London Interbank Offer Rate (LIBOR or “L”) or Prime Rate (Prime or “P”).</w:t>
      </w:r>
    </w:p>
    <w:p>
      <w:pPr>
        <w:ind w:left="340" w:right="120" w:hanging="332"/>
        <w:spacing w:after="0" w:line="255" w:lineRule="auto"/>
        <w:tabs>
          <w:tab w:leader="none" w:pos="340" w:val="left"/>
        </w:tabs>
        <w:numPr>
          <w:ilvl w:val="0"/>
          <w:numId w:val="3"/>
        </w:numPr>
        <w:rPr>
          <w:rFonts w:ascii="Arial" w:cs="Arial" w:eastAsia="Arial" w:hAnsi="Arial"/>
          <w:sz w:val="13"/>
          <w:szCs w:val="13"/>
          <w:color w:val="auto"/>
        </w:rPr>
      </w:pPr>
      <w:r>
        <w:rPr>
          <w:rFonts w:ascii="Arial" w:cs="Arial" w:eastAsia="Arial" w:hAnsi="Arial"/>
          <w:sz w:val="13"/>
          <w:szCs w:val="13"/>
          <w:color w:val="auto"/>
        </w:rPr>
        <w:t>Security is exempt from registration under Rule 144A promulgated under the Securities Act of 1933. The security may be resold in transactions that are exempt from registration, normally to qualified institutional buyers.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FINANCIAL STATEMENTS</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40"/>
          </w:cols>
          <w:pgMar w:left="320" w:top="459" w:right="3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206375</wp:posOffset>
            </wp:positionH>
            <wp:positionV relativeFrom="page">
              <wp:posOffset>88900</wp:posOffset>
            </wp:positionV>
            <wp:extent cx="7153275" cy="279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32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5" w:lineRule="exact"/>
        <w:rPr>
          <w:sz w:val="20"/>
          <w:szCs w:val="20"/>
          <w:color w:val="auto"/>
        </w:rPr>
      </w:pPr>
    </w:p>
    <w:p>
      <w:pPr>
        <w:jc w:val="center"/>
        <w:ind w:right="-1100"/>
        <w:spacing w:after="0"/>
        <w:rPr>
          <w:sz w:val="20"/>
          <w:szCs w:val="20"/>
          <w:color w:val="auto"/>
        </w:rPr>
      </w:pPr>
      <w:r>
        <w:rPr>
          <w:rFonts w:ascii="Arial" w:cs="Arial" w:eastAsia="Arial" w:hAnsi="Arial"/>
          <w:sz w:val="18"/>
          <w:szCs w:val="18"/>
          <w:color w:val="auto"/>
        </w:rPr>
        <w:t>PENNANTPARK INVESTMENT CORPORATION</w:t>
      </w:r>
    </w:p>
    <w:p>
      <w:pPr>
        <w:spacing w:after="0" w:line="15" w:lineRule="exact"/>
        <w:rPr>
          <w:sz w:val="20"/>
          <w:szCs w:val="20"/>
          <w:color w:val="auto"/>
        </w:rPr>
      </w:pPr>
    </w:p>
    <w:p>
      <w:pPr>
        <w:jc w:val="center"/>
        <w:ind w:right="-1100"/>
        <w:spacing w:after="0"/>
        <w:rPr>
          <w:sz w:val="20"/>
          <w:szCs w:val="20"/>
          <w:color w:val="auto"/>
        </w:rPr>
      </w:pPr>
      <w:r>
        <w:rPr>
          <w:rFonts w:ascii="Arial" w:cs="Arial" w:eastAsia="Arial" w:hAnsi="Arial"/>
          <w:sz w:val="18"/>
          <w:szCs w:val="18"/>
          <w:color w:val="auto"/>
        </w:rPr>
        <w:t>SCHEDULE OF INVESTMENTS</w:t>
      </w:r>
    </w:p>
    <w:p>
      <w:pPr>
        <w:spacing w:after="0" w:line="9" w:lineRule="exact"/>
        <w:rPr>
          <w:sz w:val="20"/>
          <w:szCs w:val="20"/>
          <w:color w:val="auto"/>
        </w:rPr>
      </w:pPr>
    </w:p>
    <w:p>
      <w:pPr>
        <w:jc w:val="center"/>
        <w:ind w:right="-1100"/>
        <w:spacing w:after="0"/>
        <w:rPr>
          <w:sz w:val="20"/>
          <w:szCs w:val="20"/>
          <w:color w:val="auto"/>
        </w:rPr>
      </w:pPr>
      <w:r>
        <w:rPr>
          <w:rFonts w:ascii="Arial" w:cs="Arial" w:eastAsia="Arial" w:hAnsi="Arial"/>
          <w:sz w:val="18"/>
          <w:szCs w:val="18"/>
          <w:color w:val="auto"/>
        </w:rPr>
        <w:t>MARCH 31, 2009</w:t>
      </w:r>
    </w:p>
    <w:p>
      <w:pPr>
        <w:spacing w:after="0" w:line="9" w:lineRule="exact"/>
        <w:rPr>
          <w:sz w:val="20"/>
          <w:szCs w:val="20"/>
          <w:color w:val="auto"/>
        </w:rPr>
      </w:pPr>
    </w:p>
    <w:p>
      <w:pPr>
        <w:jc w:val="center"/>
        <w:ind w:right="-1100"/>
        <w:spacing w:after="0"/>
        <w:rPr>
          <w:sz w:val="20"/>
          <w:szCs w:val="20"/>
          <w:color w:val="auto"/>
        </w:rPr>
      </w:pPr>
      <w:r>
        <w:rPr>
          <w:rFonts w:ascii="Arial" w:cs="Arial" w:eastAsia="Arial" w:hAnsi="Arial"/>
          <w:sz w:val="18"/>
          <w:szCs w:val="18"/>
          <w:color w:val="auto"/>
        </w:rPr>
        <w:t>(Unaudited)</w:t>
      </w:r>
    </w:p>
    <w:p>
      <w:pPr>
        <w:spacing w:after="0" w:line="151" w:lineRule="exact"/>
        <w:rPr>
          <w:sz w:val="20"/>
          <w:szCs w:val="20"/>
          <w:color w:val="auto"/>
        </w:rPr>
      </w:pPr>
    </w:p>
    <w:p>
      <w:pPr>
        <w:ind w:left="460" w:hanging="452"/>
        <w:spacing w:after="0"/>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Coupon payable in cash and/or payment-in-kind (“PIK”).</w:t>
      </w:r>
    </w:p>
    <w:p>
      <w:pPr>
        <w:spacing w:after="0" w:line="15" w:lineRule="exact"/>
        <w:rPr>
          <w:rFonts w:ascii="Arial" w:cs="Arial" w:eastAsia="Arial" w:hAnsi="Arial"/>
          <w:sz w:val="18"/>
          <w:szCs w:val="18"/>
          <w:color w:val="auto"/>
        </w:rPr>
      </w:pPr>
    </w:p>
    <w:p>
      <w:pPr>
        <w:ind w:left="460" w:hanging="452"/>
        <w:spacing w:after="0"/>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Non-income producing.</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LIBOR floor applies.</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4"/>
        </w:numPr>
        <w:rPr>
          <w:rFonts w:ascii="Arial" w:cs="Arial" w:eastAsia="Arial" w:hAnsi="Arial"/>
          <w:sz w:val="15"/>
          <w:szCs w:val="15"/>
          <w:color w:val="auto"/>
        </w:rPr>
      </w:pPr>
      <w:r>
        <w:rPr>
          <w:rFonts w:ascii="Arial" w:cs="Arial" w:eastAsia="Arial" w:hAnsi="Arial"/>
          <w:sz w:val="15"/>
          <w:szCs w:val="15"/>
          <w:color w:val="auto"/>
        </w:rPr>
        <w:t>Represents purchases of securities with delayed draw. These securities do not have a basis point spread above index.</w:t>
      </w:r>
    </w:p>
    <w:p>
      <w:pPr>
        <w:spacing w:after="0" w:line="199" w:lineRule="exact"/>
        <w:rPr>
          <w:sz w:val="20"/>
          <w:szCs w:val="20"/>
          <w:color w:val="auto"/>
        </w:rPr>
      </w:pPr>
    </w:p>
    <w:p>
      <w:pPr>
        <w:jc w:val="center"/>
        <w:ind w:right="-1100"/>
        <w:spacing w:after="0"/>
        <w:rPr>
          <w:sz w:val="20"/>
          <w:szCs w:val="20"/>
          <w:color w:val="auto"/>
        </w:rPr>
      </w:pPr>
      <w:r>
        <w:rPr>
          <w:rFonts w:ascii="Arial" w:cs="Arial" w:eastAsia="Arial" w:hAnsi="Arial"/>
          <w:sz w:val="18"/>
          <w:szCs w:val="18"/>
          <w:color w:val="auto"/>
        </w:rPr>
        <w:t>SEE NOTES TO FINANCIAL STATEMENTS</w:t>
      </w:r>
    </w:p>
    <w:p>
      <w:pPr>
        <w:spacing w:after="0" w:line="158" w:lineRule="exact"/>
        <w:rPr>
          <w:sz w:val="20"/>
          <w:szCs w:val="20"/>
          <w:color w:val="auto"/>
        </w:rPr>
      </w:pPr>
    </w:p>
    <w:p>
      <w:pPr>
        <w:jc w:val="center"/>
        <w:ind w:right="-1100"/>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139"/>
          </w:cols>
          <w:pgMar w:left="320" w:top="459" w:right="1440"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206375</wp:posOffset>
            </wp:positionH>
            <wp:positionV relativeFrom="page">
              <wp:posOffset>88900</wp:posOffset>
            </wp:positionV>
            <wp:extent cx="7153275" cy="279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32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PENNANTPARK INVESTMENT CORPORATION</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SCHEDULE OF INVESTMENTS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SEPTEMBER 30, 2008</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760" w:type="dxa"/>
            <w:vAlign w:val="bottom"/>
          </w:tcPr>
          <w:p>
            <w:pPr>
              <w:spacing w:after="0"/>
              <w:rPr>
                <w:sz w:val="13"/>
                <w:szCs w:val="13"/>
                <w:color w:val="auto"/>
              </w:rPr>
            </w:pPr>
          </w:p>
        </w:tc>
        <w:tc>
          <w:tcPr>
            <w:tcW w:w="38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0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86"/>
              </w:rPr>
              <w:t>Basis</w:t>
            </w: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760" w:type="dxa"/>
            <w:vAlign w:val="bottom"/>
          </w:tcPr>
          <w:p>
            <w:pPr>
              <w:spacing w:after="0"/>
              <w:rPr>
                <w:sz w:val="12"/>
                <w:szCs w:val="12"/>
                <w:color w:val="auto"/>
              </w:rPr>
            </w:pPr>
          </w:p>
        </w:tc>
        <w:tc>
          <w:tcPr>
            <w:tcW w:w="38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0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98"/>
              </w:rPr>
              <w:t>Point</w:t>
            </w: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60" w:type="dxa"/>
            <w:vAlign w:val="bottom"/>
          </w:tcPr>
          <w:p>
            <w:pPr>
              <w:spacing w:after="0"/>
              <w:rPr>
                <w:sz w:val="12"/>
                <w:szCs w:val="12"/>
                <w:color w:val="auto"/>
              </w:rPr>
            </w:pPr>
          </w:p>
        </w:tc>
        <w:tc>
          <w:tcPr>
            <w:tcW w:w="38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0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90"/>
              </w:rPr>
              <w:t>Spread</w:t>
            </w: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760" w:type="dxa"/>
            <w:vAlign w:val="bottom"/>
          </w:tcPr>
          <w:p>
            <w:pPr>
              <w:spacing w:after="0"/>
              <w:rPr>
                <w:sz w:val="14"/>
                <w:szCs w:val="14"/>
                <w:color w:val="auto"/>
              </w:rPr>
            </w:pPr>
          </w:p>
        </w:tc>
        <w:tc>
          <w:tcPr>
            <w:tcW w:w="38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3"/>
                <w:szCs w:val="13"/>
                <w:b w:val="1"/>
                <w:bCs w:val="1"/>
                <w:color w:val="auto"/>
                <w:w w:val="97"/>
              </w:rPr>
              <w:t>Current</w:t>
            </w:r>
          </w:p>
        </w:tc>
        <w:tc>
          <w:tcPr>
            <w:tcW w:w="400" w:type="dxa"/>
            <w:vAlign w:val="bottom"/>
          </w:tcPr>
          <w:p>
            <w:pPr>
              <w:spacing w:after="0"/>
              <w:rPr>
                <w:sz w:val="14"/>
                <w:szCs w:val="14"/>
                <w:color w:val="auto"/>
              </w:rPr>
            </w:pPr>
          </w:p>
        </w:tc>
        <w:tc>
          <w:tcPr>
            <w:tcW w:w="60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90"/>
              </w:rPr>
              <w:t>Above</w:t>
            </w: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vMerge w:val="restart"/>
          </w:tcPr>
          <w:p>
            <w:pPr>
              <w:jc w:val="right"/>
              <w:ind w:right="73"/>
              <w:spacing w:after="0"/>
              <w:rPr>
                <w:sz w:val="20"/>
                <w:szCs w:val="20"/>
                <w:color w:val="auto"/>
              </w:rPr>
            </w:pPr>
            <w:r>
              <w:rPr>
                <w:rFonts w:ascii="Arial" w:cs="Arial" w:eastAsia="Arial" w:hAnsi="Arial"/>
                <w:sz w:val="13"/>
                <w:szCs w:val="13"/>
                <w:b w:val="1"/>
                <w:bCs w:val="1"/>
                <w:color w:val="auto"/>
              </w:rPr>
              <w:t xml:space="preserve">Value </w:t>
            </w:r>
            <w:r>
              <w:rPr>
                <w:rFonts w:ascii="Arial" w:cs="Arial" w:eastAsia="Arial" w:hAnsi="Arial"/>
                <w:sz w:val="22"/>
                <w:szCs w:val="22"/>
                <w:b w:val="1"/>
                <w:bCs w:val="1"/>
                <w:color w:val="auto"/>
                <w:vertAlign w:val="superscript"/>
              </w:rPr>
              <w:t>(3)</w:t>
            </w: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76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w w:val="95"/>
              </w:rPr>
              <w:t>Issuer Name</w:t>
            </w:r>
          </w:p>
        </w:tc>
        <w:tc>
          <w:tcPr>
            <w:tcW w:w="3840" w:type="dxa"/>
            <w:vAlign w:val="bottom"/>
          </w:tcPr>
          <w:p>
            <w:pPr>
              <w:spacing w:after="0"/>
              <w:rPr>
                <w:sz w:val="15"/>
                <w:szCs w:val="15"/>
                <w:color w:val="auto"/>
              </w:rPr>
            </w:pP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Maturity</w:t>
            </w:r>
          </w:p>
        </w:tc>
        <w:tc>
          <w:tcPr>
            <w:tcW w:w="200" w:type="dxa"/>
            <w:vAlign w:val="bottom"/>
          </w:tcPr>
          <w:p>
            <w:pPr>
              <w:spacing w:after="0"/>
              <w:rPr>
                <w:sz w:val="15"/>
                <w:szCs w:val="15"/>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7"/>
              </w:rPr>
              <w:t>Industry</w:t>
            </w:r>
          </w:p>
        </w:tc>
        <w:tc>
          <w:tcPr>
            <w:tcW w:w="220" w:type="dxa"/>
            <w:vAlign w:val="bottom"/>
          </w:tcPr>
          <w:p>
            <w:pPr>
              <w:spacing w:after="0"/>
              <w:rPr>
                <w:sz w:val="15"/>
                <w:szCs w:val="15"/>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w w:val="93"/>
              </w:rPr>
              <w:t>Coupon</w:t>
            </w: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80" w:type="dxa"/>
            <w:vAlign w:val="bottom"/>
            <w:tcBorders>
              <w:bottom w:val="single" w:sz="8" w:color="auto"/>
            </w:tcBorders>
          </w:tcPr>
          <w:p>
            <w:pPr>
              <w:jc w:val="center"/>
              <w:spacing w:after="0" w:line="176" w:lineRule="exact"/>
              <w:rPr>
                <w:sz w:val="20"/>
                <w:szCs w:val="20"/>
                <w:color w:val="auto"/>
              </w:rPr>
            </w:pPr>
            <w:r>
              <w:rPr>
                <w:rFonts w:ascii="Arial" w:cs="Arial" w:eastAsia="Arial" w:hAnsi="Arial"/>
                <w:sz w:val="12"/>
                <w:szCs w:val="12"/>
                <w:b w:val="1"/>
                <w:bCs w:val="1"/>
                <w:color w:val="auto"/>
                <w:w w:val="96"/>
              </w:rPr>
              <w:t>Index</w:t>
            </w:r>
            <w:r>
              <w:rPr>
                <w:rFonts w:ascii="Arial" w:cs="Arial" w:eastAsia="Arial" w:hAnsi="Arial"/>
                <w:sz w:val="20"/>
                <w:szCs w:val="20"/>
                <w:b w:val="1"/>
                <w:bCs w:val="1"/>
                <w:color w:val="auto"/>
                <w:w w:val="96"/>
                <w:vertAlign w:val="superscript"/>
              </w:rPr>
              <w:t>(4)</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Borders>
              <w:bottom w:val="single" w:sz="8" w:color="auto"/>
            </w:tcBorders>
          </w:tcPr>
          <w:p>
            <w:pPr>
              <w:jc w:val="right"/>
              <w:ind w:right="213"/>
              <w:spacing w:after="0"/>
              <w:rPr>
                <w:sz w:val="20"/>
                <w:szCs w:val="20"/>
                <w:color w:val="auto"/>
              </w:rPr>
            </w:pPr>
            <w:r>
              <w:rPr>
                <w:rFonts w:ascii="Arial" w:cs="Arial" w:eastAsia="Arial" w:hAnsi="Arial"/>
                <w:sz w:val="13"/>
                <w:szCs w:val="13"/>
                <w:b w:val="1"/>
                <w:bCs w:val="1"/>
                <w:color w:val="auto"/>
              </w:rPr>
              <w:t>Par</w:t>
            </w:r>
          </w:p>
        </w:tc>
        <w:tc>
          <w:tcPr>
            <w:tcW w:w="220" w:type="dxa"/>
            <w:vAlign w:val="bottom"/>
          </w:tcPr>
          <w:p>
            <w:pPr>
              <w:spacing w:after="0"/>
              <w:rPr>
                <w:sz w:val="15"/>
                <w:szCs w:val="15"/>
                <w:color w:val="auto"/>
              </w:rPr>
            </w:pPr>
          </w:p>
        </w:tc>
        <w:tc>
          <w:tcPr>
            <w:tcW w:w="760" w:type="dxa"/>
            <w:vAlign w:val="bottom"/>
            <w:tcBorders>
              <w:bottom w:val="single" w:sz="8" w:color="auto"/>
            </w:tcBorders>
          </w:tcPr>
          <w:p>
            <w:pPr>
              <w:ind w:left="240"/>
              <w:spacing w:after="0"/>
              <w:rPr>
                <w:sz w:val="20"/>
                <w:szCs w:val="20"/>
                <w:color w:val="auto"/>
              </w:rPr>
            </w:pPr>
            <w:r>
              <w:rPr>
                <w:rFonts w:ascii="Arial" w:cs="Arial" w:eastAsia="Arial" w:hAnsi="Arial"/>
                <w:sz w:val="13"/>
                <w:szCs w:val="13"/>
                <w:b w:val="1"/>
                <w:bCs w:val="1"/>
                <w:color w:val="auto"/>
              </w:rPr>
              <w:t>Cost</w:t>
            </w:r>
          </w:p>
        </w:tc>
        <w:tc>
          <w:tcPr>
            <w:tcW w:w="220" w:type="dxa"/>
            <w:vAlign w:val="bottom"/>
          </w:tcPr>
          <w:p>
            <w:pPr>
              <w:spacing w:after="0"/>
              <w:rPr>
                <w:sz w:val="15"/>
                <w:szCs w:val="15"/>
                <w:color w:val="auto"/>
              </w:rPr>
            </w:pPr>
          </w:p>
        </w:tc>
        <w:tc>
          <w:tcPr>
            <w:tcW w:w="780" w:type="dxa"/>
            <w:vAlign w:val="bottom"/>
            <w:tcBorders>
              <w:bottom w:val="single" w:sz="8" w:color="auto"/>
            </w:tcBorders>
            <w:vMerge w:val="continue"/>
          </w:tcPr>
          <w:p>
            <w:pPr>
              <w:spacing w:after="0"/>
              <w:rPr>
                <w:sz w:val="15"/>
                <w:szCs w:val="15"/>
                <w:color w:val="auto"/>
              </w:rPr>
            </w:pP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5240" w:type="dxa"/>
            <w:vAlign w:val="bottom"/>
            <w:gridSpan w:val="3"/>
            <w:shd w:val="clear" w:color="auto" w:fill="CCEEFF"/>
          </w:tcPr>
          <w:p>
            <w:pPr>
              <w:spacing w:after="0" w:line="169" w:lineRule="exact"/>
              <w:rPr>
                <w:sz w:val="20"/>
                <w:szCs w:val="20"/>
                <w:color w:val="auto"/>
              </w:rPr>
            </w:pPr>
            <w:r>
              <w:rPr>
                <w:rFonts w:ascii="Arial" w:cs="Arial" w:eastAsia="Arial" w:hAnsi="Arial"/>
                <w:sz w:val="12"/>
                <w:szCs w:val="12"/>
                <w:b w:val="1"/>
                <w:bCs w:val="1"/>
                <w:color w:val="auto"/>
              </w:rPr>
              <w:t>Investments in Non-Controlled, Non-Affiliated Portfolio Companies – 187.2%</w:t>
            </w:r>
            <w:r>
              <w:rPr>
                <w:rFonts w:ascii="Arial" w:cs="Arial" w:eastAsia="Arial" w:hAnsi="Arial"/>
                <w:sz w:val="19"/>
                <w:szCs w:val="19"/>
                <w:b w:val="1"/>
                <w:bCs w:val="1"/>
                <w:color w:val="auto"/>
                <w:vertAlign w:val="superscript"/>
              </w:rPr>
              <w:t>(1)(2)</w:t>
            </w:r>
          </w:p>
        </w:tc>
        <w:tc>
          <w:tcPr>
            <w:tcW w:w="20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69"/>
        </w:trPr>
        <w:tc>
          <w:tcPr>
            <w:tcW w:w="4600" w:type="dxa"/>
            <w:vAlign w:val="bottom"/>
            <w:gridSpan w:val="2"/>
          </w:tcPr>
          <w:p>
            <w:pPr>
              <w:spacing w:after="0"/>
              <w:rPr>
                <w:sz w:val="20"/>
                <w:szCs w:val="20"/>
                <w:color w:val="auto"/>
              </w:rPr>
            </w:pPr>
            <w:r>
              <w:rPr>
                <w:rFonts w:ascii="Arial" w:cs="Arial" w:eastAsia="Arial" w:hAnsi="Arial"/>
                <w:sz w:val="13"/>
                <w:szCs w:val="13"/>
                <w:b w:val="1"/>
                <w:bCs w:val="1"/>
                <w:color w:val="auto"/>
              </w:rPr>
              <w:t>Subordinated Debt / Corporate Notes – 76.8%</w:t>
            </w:r>
          </w:p>
        </w:tc>
        <w:tc>
          <w:tcPr>
            <w:tcW w:w="6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95"/>
        </w:trPr>
        <w:tc>
          <w:tcPr>
            <w:tcW w:w="760" w:type="dxa"/>
            <w:vAlign w:val="bottom"/>
          </w:tcPr>
          <w:p>
            <w:pPr>
              <w:spacing w:after="0"/>
              <w:rPr>
                <w:sz w:val="8"/>
                <w:szCs w:val="8"/>
                <w:color w:val="auto"/>
              </w:rPr>
            </w:pPr>
          </w:p>
        </w:tc>
        <w:tc>
          <w:tcPr>
            <w:tcW w:w="38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2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220" w:type="dxa"/>
            <w:vAlign w:val="bottom"/>
          </w:tcPr>
          <w:p>
            <w:pPr>
              <w:spacing w:after="0"/>
              <w:rPr>
                <w:sz w:val="8"/>
                <w:szCs w:val="8"/>
                <w:color w:val="auto"/>
              </w:rPr>
            </w:pPr>
          </w:p>
        </w:tc>
        <w:tc>
          <w:tcPr>
            <w:tcW w:w="760" w:type="dxa"/>
            <w:vAlign w:val="bottom"/>
          </w:tcPr>
          <w:p>
            <w:pPr>
              <w:spacing w:after="0"/>
              <w:rPr>
                <w:sz w:val="8"/>
                <w:szCs w:val="8"/>
                <w:color w:val="auto"/>
              </w:rPr>
            </w:pPr>
          </w:p>
        </w:tc>
        <w:tc>
          <w:tcPr>
            <w:tcW w:w="2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48"/>
        </w:trPr>
        <w:tc>
          <w:tcPr>
            <w:tcW w:w="46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Advanstar, Inc.</w:t>
            </w:r>
          </w:p>
        </w:tc>
        <w:tc>
          <w:tcPr>
            <w:tcW w:w="6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2"/>
              </w:rPr>
              <w:t>11/30/2015</w:t>
            </w:r>
          </w:p>
        </w:tc>
        <w:tc>
          <w:tcPr>
            <w:tcW w:w="200" w:type="dxa"/>
            <w:vAlign w:val="bottom"/>
            <w:shd w:val="clear" w:color="auto" w:fill="CCEEFF"/>
          </w:tcPr>
          <w:p>
            <w:pPr>
              <w:spacing w:after="0"/>
              <w:rPr>
                <w:sz w:val="12"/>
                <w:szCs w:val="12"/>
                <w:color w:val="auto"/>
              </w:rPr>
            </w:pPr>
          </w:p>
        </w:tc>
        <w:tc>
          <w:tcPr>
            <w:tcW w:w="11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7"/>
              </w:rPr>
              <w:t>Other Media</w:t>
            </w:r>
          </w:p>
        </w:tc>
        <w:tc>
          <w:tcPr>
            <w:tcW w:w="840" w:type="dxa"/>
            <w:vAlign w:val="bottom"/>
            <w:gridSpan w:val="3"/>
            <w:shd w:val="clear" w:color="auto" w:fill="CCEEFF"/>
          </w:tcPr>
          <w:p>
            <w:pPr>
              <w:jc w:val="right"/>
              <w:ind w:right="20"/>
              <w:spacing w:after="0"/>
              <w:rPr>
                <w:sz w:val="20"/>
                <w:szCs w:val="20"/>
                <w:color w:val="auto"/>
              </w:rPr>
            </w:pPr>
            <w:r>
              <w:rPr>
                <w:rFonts w:ascii="Arial" w:cs="Arial" w:eastAsia="Arial" w:hAnsi="Arial"/>
                <w:sz w:val="13"/>
                <w:szCs w:val="13"/>
                <w:color w:val="auto"/>
              </w:rPr>
              <w:t>10.76%</w:t>
            </w:r>
          </w:p>
        </w:tc>
        <w:tc>
          <w:tcPr>
            <w:tcW w:w="400" w:type="dxa"/>
            <w:vAlign w:val="bottom"/>
            <w:shd w:val="clear" w:color="auto" w:fill="CCEEFF"/>
          </w:tcPr>
          <w:p>
            <w:pPr>
              <w:jc w:val="right"/>
              <w:ind w:right="153"/>
              <w:spacing w:after="0"/>
              <w:rPr>
                <w:sz w:val="20"/>
                <w:szCs w:val="20"/>
                <w:color w:val="auto"/>
              </w:rPr>
            </w:pPr>
            <w:r>
              <w:rPr>
                <w:rFonts w:ascii="Arial" w:cs="Arial" w:eastAsia="Arial" w:hAnsi="Arial"/>
                <w:sz w:val="13"/>
                <w:szCs w:val="13"/>
                <w:color w:val="auto"/>
              </w:rPr>
              <w:t>(6)</w:t>
            </w:r>
          </w:p>
        </w:tc>
        <w:tc>
          <w:tcPr>
            <w:tcW w:w="600" w:type="dxa"/>
            <w:vAlign w:val="bottom"/>
            <w:gridSpan w:val="2"/>
            <w:shd w:val="clear" w:color="auto" w:fill="CCEEFF"/>
          </w:tcPr>
          <w:p>
            <w:pPr>
              <w:ind w:left="120"/>
              <w:spacing w:after="0"/>
              <w:rPr>
                <w:sz w:val="20"/>
                <w:szCs w:val="20"/>
                <w:color w:val="auto"/>
              </w:rPr>
            </w:pPr>
            <w:r>
              <w:rPr>
                <w:rFonts w:ascii="Arial" w:cs="Arial" w:eastAsia="Arial" w:hAnsi="Arial"/>
                <w:sz w:val="13"/>
                <w:szCs w:val="13"/>
                <w:color w:val="auto"/>
              </w:rPr>
              <w:t>L+700</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$ 16,268,634</w:t>
            </w:r>
          </w:p>
        </w:tc>
        <w:tc>
          <w:tcPr>
            <w:tcW w:w="1200" w:type="dxa"/>
            <w:vAlign w:val="bottom"/>
            <w:gridSpan w:val="3"/>
            <w:shd w:val="clear" w:color="auto" w:fill="CCEEFF"/>
          </w:tcPr>
          <w:p>
            <w:pPr>
              <w:jc w:val="right"/>
              <w:ind w:right="220"/>
              <w:spacing w:after="0"/>
              <w:rPr>
                <w:sz w:val="20"/>
                <w:szCs w:val="20"/>
                <w:color w:val="auto"/>
              </w:rPr>
            </w:pPr>
            <w:r>
              <w:rPr>
                <w:rFonts w:ascii="Arial" w:cs="Arial" w:eastAsia="Arial" w:hAnsi="Arial"/>
                <w:sz w:val="13"/>
                <w:szCs w:val="13"/>
                <w:color w:val="auto"/>
              </w:rPr>
              <w:t>$  16,268,634</w:t>
            </w: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5"/>
              </w:rPr>
              <w:t>$  12,567,520</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69"/>
        </w:trPr>
        <w:tc>
          <w:tcPr>
            <w:tcW w:w="4600" w:type="dxa"/>
            <w:vAlign w:val="bottom"/>
            <w:gridSpan w:val="2"/>
          </w:tcPr>
          <w:p>
            <w:pPr>
              <w:spacing w:after="0"/>
              <w:rPr>
                <w:sz w:val="20"/>
                <w:szCs w:val="20"/>
                <w:color w:val="auto"/>
              </w:rPr>
            </w:pPr>
            <w:r>
              <w:rPr>
                <w:rFonts w:ascii="Arial" w:cs="Arial" w:eastAsia="Arial" w:hAnsi="Arial"/>
                <w:sz w:val="13"/>
                <w:szCs w:val="13"/>
                <w:color w:val="auto"/>
              </w:rPr>
              <w:t>Affinion Group Holdings, Inc.</w:t>
            </w:r>
          </w:p>
        </w:tc>
        <w:tc>
          <w:tcPr>
            <w:tcW w:w="640" w:type="dxa"/>
            <w:vAlign w:val="bottom"/>
          </w:tcPr>
          <w:p>
            <w:pPr>
              <w:jc w:val="center"/>
              <w:spacing w:after="0"/>
              <w:rPr>
                <w:sz w:val="20"/>
                <w:szCs w:val="20"/>
                <w:color w:val="auto"/>
              </w:rPr>
            </w:pPr>
            <w:r>
              <w:rPr>
                <w:rFonts w:ascii="Arial" w:cs="Arial" w:eastAsia="Arial" w:hAnsi="Arial"/>
                <w:sz w:val="13"/>
                <w:szCs w:val="13"/>
                <w:color w:val="auto"/>
                <w:w w:val="95"/>
              </w:rPr>
              <w:t>03/01/2012</w:t>
            </w:r>
          </w:p>
        </w:tc>
        <w:tc>
          <w:tcPr>
            <w:tcW w:w="200" w:type="dxa"/>
            <w:vAlign w:val="bottom"/>
          </w:tcPr>
          <w:p>
            <w:pPr>
              <w:spacing w:after="0"/>
              <w:rPr>
                <w:sz w:val="23"/>
                <w:szCs w:val="23"/>
                <w:color w:val="auto"/>
              </w:rPr>
            </w:pPr>
          </w:p>
        </w:tc>
        <w:tc>
          <w:tcPr>
            <w:tcW w:w="1120" w:type="dxa"/>
            <w:vAlign w:val="bottom"/>
          </w:tcPr>
          <w:p>
            <w:pPr>
              <w:jc w:val="center"/>
              <w:spacing w:after="0"/>
              <w:rPr>
                <w:sz w:val="20"/>
                <w:szCs w:val="20"/>
                <w:color w:val="auto"/>
              </w:rPr>
            </w:pPr>
            <w:r>
              <w:rPr>
                <w:rFonts w:ascii="Arial" w:cs="Arial" w:eastAsia="Arial" w:hAnsi="Arial"/>
                <w:sz w:val="13"/>
                <w:szCs w:val="13"/>
                <w:color w:val="auto"/>
                <w:w w:val="92"/>
              </w:rPr>
              <w:t>Consumer Products</w:t>
            </w:r>
          </w:p>
        </w:tc>
        <w:tc>
          <w:tcPr>
            <w:tcW w:w="840" w:type="dxa"/>
            <w:vAlign w:val="bottom"/>
            <w:gridSpan w:val="3"/>
          </w:tcPr>
          <w:p>
            <w:pPr>
              <w:jc w:val="right"/>
              <w:ind w:right="20"/>
              <w:spacing w:after="0"/>
              <w:rPr>
                <w:sz w:val="20"/>
                <w:szCs w:val="20"/>
                <w:color w:val="auto"/>
              </w:rPr>
            </w:pPr>
            <w:r>
              <w:rPr>
                <w:rFonts w:ascii="Arial" w:cs="Arial" w:eastAsia="Arial" w:hAnsi="Arial"/>
                <w:sz w:val="13"/>
                <w:szCs w:val="13"/>
                <w:color w:val="auto"/>
              </w:rPr>
              <w:t>9.37%</w:t>
            </w:r>
          </w:p>
        </w:tc>
        <w:tc>
          <w:tcPr>
            <w:tcW w:w="400" w:type="dxa"/>
            <w:vAlign w:val="bottom"/>
          </w:tcPr>
          <w:p>
            <w:pPr>
              <w:jc w:val="right"/>
              <w:ind w:right="153"/>
              <w:spacing w:after="0"/>
              <w:rPr>
                <w:sz w:val="20"/>
                <w:szCs w:val="20"/>
                <w:color w:val="auto"/>
              </w:rPr>
            </w:pPr>
            <w:r>
              <w:rPr>
                <w:rFonts w:ascii="Arial" w:cs="Arial" w:eastAsia="Arial" w:hAnsi="Arial"/>
                <w:sz w:val="13"/>
                <w:szCs w:val="13"/>
                <w:color w:val="auto"/>
              </w:rPr>
              <w:t>(6)</w:t>
            </w:r>
          </w:p>
        </w:tc>
        <w:tc>
          <w:tcPr>
            <w:tcW w:w="600" w:type="dxa"/>
            <w:vAlign w:val="bottom"/>
            <w:gridSpan w:val="2"/>
          </w:tcPr>
          <w:p>
            <w:pPr>
              <w:ind w:left="120"/>
              <w:spacing w:after="0"/>
              <w:rPr>
                <w:sz w:val="20"/>
                <w:szCs w:val="20"/>
                <w:color w:val="auto"/>
              </w:rPr>
            </w:pPr>
            <w:r>
              <w:rPr>
                <w:rFonts w:ascii="Arial" w:cs="Arial" w:eastAsia="Arial" w:hAnsi="Arial"/>
                <w:sz w:val="13"/>
                <w:szCs w:val="13"/>
                <w:color w:val="auto"/>
              </w:rPr>
              <w:t>L+625</w:t>
            </w:r>
          </w:p>
        </w:tc>
        <w:tc>
          <w:tcPr>
            <w:tcW w:w="860" w:type="dxa"/>
            <w:vAlign w:val="bottom"/>
            <w:gridSpan w:val="2"/>
          </w:tcPr>
          <w:p>
            <w:pPr>
              <w:jc w:val="right"/>
              <w:spacing w:after="0"/>
              <w:rPr>
                <w:sz w:val="20"/>
                <w:szCs w:val="20"/>
                <w:color w:val="auto"/>
              </w:rPr>
            </w:pPr>
            <w:r>
              <w:rPr>
                <w:rFonts w:ascii="Arial" w:cs="Arial" w:eastAsia="Arial" w:hAnsi="Arial"/>
                <w:sz w:val="13"/>
                <w:szCs w:val="13"/>
                <w:color w:val="auto"/>
              </w:rPr>
              <w:t>22,500,000</w:t>
            </w:r>
          </w:p>
        </w:tc>
        <w:tc>
          <w:tcPr>
            <w:tcW w:w="1200" w:type="dxa"/>
            <w:vAlign w:val="bottom"/>
            <w:gridSpan w:val="3"/>
          </w:tcPr>
          <w:p>
            <w:pPr>
              <w:jc w:val="right"/>
              <w:ind w:right="220"/>
              <w:spacing w:after="0"/>
              <w:rPr>
                <w:sz w:val="20"/>
                <w:szCs w:val="20"/>
                <w:color w:val="auto"/>
              </w:rPr>
            </w:pPr>
            <w:r>
              <w:rPr>
                <w:rFonts w:ascii="Arial" w:cs="Arial" w:eastAsia="Arial" w:hAnsi="Arial"/>
                <w:sz w:val="13"/>
                <w:szCs w:val="13"/>
                <w:color w:val="auto"/>
              </w:rPr>
              <w:t>21,587,384</w:t>
            </w:r>
          </w:p>
        </w:tc>
        <w:tc>
          <w:tcPr>
            <w:tcW w:w="800" w:type="dxa"/>
            <w:vAlign w:val="bottom"/>
            <w:gridSpan w:val="2"/>
          </w:tcPr>
          <w:p>
            <w:pPr>
              <w:jc w:val="right"/>
              <w:ind w:right="20"/>
              <w:spacing w:after="0"/>
              <w:rPr>
                <w:sz w:val="20"/>
                <w:szCs w:val="20"/>
                <w:color w:val="auto"/>
              </w:rPr>
            </w:pPr>
            <w:r>
              <w:rPr>
                <w:rFonts w:ascii="Arial" w:cs="Arial" w:eastAsia="Arial" w:hAnsi="Arial"/>
                <w:sz w:val="13"/>
                <w:szCs w:val="13"/>
                <w:color w:val="auto"/>
              </w:rPr>
              <w:t>18,562,500</w:t>
            </w:r>
          </w:p>
        </w:tc>
        <w:tc>
          <w:tcPr>
            <w:tcW w:w="0" w:type="dxa"/>
            <w:vAlign w:val="bottom"/>
          </w:tcPr>
          <w:p>
            <w:pPr>
              <w:spacing w:after="0"/>
              <w:rPr>
                <w:sz w:val="1"/>
                <w:szCs w:val="1"/>
                <w:color w:val="auto"/>
              </w:rPr>
            </w:pPr>
          </w:p>
        </w:tc>
      </w:tr>
      <w:tr>
        <w:trPr>
          <w:trHeight w:val="95"/>
        </w:trPr>
        <w:tc>
          <w:tcPr>
            <w:tcW w:w="760" w:type="dxa"/>
            <w:vAlign w:val="bottom"/>
          </w:tcPr>
          <w:p>
            <w:pPr>
              <w:spacing w:after="0"/>
              <w:rPr>
                <w:sz w:val="8"/>
                <w:szCs w:val="8"/>
                <w:color w:val="auto"/>
              </w:rPr>
            </w:pPr>
          </w:p>
        </w:tc>
        <w:tc>
          <w:tcPr>
            <w:tcW w:w="38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2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220" w:type="dxa"/>
            <w:vAlign w:val="bottom"/>
          </w:tcPr>
          <w:p>
            <w:pPr>
              <w:spacing w:after="0"/>
              <w:rPr>
                <w:sz w:val="8"/>
                <w:szCs w:val="8"/>
                <w:color w:val="auto"/>
              </w:rPr>
            </w:pPr>
          </w:p>
        </w:tc>
        <w:tc>
          <w:tcPr>
            <w:tcW w:w="760" w:type="dxa"/>
            <w:vAlign w:val="bottom"/>
          </w:tcPr>
          <w:p>
            <w:pPr>
              <w:spacing w:after="0"/>
              <w:rPr>
                <w:sz w:val="8"/>
                <w:szCs w:val="8"/>
                <w:color w:val="auto"/>
              </w:rPr>
            </w:pPr>
          </w:p>
        </w:tc>
        <w:tc>
          <w:tcPr>
            <w:tcW w:w="2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38"/>
        </w:trPr>
        <w:tc>
          <w:tcPr>
            <w:tcW w:w="4600" w:type="dxa"/>
            <w:vAlign w:val="bottom"/>
            <w:gridSpan w:val="2"/>
            <w:shd w:val="clear" w:color="auto" w:fill="CCEEFF"/>
          </w:tcPr>
          <w:p>
            <w:pPr>
              <w:spacing w:after="0" w:line="138" w:lineRule="exact"/>
              <w:rPr>
                <w:sz w:val="20"/>
                <w:szCs w:val="20"/>
                <w:color w:val="auto"/>
              </w:rPr>
            </w:pPr>
            <w:r>
              <w:rPr>
                <w:rFonts w:ascii="Arial" w:cs="Arial" w:eastAsia="Arial" w:hAnsi="Arial"/>
                <w:sz w:val="13"/>
                <w:szCs w:val="13"/>
                <w:color w:val="auto"/>
              </w:rPr>
              <w:t>Consolidated Foundries, Inc.</w:t>
            </w:r>
          </w:p>
        </w:tc>
        <w:tc>
          <w:tcPr>
            <w:tcW w:w="640" w:type="dxa"/>
            <w:vAlign w:val="bottom"/>
            <w:shd w:val="clear" w:color="auto" w:fill="CCEEFF"/>
          </w:tcPr>
          <w:p>
            <w:pPr>
              <w:jc w:val="center"/>
              <w:spacing w:after="0" w:line="138" w:lineRule="exact"/>
              <w:rPr>
                <w:sz w:val="20"/>
                <w:szCs w:val="20"/>
                <w:color w:val="auto"/>
              </w:rPr>
            </w:pPr>
            <w:r>
              <w:rPr>
                <w:rFonts w:ascii="Arial" w:cs="Arial" w:eastAsia="Arial" w:hAnsi="Arial"/>
                <w:sz w:val="13"/>
                <w:szCs w:val="13"/>
                <w:color w:val="auto"/>
                <w:w w:val="95"/>
              </w:rPr>
              <w:t>04/17/2015</w:t>
            </w:r>
          </w:p>
        </w:tc>
        <w:tc>
          <w:tcPr>
            <w:tcW w:w="200" w:type="dxa"/>
            <w:vAlign w:val="bottom"/>
            <w:shd w:val="clear" w:color="auto" w:fill="CCEEFF"/>
          </w:tcPr>
          <w:p>
            <w:pPr>
              <w:spacing w:after="0"/>
              <w:rPr>
                <w:sz w:val="11"/>
                <w:szCs w:val="11"/>
                <w:color w:val="auto"/>
              </w:rPr>
            </w:pPr>
          </w:p>
        </w:tc>
        <w:tc>
          <w:tcPr>
            <w:tcW w:w="1120" w:type="dxa"/>
            <w:vAlign w:val="bottom"/>
            <w:shd w:val="clear" w:color="auto" w:fill="CCEEFF"/>
          </w:tcPr>
          <w:p>
            <w:pPr>
              <w:jc w:val="center"/>
              <w:spacing w:after="0" w:line="138" w:lineRule="exact"/>
              <w:rPr>
                <w:sz w:val="20"/>
                <w:szCs w:val="20"/>
                <w:color w:val="auto"/>
              </w:rPr>
            </w:pPr>
            <w:r>
              <w:rPr>
                <w:rFonts w:ascii="Arial" w:cs="Arial" w:eastAsia="Arial" w:hAnsi="Arial"/>
                <w:sz w:val="13"/>
                <w:szCs w:val="13"/>
                <w:color w:val="auto"/>
                <w:w w:val="91"/>
              </w:rPr>
              <w:t>Aerospace and</w:t>
            </w:r>
          </w:p>
        </w:tc>
        <w:tc>
          <w:tcPr>
            <w:tcW w:w="840" w:type="dxa"/>
            <w:vAlign w:val="bottom"/>
            <w:gridSpan w:val="3"/>
            <w:shd w:val="clear" w:color="auto" w:fill="CCEEFF"/>
          </w:tcPr>
          <w:p>
            <w:pPr>
              <w:jc w:val="right"/>
              <w:ind w:right="20"/>
              <w:spacing w:after="0" w:line="138" w:lineRule="exact"/>
              <w:rPr>
                <w:sz w:val="20"/>
                <w:szCs w:val="20"/>
                <w:color w:val="auto"/>
              </w:rPr>
            </w:pPr>
            <w:r>
              <w:rPr>
                <w:rFonts w:ascii="Arial" w:cs="Arial" w:eastAsia="Arial" w:hAnsi="Arial"/>
                <w:sz w:val="13"/>
                <w:szCs w:val="13"/>
                <w:color w:val="auto"/>
              </w:rPr>
              <w:t>14.25%</w:t>
            </w:r>
          </w:p>
        </w:tc>
        <w:tc>
          <w:tcPr>
            <w:tcW w:w="400" w:type="dxa"/>
            <w:vAlign w:val="bottom"/>
            <w:shd w:val="clear" w:color="auto" w:fill="CCEEFF"/>
          </w:tcPr>
          <w:p>
            <w:pPr>
              <w:jc w:val="right"/>
              <w:ind w:right="153"/>
              <w:spacing w:after="0" w:line="138" w:lineRule="exact"/>
              <w:rPr>
                <w:sz w:val="20"/>
                <w:szCs w:val="20"/>
                <w:color w:val="auto"/>
              </w:rPr>
            </w:pPr>
            <w:r>
              <w:rPr>
                <w:rFonts w:ascii="Arial" w:cs="Arial" w:eastAsia="Arial" w:hAnsi="Arial"/>
                <w:sz w:val="13"/>
                <w:szCs w:val="13"/>
                <w:color w:val="auto"/>
              </w:rPr>
              <w:t>(6)</w:t>
            </w:r>
          </w:p>
        </w:tc>
        <w:tc>
          <w:tcPr>
            <w:tcW w:w="600" w:type="dxa"/>
            <w:vAlign w:val="bottom"/>
            <w:gridSpan w:val="2"/>
            <w:shd w:val="clear" w:color="auto" w:fill="CCEEFF"/>
          </w:tcPr>
          <w:p>
            <w:pPr>
              <w:ind w:left="280"/>
              <w:spacing w:after="0" w:line="138" w:lineRule="exact"/>
              <w:rPr>
                <w:sz w:val="20"/>
                <w:szCs w:val="20"/>
                <w:color w:val="auto"/>
              </w:rPr>
            </w:pPr>
            <w:r>
              <w:rPr>
                <w:rFonts w:ascii="Arial" w:cs="Arial" w:eastAsia="Arial" w:hAnsi="Arial"/>
                <w:sz w:val="13"/>
                <w:szCs w:val="13"/>
                <w:color w:val="auto"/>
              </w:rPr>
              <w:t>—</w:t>
            </w:r>
          </w:p>
        </w:tc>
        <w:tc>
          <w:tcPr>
            <w:tcW w:w="86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3"/>
                <w:szCs w:val="13"/>
                <w:color w:val="auto"/>
              </w:rPr>
              <w:t>8,000,000</w:t>
            </w:r>
          </w:p>
        </w:tc>
        <w:tc>
          <w:tcPr>
            <w:tcW w:w="1200" w:type="dxa"/>
            <w:vAlign w:val="bottom"/>
            <w:gridSpan w:val="3"/>
            <w:shd w:val="clear" w:color="auto" w:fill="CCEEFF"/>
          </w:tcPr>
          <w:p>
            <w:pPr>
              <w:jc w:val="right"/>
              <w:ind w:right="220"/>
              <w:spacing w:after="0" w:line="138" w:lineRule="exact"/>
              <w:rPr>
                <w:sz w:val="20"/>
                <w:szCs w:val="20"/>
                <w:color w:val="auto"/>
              </w:rPr>
            </w:pPr>
            <w:r>
              <w:rPr>
                <w:rFonts w:ascii="Arial" w:cs="Arial" w:eastAsia="Arial" w:hAnsi="Arial"/>
                <w:sz w:val="13"/>
                <w:szCs w:val="13"/>
                <w:color w:val="auto"/>
              </w:rPr>
              <w:t>7,831,761</w:t>
            </w:r>
          </w:p>
        </w:tc>
        <w:tc>
          <w:tcPr>
            <w:tcW w:w="78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8,000,000</w:t>
            </w:r>
          </w:p>
        </w:tc>
        <w:tc>
          <w:tcPr>
            <w:tcW w:w="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760" w:type="dxa"/>
            <w:vAlign w:val="bottom"/>
            <w:shd w:val="clear" w:color="auto" w:fill="CCEEFF"/>
          </w:tcPr>
          <w:p>
            <w:pPr>
              <w:spacing w:after="0"/>
              <w:rPr>
                <w:sz w:val="13"/>
                <w:szCs w:val="13"/>
                <w:color w:val="auto"/>
              </w:rPr>
            </w:pPr>
          </w:p>
        </w:tc>
        <w:tc>
          <w:tcPr>
            <w:tcW w:w="384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1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4"/>
              </w:rPr>
              <w:t>Defense</w:t>
            </w:r>
          </w:p>
        </w:tc>
        <w:tc>
          <w:tcPr>
            <w:tcW w:w="22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9"/>
        </w:trPr>
        <w:tc>
          <w:tcPr>
            <w:tcW w:w="4600" w:type="dxa"/>
            <w:vAlign w:val="bottom"/>
            <w:gridSpan w:val="2"/>
          </w:tcPr>
          <w:p>
            <w:pPr>
              <w:spacing w:after="0"/>
              <w:rPr>
                <w:sz w:val="20"/>
                <w:szCs w:val="20"/>
                <w:color w:val="auto"/>
              </w:rPr>
            </w:pPr>
            <w:r>
              <w:rPr>
                <w:rFonts w:ascii="Arial" w:cs="Arial" w:eastAsia="Arial" w:hAnsi="Arial"/>
                <w:sz w:val="13"/>
                <w:szCs w:val="13"/>
                <w:color w:val="auto"/>
              </w:rPr>
              <w:t>CT Technologies Intermediate Holdings, Inc.</w:t>
            </w:r>
          </w:p>
        </w:tc>
        <w:tc>
          <w:tcPr>
            <w:tcW w:w="640" w:type="dxa"/>
            <w:vAlign w:val="bottom"/>
          </w:tcPr>
          <w:p>
            <w:pPr>
              <w:jc w:val="center"/>
              <w:spacing w:after="0"/>
              <w:rPr>
                <w:sz w:val="20"/>
                <w:szCs w:val="20"/>
                <w:color w:val="auto"/>
              </w:rPr>
            </w:pPr>
            <w:r>
              <w:rPr>
                <w:rFonts w:ascii="Arial" w:cs="Arial" w:eastAsia="Arial" w:hAnsi="Arial"/>
                <w:sz w:val="13"/>
                <w:szCs w:val="13"/>
                <w:color w:val="auto"/>
                <w:w w:val="95"/>
              </w:rPr>
              <w:t>03/19/2014</w:t>
            </w:r>
          </w:p>
        </w:tc>
        <w:tc>
          <w:tcPr>
            <w:tcW w:w="200" w:type="dxa"/>
            <w:vAlign w:val="bottom"/>
          </w:tcPr>
          <w:p>
            <w:pPr>
              <w:spacing w:after="0"/>
              <w:rPr>
                <w:sz w:val="23"/>
                <w:szCs w:val="23"/>
                <w:color w:val="auto"/>
              </w:rPr>
            </w:pPr>
          </w:p>
        </w:tc>
        <w:tc>
          <w:tcPr>
            <w:tcW w:w="1120" w:type="dxa"/>
            <w:vAlign w:val="bottom"/>
          </w:tcPr>
          <w:p>
            <w:pPr>
              <w:jc w:val="center"/>
              <w:spacing w:after="0"/>
              <w:rPr>
                <w:sz w:val="20"/>
                <w:szCs w:val="20"/>
                <w:color w:val="auto"/>
              </w:rPr>
            </w:pPr>
            <w:r>
              <w:rPr>
                <w:rFonts w:ascii="Arial" w:cs="Arial" w:eastAsia="Arial" w:hAnsi="Arial"/>
                <w:sz w:val="13"/>
                <w:szCs w:val="13"/>
                <w:color w:val="auto"/>
                <w:w w:val="92"/>
              </w:rPr>
              <w:t>Business Services</w:t>
            </w:r>
          </w:p>
        </w:tc>
        <w:tc>
          <w:tcPr>
            <w:tcW w:w="840" w:type="dxa"/>
            <w:vAlign w:val="bottom"/>
            <w:gridSpan w:val="3"/>
          </w:tcPr>
          <w:p>
            <w:pPr>
              <w:jc w:val="right"/>
              <w:ind w:right="20"/>
              <w:spacing w:after="0"/>
              <w:rPr>
                <w:sz w:val="20"/>
                <w:szCs w:val="20"/>
                <w:color w:val="auto"/>
              </w:rPr>
            </w:pPr>
            <w:r>
              <w:rPr>
                <w:rFonts w:ascii="Arial" w:cs="Arial" w:eastAsia="Arial" w:hAnsi="Arial"/>
                <w:sz w:val="13"/>
                <w:szCs w:val="13"/>
                <w:color w:val="auto"/>
              </w:rPr>
              <w:t>14.00%</w:t>
            </w:r>
          </w:p>
        </w:tc>
        <w:tc>
          <w:tcPr>
            <w:tcW w:w="400" w:type="dxa"/>
            <w:vAlign w:val="bottom"/>
          </w:tcPr>
          <w:p>
            <w:pPr>
              <w:jc w:val="right"/>
              <w:ind w:right="153"/>
              <w:spacing w:after="0"/>
              <w:rPr>
                <w:sz w:val="20"/>
                <w:szCs w:val="20"/>
                <w:color w:val="auto"/>
              </w:rPr>
            </w:pPr>
            <w:r>
              <w:rPr>
                <w:rFonts w:ascii="Arial" w:cs="Arial" w:eastAsia="Arial" w:hAnsi="Arial"/>
                <w:sz w:val="13"/>
                <w:szCs w:val="13"/>
                <w:color w:val="auto"/>
              </w:rPr>
              <w:t>(6)</w:t>
            </w:r>
          </w:p>
        </w:tc>
        <w:tc>
          <w:tcPr>
            <w:tcW w:w="600" w:type="dxa"/>
            <w:vAlign w:val="bottom"/>
            <w:gridSpan w:val="2"/>
          </w:tcPr>
          <w:p>
            <w:pPr>
              <w:ind w:left="280"/>
              <w:spacing w:after="0"/>
              <w:rPr>
                <w:sz w:val="20"/>
                <w:szCs w:val="20"/>
                <w:color w:val="auto"/>
              </w:rPr>
            </w:pPr>
            <w:r>
              <w:rPr>
                <w:rFonts w:ascii="Arial" w:cs="Arial" w:eastAsia="Arial" w:hAnsi="Arial"/>
                <w:sz w:val="13"/>
                <w:szCs w:val="13"/>
                <w:color w:val="auto"/>
              </w:rPr>
              <w:t>—</w:t>
            </w:r>
          </w:p>
        </w:tc>
        <w:tc>
          <w:tcPr>
            <w:tcW w:w="860" w:type="dxa"/>
            <w:vAlign w:val="bottom"/>
            <w:gridSpan w:val="2"/>
          </w:tcPr>
          <w:p>
            <w:pPr>
              <w:jc w:val="right"/>
              <w:spacing w:after="0"/>
              <w:rPr>
                <w:sz w:val="20"/>
                <w:szCs w:val="20"/>
                <w:color w:val="auto"/>
              </w:rPr>
            </w:pPr>
            <w:r>
              <w:rPr>
                <w:rFonts w:ascii="Arial" w:cs="Arial" w:eastAsia="Arial" w:hAnsi="Arial"/>
                <w:sz w:val="13"/>
                <w:szCs w:val="13"/>
                <w:color w:val="auto"/>
              </w:rPr>
              <w:t>20,000,000</w:t>
            </w:r>
          </w:p>
        </w:tc>
        <w:tc>
          <w:tcPr>
            <w:tcW w:w="1200" w:type="dxa"/>
            <w:vAlign w:val="bottom"/>
            <w:gridSpan w:val="3"/>
          </w:tcPr>
          <w:p>
            <w:pPr>
              <w:jc w:val="right"/>
              <w:ind w:right="220"/>
              <w:spacing w:after="0"/>
              <w:rPr>
                <w:sz w:val="20"/>
                <w:szCs w:val="20"/>
                <w:color w:val="auto"/>
              </w:rPr>
            </w:pPr>
            <w:r>
              <w:rPr>
                <w:rFonts w:ascii="Arial" w:cs="Arial" w:eastAsia="Arial" w:hAnsi="Arial"/>
                <w:sz w:val="13"/>
                <w:szCs w:val="13"/>
                <w:color w:val="auto"/>
              </w:rPr>
              <w:t>19,502,246</w:t>
            </w:r>
          </w:p>
        </w:tc>
        <w:tc>
          <w:tcPr>
            <w:tcW w:w="800" w:type="dxa"/>
            <w:vAlign w:val="bottom"/>
            <w:gridSpan w:val="2"/>
          </w:tcPr>
          <w:p>
            <w:pPr>
              <w:jc w:val="right"/>
              <w:ind w:right="20"/>
              <w:spacing w:after="0"/>
              <w:rPr>
                <w:sz w:val="20"/>
                <w:szCs w:val="20"/>
                <w:color w:val="auto"/>
              </w:rPr>
            </w:pPr>
            <w:r>
              <w:rPr>
                <w:rFonts w:ascii="Arial" w:cs="Arial" w:eastAsia="Arial" w:hAnsi="Arial"/>
                <w:sz w:val="13"/>
                <w:szCs w:val="13"/>
                <w:color w:val="auto"/>
              </w:rPr>
              <w:t>20,000,000</w:t>
            </w:r>
          </w:p>
        </w:tc>
        <w:tc>
          <w:tcPr>
            <w:tcW w:w="0" w:type="dxa"/>
            <w:vAlign w:val="bottom"/>
          </w:tcPr>
          <w:p>
            <w:pPr>
              <w:spacing w:after="0"/>
              <w:rPr>
                <w:sz w:val="1"/>
                <w:szCs w:val="1"/>
                <w:color w:val="auto"/>
              </w:rPr>
            </w:pPr>
          </w:p>
        </w:tc>
      </w:tr>
      <w:tr>
        <w:trPr>
          <w:trHeight w:val="95"/>
        </w:trPr>
        <w:tc>
          <w:tcPr>
            <w:tcW w:w="760" w:type="dxa"/>
            <w:vAlign w:val="bottom"/>
          </w:tcPr>
          <w:p>
            <w:pPr>
              <w:spacing w:after="0"/>
              <w:rPr>
                <w:sz w:val="8"/>
                <w:szCs w:val="8"/>
                <w:color w:val="auto"/>
              </w:rPr>
            </w:pPr>
          </w:p>
        </w:tc>
        <w:tc>
          <w:tcPr>
            <w:tcW w:w="38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2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220" w:type="dxa"/>
            <w:vAlign w:val="bottom"/>
          </w:tcPr>
          <w:p>
            <w:pPr>
              <w:spacing w:after="0"/>
              <w:rPr>
                <w:sz w:val="8"/>
                <w:szCs w:val="8"/>
                <w:color w:val="auto"/>
              </w:rPr>
            </w:pPr>
          </w:p>
        </w:tc>
        <w:tc>
          <w:tcPr>
            <w:tcW w:w="760" w:type="dxa"/>
            <w:vAlign w:val="bottom"/>
          </w:tcPr>
          <w:p>
            <w:pPr>
              <w:spacing w:after="0"/>
              <w:rPr>
                <w:sz w:val="8"/>
                <w:szCs w:val="8"/>
                <w:color w:val="auto"/>
              </w:rPr>
            </w:pPr>
          </w:p>
        </w:tc>
        <w:tc>
          <w:tcPr>
            <w:tcW w:w="2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38"/>
        </w:trPr>
        <w:tc>
          <w:tcPr>
            <w:tcW w:w="4600" w:type="dxa"/>
            <w:vAlign w:val="bottom"/>
            <w:gridSpan w:val="2"/>
            <w:shd w:val="clear" w:color="auto" w:fill="CCEEFF"/>
          </w:tcPr>
          <w:p>
            <w:pPr>
              <w:spacing w:after="0" w:line="138" w:lineRule="exact"/>
              <w:rPr>
                <w:sz w:val="20"/>
                <w:szCs w:val="20"/>
                <w:color w:val="auto"/>
              </w:rPr>
            </w:pPr>
            <w:r>
              <w:rPr>
                <w:rFonts w:ascii="Arial" w:cs="Arial" w:eastAsia="Arial" w:hAnsi="Arial"/>
                <w:sz w:val="13"/>
                <w:szCs w:val="13"/>
                <w:color w:val="auto"/>
              </w:rPr>
              <w:t>i2 Holdings Ltd.</w:t>
            </w:r>
          </w:p>
        </w:tc>
        <w:tc>
          <w:tcPr>
            <w:tcW w:w="640" w:type="dxa"/>
            <w:vAlign w:val="bottom"/>
            <w:shd w:val="clear" w:color="auto" w:fill="CCEEFF"/>
          </w:tcPr>
          <w:p>
            <w:pPr>
              <w:jc w:val="center"/>
              <w:spacing w:after="0" w:line="138" w:lineRule="exact"/>
              <w:rPr>
                <w:sz w:val="20"/>
                <w:szCs w:val="20"/>
                <w:color w:val="auto"/>
              </w:rPr>
            </w:pPr>
            <w:r>
              <w:rPr>
                <w:rFonts w:ascii="Arial" w:cs="Arial" w:eastAsia="Arial" w:hAnsi="Arial"/>
                <w:sz w:val="13"/>
                <w:szCs w:val="13"/>
                <w:color w:val="auto"/>
                <w:w w:val="95"/>
              </w:rPr>
              <w:t>06/06/2014</w:t>
            </w:r>
          </w:p>
        </w:tc>
        <w:tc>
          <w:tcPr>
            <w:tcW w:w="200" w:type="dxa"/>
            <w:vAlign w:val="bottom"/>
            <w:shd w:val="clear" w:color="auto" w:fill="CCEEFF"/>
          </w:tcPr>
          <w:p>
            <w:pPr>
              <w:spacing w:after="0"/>
              <w:rPr>
                <w:sz w:val="11"/>
                <w:szCs w:val="11"/>
                <w:color w:val="auto"/>
              </w:rPr>
            </w:pPr>
          </w:p>
        </w:tc>
        <w:tc>
          <w:tcPr>
            <w:tcW w:w="1120" w:type="dxa"/>
            <w:vAlign w:val="bottom"/>
            <w:shd w:val="clear" w:color="auto" w:fill="CCEEFF"/>
          </w:tcPr>
          <w:p>
            <w:pPr>
              <w:jc w:val="center"/>
              <w:spacing w:after="0" w:line="138" w:lineRule="exact"/>
              <w:rPr>
                <w:sz w:val="20"/>
                <w:szCs w:val="20"/>
                <w:color w:val="auto"/>
              </w:rPr>
            </w:pPr>
            <w:r>
              <w:rPr>
                <w:rFonts w:ascii="Arial" w:cs="Arial" w:eastAsia="Arial" w:hAnsi="Arial"/>
                <w:sz w:val="13"/>
                <w:szCs w:val="13"/>
                <w:color w:val="auto"/>
                <w:w w:val="91"/>
              </w:rPr>
              <w:t>Aerospace and</w:t>
            </w:r>
          </w:p>
        </w:tc>
        <w:tc>
          <w:tcPr>
            <w:tcW w:w="840" w:type="dxa"/>
            <w:vAlign w:val="bottom"/>
            <w:gridSpan w:val="3"/>
            <w:shd w:val="clear" w:color="auto" w:fill="CCEEFF"/>
          </w:tcPr>
          <w:p>
            <w:pPr>
              <w:jc w:val="right"/>
              <w:ind w:right="20"/>
              <w:spacing w:after="0" w:line="138" w:lineRule="exact"/>
              <w:rPr>
                <w:sz w:val="20"/>
                <w:szCs w:val="20"/>
                <w:color w:val="auto"/>
              </w:rPr>
            </w:pPr>
            <w:r>
              <w:rPr>
                <w:rFonts w:ascii="Arial" w:cs="Arial" w:eastAsia="Arial" w:hAnsi="Arial"/>
                <w:sz w:val="13"/>
                <w:szCs w:val="13"/>
                <w:color w:val="auto"/>
              </w:rPr>
              <w:t>14.75%</w:t>
            </w:r>
          </w:p>
        </w:tc>
        <w:tc>
          <w:tcPr>
            <w:tcW w:w="400" w:type="dxa"/>
            <w:vAlign w:val="bottom"/>
            <w:shd w:val="clear" w:color="auto" w:fill="CCEEFF"/>
          </w:tcPr>
          <w:p>
            <w:pPr>
              <w:jc w:val="right"/>
              <w:ind w:right="153"/>
              <w:spacing w:after="0" w:line="138" w:lineRule="exact"/>
              <w:rPr>
                <w:sz w:val="20"/>
                <w:szCs w:val="20"/>
                <w:color w:val="auto"/>
              </w:rPr>
            </w:pPr>
            <w:r>
              <w:rPr>
                <w:rFonts w:ascii="Arial" w:cs="Arial" w:eastAsia="Arial" w:hAnsi="Arial"/>
                <w:sz w:val="13"/>
                <w:szCs w:val="13"/>
                <w:color w:val="auto"/>
              </w:rPr>
              <w:t>(6)</w:t>
            </w:r>
          </w:p>
        </w:tc>
        <w:tc>
          <w:tcPr>
            <w:tcW w:w="600" w:type="dxa"/>
            <w:vAlign w:val="bottom"/>
            <w:gridSpan w:val="2"/>
            <w:shd w:val="clear" w:color="auto" w:fill="CCEEFF"/>
          </w:tcPr>
          <w:p>
            <w:pPr>
              <w:ind w:left="280"/>
              <w:spacing w:after="0" w:line="138" w:lineRule="exact"/>
              <w:rPr>
                <w:sz w:val="20"/>
                <w:szCs w:val="20"/>
                <w:color w:val="auto"/>
              </w:rPr>
            </w:pPr>
            <w:r>
              <w:rPr>
                <w:rFonts w:ascii="Arial" w:cs="Arial" w:eastAsia="Arial" w:hAnsi="Arial"/>
                <w:sz w:val="13"/>
                <w:szCs w:val="13"/>
                <w:color w:val="auto"/>
              </w:rPr>
              <w:t>—</w:t>
            </w:r>
          </w:p>
        </w:tc>
        <w:tc>
          <w:tcPr>
            <w:tcW w:w="86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3"/>
                <w:szCs w:val="13"/>
                <w:color w:val="auto"/>
              </w:rPr>
              <w:t>22,041,438</w:t>
            </w:r>
          </w:p>
        </w:tc>
        <w:tc>
          <w:tcPr>
            <w:tcW w:w="1200" w:type="dxa"/>
            <w:vAlign w:val="bottom"/>
            <w:gridSpan w:val="3"/>
            <w:shd w:val="clear" w:color="auto" w:fill="CCEEFF"/>
          </w:tcPr>
          <w:p>
            <w:pPr>
              <w:jc w:val="right"/>
              <w:ind w:right="220"/>
              <w:spacing w:after="0" w:line="138" w:lineRule="exact"/>
              <w:rPr>
                <w:sz w:val="20"/>
                <w:szCs w:val="20"/>
                <w:color w:val="auto"/>
              </w:rPr>
            </w:pPr>
            <w:r>
              <w:rPr>
                <w:rFonts w:ascii="Arial" w:cs="Arial" w:eastAsia="Arial" w:hAnsi="Arial"/>
                <w:sz w:val="13"/>
                <w:szCs w:val="13"/>
                <w:color w:val="auto"/>
              </w:rPr>
              <w:t>21,649,325</w:t>
            </w:r>
          </w:p>
        </w:tc>
        <w:tc>
          <w:tcPr>
            <w:tcW w:w="78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22,041,438</w:t>
            </w:r>
          </w:p>
        </w:tc>
        <w:tc>
          <w:tcPr>
            <w:tcW w:w="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760" w:type="dxa"/>
            <w:vAlign w:val="bottom"/>
            <w:shd w:val="clear" w:color="auto" w:fill="CCEEFF"/>
          </w:tcPr>
          <w:p>
            <w:pPr>
              <w:spacing w:after="0"/>
              <w:rPr>
                <w:sz w:val="13"/>
                <w:szCs w:val="13"/>
                <w:color w:val="auto"/>
              </w:rPr>
            </w:pPr>
          </w:p>
        </w:tc>
        <w:tc>
          <w:tcPr>
            <w:tcW w:w="384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1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4"/>
              </w:rPr>
              <w:t>Defense</w:t>
            </w:r>
          </w:p>
        </w:tc>
        <w:tc>
          <w:tcPr>
            <w:tcW w:w="22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9"/>
        </w:trPr>
        <w:tc>
          <w:tcPr>
            <w:tcW w:w="4600" w:type="dxa"/>
            <w:vAlign w:val="bottom"/>
            <w:gridSpan w:val="2"/>
          </w:tcPr>
          <w:p>
            <w:pPr>
              <w:spacing w:after="0"/>
              <w:rPr>
                <w:sz w:val="20"/>
                <w:szCs w:val="20"/>
                <w:color w:val="auto"/>
              </w:rPr>
            </w:pPr>
            <w:r>
              <w:rPr>
                <w:rFonts w:ascii="Arial" w:cs="Arial" w:eastAsia="Arial" w:hAnsi="Arial"/>
                <w:sz w:val="13"/>
                <w:szCs w:val="13"/>
                <w:color w:val="auto"/>
              </w:rPr>
              <w:t>IDQ Holdings, Inc.</w:t>
            </w:r>
          </w:p>
        </w:tc>
        <w:tc>
          <w:tcPr>
            <w:tcW w:w="640" w:type="dxa"/>
            <w:vAlign w:val="bottom"/>
          </w:tcPr>
          <w:p>
            <w:pPr>
              <w:jc w:val="center"/>
              <w:spacing w:after="0"/>
              <w:rPr>
                <w:sz w:val="20"/>
                <w:szCs w:val="20"/>
                <w:color w:val="auto"/>
              </w:rPr>
            </w:pPr>
            <w:r>
              <w:rPr>
                <w:rFonts w:ascii="Arial" w:cs="Arial" w:eastAsia="Arial" w:hAnsi="Arial"/>
                <w:sz w:val="13"/>
                <w:szCs w:val="13"/>
                <w:color w:val="auto"/>
                <w:w w:val="95"/>
              </w:rPr>
              <w:t>05/20/2012</w:t>
            </w:r>
          </w:p>
        </w:tc>
        <w:tc>
          <w:tcPr>
            <w:tcW w:w="200" w:type="dxa"/>
            <w:vAlign w:val="bottom"/>
          </w:tcPr>
          <w:p>
            <w:pPr>
              <w:spacing w:after="0"/>
              <w:rPr>
                <w:sz w:val="23"/>
                <w:szCs w:val="23"/>
                <w:color w:val="auto"/>
              </w:rPr>
            </w:pPr>
          </w:p>
        </w:tc>
        <w:tc>
          <w:tcPr>
            <w:tcW w:w="1120" w:type="dxa"/>
            <w:vAlign w:val="bottom"/>
          </w:tcPr>
          <w:p>
            <w:pPr>
              <w:jc w:val="center"/>
              <w:spacing w:after="0"/>
              <w:rPr>
                <w:sz w:val="20"/>
                <w:szCs w:val="20"/>
                <w:color w:val="auto"/>
              </w:rPr>
            </w:pPr>
            <w:r>
              <w:rPr>
                <w:rFonts w:ascii="Arial" w:cs="Arial" w:eastAsia="Arial" w:hAnsi="Arial"/>
                <w:sz w:val="13"/>
                <w:szCs w:val="13"/>
                <w:color w:val="auto"/>
                <w:w w:val="97"/>
              </w:rPr>
              <w:t>Auto Sector</w:t>
            </w:r>
          </w:p>
        </w:tc>
        <w:tc>
          <w:tcPr>
            <w:tcW w:w="840" w:type="dxa"/>
            <w:vAlign w:val="bottom"/>
            <w:gridSpan w:val="3"/>
          </w:tcPr>
          <w:p>
            <w:pPr>
              <w:jc w:val="right"/>
              <w:ind w:right="20"/>
              <w:spacing w:after="0"/>
              <w:rPr>
                <w:sz w:val="20"/>
                <w:szCs w:val="20"/>
                <w:color w:val="auto"/>
              </w:rPr>
            </w:pPr>
            <w:r>
              <w:rPr>
                <w:rFonts w:ascii="Arial" w:cs="Arial" w:eastAsia="Arial" w:hAnsi="Arial"/>
                <w:sz w:val="13"/>
                <w:szCs w:val="13"/>
                <w:color w:val="auto"/>
              </w:rPr>
              <w:t>13.75%</w:t>
            </w:r>
          </w:p>
        </w:tc>
        <w:tc>
          <w:tcPr>
            <w:tcW w:w="400" w:type="dxa"/>
            <w:vAlign w:val="bottom"/>
          </w:tcPr>
          <w:p>
            <w:pPr>
              <w:spacing w:after="0"/>
              <w:rPr>
                <w:sz w:val="23"/>
                <w:szCs w:val="23"/>
                <w:color w:val="auto"/>
              </w:rPr>
            </w:pPr>
          </w:p>
        </w:tc>
        <w:tc>
          <w:tcPr>
            <w:tcW w:w="600" w:type="dxa"/>
            <w:vAlign w:val="bottom"/>
            <w:gridSpan w:val="2"/>
          </w:tcPr>
          <w:p>
            <w:pPr>
              <w:ind w:left="280"/>
              <w:spacing w:after="0"/>
              <w:rPr>
                <w:sz w:val="20"/>
                <w:szCs w:val="20"/>
                <w:color w:val="auto"/>
              </w:rPr>
            </w:pPr>
            <w:r>
              <w:rPr>
                <w:rFonts w:ascii="Arial" w:cs="Arial" w:eastAsia="Arial" w:hAnsi="Arial"/>
                <w:sz w:val="13"/>
                <w:szCs w:val="13"/>
                <w:color w:val="auto"/>
              </w:rPr>
              <w:t>—</w:t>
            </w:r>
          </w:p>
        </w:tc>
        <w:tc>
          <w:tcPr>
            <w:tcW w:w="860" w:type="dxa"/>
            <w:vAlign w:val="bottom"/>
            <w:gridSpan w:val="2"/>
          </w:tcPr>
          <w:p>
            <w:pPr>
              <w:jc w:val="right"/>
              <w:spacing w:after="0"/>
              <w:rPr>
                <w:sz w:val="20"/>
                <w:szCs w:val="20"/>
                <w:color w:val="auto"/>
              </w:rPr>
            </w:pPr>
            <w:r>
              <w:rPr>
                <w:rFonts w:ascii="Arial" w:cs="Arial" w:eastAsia="Arial" w:hAnsi="Arial"/>
                <w:sz w:val="13"/>
                <w:szCs w:val="13"/>
                <w:color w:val="auto"/>
              </w:rPr>
              <w:t>20,000,000</w:t>
            </w:r>
          </w:p>
        </w:tc>
        <w:tc>
          <w:tcPr>
            <w:tcW w:w="1200" w:type="dxa"/>
            <w:vAlign w:val="bottom"/>
            <w:gridSpan w:val="3"/>
          </w:tcPr>
          <w:p>
            <w:pPr>
              <w:jc w:val="right"/>
              <w:ind w:right="220"/>
              <w:spacing w:after="0"/>
              <w:rPr>
                <w:sz w:val="20"/>
                <w:szCs w:val="20"/>
                <w:color w:val="auto"/>
              </w:rPr>
            </w:pPr>
            <w:r>
              <w:rPr>
                <w:rFonts w:ascii="Arial" w:cs="Arial" w:eastAsia="Arial" w:hAnsi="Arial"/>
                <w:sz w:val="13"/>
                <w:szCs w:val="13"/>
                <w:color w:val="auto"/>
              </w:rPr>
              <w:t>19,555,782</w:t>
            </w:r>
          </w:p>
        </w:tc>
        <w:tc>
          <w:tcPr>
            <w:tcW w:w="800" w:type="dxa"/>
            <w:vAlign w:val="bottom"/>
            <w:gridSpan w:val="2"/>
          </w:tcPr>
          <w:p>
            <w:pPr>
              <w:jc w:val="right"/>
              <w:ind w:right="20"/>
              <w:spacing w:after="0"/>
              <w:rPr>
                <w:sz w:val="20"/>
                <w:szCs w:val="20"/>
                <w:color w:val="auto"/>
              </w:rPr>
            </w:pPr>
            <w:r>
              <w:rPr>
                <w:rFonts w:ascii="Arial" w:cs="Arial" w:eastAsia="Arial" w:hAnsi="Arial"/>
                <w:sz w:val="13"/>
                <w:szCs w:val="13"/>
                <w:color w:val="auto"/>
              </w:rPr>
              <w:t>20,000,000</w:t>
            </w:r>
          </w:p>
        </w:tc>
        <w:tc>
          <w:tcPr>
            <w:tcW w:w="0" w:type="dxa"/>
            <w:vAlign w:val="bottom"/>
          </w:tcPr>
          <w:p>
            <w:pPr>
              <w:spacing w:after="0"/>
              <w:rPr>
                <w:sz w:val="1"/>
                <w:szCs w:val="1"/>
                <w:color w:val="auto"/>
              </w:rPr>
            </w:pPr>
          </w:p>
        </w:tc>
      </w:tr>
      <w:tr>
        <w:trPr>
          <w:trHeight w:val="95"/>
        </w:trPr>
        <w:tc>
          <w:tcPr>
            <w:tcW w:w="760" w:type="dxa"/>
            <w:vAlign w:val="bottom"/>
          </w:tcPr>
          <w:p>
            <w:pPr>
              <w:spacing w:after="0"/>
              <w:rPr>
                <w:sz w:val="8"/>
                <w:szCs w:val="8"/>
                <w:color w:val="auto"/>
              </w:rPr>
            </w:pPr>
          </w:p>
        </w:tc>
        <w:tc>
          <w:tcPr>
            <w:tcW w:w="38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2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220" w:type="dxa"/>
            <w:vAlign w:val="bottom"/>
          </w:tcPr>
          <w:p>
            <w:pPr>
              <w:spacing w:after="0"/>
              <w:rPr>
                <w:sz w:val="8"/>
                <w:szCs w:val="8"/>
                <w:color w:val="auto"/>
              </w:rPr>
            </w:pPr>
          </w:p>
        </w:tc>
        <w:tc>
          <w:tcPr>
            <w:tcW w:w="760" w:type="dxa"/>
            <w:vAlign w:val="bottom"/>
          </w:tcPr>
          <w:p>
            <w:pPr>
              <w:spacing w:after="0"/>
              <w:rPr>
                <w:sz w:val="8"/>
                <w:szCs w:val="8"/>
                <w:color w:val="auto"/>
              </w:rPr>
            </w:pPr>
          </w:p>
        </w:tc>
        <w:tc>
          <w:tcPr>
            <w:tcW w:w="2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48"/>
        </w:trPr>
        <w:tc>
          <w:tcPr>
            <w:tcW w:w="46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Learning Care Group, Inc.</w:t>
            </w:r>
          </w:p>
        </w:tc>
        <w:tc>
          <w:tcPr>
            <w:tcW w:w="6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5"/>
              </w:rPr>
              <w:t>12/28/2015</w:t>
            </w:r>
          </w:p>
        </w:tc>
        <w:tc>
          <w:tcPr>
            <w:tcW w:w="200" w:type="dxa"/>
            <w:vAlign w:val="bottom"/>
            <w:shd w:val="clear" w:color="auto" w:fill="CCEEFF"/>
          </w:tcPr>
          <w:p>
            <w:pPr>
              <w:spacing w:after="0"/>
              <w:rPr>
                <w:sz w:val="12"/>
                <w:szCs w:val="12"/>
                <w:color w:val="auto"/>
              </w:rPr>
            </w:pPr>
          </w:p>
        </w:tc>
        <w:tc>
          <w:tcPr>
            <w:tcW w:w="11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3"/>
              </w:rPr>
              <w:t>Education</w:t>
            </w:r>
          </w:p>
        </w:tc>
        <w:tc>
          <w:tcPr>
            <w:tcW w:w="840" w:type="dxa"/>
            <w:vAlign w:val="bottom"/>
            <w:gridSpan w:val="3"/>
            <w:shd w:val="clear" w:color="auto" w:fill="CCEEFF"/>
          </w:tcPr>
          <w:p>
            <w:pPr>
              <w:jc w:val="right"/>
              <w:ind w:right="20"/>
              <w:spacing w:after="0"/>
              <w:rPr>
                <w:sz w:val="20"/>
                <w:szCs w:val="20"/>
                <w:color w:val="auto"/>
              </w:rPr>
            </w:pPr>
            <w:r>
              <w:rPr>
                <w:rFonts w:ascii="Arial" w:cs="Arial" w:eastAsia="Arial" w:hAnsi="Arial"/>
                <w:sz w:val="13"/>
                <w:szCs w:val="13"/>
                <w:color w:val="auto"/>
              </w:rPr>
              <w:t>13.50%</w:t>
            </w:r>
          </w:p>
        </w:tc>
        <w:tc>
          <w:tcPr>
            <w:tcW w:w="400" w:type="dxa"/>
            <w:vAlign w:val="bottom"/>
            <w:shd w:val="clear" w:color="auto" w:fill="CCEEFF"/>
          </w:tcPr>
          <w:p>
            <w:pPr>
              <w:jc w:val="right"/>
              <w:ind w:right="153"/>
              <w:spacing w:after="0"/>
              <w:rPr>
                <w:sz w:val="20"/>
                <w:szCs w:val="20"/>
                <w:color w:val="auto"/>
              </w:rPr>
            </w:pPr>
            <w:r>
              <w:rPr>
                <w:rFonts w:ascii="Arial" w:cs="Arial" w:eastAsia="Arial" w:hAnsi="Arial"/>
                <w:sz w:val="13"/>
                <w:szCs w:val="13"/>
                <w:color w:val="auto"/>
              </w:rPr>
              <w:t>(6)</w:t>
            </w:r>
          </w:p>
        </w:tc>
        <w:tc>
          <w:tcPr>
            <w:tcW w:w="600" w:type="dxa"/>
            <w:vAlign w:val="bottom"/>
            <w:gridSpan w:val="2"/>
            <w:shd w:val="clear" w:color="auto" w:fill="CCEEFF"/>
          </w:tcPr>
          <w:p>
            <w:pPr>
              <w:ind w:left="280"/>
              <w:spacing w:after="0"/>
              <w:rPr>
                <w:sz w:val="20"/>
                <w:szCs w:val="20"/>
                <w:color w:val="auto"/>
              </w:rPr>
            </w:pPr>
            <w:r>
              <w:rPr>
                <w:rFonts w:ascii="Arial" w:cs="Arial" w:eastAsia="Arial" w:hAnsi="Arial"/>
                <w:sz w:val="13"/>
                <w:szCs w:val="13"/>
                <w:color w:val="auto"/>
              </w:rPr>
              <w:t>—</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10,067,361</w:t>
            </w:r>
          </w:p>
        </w:tc>
        <w:tc>
          <w:tcPr>
            <w:tcW w:w="1200" w:type="dxa"/>
            <w:vAlign w:val="bottom"/>
            <w:gridSpan w:val="3"/>
            <w:shd w:val="clear" w:color="auto" w:fill="CCEEFF"/>
          </w:tcPr>
          <w:p>
            <w:pPr>
              <w:jc w:val="right"/>
              <w:ind w:right="220"/>
              <w:spacing w:after="0"/>
              <w:rPr>
                <w:sz w:val="20"/>
                <w:szCs w:val="20"/>
                <w:color w:val="auto"/>
              </w:rPr>
            </w:pPr>
            <w:r>
              <w:rPr>
                <w:rFonts w:ascii="Arial" w:cs="Arial" w:eastAsia="Arial" w:hAnsi="Arial"/>
                <w:sz w:val="13"/>
                <w:szCs w:val="13"/>
                <w:color w:val="auto"/>
              </w:rPr>
              <w:t>9,922,722</w:t>
            </w: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10,067,361</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46"/>
        </w:trPr>
        <w:tc>
          <w:tcPr>
            <w:tcW w:w="4600" w:type="dxa"/>
            <w:vAlign w:val="bottom"/>
            <w:gridSpan w:val="2"/>
          </w:tcPr>
          <w:p>
            <w:pPr>
              <w:spacing w:after="0"/>
              <w:rPr>
                <w:sz w:val="20"/>
                <w:szCs w:val="20"/>
                <w:color w:val="auto"/>
              </w:rPr>
            </w:pPr>
            <w:r>
              <w:rPr>
                <w:rFonts w:ascii="Arial" w:cs="Arial" w:eastAsia="Arial" w:hAnsi="Arial"/>
                <w:sz w:val="13"/>
                <w:szCs w:val="13"/>
                <w:color w:val="auto"/>
              </w:rPr>
              <w:t>Realogy Corp.</w:t>
            </w:r>
          </w:p>
        </w:tc>
        <w:tc>
          <w:tcPr>
            <w:tcW w:w="640" w:type="dxa"/>
            <w:vAlign w:val="bottom"/>
          </w:tcPr>
          <w:p>
            <w:pPr>
              <w:jc w:val="center"/>
              <w:spacing w:after="0"/>
              <w:rPr>
                <w:sz w:val="20"/>
                <w:szCs w:val="20"/>
                <w:color w:val="auto"/>
              </w:rPr>
            </w:pPr>
            <w:r>
              <w:rPr>
                <w:rFonts w:ascii="Arial" w:cs="Arial" w:eastAsia="Arial" w:hAnsi="Arial"/>
                <w:sz w:val="13"/>
                <w:szCs w:val="13"/>
                <w:color w:val="auto"/>
                <w:w w:val="95"/>
              </w:rPr>
              <w:t>04/15/2015</w:t>
            </w:r>
          </w:p>
        </w:tc>
        <w:tc>
          <w:tcPr>
            <w:tcW w:w="200" w:type="dxa"/>
            <w:vAlign w:val="bottom"/>
          </w:tcPr>
          <w:p>
            <w:pPr>
              <w:spacing w:after="0"/>
              <w:rPr>
                <w:sz w:val="21"/>
                <w:szCs w:val="21"/>
                <w:color w:val="auto"/>
              </w:rPr>
            </w:pPr>
          </w:p>
        </w:tc>
        <w:tc>
          <w:tcPr>
            <w:tcW w:w="1120" w:type="dxa"/>
            <w:vAlign w:val="bottom"/>
          </w:tcPr>
          <w:p>
            <w:pPr>
              <w:jc w:val="center"/>
              <w:spacing w:after="0"/>
              <w:rPr>
                <w:sz w:val="20"/>
                <w:szCs w:val="20"/>
                <w:color w:val="auto"/>
              </w:rPr>
            </w:pPr>
            <w:r>
              <w:rPr>
                <w:rFonts w:ascii="Arial" w:cs="Arial" w:eastAsia="Arial" w:hAnsi="Arial"/>
                <w:sz w:val="13"/>
                <w:szCs w:val="13"/>
                <w:color w:val="auto"/>
                <w:w w:val="94"/>
              </w:rPr>
              <w:t>Buildings and Real</w:t>
            </w:r>
          </w:p>
        </w:tc>
        <w:tc>
          <w:tcPr>
            <w:tcW w:w="840" w:type="dxa"/>
            <w:vAlign w:val="bottom"/>
            <w:gridSpan w:val="3"/>
          </w:tcPr>
          <w:p>
            <w:pPr>
              <w:jc w:val="right"/>
              <w:ind w:right="20"/>
              <w:spacing w:after="0"/>
              <w:rPr>
                <w:sz w:val="20"/>
                <w:szCs w:val="20"/>
                <w:color w:val="auto"/>
              </w:rPr>
            </w:pPr>
            <w:r>
              <w:rPr>
                <w:rFonts w:ascii="Arial" w:cs="Arial" w:eastAsia="Arial" w:hAnsi="Arial"/>
                <w:sz w:val="13"/>
                <w:szCs w:val="13"/>
                <w:color w:val="auto"/>
              </w:rPr>
              <w:t>12.38%</w:t>
            </w:r>
          </w:p>
        </w:tc>
        <w:tc>
          <w:tcPr>
            <w:tcW w:w="400" w:type="dxa"/>
            <w:vAlign w:val="bottom"/>
          </w:tcPr>
          <w:p>
            <w:pPr>
              <w:spacing w:after="0"/>
              <w:rPr>
                <w:sz w:val="21"/>
                <w:szCs w:val="21"/>
                <w:color w:val="auto"/>
              </w:rPr>
            </w:pPr>
          </w:p>
        </w:tc>
        <w:tc>
          <w:tcPr>
            <w:tcW w:w="600" w:type="dxa"/>
            <w:vAlign w:val="bottom"/>
            <w:gridSpan w:val="2"/>
          </w:tcPr>
          <w:p>
            <w:pPr>
              <w:ind w:left="280"/>
              <w:spacing w:after="0"/>
              <w:rPr>
                <w:sz w:val="20"/>
                <w:szCs w:val="20"/>
                <w:color w:val="auto"/>
              </w:rPr>
            </w:pPr>
            <w:r>
              <w:rPr>
                <w:rFonts w:ascii="Arial" w:cs="Arial" w:eastAsia="Arial" w:hAnsi="Arial"/>
                <w:sz w:val="13"/>
                <w:szCs w:val="13"/>
                <w:color w:val="auto"/>
              </w:rPr>
              <w:t>—</w:t>
            </w:r>
          </w:p>
        </w:tc>
        <w:tc>
          <w:tcPr>
            <w:tcW w:w="860" w:type="dxa"/>
            <w:vAlign w:val="bottom"/>
            <w:gridSpan w:val="2"/>
          </w:tcPr>
          <w:p>
            <w:pPr>
              <w:jc w:val="right"/>
              <w:spacing w:after="0"/>
              <w:rPr>
                <w:sz w:val="20"/>
                <w:szCs w:val="20"/>
                <w:color w:val="auto"/>
              </w:rPr>
            </w:pPr>
            <w:r>
              <w:rPr>
                <w:rFonts w:ascii="Arial" w:cs="Arial" w:eastAsia="Arial" w:hAnsi="Arial"/>
                <w:sz w:val="13"/>
                <w:szCs w:val="13"/>
                <w:color w:val="auto"/>
              </w:rPr>
              <w:t>28,000,000</w:t>
            </w:r>
          </w:p>
        </w:tc>
        <w:tc>
          <w:tcPr>
            <w:tcW w:w="1200" w:type="dxa"/>
            <w:vAlign w:val="bottom"/>
            <w:gridSpan w:val="3"/>
          </w:tcPr>
          <w:p>
            <w:pPr>
              <w:jc w:val="right"/>
              <w:ind w:right="220"/>
              <w:spacing w:after="0"/>
              <w:rPr>
                <w:sz w:val="20"/>
                <w:szCs w:val="20"/>
                <w:color w:val="auto"/>
              </w:rPr>
            </w:pPr>
            <w:r>
              <w:rPr>
                <w:rFonts w:ascii="Arial" w:cs="Arial" w:eastAsia="Arial" w:hAnsi="Arial"/>
                <w:sz w:val="13"/>
                <w:szCs w:val="13"/>
                <w:color w:val="auto"/>
              </w:rPr>
              <w:t>26,337,698</w:t>
            </w:r>
          </w:p>
        </w:tc>
        <w:tc>
          <w:tcPr>
            <w:tcW w:w="800" w:type="dxa"/>
            <w:vAlign w:val="bottom"/>
            <w:gridSpan w:val="2"/>
          </w:tcPr>
          <w:p>
            <w:pPr>
              <w:jc w:val="right"/>
              <w:ind w:right="20"/>
              <w:spacing w:after="0"/>
              <w:rPr>
                <w:sz w:val="20"/>
                <w:szCs w:val="20"/>
                <w:color w:val="auto"/>
              </w:rPr>
            </w:pPr>
            <w:r>
              <w:rPr>
                <w:rFonts w:ascii="Arial" w:cs="Arial" w:eastAsia="Arial" w:hAnsi="Arial"/>
                <w:sz w:val="13"/>
                <w:szCs w:val="13"/>
                <w:color w:val="auto"/>
              </w:rPr>
              <w:t>9,520,000</w:t>
            </w:r>
          </w:p>
        </w:tc>
        <w:tc>
          <w:tcPr>
            <w:tcW w:w="0" w:type="dxa"/>
            <w:vAlign w:val="bottom"/>
          </w:tcPr>
          <w:p>
            <w:pPr>
              <w:spacing w:after="0"/>
              <w:rPr>
                <w:sz w:val="1"/>
                <w:szCs w:val="1"/>
                <w:color w:val="auto"/>
              </w:rPr>
            </w:pPr>
          </w:p>
        </w:tc>
      </w:tr>
      <w:tr>
        <w:trPr>
          <w:trHeight w:val="172"/>
        </w:trPr>
        <w:tc>
          <w:tcPr>
            <w:tcW w:w="760" w:type="dxa"/>
            <w:vAlign w:val="bottom"/>
          </w:tcPr>
          <w:p>
            <w:pPr>
              <w:spacing w:after="0"/>
              <w:rPr>
                <w:sz w:val="14"/>
                <w:szCs w:val="14"/>
                <w:color w:val="auto"/>
              </w:rPr>
            </w:pPr>
          </w:p>
        </w:tc>
        <w:tc>
          <w:tcPr>
            <w:tcW w:w="38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tcPr>
          <w:p>
            <w:pPr>
              <w:jc w:val="center"/>
              <w:spacing w:after="0"/>
              <w:rPr>
                <w:sz w:val="20"/>
                <w:szCs w:val="20"/>
                <w:color w:val="auto"/>
              </w:rPr>
            </w:pPr>
            <w:r>
              <w:rPr>
                <w:rFonts w:ascii="Arial" w:cs="Arial" w:eastAsia="Arial" w:hAnsi="Arial"/>
                <w:sz w:val="13"/>
                <w:szCs w:val="13"/>
                <w:color w:val="auto"/>
                <w:w w:val="92"/>
              </w:rPr>
              <w:t>Estate</w:t>
            </w:r>
          </w:p>
        </w:tc>
        <w:tc>
          <w:tcPr>
            <w:tcW w:w="2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760" w:type="dxa"/>
            <w:vAlign w:val="bottom"/>
          </w:tcPr>
          <w:p>
            <w:pPr>
              <w:spacing w:after="0"/>
              <w:rPr>
                <w:sz w:val="8"/>
                <w:szCs w:val="8"/>
                <w:color w:val="auto"/>
              </w:rPr>
            </w:pPr>
          </w:p>
        </w:tc>
        <w:tc>
          <w:tcPr>
            <w:tcW w:w="38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2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220" w:type="dxa"/>
            <w:vAlign w:val="bottom"/>
          </w:tcPr>
          <w:p>
            <w:pPr>
              <w:spacing w:after="0"/>
              <w:rPr>
                <w:sz w:val="8"/>
                <w:szCs w:val="8"/>
                <w:color w:val="auto"/>
              </w:rPr>
            </w:pPr>
          </w:p>
        </w:tc>
        <w:tc>
          <w:tcPr>
            <w:tcW w:w="760" w:type="dxa"/>
            <w:vAlign w:val="bottom"/>
          </w:tcPr>
          <w:p>
            <w:pPr>
              <w:spacing w:after="0"/>
              <w:rPr>
                <w:sz w:val="8"/>
                <w:szCs w:val="8"/>
                <w:color w:val="auto"/>
              </w:rPr>
            </w:pPr>
          </w:p>
        </w:tc>
        <w:tc>
          <w:tcPr>
            <w:tcW w:w="2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48"/>
        </w:trPr>
        <w:tc>
          <w:tcPr>
            <w:tcW w:w="46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TZ Merger Sub, Inc.</w:t>
            </w:r>
          </w:p>
        </w:tc>
        <w:tc>
          <w:tcPr>
            <w:tcW w:w="6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5"/>
              </w:rPr>
              <w:t>10/01/2016</w:t>
            </w:r>
          </w:p>
        </w:tc>
        <w:tc>
          <w:tcPr>
            <w:tcW w:w="200" w:type="dxa"/>
            <w:vAlign w:val="bottom"/>
            <w:shd w:val="clear" w:color="auto" w:fill="CCEEFF"/>
          </w:tcPr>
          <w:p>
            <w:pPr>
              <w:spacing w:after="0"/>
              <w:rPr>
                <w:sz w:val="12"/>
                <w:szCs w:val="12"/>
                <w:color w:val="auto"/>
              </w:rPr>
            </w:pPr>
          </w:p>
        </w:tc>
        <w:tc>
          <w:tcPr>
            <w:tcW w:w="11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4"/>
              </w:rPr>
              <w:t>Insurance</w:t>
            </w:r>
          </w:p>
        </w:tc>
        <w:tc>
          <w:tcPr>
            <w:tcW w:w="840" w:type="dxa"/>
            <w:vAlign w:val="bottom"/>
            <w:gridSpan w:val="3"/>
            <w:shd w:val="clear" w:color="auto" w:fill="CCEEFF"/>
          </w:tcPr>
          <w:p>
            <w:pPr>
              <w:jc w:val="right"/>
              <w:ind w:right="20"/>
              <w:spacing w:after="0"/>
              <w:rPr>
                <w:sz w:val="20"/>
                <w:szCs w:val="20"/>
                <w:color w:val="auto"/>
              </w:rPr>
            </w:pPr>
            <w:r>
              <w:rPr>
                <w:rFonts w:ascii="Arial" w:cs="Arial" w:eastAsia="Arial" w:hAnsi="Arial"/>
                <w:sz w:val="13"/>
                <w:szCs w:val="13"/>
                <w:color w:val="auto"/>
              </w:rPr>
              <w:t>13.50%</w:t>
            </w:r>
          </w:p>
        </w:tc>
        <w:tc>
          <w:tcPr>
            <w:tcW w:w="400" w:type="dxa"/>
            <w:vAlign w:val="bottom"/>
            <w:shd w:val="clear" w:color="auto" w:fill="CCEEFF"/>
          </w:tcPr>
          <w:p>
            <w:pPr>
              <w:jc w:val="right"/>
              <w:ind w:right="153"/>
              <w:spacing w:after="0"/>
              <w:rPr>
                <w:sz w:val="20"/>
                <w:szCs w:val="20"/>
                <w:color w:val="auto"/>
              </w:rPr>
            </w:pPr>
            <w:r>
              <w:rPr>
                <w:rFonts w:ascii="Arial" w:cs="Arial" w:eastAsia="Arial" w:hAnsi="Arial"/>
                <w:sz w:val="13"/>
                <w:szCs w:val="13"/>
                <w:color w:val="auto"/>
              </w:rPr>
              <w:t>(6)</w:t>
            </w:r>
          </w:p>
        </w:tc>
        <w:tc>
          <w:tcPr>
            <w:tcW w:w="600" w:type="dxa"/>
            <w:vAlign w:val="bottom"/>
            <w:gridSpan w:val="2"/>
            <w:shd w:val="clear" w:color="auto" w:fill="CCEEFF"/>
          </w:tcPr>
          <w:p>
            <w:pPr>
              <w:ind w:left="280"/>
              <w:spacing w:after="0"/>
              <w:rPr>
                <w:sz w:val="20"/>
                <w:szCs w:val="20"/>
                <w:color w:val="auto"/>
              </w:rPr>
            </w:pPr>
            <w:r>
              <w:rPr>
                <w:rFonts w:ascii="Arial" w:cs="Arial" w:eastAsia="Arial" w:hAnsi="Arial"/>
                <w:sz w:val="13"/>
                <w:szCs w:val="13"/>
                <w:color w:val="auto"/>
              </w:rPr>
              <w:t>—</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20,000,000</w:t>
            </w:r>
          </w:p>
        </w:tc>
        <w:tc>
          <w:tcPr>
            <w:tcW w:w="1200" w:type="dxa"/>
            <w:vAlign w:val="bottom"/>
            <w:gridSpan w:val="3"/>
            <w:shd w:val="clear" w:color="auto" w:fill="CCEEFF"/>
          </w:tcPr>
          <w:p>
            <w:pPr>
              <w:jc w:val="right"/>
              <w:ind w:right="220"/>
              <w:spacing w:after="0"/>
              <w:rPr>
                <w:sz w:val="20"/>
                <w:szCs w:val="20"/>
                <w:color w:val="auto"/>
              </w:rPr>
            </w:pPr>
            <w:r>
              <w:rPr>
                <w:rFonts w:ascii="Arial" w:cs="Arial" w:eastAsia="Arial" w:hAnsi="Arial"/>
                <w:sz w:val="13"/>
                <w:szCs w:val="13"/>
                <w:color w:val="auto"/>
              </w:rPr>
              <w:t>19,811,785</w:t>
            </w: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20,000,000</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57"/>
        </w:trPr>
        <w:tc>
          <w:tcPr>
            <w:tcW w:w="4600" w:type="dxa"/>
            <w:vAlign w:val="bottom"/>
            <w:gridSpan w:val="2"/>
          </w:tcPr>
          <w:p>
            <w:pPr>
              <w:spacing w:after="0"/>
              <w:rPr>
                <w:sz w:val="20"/>
                <w:szCs w:val="20"/>
                <w:color w:val="auto"/>
              </w:rPr>
            </w:pPr>
            <w:r>
              <w:rPr>
                <w:rFonts w:ascii="Arial" w:cs="Arial" w:eastAsia="Arial" w:hAnsi="Arial"/>
                <w:sz w:val="13"/>
                <w:szCs w:val="13"/>
                <w:color w:val="auto"/>
              </w:rPr>
              <w:t>UP Acquisitions Sub Inc.</w:t>
            </w:r>
          </w:p>
        </w:tc>
        <w:tc>
          <w:tcPr>
            <w:tcW w:w="640" w:type="dxa"/>
            <w:vAlign w:val="bottom"/>
          </w:tcPr>
          <w:p>
            <w:pPr>
              <w:jc w:val="center"/>
              <w:spacing w:after="0"/>
              <w:rPr>
                <w:sz w:val="20"/>
                <w:szCs w:val="20"/>
                <w:color w:val="auto"/>
              </w:rPr>
            </w:pPr>
            <w:r>
              <w:rPr>
                <w:rFonts w:ascii="Arial" w:cs="Arial" w:eastAsia="Arial" w:hAnsi="Arial"/>
                <w:sz w:val="13"/>
                <w:szCs w:val="13"/>
                <w:color w:val="auto"/>
                <w:w w:val="95"/>
              </w:rPr>
              <w:t>02/08/2015</w:t>
            </w:r>
          </w:p>
        </w:tc>
        <w:tc>
          <w:tcPr>
            <w:tcW w:w="200" w:type="dxa"/>
            <w:vAlign w:val="bottom"/>
          </w:tcPr>
          <w:p>
            <w:pPr>
              <w:spacing w:after="0"/>
              <w:rPr>
                <w:sz w:val="22"/>
                <w:szCs w:val="22"/>
                <w:color w:val="auto"/>
              </w:rPr>
            </w:pPr>
          </w:p>
        </w:tc>
        <w:tc>
          <w:tcPr>
            <w:tcW w:w="1120" w:type="dxa"/>
            <w:vAlign w:val="bottom"/>
          </w:tcPr>
          <w:p>
            <w:pPr>
              <w:jc w:val="center"/>
              <w:spacing w:after="0"/>
              <w:rPr>
                <w:sz w:val="20"/>
                <w:szCs w:val="20"/>
                <w:color w:val="auto"/>
              </w:rPr>
            </w:pPr>
            <w:r>
              <w:rPr>
                <w:rFonts w:ascii="Arial" w:cs="Arial" w:eastAsia="Arial" w:hAnsi="Arial"/>
                <w:sz w:val="13"/>
                <w:szCs w:val="13"/>
                <w:color w:val="auto"/>
                <w:w w:val="96"/>
              </w:rPr>
              <w:t>Oil and Gas</w:t>
            </w:r>
          </w:p>
        </w:tc>
        <w:tc>
          <w:tcPr>
            <w:tcW w:w="840" w:type="dxa"/>
            <w:vAlign w:val="bottom"/>
            <w:gridSpan w:val="3"/>
          </w:tcPr>
          <w:p>
            <w:pPr>
              <w:jc w:val="right"/>
              <w:ind w:right="20"/>
              <w:spacing w:after="0"/>
              <w:rPr>
                <w:sz w:val="20"/>
                <w:szCs w:val="20"/>
                <w:color w:val="auto"/>
              </w:rPr>
            </w:pPr>
            <w:r>
              <w:rPr>
                <w:rFonts w:ascii="Arial" w:cs="Arial" w:eastAsia="Arial" w:hAnsi="Arial"/>
                <w:sz w:val="13"/>
                <w:szCs w:val="13"/>
                <w:color w:val="auto"/>
              </w:rPr>
              <w:t>13.50%</w:t>
            </w:r>
          </w:p>
        </w:tc>
        <w:tc>
          <w:tcPr>
            <w:tcW w:w="400" w:type="dxa"/>
            <w:vAlign w:val="bottom"/>
          </w:tcPr>
          <w:p>
            <w:pPr>
              <w:spacing w:after="0"/>
              <w:rPr>
                <w:sz w:val="22"/>
                <w:szCs w:val="22"/>
                <w:color w:val="auto"/>
              </w:rPr>
            </w:pPr>
          </w:p>
        </w:tc>
        <w:tc>
          <w:tcPr>
            <w:tcW w:w="600" w:type="dxa"/>
            <w:vAlign w:val="bottom"/>
            <w:gridSpan w:val="2"/>
          </w:tcPr>
          <w:p>
            <w:pPr>
              <w:ind w:left="280"/>
              <w:spacing w:after="0"/>
              <w:rPr>
                <w:sz w:val="20"/>
                <w:szCs w:val="20"/>
                <w:color w:val="auto"/>
              </w:rPr>
            </w:pPr>
            <w:r>
              <w:rPr>
                <w:rFonts w:ascii="Arial" w:cs="Arial" w:eastAsia="Arial" w:hAnsi="Arial"/>
                <w:sz w:val="13"/>
                <w:szCs w:val="13"/>
                <w:color w:val="auto"/>
              </w:rPr>
              <w:t>—</w:t>
            </w:r>
          </w:p>
        </w:tc>
        <w:tc>
          <w:tcPr>
            <w:tcW w:w="860" w:type="dxa"/>
            <w:vAlign w:val="bottom"/>
            <w:gridSpan w:val="2"/>
          </w:tcPr>
          <w:p>
            <w:pPr>
              <w:jc w:val="right"/>
              <w:spacing w:after="0"/>
              <w:rPr>
                <w:sz w:val="20"/>
                <w:szCs w:val="20"/>
                <w:color w:val="auto"/>
              </w:rPr>
            </w:pPr>
            <w:r>
              <w:rPr>
                <w:rFonts w:ascii="Arial" w:cs="Arial" w:eastAsia="Arial" w:hAnsi="Arial"/>
                <w:sz w:val="13"/>
                <w:szCs w:val="13"/>
                <w:color w:val="auto"/>
              </w:rPr>
              <w:t>21,000,000</w:t>
            </w:r>
          </w:p>
        </w:tc>
        <w:tc>
          <w:tcPr>
            <w:tcW w:w="1200" w:type="dxa"/>
            <w:vAlign w:val="bottom"/>
            <w:gridSpan w:val="3"/>
          </w:tcPr>
          <w:p>
            <w:pPr>
              <w:jc w:val="right"/>
              <w:ind w:right="220"/>
              <w:spacing w:after="0"/>
              <w:rPr>
                <w:sz w:val="20"/>
                <w:szCs w:val="20"/>
                <w:color w:val="auto"/>
              </w:rPr>
            </w:pPr>
            <w:r>
              <w:rPr>
                <w:rFonts w:ascii="Arial" w:cs="Arial" w:eastAsia="Arial" w:hAnsi="Arial"/>
                <w:sz w:val="13"/>
                <w:szCs w:val="13"/>
                <w:color w:val="auto"/>
              </w:rPr>
              <w:t>20,428,146</w:t>
            </w:r>
          </w:p>
        </w:tc>
        <w:tc>
          <w:tcPr>
            <w:tcW w:w="800" w:type="dxa"/>
            <w:vAlign w:val="bottom"/>
            <w:gridSpan w:val="2"/>
          </w:tcPr>
          <w:p>
            <w:pPr>
              <w:jc w:val="right"/>
              <w:ind w:right="20"/>
              <w:spacing w:after="0"/>
              <w:rPr>
                <w:sz w:val="20"/>
                <w:szCs w:val="20"/>
                <w:color w:val="auto"/>
              </w:rPr>
            </w:pPr>
            <w:r>
              <w:rPr>
                <w:rFonts w:ascii="Arial" w:cs="Arial" w:eastAsia="Arial" w:hAnsi="Arial"/>
                <w:sz w:val="13"/>
                <w:szCs w:val="13"/>
                <w:color w:val="auto"/>
              </w:rPr>
              <w:t>21,000,000</w:t>
            </w:r>
          </w:p>
        </w:tc>
        <w:tc>
          <w:tcPr>
            <w:tcW w:w="0" w:type="dxa"/>
            <w:vAlign w:val="bottom"/>
          </w:tcPr>
          <w:p>
            <w:pPr>
              <w:spacing w:after="0"/>
              <w:rPr>
                <w:sz w:val="1"/>
                <w:szCs w:val="1"/>
                <w:color w:val="auto"/>
              </w:rPr>
            </w:pPr>
          </w:p>
        </w:tc>
      </w:tr>
      <w:tr>
        <w:trPr>
          <w:trHeight w:val="115"/>
        </w:trPr>
        <w:tc>
          <w:tcPr>
            <w:tcW w:w="760" w:type="dxa"/>
            <w:vAlign w:val="bottom"/>
          </w:tcPr>
          <w:p>
            <w:pPr>
              <w:spacing w:after="0"/>
              <w:rPr>
                <w:sz w:val="10"/>
                <w:szCs w:val="10"/>
                <w:color w:val="auto"/>
              </w:rPr>
            </w:pPr>
          </w:p>
        </w:tc>
        <w:tc>
          <w:tcPr>
            <w:tcW w:w="38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tcBorders>
              <w:top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760" w:type="dxa"/>
            <w:vAlign w:val="bottom"/>
            <w:tcBorders>
              <w:top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780" w:type="dxa"/>
            <w:vAlign w:val="bottom"/>
            <w:tcBorders>
              <w:top w:val="single" w:sz="8" w:color="auto"/>
            </w:tcBorders>
          </w:tcPr>
          <w:p>
            <w:pPr>
              <w:spacing w:after="0"/>
              <w:rPr>
                <w:sz w:val="10"/>
                <w:szCs w:val="10"/>
                <w:color w:val="auto"/>
              </w:rPr>
            </w:pPr>
          </w:p>
        </w:tc>
        <w:tc>
          <w:tcPr>
            <w:tcW w:w="20" w:type="dxa"/>
            <w:vAlign w:val="bottom"/>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4600" w:type="dxa"/>
            <w:vAlign w:val="bottom"/>
            <w:gridSpan w:val="2"/>
            <w:shd w:val="clear" w:color="auto" w:fill="CCEEFF"/>
          </w:tcPr>
          <w:p>
            <w:pPr>
              <w:spacing w:after="0"/>
              <w:rPr>
                <w:sz w:val="20"/>
                <w:szCs w:val="20"/>
                <w:color w:val="auto"/>
              </w:rPr>
            </w:pPr>
            <w:r>
              <w:rPr>
                <w:rFonts w:ascii="Arial" w:cs="Arial" w:eastAsia="Arial" w:hAnsi="Arial"/>
                <w:sz w:val="13"/>
                <w:szCs w:val="13"/>
                <w:b w:val="1"/>
                <w:bCs w:val="1"/>
                <w:color w:val="auto"/>
              </w:rPr>
              <w:t>Total Subordinated Debt / Corporate Notes</w:t>
            </w:r>
          </w:p>
        </w:tc>
        <w:tc>
          <w:tcPr>
            <w:tcW w:w="6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187,877,433</w:t>
            </w:r>
          </w:p>
        </w:tc>
        <w:tc>
          <w:tcPr>
            <w:tcW w:w="1200" w:type="dxa"/>
            <w:vAlign w:val="bottom"/>
            <w:gridSpan w:val="3"/>
            <w:shd w:val="clear" w:color="auto" w:fill="CCEEFF"/>
          </w:tcPr>
          <w:p>
            <w:pPr>
              <w:jc w:val="right"/>
              <w:ind w:right="220"/>
              <w:spacing w:after="0"/>
              <w:rPr>
                <w:sz w:val="20"/>
                <w:szCs w:val="20"/>
                <w:color w:val="auto"/>
              </w:rPr>
            </w:pPr>
            <w:r>
              <w:rPr>
                <w:rFonts w:ascii="Arial" w:cs="Arial" w:eastAsia="Arial" w:hAnsi="Arial"/>
                <w:sz w:val="13"/>
                <w:szCs w:val="13"/>
                <w:color w:val="auto"/>
              </w:rPr>
              <w:t>182,895,483</w:t>
            </w: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161,758,819</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76"/>
        </w:trPr>
        <w:tc>
          <w:tcPr>
            <w:tcW w:w="4600" w:type="dxa"/>
            <w:vAlign w:val="bottom"/>
            <w:gridSpan w:val="2"/>
          </w:tcPr>
          <w:p>
            <w:pPr>
              <w:spacing w:after="0"/>
              <w:rPr>
                <w:sz w:val="20"/>
                <w:szCs w:val="20"/>
                <w:color w:val="auto"/>
              </w:rPr>
            </w:pPr>
            <w:r>
              <w:rPr>
                <w:rFonts w:ascii="Arial" w:cs="Arial" w:eastAsia="Arial" w:hAnsi="Arial"/>
                <w:sz w:val="13"/>
                <w:szCs w:val="13"/>
                <w:b w:val="1"/>
                <w:bCs w:val="1"/>
                <w:color w:val="auto"/>
              </w:rPr>
              <w:t>Second Lien Secured Debt – 45.5%</w:t>
            </w: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5"/>
        </w:trPr>
        <w:tc>
          <w:tcPr>
            <w:tcW w:w="760" w:type="dxa"/>
            <w:vAlign w:val="bottom"/>
          </w:tcPr>
          <w:p>
            <w:pPr>
              <w:spacing w:after="0"/>
              <w:rPr>
                <w:sz w:val="8"/>
                <w:szCs w:val="8"/>
                <w:color w:val="auto"/>
              </w:rPr>
            </w:pPr>
          </w:p>
        </w:tc>
        <w:tc>
          <w:tcPr>
            <w:tcW w:w="38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2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220" w:type="dxa"/>
            <w:vAlign w:val="bottom"/>
          </w:tcPr>
          <w:p>
            <w:pPr>
              <w:spacing w:after="0"/>
              <w:rPr>
                <w:sz w:val="8"/>
                <w:szCs w:val="8"/>
                <w:color w:val="auto"/>
              </w:rPr>
            </w:pPr>
          </w:p>
        </w:tc>
        <w:tc>
          <w:tcPr>
            <w:tcW w:w="760" w:type="dxa"/>
            <w:vAlign w:val="bottom"/>
          </w:tcPr>
          <w:p>
            <w:pPr>
              <w:spacing w:after="0"/>
              <w:rPr>
                <w:sz w:val="8"/>
                <w:szCs w:val="8"/>
                <w:color w:val="auto"/>
              </w:rPr>
            </w:pPr>
          </w:p>
        </w:tc>
        <w:tc>
          <w:tcPr>
            <w:tcW w:w="2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48"/>
        </w:trPr>
        <w:tc>
          <w:tcPr>
            <w:tcW w:w="46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Brand Energy and Infrastructure Services, Inc.</w:t>
            </w:r>
          </w:p>
        </w:tc>
        <w:tc>
          <w:tcPr>
            <w:tcW w:w="6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5"/>
              </w:rPr>
              <w:t>02/07/2015</w:t>
            </w:r>
          </w:p>
        </w:tc>
        <w:tc>
          <w:tcPr>
            <w:tcW w:w="200" w:type="dxa"/>
            <w:vAlign w:val="bottom"/>
            <w:shd w:val="clear" w:color="auto" w:fill="CCEEFF"/>
          </w:tcPr>
          <w:p>
            <w:pPr>
              <w:spacing w:after="0"/>
              <w:rPr>
                <w:sz w:val="12"/>
                <w:szCs w:val="12"/>
                <w:color w:val="auto"/>
              </w:rPr>
            </w:pPr>
          </w:p>
        </w:tc>
        <w:tc>
          <w:tcPr>
            <w:tcW w:w="1120" w:type="dxa"/>
            <w:vAlign w:val="bottom"/>
            <w:shd w:val="clear" w:color="auto" w:fill="CCEEFF"/>
          </w:tcPr>
          <w:p>
            <w:pPr>
              <w:jc w:val="center"/>
              <w:spacing w:after="0"/>
              <w:rPr>
                <w:sz w:val="20"/>
                <w:szCs w:val="20"/>
                <w:color w:val="auto"/>
              </w:rPr>
            </w:pPr>
            <w:r>
              <w:rPr>
                <w:rFonts w:ascii="Arial" w:cs="Arial" w:eastAsia="Arial" w:hAnsi="Arial"/>
                <w:sz w:val="13"/>
                <w:szCs w:val="13"/>
                <w:color w:val="auto"/>
              </w:rPr>
              <w:t>Energy / Utilities</w:t>
            </w:r>
          </w:p>
        </w:tc>
        <w:tc>
          <w:tcPr>
            <w:tcW w:w="840" w:type="dxa"/>
            <w:vAlign w:val="bottom"/>
            <w:gridSpan w:val="3"/>
            <w:shd w:val="clear" w:color="auto" w:fill="CCEEFF"/>
          </w:tcPr>
          <w:p>
            <w:pPr>
              <w:jc w:val="right"/>
              <w:ind w:right="20"/>
              <w:spacing w:after="0"/>
              <w:rPr>
                <w:sz w:val="20"/>
                <w:szCs w:val="20"/>
                <w:color w:val="auto"/>
              </w:rPr>
            </w:pPr>
            <w:r>
              <w:rPr>
                <w:rFonts w:ascii="Arial" w:cs="Arial" w:eastAsia="Arial" w:hAnsi="Arial"/>
                <w:sz w:val="13"/>
                <w:szCs w:val="13"/>
                <w:color w:val="auto"/>
              </w:rPr>
              <w:t>9.81%</w:t>
            </w:r>
          </w:p>
        </w:tc>
        <w:tc>
          <w:tcPr>
            <w:tcW w:w="400" w:type="dxa"/>
            <w:vAlign w:val="bottom"/>
            <w:shd w:val="clear" w:color="auto" w:fill="CCEEFF"/>
          </w:tcPr>
          <w:p>
            <w:pPr>
              <w:spacing w:after="0"/>
              <w:rPr>
                <w:sz w:val="12"/>
                <w:szCs w:val="12"/>
                <w:color w:val="auto"/>
              </w:rPr>
            </w:pPr>
          </w:p>
        </w:tc>
        <w:tc>
          <w:tcPr>
            <w:tcW w:w="600" w:type="dxa"/>
            <w:vAlign w:val="bottom"/>
            <w:gridSpan w:val="2"/>
            <w:shd w:val="clear" w:color="auto" w:fill="CCEEFF"/>
          </w:tcPr>
          <w:p>
            <w:pPr>
              <w:ind w:left="120"/>
              <w:spacing w:after="0"/>
              <w:rPr>
                <w:sz w:val="20"/>
                <w:szCs w:val="20"/>
                <w:color w:val="auto"/>
              </w:rPr>
            </w:pPr>
            <w:r>
              <w:rPr>
                <w:rFonts w:ascii="Arial" w:cs="Arial" w:eastAsia="Arial" w:hAnsi="Arial"/>
                <w:sz w:val="13"/>
                <w:szCs w:val="13"/>
                <w:color w:val="auto"/>
              </w:rPr>
              <w:t>L+700</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12,000,000</w:t>
            </w:r>
          </w:p>
        </w:tc>
        <w:tc>
          <w:tcPr>
            <w:tcW w:w="1200" w:type="dxa"/>
            <w:vAlign w:val="bottom"/>
            <w:gridSpan w:val="3"/>
            <w:shd w:val="clear" w:color="auto" w:fill="CCEEFF"/>
          </w:tcPr>
          <w:p>
            <w:pPr>
              <w:jc w:val="right"/>
              <w:ind w:right="220"/>
              <w:spacing w:after="0"/>
              <w:rPr>
                <w:sz w:val="20"/>
                <w:szCs w:val="20"/>
                <w:color w:val="auto"/>
              </w:rPr>
            </w:pPr>
            <w:r>
              <w:rPr>
                <w:rFonts w:ascii="Arial" w:cs="Arial" w:eastAsia="Arial" w:hAnsi="Arial"/>
                <w:sz w:val="13"/>
                <w:szCs w:val="13"/>
                <w:color w:val="auto"/>
              </w:rPr>
              <w:t>11,682,795</w:t>
            </w: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11,160,000</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70"/>
        </w:trPr>
        <w:tc>
          <w:tcPr>
            <w:tcW w:w="4600" w:type="dxa"/>
            <w:vAlign w:val="bottom"/>
            <w:gridSpan w:val="2"/>
          </w:tcPr>
          <w:p>
            <w:pPr>
              <w:spacing w:after="0"/>
              <w:rPr>
                <w:sz w:val="20"/>
                <w:szCs w:val="20"/>
                <w:color w:val="auto"/>
              </w:rPr>
            </w:pPr>
            <w:r>
              <w:rPr>
                <w:rFonts w:ascii="Arial" w:cs="Arial" w:eastAsia="Arial" w:hAnsi="Arial"/>
                <w:sz w:val="13"/>
                <w:szCs w:val="13"/>
                <w:color w:val="auto"/>
              </w:rPr>
              <w:t>Brand Energy and Infrastructure Services, Inc.</w:t>
            </w:r>
          </w:p>
        </w:tc>
        <w:tc>
          <w:tcPr>
            <w:tcW w:w="640" w:type="dxa"/>
            <w:vAlign w:val="bottom"/>
          </w:tcPr>
          <w:p>
            <w:pPr>
              <w:jc w:val="center"/>
              <w:spacing w:after="0"/>
              <w:rPr>
                <w:sz w:val="20"/>
                <w:szCs w:val="20"/>
                <w:color w:val="auto"/>
              </w:rPr>
            </w:pPr>
            <w:r>
              <w:rPr>
                <w:rFonts w:ascii="Arial" w:cs="Arial" w:eastAsia="Arial" w:hAnsi="Arial"/>
                <w:sz w:val="13"/>
                <w:szCs w:val="13"/>
                <w:color w:val="auto"/>
                <w:w w:val="95"/>
              </w:rPr>
              <w:t>02/07/2015</w:t>
            </w:r>
          </w:p>
        </w:tc>
        <w:tc>
          <w:tcPr>
            <w:tcW w:w="200" w:type="dxa"/>
            <w:vAlign w:val="bottom"/>
          </w:tcPr>
          <w:p>
            <w:pPr>
              <w:spacing w:after="0"/>
              <w:rPr>
                <w:sz w:val="23"/>
                <w:szCs w:val="23"/>
                <w:color w:val="auto"/>
              </w:rPr>
            </w:pPr>
          </w:p>
        </w:tc>
        <w:tc>
          <w:tcPr>
            <w:tcW w:w="1120" w:type="dxa"/>
            <w:vAlign w:val="bottom"/>
          </w:tcPr>
          <w:p>
            <w:pPr>
              <w:jc w:val="center"/>
              <w:spacing w:after="0"/>
              <w:rPr>
                <w:sz w:val="20"/>
                <w:szCs w:val="20"/>
                <w:color w:val="auto"/>
              </w:rPr>
            </w:pPr>
            <w:r>
              <w:rPr>
                <w:rFonts w:ascii="Arial" w:cs="Arial" w:eastAsia="Arial" w:hAnsi="Arial"/>
                <w:sz w:val="13"/>
                <w:szCs w:val="13"/>
                <w:color w:val="auto"/>
              </w:rPr>
              <w:t>Energy / Utilities</w:t>
            </w:r>
          </w:p>
        </w:tc>
        <w:tc>
          <w:tcPr>
            <w:tcW w:w="840" w:type="dxa"/>
            <w:vAlign w:val="bottom"/>
            <w:gridSpan w:val="3"/>
          </w:tcPr>
          <w:p>
            <w:pPr>
              <w:jc w:val="right"/>
              <w:ind w:right="20"/>
              <w:spacing w:after="0"/>
              <w:rPr>
                <w:sz w:val="20"/>
                <w:szCs w:val="20"/>
                <w:color w:val="auto"/>
              </w:rPr>
            </w:pPr>
            <w:r>
              <w:rPr>
                <w:rFonts w:ascii="Arial" w:cs="Arial" w:eastAsia="Arial" w:hAnsi="Arial"/>
                <w:sz w:val="13"/>
                <w:szCs w:val="13"/>
                <w:color w:val="auto"/>
              </w:rPr>
              <w:t>8.81%</w:t>
            </w:r>
          </w:p>
        </w:tc>
        <w:tc>
          <w:tcPr>
            <w:tcW w:w="400" w:type="dxa"/>
            <w:vAlign w:val="bottom"/>
          </w:tcPr>
          <w:p>
            <w:pPr>
              <w:spacing w:after="0"/>
              <w:rPr>
                <w:sz w:val="23"/>
                <w:szCs w:val="23"/>
                <w:color w:val="auto"/>
              </w:rPr>
            </w:pPr>
          </w:p>
        </w:tc>
        <w:tc>
          <w:tcPr>
            <w:tcW w:w="600" w:type="dxa"/>
            <w:vAlign w:val="bottom"/>
            <w:gridSpan w:val="2"/>
          </w:tcPr>
          <w:p>
            <w:pPr>
              <w:ind w:left="120"/>
              <w:spacing w:after="0"/>
              <w:rPr>
                <w:sz w:val="20"/>
                <w:szCs w:val="20"/>
                <w:color w:val="auto"/>
              </w:rPr>
            </w:pPr>
            <w:r>
              <w:rPr>
                <w:rFonts w:ascii="Arial" w:cs="Arial" w:eastAsia="Arial" w:hAnsi="Arial"/>
                <w:sz w:val="13"/>
                <w:szCs w:val="13"/>
                <w:color w:val="auto"/>
              </w:rPr>
              <w:t>L+600</w:t>
            </w:r>
          </w:p>
        </w:tc>
        <w:tc>
          <w:tcPr>
            <w:tcW w:w="860" w:type="dxa"/>
            <w:vAlign w:val="bottom"/>
            <w:gridSpan w:val="2"/>
          </w:tcPr>
          <w:p>
            <w:pPr>
              <w:jc w:val="right"/>
              <w:spacing w:after="0"/>
              <w:rPr>
                <w:sz w:val="20"/>
                <w:szCs w:val="20"/>
                <w:color w:val="auto"/>
              </w:rPr>
            </w:pPr>
            <w:r>
              <w:rPr>
                <w:rFonts w:ascii="Arial" w:cs="Arial" w:eastAsia="Arial" w:hAnsi="Arial"/>
                <w:sz w:val="13"/>
                <w:szCs w:val="13"/>
                <w:color w:val="auto"/>
              </w:rPr>
              <w:t>13,600,000</w:t>
            </w:r>
          </w:p>
        </w:tc>
        <w:tc>
          <w:tcPr>
            <w:tcW w:w="1200" w:type="dxa"/>
            <w:vAlign w:val="bottom"/>
            <w:gridSpan w:val="3"/>
          </w:tcPr>
          <w:p>
            <w:pPr>
              <w:jc w:val="right"/>
              <w:ind w:right="220"/>
              <w:spacing w:after="0"/>
              <w:rPr>
                <w:sz w:val="20"/>
                <w:szCs w:val="20"/>
                <w:color w:val="auto"/>
              </w:rPr>
            </w:pPr>
            <w:r>
              <w:rPr>
                <w:rFonts w:ascii="Arial" w:cs="Arial" w:eastAsia="Arial" w:hAnsi="Arial"/>
                <w:sz w:val="13"/>
                <w:szCs w:val="13"/>
                <w:color w:val="auto"/>
              </w:rPr>
              <w:t>13,068,290</w:t>
            </w:r>
          </w:p>
        </w:tc>
        <w:tc>
          <w:tcPr>
            <w:tcW w:w="800" w:type="dxa"/>
            <w:vAlign w:val="bottom"/>
            <w:gridSpan w:val="2"/>
          </w:tcPr>
          <w:p>
            <w:pPr>
              <w:jc w:val="right"/>
              <w:ind w:right="20"/>
              <w:spacing w:after="0"/>
              <w:rPr>
                <w:sz w:val="20"/>
                <w:szCs w:val="20"/>
                <w:color w:val="auto"/>
              </w:rPr>
            </w:pPr>
            <w:r>
              <w:rPr>
                <w:rFonts w:ascii="Arial" w:cs="Arial" w:eastAsia="Arial" w:hAnsi="Arial"/>
                <w:sz w:val="13"/>
                <w:szCs w:val="13"/>
                <w:color w:val="auto"/>
              </w:rPr>
              <w:t>12,342,000</w:t>
            </w:r>
          </w:p>
        </w:tc>
        <w:tc>
          <w:tcPr>
            <w:tcW w:w="0" w:type="dxa"/>
            <w:vAlign w:val="bottom"/>
          </w:tcPr>
          <w:p>
            <w:pPr>
              <w:spacing w:after="0"/>
              <w:rPr>
                <w:sz w:val="1"/>
                <w:szCs w:val="1"/>
                <w:color w:val="auto"/>
              </w:rPr>
            </w:pPr>
          </w:p>
        </w:tc>
      </w:tr>
      <w:tr>
        <w:trPr>
          <w:trHeight w:val="95"/>
        </w:trPr>
        <w:tc>
          <w:tcPr>
            <w:tcW w:w="760" w:type="dxa"/>
            <w:vAlign w:val="bottom"/>
          </w:tcPr>
          <w:p>
            <w:pPr>
              <w:spacing w:after="0"/>
              <w:rPr>
                <w:sz w:val="8"/>
                <w:szCs w:val="8"/>
                <w:color w:val="auto"/>
              </w:rPr>
            </w:pPr>
          </w:p>
        </w:tc>
        <w:tc>
          <w:tcPr>
            <w:tcW w:w="38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2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220" w:type="dxa"/>
            <w:vAlign w:val="bottom"/>
          </w:tcPr>
          <w:p>
            <w:pPr>
              <w:spacing w:after="0"/>
              <w:rPr>
                <w:sz w:val="8"/>
                <w:szCs w:val="8"/>
                <w:color w:val="auto"/>
              </w:rPr>
            </w:pPr>
          </w:p>
        </w:tc>
        <w:tc>
          <w:tcPr>
            <w:tcW w:w="760" w:type="dxa"/>
            <w:vAlign w:val="bottom"/>
          </w:tcPr>
          <w:p>
            <w:pPr>
              <w:spacing w:after="0"/>
              <w:rPr>
                <w:sz w:val="8"/>
                <w:szCs w:val="8"/>
                <w:color w:val="auto"/>
              </w:rPr>
            </w:pPr>
          </w:p>
        </w:tc>
        <w:tc>
          <w:tcPr>
            <w:tcW w:w="2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38"/>
        </w:trPr>
        <w:tc>
          <w:tcPr>
            <w:tcW w:w="4600" w:type="dxa"/>
            <w:vAlign w:val="bottom"/>
            <w:gridSpan w:val="2"/>
            <w:shd w:val="clear" w:color="auto" w:fill="CCEEFF"/>
          </w:tcPr>
          <w:p>
            <w:pPr>
              <w:spacing w:after="0" w:line="138" w:lineRule="exact"/>
              <w:rPr>
                <w:sz w:val="20"/>
                <w:szCs w:val="20"/>
                <w:color w:val="auto"/>
              </w:rPr>
            </w:pPr>
            <w:r>
              <w:rPr>
                <w:rFonts w:ascii="Arial" w:cs="Arial" w:eastAsia="Arial" w:hAnsi="Arial"/>
                <w:sz w:val="13"/>
                <w:szCs w:val="13"/>
                <w:color w:val="auto"/>
              </w:rPr>
              <w:t>Generics International (U.S.), Inc.</w:t>
            </w:r>
          </w:p>
        </w:tc>
        <w:tc>
          <w:tcPr>
            <w:tcW w:w="640" w:type="dxa"/>
            <w:vAlign w:val="bottom"/>
            <w:shd w:val="clear" w:color="auto" w:fill="CCEEFF"/>
          </w:tcPr>
          <w:p>
            <w:pPr>
              <w:jc w:val="center"/>
              <w:spacing w:after="0" w:line="138" w:lineRule="exact"/>
              <w:rPr>
                <w:sz w:val="20"/>
                <w:szCs w:val="20"/>
                <w:color w:val="auto"/>
              </w:rPr>
            </w:pPr>
            <w:r>
              <w:rPr>
                <w:rFonts w:ascii="Arial" w:cs="Arial" w:eastAsia="Arial" w:hAnsi="Arial"/>
                <w:sz w:val="13"/>
                <w:szCs w:val="13"/>
                <w:color w:val="auto"/>
                <w:w w:val="95"/>
              </w:rPr>
              <w:t>04/30/2015</w:t>
            </w:r>
          </w:p>
        </w:tc>
        <w:tc>
          <w:tcPr>
            <w:tcW w:w="200" w:type="dxa"/>
            <w:vAlign w:val="bottom"/>
            <w:shd w:val="clear" w:color="auto" w:fill="CCEEFF"/>
          </w:tcPr>
          <w:p>
            <w:pPr>
              <w:spacing w:after="0"/>
              <w:rPr>
                <w:sz w:val="11"/>
                <w:szCs w:val="11"/>
                <w:color w:val="auto"/>
              </w:rPr>
            </w:pPr>
          </w:p>
        </w:tc>
        <w:tc>
          <w:tcPr>
            <w:tcW w:w="1120" w:type="dxa"/>
            <w:vAlign w:val="bottom"/>
            <w:shd w:val="clear" w:color="auto" w:fill="CCEEFF"/>
          </w:tcPr>
          <w:p>
            <w:pPr>
              <w:jc w:val="center"/>
              <w:spacing w:after="0" w:line="138" w:lineRule="exact"/>
              <w:rPr>
                <w:sz w:val="20"/>
                <w:szCs w:val="20"/>
                <w:color w:val="auto"/>
              </w:rPr>
            </w:pPr>
            <w:r>
              <w:rPr>
                <w:rFonts w:ascii="Arial" w:cs="Arial" w:eastAsia="Arial" w:hAnsi="Arial"/>
                <w:sz w:val="13"/>
                <w:szCs w:val="13"/>
                <w:color w:val="auto"/>
                <w:w w:val="93"/>
              </w:rPr>
              <w:t>Healthcare,</w:t>
            </w:r>
          </w:p>
        </w:tc>
        <w:tc>
          <w:tcPr>
            <w:tcW w:w="840" w:type="dxa"/>
            <w:vAlign w:val="bottom"/>
            <w:gridSpan w:val="3"/>
            <w:shd w:val="clear" w:color="auto" w:fill="CCEEFF"/>
          </w:tcPr>
          <w:p>
            <w:pPr>
              <w:jc w:val="right"/>
              <w:ind w:right="20"/>
              <w:spacing w:after="0" w:line="138" w:lineRule="exact"/>
              <w:rPr>
                <w:sz w:val="20"/>
                <w:szCs w:val="20"/>
                <w:color w:val="auto"/>
              </w:rPr>
            </w:pPr>
            <w:r>
              <w:rPr>
                <w:rFonts w:ascii="Arial" w:cs="Arial" w:eastAsia="Arial" w:hAnsi="Arial"/>
                <w:sz w:val="13"/>
                <w:szCs w:val="13"/>
                <w:color w:val="auto"/>
              </w:rPr>
              <w:t>11.26%</w:t>
            </w:r>
          </w:p>
        </w:tc>
        <w:tc>
          <w:tcPr>
            <w:tcW w:w="400" w:type="dxa"/>
            <w:vAlign w:val="bottom"/>
            <w:shd w:val="clear" w:color="auto" w:fill="CCEEFF"/>
          </w:tcPr>
          <w:p>
            <w:pPr>
              <w:spacing w:after="0"/>
              <w:rPr>
                <w:sz w:val="11"/>
                <w:szCs w:val="11"/>
                <w:color w:val="auto"/>
              </w:rPr>
            </w:pPr>
          </w:p>
        </w:tc>
        <w:tc>
          <w:tcPr>
            <w:tcW w:w="600" w:type="dxa"/>
            <w:vAlign w:val="bottom"/>
            <w:gridSpan w:val="2"/>
            <w:shd w:val="clear" w:color="auto" w:fill="CCEEFF"/>
          </w:tcPr>
          <w:p>
            <w:pPr>
              <w:ind w:left="120"/>
              <w:spacing w:after="0" w:line="138" w:lineRule="exact"/>
              <w:rPr>
                <w:sz w:val="20"/>
                <w:szCs w:val="20"/>
                <w:color w:val="auto"/>
              </w:rPr>
            </w:pPr>
            <w:r>
              <w:rPr>
                <w:rFonts w:ascii="Arial" w:cs="Arial" w:eastAsia="Arial" w:hAnsi="Arial"/>
                <w:sz w:val="13"/>
                <w:szCs w:val="13"/>
                <w:color w:val="auto"/>
              </w:rPr>
              <w:t>L+750</w:t>
            </w:r>
          </w:p>
        </w:tc>
        <w:tc>
          <w:tcPr>
            <w:tcW w:w="86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3"/>
                <w:szCs w:val="13"/>
                <w:color w:val="auto"/>
              </w:rPr>
              <w:t>12,000,000</w:t>
            </w:r>
          </w:p>
        </w:tc>
        <w:tc>
          <w:tcPr>
            <w:tcW w:w="1200" w:type="dxa"/>
            <w:vAlign w:val="bottom"/>
            <w:gridSpan w:val="3"/>
            <w:shd w:val="clear" w:color="auto" w:fill="CCEEFF"/>
          </w:tcPr>
          <w:p>
            <w:pPr>
              <w:jc w:val="right"/>
              <w:ind w:right="220"/>
              <w:spacing w:after="0" w:line="138" w:lineRule="exact"/>
              <w:rPr>
                <w:sz w:val="20"/>
                <w:szCs w:val="20"/>
                <w:color w:val="auto"/>
              </w:rPr>
            </w:pPr>
            <w:r>
              <w:rPr>
                <w:rFonts w:ascii="Arial" w:cs="Arial" w:eastAsia="Arial" w:hAnsi="Arial"/>
                <w:sz w:val="13"/>
                <w:szCs w:val="13"/>
                <w:color w:val="auto"/>
              </w:rPr>
              <w:t>11,947,073</w:t>
            </w:r>
          </w:p>
        </w:tc>
        <w:tc>
          <w:tcPr>
            <w:tcW w:w="78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10,080,000</w:t>
            </w:r>
          </w:p>
        </w:tc>
        <w:tc>
          <w:tcPr>
            <w:tcW w:w="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760" w:type="dxa"/>
            <w:vAlign w:val="bottom"/>
            <w:shd w:val="clear" w:color="auto" w:fill="CCEEFF"/>
          </w:tcPr>
          <w:p>
            <w:pPr>
              <w:spacing w:after="0"/>
              <w:rPr>
                <w:sz w:val="12"/>
                <w:szCs w:val="12"/>
                <w:color w:val="auto"/>
              </w:rPr>
            </w:pPr>
          </w:p>
        </w:tc>
        <w:tc>
          <w:tcPr>
            <w:tcW w:w="38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3"/>
              </w:rPr>
              <w:t>Education and</w:t>
            </w:r>
          </w:p>
        </w:tc>
        <w:tc>
          <w:tcPr>
            <w:tcW w:w="2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760" w:type="dxa"/>
            <w:vAlign w:val="bottom"/>
            <w:shd w:val="clear" w:color="auto" w:fill="CCEEFF"/>
          </w:tcPr>
          <w:p>
            <w:pPr>
              <w:spacing w:after="0"/>
              <w:rPr>
                <w:sz w:val="13"/>
                <w:szCs w:val="13"/>
                <w:color w:val="auto"/>
              </w:rPr>
            </w:pPr>
          </w:p>
        </w:tc>
        <w:tc>
          <w:tcPr>
            <w:tcW w:w="384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1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8"/>
              </w:rPr>
              <w:t>Childcare</w:t>
            </w:r>
          </w:p>
        </w:tc>
        <w:tc>
          <w:tcPr>
            <w:tcW w:w="22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0"/>
        </w:trPr>
        <w:tc>
          <w:tcPr>
            <w:tcW w:w="4600" w:type="dxa"/>
            <w:vAlign w:val="bottom"/>
            <w:gridSpan w:val="2"/>
          </w:tcPr>
          <w:p>
            <w:pPr>
              <w:spacing w:after="0"/>
              <w:rPr>
                <w:sz w:val="20"/>
                <w:szCs w:val="20"/>
                <w:color w:val="auto"/>
              </w:rPr>
            </w:pPr>
            <w:r>
              <w:rPr>
                <w:rFonts w:ascii="Arial" w:cs="Arial" w:eastAsia="Arial" w:hAnsi="Arial"/>
                <w:sz w:val="13"/>
                <w:szCs w:val="13"/>
                <w:color w:val="auto"/>
              </w:rPr>
              <w:t>Questex Media Group, Inc.</w:t>
            </w:r>
          </w:p>
        </w:tc>
        <w:tc>
          <w:tcPr>
            <w:tcW w:w="640" w:type="dxa"/>
            <w:vAlign w:val="bottom"/>
          </w:tcPr>
          <w:p>
            <w:pPr>
              <w:jc w:val="center"/>
              <w:spacing w:after="0"/>
              <w:rPr>
                <w:sz w:val="20"/>
                <w:szCs w:val="20"/>
                <w:color w:val="auto"/>
              </w:rPr>
            </w:pPr>
            <w:r>
              <w:rPr>
                <w:rFonts w:ascii="Arial" w:cs="Arial" w:eastAsia="Arial" w:hAnsi="Arial"/>
                <w:sz w:val="13"/>
                <w:szCs w:val="13"/>
                <w:color w:val="auto"/>
                <w:w w:val="92"/>
              </w:rPr>
              <w:t>11/04/2014</w:t>
            </w:r>
          </w:p>
        </w:tc>
        <w:tc>
          <w:tcPr>
            <w:tcW w:w="200" w:type="dxa"/>
            <w:vAlign w:val="bottom"/>
          </w:tcPr>
          <w:p>
            <w:pPr>
              <w:spacing w:after="0"/>
              <w:rPr>
                <w:sz w:val="23"/>
                <w:szCs w:val="23"/>
                <w:color w:val="auto"/>
              </w:rPr>
            </w:pPr>
          </w:p>
        </w:tc>
        <w:tc>
          <w:tcPr>
            <w:tcW w:w="1120" w:type="dxa"/>
            <w:vAlign w:val="bottom"/>
          </w:tcPr>
          <w:p>
            <w:pPr>
              <w:jc w:val="center"/>
              <w:spacing w:after="0"/>
              <w:rPr>
                <w:sz w:val="20"/>
                <w:szCs w:val="20"/>
                <w:color w:val="auto"/>
              </w:rPr>
            </w:pPr>
            <w:r>
              <w:rPr>
                <w:rFonts w:ascii="Arial" w:cs="Arial" w:eastAsia="Arial" w:hAnsi="Arial"/>
                <w:sz w:val="13"/>
                <w:szCs w:val="13"/>
                <w:color w:val="auto"/>
                <w:w w:val="97"/>
              </w:rPr>
              <w:t>Other Media</w:t>
            </w:r>
          </w:p>
        </w:tc>
        <w:tc>
          <w:tcPr>
            <w:tcW w:w="840" w:type="dxa"/>
            <w:vAlign w:val="bottom"/>
            <w:gridSpan w:val="3"/>
          </w:tcPr>
          <w:p>
            <w:pPr>
              <w:jc w:val="right"/>
              <w:ind w:right="20"/>
              <w:spacing w:after="0"/>
              <w:rPr>
                <w:sz w:val="20"/>
                <w:szCs w:val="20"/>
                <w:color w:val="auto"/>
              </w:rPr>
            </w:pPr>
            <w:r>
              <w:rPr>
                <w:rFonts w:ascii="Arial" w:cs="Arial" w:eastAsia="Arial" w:hAnsi="Arial"/>
                <w:sz w:val="13"/>
                <w:szCs w:val="13"/>
                <w:color w:val="auto"/>
              </w:rPr>
              <w:t>9.31%</w:t>
            </w:r>
          </w:p>
        </w:tc>
        <w:tc>
          <w:tcPr>
            <w:tcW w:w="400" w:type="dxa"/>
            <w:vAlign w:val="bottom"/>
          </w:tcPr>
          <w:p>
            <w:pPr>
              <w:spacing w:after="0"/>
              <w:rPr>
                <w:sz w:val="23"/>
                <w:szCs w:val="23"/>
                <w:color w:val="auto"/>
              </w:rPr>
            </w:pPr>
          </w:p>
        </w:tc>
        <w:tc>
          <w:tcPr>
            <w:tcW w:w="600" w:type="dxa"/>
            <w:vAlign w:val="bottom"/>
            <w:gridSpan w:val="2"/>
          </w:tcPr>
          <w:p>
            <w:pPr>
              <w:ind w:left="120"/>
              <w:spacing w:after="0"/>
              <w:rPr>
                <w:sz w:val="20"/>
                <w:szCs w:val="20"/>
                <w:color w:val="auto"/>
              </w:rPr>
            </w:pPr>
            <w:r>
              <w:rPr>
                <w:rFonts w:ascii="Arial" w:cs="Arial" w:eastAsia="Arial" w:hAnsi="Arial"/>
                <w:sz w:val="13"/>
                <w:szCs w:val="13"/>
                <w:color w:val="auto"/>
              </w:rPr>
              <w:t>L+650</w:t>
            </w:r>
          </w:p>
        </w:tc>
        <w:tc>
          <w:tcPr>
            <w:tcW w:w="860" w:type="dxa"/>
            <w:vAlign w:val="bottom"/>
            <w:gridSpan w:val="2"/>
          </w:tcPr>
          <w:p>
            <w:pPr>
              <w:jc w:val="right"/>
              <w:spacing w:after="0"/>
              <w:rPr>
                <w:sz w:val="20"/>
                <w:szCs w:val="20"/>
                <w:color w:val="auto"/>
              </w:rPr>
            </w:pPr>
            <w:r>
              <w:rPr>
                <w:rFonts w:ascii="Arial" w:cs="Arial" w:eastAsia="Arial" w:hAnsi="Arial"/>
                <w:sz w:val="13"/>
                <w:szCs w:val="13"/>
                <w:color w:val="auto"/>
              </w:rPr>
              <w:t>10,000,000</w:t>
            </w:r>
          </w:p>
        </w:tc>
        <w:tc>
          <w:tcPr>
            <w:tcW w:w="1200" w:type="dxa"/>
            <w:vAlign w:val="bottom"/>
            <w:gridSpan w:val="3"/>
          </w:tcPr>
          <w:p>
            <w:pPr>
              <w:jc w:val="right"/>
              <w:ind w:right="220"/>
              <w:spacing w:after="0"/>
              <w:rPr>
                <w:sz w:val="20"/>
                <w:szCs w:val="20"/>
                <w:color w:val="auto"/>
              </w:rPr>
            </w:pPr>
            <w:r>
              <w:rPr>
                <w:rFonts w:ascii="Arial" w:cs="Arial" w:eastAsia="Arial" w:hAnsi="Arial"/>
                <w:sz w:val="13"/>
                <w:szCs w:val="13"/>
                <w:color w:val="auto"/>
              </w:rPr>
              <w:t>10,000,000</w:t>
            </w:r>
          </w:p>
        </w:tc>
        <w:tc>
          <w:tcPr>
            <w:tcW w:w="800" w:type="dxa"/>
            <w:vAlign w:val="bottom"/>
            <w:gridSpan w:val="2"/>
          </w:tcPr>
          <w:p>
            <w:pPr>
              <w:jc w:val="right"/>
              <w:ind w:right="20"/>
              <w:spacing w:after="0"/>
              <w:rPr>
                <w:sz w:val="20"/>
                <w:szCs w:val="20"/>
                <w:color w:val="auto"/>
              </w:rPr>
            </w:pPr>
            <w:r>
              <w:rPr>
                <w:rFonts w:ascii="Arial" w:cs="Arial" w:eastAsia="Arial" w:hAnsi="Arial"/>
                <w:sz w:val="13"/>
                <w:szCs w:val="13"/>
                <w:color w:val="auto"/>
              </w:rPr>
              <w:t>8,700,000</w:t>
            </w:r>
          </w:p>
        </w:tc>
        <w:tc>
          <w:tcPr>
            <w:tcW w:w="0" w:type="dxa"/>
            <w:vAlign w:val="bottom"/>
          </w:tcPr>
          <w:p>
            <w:pPr>
              <w:spacing w:after="0"/>
              <w:rPr>
                <w:sz w:val="1"/>
                <w:szCs w:val="1"/>
                <w:color w:val="auto"/>
              </w:rPr>
            </w:pPr>
          </w:p>
        </w:tc>
      </w:tr>
      <w:tr>
        <w:trPr>
          <w:trHeight w:val="95"/>
        </w:trPr>
        <w:tc>
          <w:tcPr>
            <w:tcW w:w="760" w:type="dxa"/>
            <w:vAlign w:val="bottom"/>
          </w:tcPr>
          <w:p>
            <w:pPr>
              <w:spacing w:after="0"/>
              <w:rPr>
                <w:sz w:val="8"/>
                <w:szCs w:val="8"/>
                <w:color w:val="auto"/>
              </w:rPr>
            </w:pPr>
          </w:p>
        </w:tc>
        <w:tc>
          <w:tcPr>
            <w:tcW w:w="38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2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220" w:type="dxa"/>
            <w:vAlign w:val="bottom"/>
          </w:tcPr>
          <w:p>
            <w:pPr>
              <w:spacing w:after="0"/>
              <w:rPr>
                <w:sz w:val="8"/>
                <w:szCs w:val="8"/>
                <w:color w:val="auto"/>
              </w:rPr>
            </w:pPr>
          </w:p>
        </w:tc>
        <w:tc>
          <w:tcPr>
            <w:tcW w:w="760" w:type="dxa"/>
            <w:vAlign w:val="bottom"/>
          </w:tcPr>
          <w:p>
            <w:pPr>
              <w:spacing w:after="0"/>
              <w:rPr>
                <w:sz w:val="8"/>
                <w:szCs w:val="8"/>
                <w:color w:val="auto"/>
              </w:rPr>
            </w:pPr>
          </w:p>
        </w:tc>
        <w:tc>
          <w:tcPr>
            <w:tcW w:w="2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75"/>
        </w:trPr>
        <w:tc>
          <w:tcPr>
            <w:tcW w:w="4600" w:type="dxa"/>
            <w:vAlign w:val="bottom"/>
            <w:gridSpan w:val="2"/>
            <w:shd w:val="clear" w:color="auto" w:fill="CCEEFF"/>
          </w:tcPr>
          <w:p>
            <w:pPr>
              <w:spacing w:after="0" w:line="176" w:lineRule="exact"/>
              <w:rPr>
                <w:sz w:val="20"/>
                <w:szCs w:val="20"/>
                <w:color w:val="auto"/>
              </w:rPr>
            </w:pPr>
            <w:r>
              <w:rPr>
                <w:rFonts w:ascii="Arial" w:cs="Arial" w:eastAsia="Arial" w:hAnsi="Arial"/>
                <w:sz w:val="12"/>
                <w:szCs w:val="12"/>
                <w:color w:val="auto"/>
              </w:rPr>
              <w:t>Saint Acquisition Corp.</w:t>
            </w:r>
            <w:r>
              <w:rPr>
                <w:rFonts w:ascii="Arial" w:cs="Arial" w:eastAsia="Arial" w:hAnsi="Arial"/>
                <w:sz w:val="20"/>
                <w:szCs w:val="20"/>
                <w:color w:val="auto"/>
                <w:vertAlign w:val="superscript"/>
              </w:rPr>
              <w:t>(5)</w:t>
            </w:r>
          </w:p>
        </w:tc>
        <w:tc>
          <w:tcPr>
            <w:tcW w:w="6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5"/>
              </w:rPr>
              <w:t>05/15/2015</w:t>
            </w:r>
          </w:p>
        </w:tc>
        <w:tc>
          <w:tcPr>
            <w:tcW w:w="200" w:type="dxa"/>
            <w:vAlign w:val="bottom"/>
            <w:shd w:val="clear" w:color="auto" w:fill="CCEEFF"/>
          </w:tcPr>
          <w:p>
            <w:pPr>
              <w:spacing w:after="0"/>
              <w:rPr>
                <w:sz w:val="15"/>
                <w:szCs w:val="15"/>
                <w:color w:val="auto"/>
              </w:rPr>
            </w:pPr>
          </w:p>
        </w:tc>
        <w:tc>
          <w:tcPr>
            <w:tcW w:w="11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3"/>
              </w:rPr>
              <w:t>Transportation</w:t>
            </w:r>
          </w:p>
        </w:tc>
        <w:tc>
          <w:tcPr>
            <w:tcW w:w="840" w:type="dxa"/>
            <w:vAlign w:val="bottom"/>
            <w:gridSpan w:val="3"/>
            <w:shd w:val="clear" w:color="auto" w:fill="CCEEFF"/>
          </w:tcPr>
          <w:p>
            <w:pPr>
              <w:jc w:val="right"/>
              <w:ind w:right="20"/>
              <w:spacing w:after="0"/>
              <w:rPr>
                <w:sz w:val="20"/>
                <w:szCs w:val="20"/>
                <w:color w:val="auto"/>
              </w:rPr>
            </w:pPr>
            <w:r>
              <w:rPr>
                <w:rFonts w:ascii="Arial" w:cs="Arial" w:eastAsia="Arial" w:hAnsi="Arial"/>
                <w:sz w:val="13"/>
                <w:szCs w:val="13"/>
                <w:color w:val="auto"/>
              </w:rPr>
              <w:t>10.55%</w:t>
            </w:r>
          </w:p>
        </w:tc>
        <w:tc>
          <w:tcPr>
            <w:tcW w:w="400" w:type="dxa"/>
            <w:vAlign w:val="bottom"/>
            <w:shd w:val="clear" w:color="auto" w:fill="CCEEFF"/>
          </w:tcPr>
          <w:p>
            <w:pPr>
              <w:spacing w:after="0"/>
              <w:rPr>
                <w:sz w:val="15"/>
                <w:szCs w:val="15"/>
                <w:color w:val="auto"/>
              </w:rPr>
            </w:pPr>
          </w:p>
        </w:tc>
        <w:tc>
          <w:tcPr>
            <w:tcW w:w="600" w:type="dxa"/>
            <w:vAlign w:val="bottom"/>
            <w:gridSpan w:val="2"/>
            <w:shd w:val="clear" w:color="auto" w:fill="CCEEFF"/>
          </w:tcPr>
          <w:p>
            <w:pPr>
              <w:ind w:left="120"/>
              <w:spacing w:after="0"/>
              <w:rPr>
                <w:sz w:val="20"/>
                <w:szCs w:val="20"/>
                <w:color w:val="auto"/>
              </w:rPr>
            </w:pPr>
            <w:r>
              <w:rPr>
                <w:rFonts w:ascii="Arial" w:cs="Arial" w:eastAsia="Arial" w:hAnsi="Arial"/>
                <w:sz w:val="13"/>
                <w:szCs w:val="13"/>
                <w:color w:val="auto"/>
              </w:rPr>
              <w:t>L+775</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10,000,000</w:t>
            </w:r>
          </w:p>
        </w:tc>
        <w:tc>
          <w:tcPr>
            <w:tcW w:w="1200" w:type="dxa"/>
            <w:vAlign w:val="bottom"/>
            <w:gridSpan w:val="3"/>
            <w:shd w:val="clear" w:color="auto" w:fill="CCEEFF"/>
          </w:tcPr>
          <w:p>
            <w:pPr>
              <w:jc w:val="right"/>
              <w:ind w:right="220"/>
              <w:spacing w:after="0"/>
              <w:rPr>
                <w:sz w:val="20"/>
                <w:szCs w:val="20"/>
                <w:color w:val="auto"/>
              </w:rPr>
            </w:pPr>
            <w:r>
              <w:rPr>
                <w:rFonts w:ascii="Arial" w:cs="Arial" w:eastAsia="Arial" w:hAnsi="Arial"/>
                <w:sz w:val="13"/>
                <w:szCs w:val="13"/>
                <w:color w:val="auto"/>
              </w:rPr>
              <w:t>9,951,058</w:t>
            </w: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3,100,000</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385"/>
        </w:trPr>
        <w:tc>
          <w:tcPr>
            <w:tcW w:w="4600" w:type="dxa"/>
            <w:vAlign w:val="bottom"/>
            <w:gridSpan w:val="2"/>
          </w:tcPr>
          <w:p>
            <w:pPr>
              <w:spacing w:after="0"/>
              <w:rPr>
                <w:sz w:val="20"/>
                <w:szCs w:val="20"/>
                <w:color w:val="auto"/>
              </w:rPr>
            </w:pPr>
            <w:r>
              <w:rPr>
                <w:rFonts w:ascii="Arial" w:cs="Arial" w:eastAsia="Arial" w:hAnsi="Arial"/>
                <w:sz w:val="13"/>
                <w:szCs w:val="13"/>
                <w:color w:val="auto"/>
              </w:rPr>
              <w:t>Saint Acquisition Corp.</w:t>
            </w:r>
            <w:r>
              <w:rPr>
                <w:rFonts w:ascii="Arial" w:cs="Arial" w:eastAsia="Arial" w:hAnsi="Arial"/>
                <w:sz w:val="22"/>
                <w:szCs w:val="22"/>
                <w:color w:val="auto"/>
                <w:vertAlign w:val="superscript"/>
              </w:rPr>
              <w:t>(5)</w:t>
            </w:r>
          </w:p>
        </w:tc>
        <w:tc>
          <w:tcPr>
            <w:tcW w:w="640" w:type="dxa"/>
            <w:vAlign w:val="bottom"/>
          </w:tcPr>
          <w:p>
            <w:pPr>
              <w:jc w:val="center"/>
              <w:spacing w:after="0"/>
              <w:rPr>
                <w:sz w:val="20"/>
                <w:szCs w:val="20"/>
                <w:color w:val="auto"/>
              </w:rPr>
            </w:pPr>
            <w:r>
              <w:rPr>
                <w:rFonts w:ascii="Arial" w:cs="Arial" w:eastAsia="Arial" w:hAnsi="Arial"/>
                <w:sz w:val="13"/>
                <w:szCs w:val="13"/>
                <w:color w:val="auto"/>
                <w:w w:val="95"/>
              </w:rPr>
              <w:t>05/15/2017</w:t>
            </w:r>
          </w:p>
        </w:tc>
        <w:tc>
          <w:tcPr>
            <w:tcW w:w="200" w:type="dxa"/>
            <w:vAlign w:val="bottom"/>
          </w:tcPr>
          <w:p>
            <w:pPr>
              <w:spacing w:after="0"/>
              <w:rPr>
                <w:sz w:val="24"/>
                <w:szCs w:val="24"/>
                <w:color w:val="auto"/>
              </w:rPr>
            </w:pPr>
          </w:p>
        </w:tc>
        <w:tc>
          <w:tcPr>
            <w:tcW w:w="1120" w:type="dxa"/>
            <w:vAlign w:val="bottom"/>
          </w:tcPr>
          <w:p>
            <w:pPr>
              <w:jc w:val="center"/>
              <w:spacing w:after="0"/>
              <w:rPr>
                <w:sz w:val="20"/>
                <w:szCs w:val="20"/>
                <w:color w:val="auto"/>
              </w:rPr>
            </w:pPr>
            <w:r>
              <w:rPr>
                <w:rFonts w:ascii="Arial" w:cs="Arial" w:eastAsia="Arial" w:hAnsi="Arial"/>
                <w:sz w:val="13"/>
                <w:szCs w:val="13"/>
                <w:color w:val="auto"/>
                <w:w w:val="93"/>
              </w:rPr>
              <w:t>Transportation</w:t>
            </w:r>
          </w:p>
        </w:tc>
        <w:tc>
          <w:tcPr>
            <w:tcW w:w="840" w:type="dxa"/>
            <w:vAlign w:val="bottom"/>
            <w:gridSpan w:val="3"/>
          </w:tcPr>
          <w:p>
            <w:pPr>
              <w:jc w:val="right"/>
              <w:ind w:right="20"/>
              <w:spacing w:after="0"/>
              <w:rPr>
                <w:sz w:val="20"/>
                <w:szCs w:val="20"/>
                <w:color w:val="auto"/>
              </w:rPr>
            </w:pPr>
            <w:r>
              <w:rPr>
                <w:rFonts w:ascii="Arial" w:cs="Arial" w:eastAsia="Arial" w:hAnsi="Arial"/>
                <w:sz w:val="13"/>
                <w:szCs w:val="13"/>
                <w:color w:val="auto"/>
              </w:rPr>
              <w:t>12.50%</w:t>
            </w:r>
          </w:p>
        </w:tc>
        <w:tc>
          <w:tcPr>
            <w:tcW w:w="400" w:type="dxa"/>
            <w:vAlign w:val="bottom"/>
          </w:tcPr>
          <w:p>
            <w:pPr>
              <w:spacing w:after="0"/>
              <w:rPr>
                <w:sz w:val="24"/>
                <w:szCs w:val="24"/>
                <w:color w:val="auto"/>
              </w:rPr>
            </w:pPr>
          </w:p>
        </w:tc>
        <w:tc>
          <w:tcPr>
            <w:tcW w:w="600" w:type="dxa"/>
            <w:vAlign w:val="bottom"/>
            <w:gridSpan w:val="2"/>
          </w:tcPr>
          <w:p>
            <w:pPr>
              <w:ind w:left="280"/>
              <w:spacing w:after="0"/>
              <w:rPr>
                <w:sz w:val="20"/>
                <w:szCs w:val="20"/>
                <w:color w:val="auto"/>
              </w:rPr>
            </w:pPr>
            <w:r>
              <w:rPr>
                <w:rFonts w:ascii="Arial" w:cs="Arial" w:eastAsia="Arial" w:hAnsi="Arial"/>
                <w:sz w:val="13"/>
                <w:szCs w:val="13"/>
                <w:color w:val="auto"/>
              </w:rPr>
              <w:t>—</w:t>
            </w:r>
          </w:p>
        </w:tc>
        <w:tc>
          <w:tcPr>
            <w:tcW w:w="860" w:type="dxa"/>
            <w:vAlign w:val="bottom"/>
            <w:gridSpan w:val="2"/>
          </w:tcPr>
          <w:p>
            <w:pPr>
              <w:jc w:val="right"/>
              <w:spacing w:after="0"/>
              <w:rPr>
                <w:sz w:val="20"/>
                <w:szCs w:val="20"/>
                <w:color w:val="auto"/>
              </w:rPr>
            </w:pPr>
            <w:r>
              <w:rPr>
                <w:rFonts w:ascii="Arial" w:cs="Arial" w:eastAsia="Arial" w:hAnsi="Arial"/>
                <w:sz w:val="13"/>
                <w:szCs w:val="13"/>
                <w:color w:val="auto"/>
              </w:rPr>
              <w:t>19,000,000</w:t>
            </w:r>
          </w:p>
        </w:tc>
        <w:tc>
          <w:tcPr>
            <w:tcW w:w="1200" w:type="dxa"/>
            <w:vAlign w:val="bottom"/>
            <w:gridSpan w:val="3"/>
          </w:tcPr>
          <w:p>
            <w:pPr>
              <w:jc w:val="right"/>
              <w:ind w:right="220"/>
              <w:spacing w:after="0"/>
              <w:rPr>
                <w:sz w:val="20"/>
                <w:szCs w:val="20"/>
                <w:color w:val="auto"/>
              </w:rPr>
            </w:pPr>
            <w:r>
              <w:rPr>
                <w:rFonts w:ascii="Arial" w:cs="Arial" w:eastAsia="Arial" w:hAnsi="Arial"/>
                <w:sz w:val="13"/>
                <w:szCs w:val="13"/>
                <w:color w:val="auto"/>
              </w:rPr>
              <w:t>16,565,952</w:t>
            </w:r>
          </w:p>
        </w:tc>
        <w:tc>
          <w:tcPr>
            <w:tcW w:w="800" w:type="dxa"/>
            <w:vAlign w:val="bottom"/>
            <w:gridSpan w:val="2"/>
          </w:tcPr>
          <w:p>
            <w:pPr>
              <w:jc w:val="right"/>
              <w:ind w:right="20"/>
              <w:spacing w:after="0"/>
              <w:rPr>
                <w:sz w:val="20"/>
                <w:szCs w:val="20"/>
                <w:color w:val="auto"/>
              </w:rPr>
            </w:pPr>
            <w:r>
              <w:rPr>
                <w:rFonts w:ascii="Arial" w:cs="Arial" w:eastAsia="Arial" w:hAnsi="Arial"/>
                <w:sz w:val="13"/>
                <w:szCs w:val="13"/>
                <w:color w:val="auto"/>
              </w:rPr>
              <w:t>6,270,000</w:t>
            </w:r>
          </w:p>
        </w:tc>
        <w:tc>
          <w:tcPr>
            <w:tcW w:w="0" w:type="dxa"/>
            <w:vAlign w:val="bottom"/>
          </w:tcPr>
          <w:p>
            <w:pPr>
              <w:spacing w:after="0"/>
              <w:rPr>
                <w:sz w:val="1"/>
                <w:szCs w:val="1"/>
                <w:color w:val="auto"/>
              </w:rPr>
            </w:pPr>
          </w:p>
        </w:tc>
      </w:tr>
      <w:tr>
        <w:trPr>
          <w:trHeight w:val="144"/>
        </w:trPr>
        <w:tc>
          <w:tcPr>
            <w:tcW w:w="4600" w:type="dxa"/>
            <w:vAlign w:val="bottom"/>
            <w:gridSpan w:val="2"/>
            <w:shd w:val="clear" w:color="auto" w:fill="CCEEFF"/>
          </w:tcPr>
          <w:p>
            <w:pPr>
              <w:spacing w:after="0" w:line="144" w:lineRule="exact"/>
              <w:rPr>
                <w:sz w:val="20"/>
                <w:szCs w:val="20"/>
                <w:color w:val="auto"/>
              </w:rPr>
            </w:pPr>
            <w:r>
              <w:rPr>
                <w:rFonts w:ascii="Arial" w:cs="Arial" w:eastAsia="Arial" w:hAnsi="Arial"/>
                <w:sz w:val="13"/>
                <w:szCs w:val="13"/>
                <w:color w:val="auto"/>
              </w:rPr>
              <w:t>Sheridan Holdings, Inc.</w:t>
            </w:r>
          </w:p>
        </w:tc>
        <w:tc>
          <w:tcPr>
            <w:tcW w:w="640" w:type="dxa"/>
            <w:vAlign w:val="bottom"/>
            <w:shd w:val="clear" w:color="auto" w:fill="CCEEFF"/>
          </w:tcPr>
          <w:p>
            <w:pPr>
              <w:jc w:val="center"/>
              <w:spacing w:after="0" w:line="144" w:lineRule="exact"/>
              <w:rPr>
                <w:sz w:val="20"/>
                <w:szCs w:val="20"/>
                <w:color w:val="auto"/>
              </w:rPr>
            </w:pPr>
            <w:r>
              <w:rPr>
                <w:rFonts w:ascii="Arial" w:cs="Arial" w:eastAsia="Arial" w:hAnsi="Arial"/>
                <w:sz w:val="13"/>
                <w:szCs w:val="13"/>
                <w:color w:val="auto"/>
                <w:w w:val="95"/>
              </w:rPr>
              <w:t>06/15/2015</w:t>
            </w:r>
          </w:p>
        </w:tc>
        <w:tc>
          <w:tcPr>
            <w:tcW w:w="200" w:type="dxa"/>
            <w:vAlign w:val="bottom"/>
            <w:shd w:val="clear" w:color="auto" w:fill="CCEEFF"/>
          </w:tcPr>
          <w:p>
            <w:pPr>
              <w:spacing w:after="0"/>
              <w:rPr>
                <w:sz w:val="12"/>
                <w:szCs w:val="12"/>
                <w:color w:val="auto"/>
              </w:rPr>
            </w:pPr>
          </w:p>
        </w:tc>
        <w:tc>
          <w:tcPr>
            <w:tcW w:w="1120" w:type="dxa"/>
            <w:vAlign w:val="bottom"/>
            <w:shd w:val="clear" w:color="auto" w:fill="CCEEFF"/>
          </w:tcPr>
          <w:p>
            <w:pPr>
              <w:jc w:val="center"/>
              <w:spacing w:after="0" w:line="144" w:lineRule="exact"/>
              <w:rPr>
                <w:sz w:val="20"/>
                <w:szCs w:val="20"/>
                <w:color w:val="auto"/>
              </w:rPr>
            </w:pPr>
            <w:r>
              <w:rPr>
                <w:rFonts w:ascii="Arial" w:cs="Arial" w:eastAsia="Arial" w:hAnsi="Arial"/>
                <w:sz w:val="13"/>
                <w:szCs w:val="13"/>
                <w:color w:val="auto"/>
                <w:w w:val="93"/>
              </w:rPr>
              <w:t>Healthcare,</w:t>
            </w:r>
          </w:p>
        </w:tc>
        <w:tc>
          <w:tcPr>
            <w:tcW w:w="840" w:type="dxa"/>
            <w:vAlign w:val="bottom"/>
            <w:gridSpan w:val="3"/>
            <w:shd w:val="clear" w:color="auto" w:fill="CCEEFF"/>
          </w:tcPr>
          <w:p>
            <w:pPr>
              <w:jc w:val="right"/>
              <w:ind w:right="20"/>
              <w:spacing w:after="0" w:line="144" w:lineRule="exact"/>
              <w:rPr>
                <w:sz w:val="20"/>
                <w:szCs w:val="20"/>
                <w:color w:val="auto"/>
              </w:rPr>
            </w:pPr>
            <w:r>
              <w:rPr>
                <w:rFonts w:ascii="Arial" w:cs="Arial" w:eastAsia="Arial" w:hAnsi="Arial"/>
                <w:sz w:val="13"/>
                <w:szCs w:val="13"/>
                <w:color w:val="auto"/>
              </w:rPr>
              <w:t>8.54%</w:t>
            </w:r>
          </w:p>
        </w:tc>
        <w:tc>
          <w:tcPr>
            <w:tcW w:w="400" w:type="dxa"/>
            <w:vAlign w:val="bottom"/>
            <w:shd w:val="clear" w:color="auto" w:fill="CCEEFF"/>
          </w:tcPr>
          <w:p>
            <w:pPr>
              <w:jc w:val="right"/>
              <w:ind w:right="153"/>
              <w:spacing w:after="0" w:line="144" w:lineRule="exact"/>
              <w:rPr>
                <w:sz w:val="20"/>
                <w:szCs w:val="20"/>
                <w:color w:val="auto"/>
              </w:rPr>
            </w:pPr>
            <w:r>
              <w:rPr>
                <w:rFonts w:ascii="Arial" w:cs="Arial" w:eastAsia="Arial" w:hAnsi="Arial"/>
                <w:sz w:val="13"/>
                <w:szCs w:val="13"/>
                <w:color w:val="auto"/>
              </w:rPr>
              <w:t>(6)</w:t>
            </w:r>
          </w:p>
        </w:tc>
        <w:tc>
          <w:tcPr>
            <w:tcW w:w="600" w:type="dxa"/>
            <w:vAlign w:val="bottom"/>
            <w:gridSpan w:val="2"/>
            <w:shd w:val="clear" w:color="auto" w:fill="CCEEFF"/>
          </w:tcPr>
          <w:p>
            <w:pPr>
              <w:ind w:left="120"/>
              <w:spacing w:after="0" w:line="144" w:lineRule="exact"/>
              <w:rPr>
                <w:sz w:val="20"/>
                <w:szCs w:val="20"/>
                <w:color w:val="auto"/>
              </w:rPr>
            </w:pPr>
            <w:r>
              <w:rPr>
                <w:rFonts w:ascii="Arial" w:cs="Arial" w:eastAsia="Arial" w:hAnsi="Arial"/>
                <w:sz w:val="13"/>
                <w:szCs w:val="13"/>
                <w:color w:val="auto"/>
              </w:rPr>
              <w:t>L+575</w:t>
            </w:r>
          </w:p>
        </w:tc>
        <w:tc>
          <w:tcPr>
            <w:tcW w:w="860" w:type="dxa"/>
            <w:vAlign w:val="bottom"/>
            <w:gridSpan w:val="2"/>
            <w:shd w:val="clear" w:color="auto" w:fill="CCEEFF"/>
          </w:tcPr>
          <w:p>
            <w:pPr>
              <w:jc w:val="right"/>
              <w:spacing w:after="0" w:line="144" w:lineRule="exact"/>
              <w:rPr>
                <w:sz w:val="20"/>
                <w:szCs w:val="20"/>
                <w:color w:val="auto"/>
              </w:rPr>
            </w:pPr>
            <w:r>
              <w:rPr>
                <w:rFonts w:ascii="Arial" w:cs="Arial" w:eastAsia="Arial" w:hAnsi="Arial"/>
                <w:sz w:val="13"/>
                <w:szCs w:val="13"/>
                <w:color w:val="auto"/>
              </w:rPr>
              <w:t>12,500,000</w:t>
            </w:r>
          </w:p>
        </w:tc>
        <w:tc>
          <w:tcPr>
            <w:tcW w:w="1200" w:type="dxa"/>
            <w:vAlign w:val="bottom"/>
            <w:gridSpan w:val="3"/>
            <w:shd w:val="clear" w:color="auto" w:fill="CCEEFF"/>
          </w:tcPr>
          <w:p>
            <w:pPr>
              <w:jc w:val="right"/>
              <w:ind w:right="220"/>
              <w:spacing w:after="0" w:line="144" w:lineRule="exact"/>
              <w:rPr>
                <w:sz w:val="20"/>
                <w:szCs w:val="20"/>
                <w:color w:val="auto"/>
              </w:rPr>
            </w:pPr>
            <w:r>
              <w:rPr>
                <w:rFonts w:ascii="Arial" w:cs="Arial" w:eastAsia="Arial" w:hAnsi="Arial"/>
                <w:sz w:val="13"/>
                <w:szCs w:val="13"/>
                <w:color w:val="auto"/>
              </w:rPr>
              <w:t>11,838,114</w:t>
            </w:r>
          </w:p>
        </w:tc>
        <w:tc>
          <w:tcPr>
            <w:tcW w:w="78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10,500,000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60" w:type="dxa"/>
            <w:vAlign w:val="bottom"/>
            <w:shd w:val="clear" w:color="auto" w:fill="CCEEFF"/>
          </w:tcPr>
          <w:p>
            <w:pPr>
              <w:spacing w:after="0"/>
              <w:rPr>
                <w:sz w:val="12"/>
                <w:szCs w:val="12"/>
                <w:color w:val="auto"/>
              </w:rPr>
            </w:pPr>
          </w:p>
        </w:tc>
        <w:tc>
          <w:tcPr>
            <w:tcW w:w="38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3"/>
              </w:rPr>
              <w:t>Education and</w:t>
            </w:r>
          </w:p>
        </w:tc>
        <w:tc>
          <w:tcPr>
            <w:tcW w:w="2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760" w:type="dxa"/>
            <w:vAlign w:val="bottom"/>
            <w:shd w:val="clear" w:color="auto" w:fill="CCEEFF"/>
          </w:tcPr>
          <w:p>
            <w:pPr>
              <w:spacing w:after="0"/>
              <w:rPr>
                <w:sz w:val="13"/>
                <w:szCs w:val="13"/>
                <w:color w:val="auto"/>
              </w:rPr>
            </w:pPr>
          </w:p>
        </w:tc>
        <w:tc>
          <w:tcPr>
            <w:tcW w:w="384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1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8"/>
              </w:rPr>
              <w:t>Childcare</w:t>
            </w:r>
          </w:p>
        </w:tc>
        <w:tc>
          <w:tcPr>
            <w:tcW w:w="22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6"/>
        </w:trPr>
        <w:tc>
          <w:tcPr>
            <w:tcW w:w="4600" w:type="dxa"/>
            <w:vAlign w:val="bottom"/>
            <w:gridSpan w:val="2"/>
          </w:tcPr>
          <w:p>
            <w:pPr>
              <w:spacing w:after="0"/>
              <w:rPr>
                <w:sz w:val="20"/>
                <w:szCs w:val="20"/>
                <w:color w:val="auto"/>
              </w:rPr>
            </w:pPr>
            <w:r>
              <w:rPr>
                <w:rFonts w:ascii="Arial" w:cs="Arial" w:eastAsia="Arial" w:hAnsi="Arial"/>
                <w:sz w:val="13"/>
                <w:szCs w:val="13"/>
                <w:color w:val="auto"/>
              </w:rPr>
              <w:t>Specialized Technology Resources, Inc.</w:t>
            </w:r>
          </w:p>
        </w:tc>
        <w:tc>
          <w:tcPr>
            <w:tcW w:w="640" w:type="dxa"/>
            <w:vAlign w:val="bottom"/>
          </w:tcPr>
          <w:p>
            <w:pPr>
              <w:jc w:val="center"/>
              <w:spacing w:after="0"/>
              <w:rPr>
                <w:sz w:val="20"/>
                <w:szCs w:val="20"/>
                <w:color w:val="auto"/>
              </w:rPr>
            </w:pPr>
            <w:r>
              <w:rPr>
                <w:rFonts w:ascii="Arial" w:cs="Arial" w:eastAsia="Arial" w:hAnsi="Arial"/>
                <w:sz w:val="13"/>
                <w:szCs w:val="13"/>
                <w:color w:val="auto"/>
                <w:w w:val="95"/>
              </w:rPr>
              <w:t>12/15/2014</w:t>
            </w:r>
          </w:p>
        </w:tc>
        <w:tc>
          <w:tcPr>
            <w:tcW w:w="200" w:type="dxa"/>
            <w:vAlign w:val="bottom"/>
          </w:tcPr>
          <w:p>
            <w:pPr>
              <w:spacing w:after="0"/>
              <w:rPr>
                <w:sz w:val="21"/>
                <w:szCs w:val="21"/>
                <w:color w:val="auto"/>
              </w:rPr>
            </w:pPr>
          </w:p>
        </w:tc>
        <w:tc>
          <w:tcPr>
            <w:tcW w:w="1120" w:type="dxa"/>
            <w:vAlign w:val="bottom"/>
          </w:tcPr>
          <w:p>
            <w:pPr>
              <w:jc w:val="center"/>
              <w:spacing w:after="0"/>
              <w:rPr>
                <w:sz w:val="20"/>
                <w:szCs w:val="20"/>
                <w:color w:val="auto"/>
              </w:rPr>
            </w:pPr>
            <w:r>
              <w:rPr>
                <w:rFonts w:ascii="Arial" w:cs="Arial" w:eastAsia="Arial" w:hAnsi="Arial"/>
                <w:sz w:val="13"/>
                <w:szCs w:val="13"/>
                <w:color w:val="auto"/>
                <w:w w:val="92"/>
              </w:rPr>
              <w:t>Chemical, Plastics</w:t>
            </w:r>
          </w:p>
        </w:tc>
        <w:tc>
          <w:tcPr>
            <w:tcW w:w="840" w:type="dxa"/>
            <w:vAlign w:val="bottom"/>
            <w:gridSpan w:val="3"/>
          </w:tcPr>
          <w:p>
            <w:pPr>
              <w:jc w:val="right"/>
              <w:ind w:right="20"/>
              <w:spacing w:after="0"/>
              <w:rPr>
                <w:sz w:val="20"/>
                <w:szCs w:val="20"/>
                <w:color w:val="auto"/>
              </w:rPr>
            </w:pPr>
            <w:r>
              <w:rPr>
                <w:rFonts w:ascii="Arial" w:cs="Arial" w:eastAsia="Arial" w:hAnsi="Arial"/>
                <w:sz w:val="13"/>
                <w:szCs w:val="13"/>
                <w:color w:val="auto"/>
              </w:rPr>
              <w:t>10.70%</w:t>
            </w:r>
          </w:p>
        </w:tc>
        <w:tc>
          <w:tcPr>
            <w:tcW w:w="400" w:type="dxa"/>
            <w:vAlign w:val="bottom"/>
          </w:tcPr>
          <w:p>
            <w:pPr>
              <w:jc w:val="right"/>
              <w:ind w:right="153"/>
              <w:spacing w:after="0"/>
              <w:rPr>
                <w:sz w:val="20"/>
                <w:szCs w:val="20"/>
                <w:color w:val="auto"/>
              </w:rPr>
            </w:pPr>
            <w:r>
              <w:rPr>
                <w:rFonts w:ascii="Arial" w:cs="Arial" w:eastAsia="Arial" w:hAnsi="Arial"/>
                <w:sz w:val="13"/>
                <w:szCs w:val="13"/>
                <w:color w:val="auto"/>
              </w:rPr>
              <w:t>(6)</w:t>
            </w:r>
          </w:p>
        </w:tc>
        <w:tc>
          <w:tcPr>
            <w:tcW w:w="600" w:type="dxa"/>
            <w:vAlign w:val="bottom"/>
            <w:gridSpan w:val="2"/>
          </w:tcPr>
          <w:p>
            <w:pPr>
              <w:ind w:left="120"/>
              <w:spacing w:after="0"/>
              <w:rPr>
                <w:sz w:val="20"/>
                <w:szCs w:val="20"/>
                <w:color w:val="auto"/>
              </w:rPr>
            </w:pPr>
            <w:r>
              <w:rPr>
                <w:rFonts w:ascii="Arial" w:cs="Arial" w:eastAsia="Arial" w:hAnsi="Arial"/>
                <w:sz w:val="13"/>
                <w:szCs w:val="13"/>
                <w:color w:val="auto"/>
              </w:rPr>
              <w:t>L+700</w:t>
            </w:r>
          </w:p>
        </w:tc>
        <w:tc>
          <w:tcPr>
            <w:tcW w:w="860" w:type="dxa"/>
            <w:vAlign w:val="bottom"/>
            <w:gridSpan w:val="2"/>
          </w:tcPr>
          <w:p>
            <w:pPr>
              <w:jc w:val="right"/>
              <w:spacing w:after="0"/>
              <w:rPr>
                <w:sz w:val="20"/>
                <w:szCs w:val="20"/>
                <w:color w:val="auto"/>
              </w:rPr>
            </w:pPr>
            <w:r>
              <w:rPr>
                <w:rFonts w:ascii="Arial" w:cs="Arial" w:eastAsia="Arial" w:hAnsi="Arial"/>
                <w:sz w:val="13"/>
                <w:szCs w:val="13"/>
                <w:color w:val="auto"/>
              </w:rPr>
              <w:t>22,500,000</w:t>
            </w:r>
          </w:p>
        </w:tc>
        <w:tc>
          <w:tcPr>
            <w:tcW w:w="1200" w:type="dxa"/>
            <w:vAlign w:val="bottom"/>
            <w:gridSpan w:val="3"/>
          </w:tcPr>
          <w:p>
            <w:pPr>
              <w:jc w:val="right"/>
              <w:ind w:right="220"/>
              <w:spacing w:after="0"/>
              <w:rPr>
                <w:sz w:val="20"/>
                <w:szCs w:val="20"/>
                <w:color w:val="auto"/>
              </w:rPr>
            </w:pPr>
            <w:r>
              <w:rPr>
                <w:rFonts w:ascii="Arial" w:cs="Arial" w:eastAsia="Arial" w:hAnsi="Arial"/>
                <w:sz w:val="13"/>
                <w:szCs w:val="13"/>
                <w:color w:val="auto"/>
              </w:rPr>
              <w:t>22,485,895</w:t>
            </w:r>
          </w:p>
        </w:tc>
        <w:tc>
          <w:tcPr>
            <w:tcW w:w="800" w:type="dxa"/>
            <w:vAlign w:val="bottom"/>
            <w:gridSpan w:val="2"/>
          </w:tcPr>
          <w:p>
            <w:pPr>
              <w:jc w:val="right"/>
              <w:ind w:right="20"/>
              <w:spacing w:after="0"/>
              <w:rPr>
                <w:sz w:val="20"/>
                <w:szCs w:val="20"/>
                <w:color w:val="auto"/>
              </w:rPr>
            </w:pPr>
            <w:r>
              <w:rPr>
                <w:rFonts w:ascii="Arial" w:cs="Arial" w:eastAsia="Arial" w:hAnsi="Arial"/>
                <w:sz w:val="13"/>
                <w:szCs w:val="13"/>
                <w:color w:val="auto"/>
              </w:rPr>
              <w:t>19,800,000</w:t>
            </w:r>
          </w:p>
        </w:tc>
        <w:tc>
          <w:tcPr>
            <w:tcW w:w="0" w:type="dxa"/>
            <w:vAlign w:val="bottom"/>
          </w:tcPr>
          <w:p>
            <w:pPr>
              <w:spacing w:after="0"/>
              <w:rPr>
                <w:sz w:val="1"/>
                <w:szCs w:val="1"/>
                <w:color w:val="auto"/>
              </w:rPr>
            </w:pPr>
          </w:p>
        </w:tc>
      </w:tr>
      <w:tr>
        <w:trPr>
          <w:trHeight w:val="172"/>
        </w:trPr>
        <w:tc>
          <w:tcPr>
            <w:tcW w:w="760" w:type="dxa"/>
            <w:vAlign w:val="bottom"/>
          </w:tcPr>
          <w:p>
            <w:pPr>
              <w:spacing w:after="0"/>
              <w:rPr>
                <w:sz w:val="14"/>
                <w:szCs w:val="14"/>
                <w:color w:val="auto"/>
              </w:rPr>
            </w:pPr>
          </w:p>
        </w:tc>
        <w:tc>
          <w:tcPr>
            <w:tcW w:w="38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tcPr>
          <w:p>
            <w:pPr>
              <w:jc w:val="center"/>
              <w:spacing w:after="0"/>
              <w:rPr>
                <w:sz w:val="20"/>
                <w:szCs w:val="20"/>
                <w:color w:val="auto"/>
              </w:rPr>
            </w:pPr>
            <w:r>
              <w:rPr>
                <w:rFonts w:ascii="Arial" w:cs="Arial" w:eastAsia="Arial" w:hAnsi="Arial"/>
                <w:sz w:val="13"/>
                <w:szCs w:val="13"/>
                <w:color w:val="auto"/>
                <w:w w:val="91"/>
              </w:rPr>
              <w:t>and Rubber</w:t>
            </w:r>
          </w:p>
        </w:tc>
        <w:tc>
          <w:tcPr>
            <w:tcW w:w="2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760" w:type="dxa"/>
            <w:vAlign w:val="bottom"/>
          </w:tcPr>
          <w:p>
            <w:pPr>
              <w:spacing w:after="0"/>
              <w:rPr>
                <w:sz w:val="8"/>
                <w:szCs w:val="8"/>
                <w:color w:val="auto"/>
              </w:rPr>
            </w:pPr>
          </w:p>
        </w:tc>
        <w:tc>
          <w:tcPr>
            <w:tcW w:w="38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2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220" w:type="dxa"/>
            <w:vAlign w:val="bottom"/>
          </w:tcPr>
          <w:p>
            <w:pPr>
              <w:spacing w:after="0"/>
              <w:rPr>
                <w:sz w:val="8"/>
                <w:szCs w:val="8"/>
                <w:color w:val="auto"/>
              </w:rPr>
            </w:pPr>
          </w:p>
        </w:tc>
        <w:tc>
          <w:tcPr>
            <w:tcW w:w="760" w:type="dxa"/>
            <w:vAlign w:val="bottom"/>
          </w:tcPr>
          <w:p>
            <w:pPr>
              <w:spacing w:after="0"/>
              <w:rPr>
                <w:sz w:val="8"/>
                <w:szCs w:val="8"/>
                <w:color w:val="auto"/>
              </w:rPr>
            </w:pPr>
          </w:p>
        </w:tc>
        <w:tc>
          <w:tcPr>
            <w:tcW w:w="2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48"/>
        </w:trPr>
        <w:tc>
          <w:tcPr>
            <w:tcW w:w="46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TransFirst Holdings, Inc.</w:t>
            </w:r>
          </w:p>
        </w:tc>
        <w:tc>
          <w:tcPr>
            <w:tcW w:w="6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5"/>
              </w:rPr>
              <w:t>06/15/2015</w:t>
            </w:r>
          </w:p>
        </w:tc>
        <w:tc>
          <w:tcPr>
            <w:tcW w:w="200" w:type="dxa"/>
            <w:vAlign w:val="bottom"/>
            <w:shd w:val="clear" w:color="auto" w:fill="CCEEFF"/>
          </w:tcPr>
          <w:p>
            <w:pPr>
              <w:spacing w:after="0"/>
              <w:rPr>
                <w:sz w:val="12"/>
                <w:szCs w:val="12"/>
                <w:color w:val="auto"/>
              </w:rPr>
            </w:pPr>
          </w:p>
        </w:tc>
        <w:tc>
          <w:tcPr>
            <w:tcW w:w="11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2"/>
              </w:rPr>
              <w:t>Financial Services</w:t>
            </w:r>
          </w:p>
        </w:tc>
        <w:tc>
          <w:tcPr>
            <w:tcW w:w="840" w:type="dxa"/>
            <w:vAlign w:val="bottom"/>
            <w:gridSpan w:val="3"/>
            <w:shd w:val="clear" w:color="auto" w:fill="CCEEFF"/>
          </w:tcPr>
          <w:p>
            <w:pPr>
              <w:jc w:val="right"/>
              <w:ind w:right="20"/>
              <w:spacing w:after="0"/>
              <w:rPr>
                <w:sz w:val="20"/>
                <w:szCs w:val="20"/>
                <w:color w:val="auto"/>
              </w:rPr>
            </w:pPr>
            <w:r>
              <w:rPr>
                <w:rFonts w:ascii="Arial" w:cs="Arial" w:eastAsia="Arial" w:hAnsi="Arial"/>
                <w:sz w:val="13"/>
                <w:szCs w:val="13"/>
                <w:color w:val="auto"/>
              </w:rPr>
              <w:t>9.77%</w:t>
            </w:r>
          </w:p>
        </w:tc>
        <w:tc>
          <w:tcPr>
            <w:tcW w:w="400" w:type="dxa"/>
            <w:vAlign w:val="bottom"/>
            <w:shd w:val="clear" w:color="auto" w:fill="CCEEFF"/>
          </w:tcPr>
          <w:p>
            <w:pPr>
              <w:jc w:val="right"/>
              <w:ind w:right="153"/>
              <w:spacing w:after="0"/>
              <w:rPr>
                <w:sz w:val="20"/>
                <w:szCs w:val="20"/>
                <w:color w:val="auto"/>
              </w:rPr>
            </w:pPr>
            <w:r>
              <w:rPr>
                <w:rFonts w:ascii="Arial" w:cs="Arial" w:eastAsia="Arial" w:hAnsi="Arial"/>
                <w:sz w:val="13"/>
                <w:szCs w:val="13"/>
                <w:color w:val="auto"/>
              </w:rPr>
              <w:t>(6)</w:t>
            </w:r>
          </w:p>
        </w:tc>
        <w:tc>
          <w:tcPr>
            <w:tcW w:w="600" w:type="dxa"/>
            <w:vAlign w:val="bottom"/>
            <w:gridSpan w:val="2"/>
            <w:shd w:val="clear" w:color="auto" w:fill="CCEEFF"/>
          </w:tcPr>
          <w:p>
            <w:pPr>
              <w:ind w:left="120"/>
              <w:spacing w:after="0"/>
              <w:rPr>
                <w:sz w:val="20"/>
                <w:szCs w:val="20"/>
                <w:color w:val="auto"/>
              </w:rPr>
            </w:pPr>
            <w:r>
              <w:rPr>
                <w:rFonts w:ascii="Arial" w:cs="Arial" w:eastAsia="Arial" w:hAnsi="Arial"/>
                <w:sz w:val="13"/>
                <w:szCs w:val="13"/>
                <w:color w:val="auto"/>
              </w:rPr>
              <w:t>L+600</w:t>
            </w: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16,500,000</w:t>
            </w:r>
          </w:p>
        </w:tc>
        <w:tc>
          <w:tcPr>
            <w:tcW w:w="22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15,866,044</w:t>
            </w: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13,942,500</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60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Total Second Lien Secured Debt</w:t>
            </w:r>
          </w:p>
        </w:tc>
        <w:tc>
          <w:tcPr>
            <w:tcW w:w="6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4600" w:type="dxa"/>
            <w:vAlign w:val="bottom"/>
            <w:gridSpan w:val="2"/>
            <w:vMerge w:val="continue"/>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128,100,000</w:t>
            </w:r>
          </w:p>
        </w:tc>
        <w:tc>
          <w:tcPr>
            <w:tcW w:w="220" w:type="dxa"/>
            <w:vAlign w:val="bottom"/>
          </w:tcPr>
          <w:p>
            <w:pPr>
              <w:spacing w:after="0"/>
              <w:rPr>
                <w:sz w:val="13"/>
                <w:szCs w:val="13"/>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3"/>
                <w:szCs w:val="13"/>
                <w:color w:val="auto"/>
              </w:rPr>
              <w:t>123,405,221</w:t>
            </w:r>
          </w:p>
        </w:tc>
        <w:tc>
          <w:tcPr>
            <w:tcW w:w="800" w:type="dxa"/>
            <w:vAlign w:val="bottom"/>
            <w:gridSpan w:val="2"/>
          </w:tcPr>
          <w:p>
            <w:pPr>
              <w:jc w:val="right"/>
              <w:ind w:right="20"/>
              <w:spacing w:after="0"/>
              <w:rPr>
                <w:sz w:val="20"/>
                <w:szCs w:val="20"/>
                <w:color w:val="auto"/>
              </w:rPr>
            </w:pPr>
            <w:r>
              <w:rPr>
                <w:rFonts w:ascii="Arial" w:cs="Arial" w:eastAsia="Arial" w:hAnsi="Arial"/>
                <w:sz w:val="13"/>
                <w:szCs w:val="13"/>
                <w:color w:val="auto"/>
              </w:rPr>
              <w:t>95,894,500</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240"/>
          </w:cols>
          <w:pgMar w:left="320" w:top="459" w:right="3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206375</wp:posOffset>
            </wp:positionH>
            <wp:positionV relativeFrom="page">
              <wp:posOffset>88900</wp:posOffset>
            </wp:positionV>
            <wp:extent cx="7153275" cy="279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32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PENNANTPARK INVESTMENT CORPORATION</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SCHEDULE OF INVESTMENTS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SEPTEMBER 30, 2008</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760" w:type="dxa"/>
            <w:vAlign w:val="bottom"/>
          </w:tcPr>
          <w:p>
            <w:pPr>
              <w:spacing w:after="0"/>
              <w:rPr>
                <w:sz w:val="13"/>
                <w:szCs w:val="13"/>
                <w:color w:val="auto"/>
              </w:rPr>
            </w:pPr>
          </w:p>
        </w:tc>
        <w:tc>
          <w:tcPr>
            <w:tcW w:w="41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74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6"/>
              </w:rPr>
              <w:t>Basis</w:t>
            </w: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760" w:type="dxa"/>
            <w:vAlign w:val="bottom"/>
          </w:tcPr>
          <w:p>
            <w:pPr>
              <w:spacing w:after="0"/>
              <w:rPr>
                <w:sz w:val="12"/>
                <w:szCs w:val="12"/>
                <w:color w:val="auto"/>
              </w:rPr>
            </w:pPr>
          </w:p>
        </w:tc>
        <w:tc>
          <w:tcPr>
            <w:tcW w:w="4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4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2"/>
              </w:rPr>
              <w:t>Point</w:t>
            </w: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60" w:type="dxa"/>
            <w:vAlign w:val="bottom"/>
          </w:tcPr>
          <w:p>
            <w:pPr>
              <w:spacing w:after="0"/>
              <w:rPr>
                <w:sz w:val="12"/>
                <w:szCs w:val="12"/>
                <w:color w:val="auto"/>
              </w:rPr>
            </w:pPr>
          </w:p>
        </w:tc>
        <w:tc>
          <w:tcPr>
            <w:tcW w:w="4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4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5"/>
              </w:rPr>
              <w:t>Spread</w:t>
            </w: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760" w:type="dxa"/>
            <w:vAlign w:val="bottom"/>
          </w:tcPr>
          <w:p>
            <w:pPr>
              <w:spacing w:after="0"/>
              <w:rPr>
                <w:sz w:val="14"/>
                <w:szCs w:val="14"/>
                <w:color w:val="auto"/>
              </w:rPr>
            </w:pPr>
          </w:p>
        </w:tc>
        <w:tc>
          <w:tcPr>
            <w:tcW w:w="4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3"/>
                <w:szCs w:val="13"/>
                <w:b w:val="1"/>
                <w:bCs w:val="1"/>
                <w:color w:val="auto"/>
                <w:w w:val="97"/>
              </w:rPr>
              <w:t>Current</w:t>
            </w:r>
          </w:p>
        </w:tc>
        <w:tc>
          <w:tcPr>
            <w:tcW w:w="380" w:type="dxa"/>
            <w:vAlign w:val="bottom"/>
          </w:tcPr>
          <w:p>
            <w:pPr>
              <w:spacing w:after="0"/>
              <w:rPr>
                <w:sz w:val="14"/>
                <w:szCs w:val="14"/>
                <w:color w:val="auto"/>
              </w:rPr>
            </w:pPr>
          </w:p>
        </w:tc>
        <w:tc>
          <w:tcPr>
            <w:tcW w:w="74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5"/>
              </w:rPr>
              <w:t>Above</w:t>
            </w: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gridSpan w:val="2"/>
            <w:vMerge w:val="restart"/>
          </w:tcPr>
          <w:p>
            <w:pPr>
              <w:jc w:val="right"/>
              <w:ind w:right="140"/>
              <w:spacing w:after="0"/>
              <w:rPr>
                <w:sz w:val="20"/>
                <w:szCs w:val="20"/>
                <w:color w:val="auto"/>
              </w:rPr>
            </w:pPr>
            <w:r>
              <w:rPr>
                <w:rFonts w:ascii="Arial" w:cs="Arial" w:eastAsia="Arial" w:hAnsi="Arial"/>
                <w:sz w:val="13"/>
                <w:szCs w:val="13"/>
                <w:b w:val="1"/>
                <w:bCs w:val="1"/>
                <w:color w:val="auto"/>
                <w:w w:val="88"/>
              </w:rPr>
              <w:t xml:space="preserve">Value </w:t>
            </w:r>
            <w:r>
              <w:rPr>
                <w:rFonts w:ascii="Arial" w:cs="Arial" w:eastAsia="Arial" w:hAnsi="Arial"/>
                <w:sz w:val="22"/>
                <w:szCs w:val="22"/>
                <w:b w:val="1"/>
                <w:bCs w:val="1"/>
                <w:color w:val="auto"/>
                <w:w w:val="88"/>
                <w:vertAlign w:val="superscript"/>
              </w:rPr>
              <w:t>(3)</w:t>
            </w:r>
          </w:p>
        </w:tc>
        <w:tc>
          <w:tcPr>
            <w:tcW w:w="0" w:type="dxa"/>
            <w:vAlign w:val="bottom"/>
          </w:tcPr>
          <w:p>
            <w:pPr>
              <w:spacing w:after="0"/>
              <w:rPr>
                <w:sz w:val="1"/>
                <w:szCs w:val="1"/>
                <w:color w:val="auto"/>
              </w:rPr>
            </w:pPr>
          </w:p>
        </w:tc>
      </w:tr>
      <w:tr>
        <w:trPr>
          <w:trHeight w:val="176"/>
        </w:trPr>
        <w:tc>
          <w:tcPr>
            <w:tcW w:w="4940" w:type="dxa"/>
            <w:vAlign w:val="bottom"/>
            <w:gridSpan w:val="2"/>
          </w:tcPr>
          <w:p>
            <w:pPr>
              <w:spacing w:after="0"/>
              <w:rPr>
                <w:sz w:val="20"/>
                <w:szCs w:val="20"/>
                <w:color w:val="auto"/>
              </w:rPr>
            </w:pPr>
            <w:r>
              <w:rPr>
                <w:rFonts w:ascii="Arial" w:cs="Arial" w:eastAsia="Arial" w:hAnsi="Arial"/>
                <w:sz w:val="13"/>
                <w:szCs w:val="13"/>
                <w:b w:val="1"/>
                <w:bCs w:val="1"/>
                <w:color w:val="auto"/>
              </w:rPr>
              <w:t>Issuer Name</w:t>
            </w:r>
          </w:p>
        </w:tc>
        <w:tc>
          <w:tcPr>
            <w:tcW w:w="620" w:type="dxa"/>
            <w:vAlign w:val="bottom"/>
          </w:tcPr>
          <w:p>
            <w:pPr>
              <w:ind w:left="60"/>
              <w:spacing w:after="0"/>
              <w:rPr>
                <w:sz w:val="20"/>
                <w:szCs w:val="20"/>
                <w:color w:val="auto"/>
              </w:rPr>
            </w:pPr>
            <w:r>
              <w:rPr>
                <w:rFonts w:ascii="Arial" w:cs="Arial" w:eastAsia="Arial" w:hAnsi="Arial"/>
                <w:sz w:val="13"/>
                <w:szCs w:val="13"/>
                <w:b w:val="1"/>
                <w:bCs w:val="1"/>
                <w:color w:val="auto"/>
              </w:rPr>
              <w:t>Maturity</w:t>
            </w:r>
          </w:p>
        </w:tc>
        <w:tc>
          <w:tcPr>
            <w:tcW w:w="220" w:type="dxa"/>
            <w:vAlign w:val="bottom"/>
          </w:tcPr>
          <w:p>
            <w:pPr>
              <w:spacing w:after="0"/>
              <w:rPr>
                <w:sz w:val="15"/>
                <w:szCs w:val="15"/>
                <w:color w:val="auto"/>
              </w:rPr>
            </w:pPr>
          </w:p>
        </w:tc>
        <w:tc>
          <w:tcPr>
            <w:tcW w:w="840" w:type="dxa"/>
            <w:vAlign w:val="bottom"/>
          </w:tcPr>
          <w:p>
            <w:pPr>
              <w:jc w:val="center"/>
              <w:spacing w:after="0"/>
              <w:rPr>
                <w:sz w:val="20"/>
                <w:szCs w:val="20"/>
                <w:color w:val="auto"/>
              </w:rPr>
            </w:pPr>
            <w:r>
              <w:rPr>
                <w:rFonts w:ascii="Arial" w:cs="Arial" w:eastAsia="Arial" w:hAnsi="Arial"/>
                <w:sz w:val="13"/>
                <w:szCs w:val="13"/>
                <w:b w:val="1"/>
                <w:bCs w:val="1"/>
                <w:color w:val="auto"/>
                <w:w w:val="97"/>
              </w:rPr>
              <w:t>Industry</w:t>
            </w:r>
          </w:p>
        </w:tc>
        <w:tc>
          <w:tcPr>
            <w:tcW w:w="220" w:type="dxa"/>
            <w:vAlign w:val="bottom"/>
          </w:tcPr>
          <w:p>
            <w:pPr>
              <w:spacing w:after="0"/>
              <w:rPr>
                <w:sz w:val="15"/>
                <w:szCs w:val="15"/>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3"/>
                <w:szCs w:val="13"/>
                <w:b w:val="1"/>
                <w:bCs w:val="1"/>
                <w:color w:val="auto"/>
                <w:w w:val="93"/>
              </w:rPr>
              <w:t>Coupon</w:t>
            </w:r>
          </w:p>
        </w:tc>
        <w:tc>
          <w:tcPr>
            <w:tcW w:w="380" w:type="dxa"/>
            <w:vAlign w:val="bottom"/>
          </w:tcPr>
          <w:p>
            <w:pPr>
              <w:spacing w:after="0"/>
              <w:rPr>
                <w:sz w:val="15"/>
                <w:szCs w:val="15"/>
                <w:color w:val="auto"/>
              </w:rPr>
            </w:pPr>
          </w:p>
        </w:tc>
        <w:tc>
          <w:tcPr>
            <w:tcW w:w="740" w:type="dxa"/>
            <w:vAlign w:val="bottom"/>
            <w:gridSpan w:val="2"/>
          </w:tcPr>
          <w:p>
            <w:pPr>
              <w:jc w:val="center"/>
              <w:ind w:right="240"/>
              <w:spacing w:after="0" w:line="176" w:lineRule="exact"/>
              <w:rPr>
                <w:sz w:val="20"/>
                <w:szCs w:val="20"/>
                <w:color w:val="auto"/>
              </w:rPr>
            </w:pPr>
            <w:r>
              <w:rPr>
                <w:rFonts w:ascii="Arial" w:cs="Arial" w:eastAsia="Arial" w:hAnsi="Arial"/>
                <w:sz w:val="12"/>
                <w:szCs w:val="12"/>
                <w:b w:val="1"/>
                <w:bCs w:val="1"/>
                <w:color w:val="auto"/>
                <w:w w:val="96"/>
              </w:rPr>
              <w:t>Index</w:t>
            </w:r>
            <w:r>
              <w:rPr>
                <w:rFonts w:ascii="Arial" w:cs="Arial" w:eastAsia="Arial" w:hAnsi="Arial"/>
                <w:sz w:val="20"/>
                <w:szCs w:val="20"/>
                <w:b w:val="1"/>
                <w:bCs w:val="1"/>
                <w:color w:val="auto"/>
                <w:w w:val="96"/>
                <w:vertAlign w:val="superscript"/>
              </w:rPr>
              <w:t>(4)</w:t>
            </w:r>
          </w:p>
        </w:tc>
        <w:tc>
          <w:tcPr>
            <w:tcW w:w="100" w:type="dxa"/>
            <w:vAlign w:val="bottom"/>
          </w:tcPr>
          <w:p>
            <w:pPr>
              <w:spacing w:after="0"/>
              <w:rPr>
                <w:sz w:val="15"/>
                <w:szCs w:val="15"/>
                <w:color w:val="auto"/>
              </w:rPr>
            </w:pPr>
          </w:p>
        </w:tc>
        <w:tc>
          <w:tcPr>
            <w:tcW w:w="700" w:type="dxa"/>
            <w:vAlign w:val="bottom"/>
          </w:tcPr>
          <w:p>
            <w:pPr>
              <w:jc w:val="center"/>
              <w:spacing w:after="0"/>
              <w:rPr>
                <w:sz w:val="20"/>
                <w:szCs w:val="20"/>
                <w:color w:val="auto"/>
              </w:rPr>
            </w:pPr>
            <w:r>
              <w:rPr>
                <w:rFonts w:ascii="Arial" w:cs="Arial" w:eastAsia="Arial" w:hAnsi="Arial"/>
                <w:sz w:val="13"/>
                <w:szCs w:val="13"/>
                <w:b w:val="1"/>
                <w:bCs w:val="1"/>
                <w:color w:val="auto"/>
              </w:rPr>
              <w:t>Par</w:t>
            </w:r>
          </w:p>
        </w:tc>
        <w:tc>
          <w:tcPr>
            <w:tcW w:w="220" w:type="dxa"/>
            <w:vAlign w:val="bottom"/>
          </w:tcPr>
          <w:p>
            <w:pPr>
              <w:spacing w:after="0"/>
              <w:rPr>
                <w:sz w:val="15"/>
                <w:szCs w:val="15"/>
                <w:color w:val="auto"/>
              </w:rPr>
            </w:pPr>
          </w:p>
        </w:tc>
        <w:tc>
          <w:tcPr>
            <w:tcW w:w="940" w:type="dxa"/>
            <w:vAlign w:val="bottom"/>
            <w:gridSpan w:val="2"/>
          </w:tcPr>
          <w:p>
            <w:pPr>
              <w:ind w:left="220"/>
              <w:spacing w:after="0"/>
              <w:rPr>
                <w:sz w:val="20"/>
                <w:szCs w:val="20"/>
                <w:color w:val="auto"/>
              </w:rPr>
            </w:pPr>
            <w:r>
              <w:rPr>
                <w:rFonts w:ascii="Arial" w:cs="Arial" w:eastAsia="Arial" w:hAnsi="Arial"/>
                <w:sz w:val="13"/>
                <w:szCs w:val="13"/>
                <w:b w:val="1"/>
                <w:bCs w:val="1"/>
                <w:color w:val="auto"/>
              </w:rPr>
              <w:t>Cost</w:t>
            </w:r>
          </w:p>
        </w:tc>
        <w:tc>
          <w:tcPr>
            <w:tcW w:w="80" w:type="dxa"/>
            <w:vAlign w:val="bottom"/>
          </w:tcPr>
          <w:p>
            <w:pPr>
              <w:spacing w:after="0"/>
              <w:rPr>
                <w:sz w:val="15"/>
                <w:szCs w:val="15"/>
                <w:color w:val="auto"/>
              </w:rPr>
            </w:pPr>
          </w:p>
        </w:tc>
        <w:tc>
          <w:tcPr>
            <w:tcW w:w="66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760" w:type="dxa"/>
            <w:vAlign w:val="bottom"/>
            <w:tcBorders>
              <w:top w:val="single" w:sz="8" w:color="auto"/>
            </w:tcBorders>
          </w:tcPr>
          <w:p>
            <w:pPr>
              <w:spacing w:after="0"/>
              <w:rPr>
                <w:sz w:val="19"/>
                <w:szCs w:val="19"/>
                <w:color w:val="auto"/>
              </w:rPr>
            </w:pPr>
          </w:p>
        </w:tc>
        <w:tc>
          <w:tcPr>
            <w:tcW w:w="4180" w:type="dxa"/>
            <w:vAlign w:val="bottom"/>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7"/>
              </w:rPr>
              <w:t>Shares</w:t>
            </w:r>
          </w:p>
        </w:tc>
        <w:tc>
          <w:tcPr>
            <w:tcW w:w="220" w:type="dxa"/>
            <w:vAlign w:val="bottom"/>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2"/>
        </w:trPr>
        <w:tc>
          <w:tcPr>
            <w:tcW w:w="4940" w:type="dxa"/>
            <w:vAlign w:val="bottom"/>
            <w:gridSpan w:val="2"/>
            <w:shd w:val="clear" w:color="auto" w:fill="CCEEFF"/>
          </w:tcPr>
          <w:p>
            <w:pPr>
              <w:spacing w:after="0" w:line="142" w:lineRule="exact"/>
              <w:rPr>
                <w:sz w:val="20"/>
                <w:szCs w:val="20"/>
                <w:color w:val="auto"/>
              </w:rPr>
            </w:pPr>
            <w:r>
              <w:rPr>
                <w:rFonts w:ascii="Arial" w:cs="Arial" w:eastAsia="Arial" w:hAnsi="Arial"/>
                <w:sz w:val="13"/>
                <w:szCs w:val="13"/>
                <w:b w:val="1"/>
                <w:bCs w:val="1"/>
                <w:color w:val="auto"/>
              </w:rPr>
              <w:t>Preferred Equity/Partnership Interest – 4.4%</w:t>
            </w:r>
          </w:p>
        </w:tc>
        <w:tc>
          <w:tcPr>
            <w:tcW w:w="6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7"/>
        </w:trPr>
        <w:tc>
          <w:tcPr>
            <w:tcW w:w="4940" w:type="dxa"/>
            <w:vAlign w:val="bottom"/>
            <w:gridSpan w:val="2"/>
          </w:tcPr>
          <w:p>
            <w:pPr>
              <w:spacing w:after="0"/>
              <w:rPr>
                <w:sz w:val="20"/>
                <w:szCs w:val="20"/>
                <w:color w:val="auto"/>
              </w:rPr>
            </w:pPr>
            <w:r>
              <w:rPr>
                <w:rFonts w:ascii="Arial" w:cs="Arial" w:eastAsia="Arial" w:hAnsi="Arial"/>
                <w:sz w:val="13"/>
                <w:szCs w:val="13"/>
                <w:color w:val="auto"/>
              </w:rPr>
              <w:t>CFHC Holdings, Inc., Class A</w:t>
            </w:r>
          </w:p>
        </w:tc>
        <w:tc>
          <w:tcPr>
            <w:tcW w:w="620" w:type="dxa"/>
            <w:vAlign w:val="bottom"/>
          </w:tcPr>
          <w:p>
            <w:pPr>
              <w:ind w:left="42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22"/>
                <w:szCs w:val="22"/>
                <w:color w:val="auto"/>
              </w:rPr>
            </w:pPr>
          </w:p>
        </w:tc>
        <w:tc>
          <w:tcPr>
            <w:tcW w:w="840" w:type="dxa"/>
            <w:vAlign w:val="bottom"/>
          </w:tcPr>
          <w:p>
            <w:pPr>
              <w:jc w:val="center"/>
              <w:spacing w:after="0"/>
              <w:rPr>
                <w:sz w:val="20"/>
                <w:szCs w:val="20"/>
                <w:color w:val="auto"/>
              </w:rPr>
            </w:pPr>
            <w:r>
              <w:rPr>
                <w:rFonts w:ascii="Arial" w:cs="Arial" w:eastAsia="Arial" w:hAnsi="Arial"/>
                <w:sz w:val="13"/>
                <w:szCs w:val="13"/>
                <w:color w:val="auto"/>
                <w:w w:val="91"/>
              </w:rPr>
              <w:t>Aerospace and</w:t>
            </w:r>
          </w:p>
        </w:tc>
        <w:tc>
          <w:tcPr>
            <w:tcW w:w="1200" w:type="dxa"/>
            <w:vAlign w:val="bottom"/>
            <w:gridSpan w:val="4"/>
          </w:tcPr>
          <w:p>
            <w:pPr>
              <w:jc w:val="right"/>
              <w:ind w:right="164"/>
              <w:spacing w:after="0" w:line="256" w:lineRule="exact"/>
              <w:rPr>
                <w:sz w:val="20"/>
                <w:szCs w:val="20"/>
                <w:color w:val="auto"/>
              </w:rPr>
            </w:pPr>
            <w:r>
              <w:rPr>
                <w:rFonts w:ascii="Arial" w:cs="Arial" w:eastAsia="Arial" w:hAnsi="Arial"/>
                <w:sz w:val="13"/>
                <w:szCs w:val="13"/>
                <w:color w:val="auto"/>
              </w:rPr>
              <w:t>12.00</w:t>
            </w:r>
            <w:r>
              <w:rPr>
                <w:rFonts w:ascii="Arial" w:cs="Arial" w:eastAsia="Arial" w:hAnsi="Arial"/>
                <w:sz w:val="26"/>
                <w:szCs w:val="26"/>
                <w:color w:val="auto"/>
                <w:vertAlign w:val="subscript"/>
              </w:rPr>
              <w:t>%</w:t>
            </w:r>
            <w:r>
              <w:rPr>
                <w:rFonts w:ascii="Arial" w:cs="Arial" w:eastAsia="Arial" w:hAnsi="Arial"/>
                <w:sz w:val="13"/>
                <w:szCs w:val="13"/>
                <w:color w:val="auto"/>
              </w:rPr>
              <w:t xml:space="preserve"> </w:t>
            </w:r>
            <w:r>
              <w:rPr>
                <w:rFonts w:ascii="Arial" w:cs="Arial" w:eastAsia="Arial" w:hAnsi="Arial"/>
                <w:sz w:val="22"/>
                <w:szCs w:val="22"/>
                <w:color w:val="auto"/>
                <w:vertAlign w:val="superscript"/>
              </w:rPr>
              <w:t>(7)</w:t>
            </w:r>
          </w:p>
        </w:tc>
        <w:tc>
          <w:tcPr>
            <w:tcW w:w="740" w:type="dxa"/>
            <w:vAlign w:val="bottom"/>
            <w:gridSpan w:val="2"/>
          </w:tcPr>
          <w:p>
            <w:pPr>
              <w:jc w:val="right"/>
              <w:ind w:right="320"/>
              <w:spacing w:after="0"/>
              <w:rPr>
                <w:sz w:val="20"/>
                <w:szCs w:val="20"/>
                <w:color w:val="auto"/>
              </w:rPr>
            </w:pPr>
            <w:r>
              <w:rPr>
                <w:rFonts w:ascii="Arial" w:cs="Arial" w:eastAsia="Arial" w:hAnsi="Arial"/>
                <w:sz w:val="13"/>
                <w:szCs w:val="13"/>
                <w:color w:val="auto"/>
              </w:rPr>
              <w:t>—</w:t>
            </w:r>
          </w:p>
        </w:tc>
        <w:tc>
          <w:tcPr>
            <w:tcW w:w="800" w:type="dxa"/>
            <w:vAlign w:val="bottom"/>
            <w:gridSpan w:val="2"/>
          </w:tcPr>
          <w:p>
            <w:pPr>
              <w:jc w:val="right"/>
              <w:spacing w:after="0"/>
              <w:rPr>
                <w:sz w:val="20"/>
                <w:szCs w:val="20"/>
                <w:color w:val="auto"/>
              </w:rPr>
            </w:pPr>
            <w:r>
              <w:rPr>
                <w:rFonts w:ascii="Arial" w:cs="Arial" w:eastAsia="Arial" w:hAnsi="Arial"/>
                <w:sz w:val="13"/>
                <w:szCs w:val="13"/>
                <w:color w:val="auto"/>
              </w:rPr>
              <w:t>842</w:t>
            </w:r>
          </w:p>
        </w:tc>
        <w:tc>
          <w:tcPr>
            <w:tcW w:w="1160" w:type="dxa"/>
            <w:vAlign w:val="bottom"/>
            <w:gridSpan w:val="3"/>
          </w:tcPr>
          <w:p>
            <w:pPr>
              <w:jc w:val="right"/>
              <w:ind w:right="220"/>
              <w:spacing w:after="0"/>
              <w:rPr>
                <w:sz w:val="20"/>
                <w:szCs w:val="20"/>
                <w:color w:val="auto"/>
              </w:rPr>
            </w:pPr>
            <w:r>
              <w:rPr>
                <w:rFonts w:ascii="Arial" w:cs="Arial" w:eastAsia="Arial" w:hAnsi="Arial"/>
                <w:sz w:val="13"/>
                <w:szCs w:val="13"/>
                <w:color w:val="auto"/>
              </w:rPr>
              <w:t>$   841,927</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gridSpan w:val="2"/>
          </w:tcPr>
          <w:p>
            <w:pPr>
              <w:jc w:val="right"/>
              <w:ind w:right="20"/>
              <w:spacing w:after="0"/>
              <w:rPr>
                <w:sz w:val="20"/>
                <w:szCs w:val="20"/>
                <w:color w:val="auto"/>
              </w:rPr>
            </w:pPr>
            <w:r>
              <w:rPr>
                <w:rFonts w:ascii="Arial" w:cs="Arial" w:eastAsia="Arial" w:hAnsi="Arial"/>
                <w:sz w:val="13"/>
                <w:szCs w:val="13"/>
                <w:color w:val="auto"/>
              </w:rPr>
              <w:t>841,927</w:t>
            </w:r>
          </w:p>
        </w:tc>
        <w:tc>
          <w:tcPr>
            <w:tcW w:w="0" w:type="dxa"/>
            <w:vAlign w:val="bottom"/>
          </w:tcPr>
          <w:p>
            <w:pPr>
              <w:spacing w:after="0"/>
              <w:rPr>
                <w:sz w:val="1"/>
                <w:szCs w:val="1"/>
                <w:color w:val="auto"/>
              </w:rPr>
            </w:pPr>
          </w:p>
        </w:tc>
      </w:tr>
      <w:tr>
        <w:trPr>
          <w:trHeight w:val="172"/>
        </w:trPr>
        <w:tc>
          <w:tcPr>
            <w:tcW w:w="4940" w:type="dxa"/>
            <w:vAlign w:val="bottom"/>
            <w:gridSpan w:val="2"/>
          </w:tcPr>
          <w:p>
            <w:pPr>
              <w:ind w:left="220"/>
              <w:spacing w:after="0"/>
              <w:rPr>
                <w:sz w:val="20"/>
                <w:szCs w:val="20"/>
                <w:color w:val="auto"/>
              </w:rPr>
            </w:pPr>
            <w:r>
              <w:rPr>
                <w:rFonts w:ascii="Arial" w:cs="Arial" w:eastAsia="Arial" w:hAnsi="Arial"/>
                <w:sz w:val="13"/>
                <w:szCs w:val="13"/>
                <w:color w:val="auto"/>
              </w:rPr>
              <w:t>(Consolidated Foundries, Inc.)</w:t>
            </w: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Arial" w:cs="Arial" w:eastAsia="Arial" w:hAnsi="Arial"/>
                <w:sz w:val="13"/>
                <w:szCs w:val="13"/>
                <w:color w:val="auto"/>
                <w:w w:val="90"/>
              </w:rPr>
              <w:t>Defense</w:t>
            </w:r>
          </w:p>
        </w:tc>
        <w:tc>
          <w:tcPr>
            <w:tcW w:w="2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4"/>
        </w:trPr>
        <w:tc>
          <w:tcPr>
            <w:tcW w:w="760" w:type="dxa"/>
            <w:vAlign w:val="bottom"/>
          </w:tcPr>
          <w:p>
            <w:pPr>
              <w:spacing w:after="0"/>
              <w:rPr>
                <w:sz w:val="7"/>
                <w:szCs w:val="7"/>
                <w:color w:val="auto"/>
              </w:rPr>
            </w:pPr>
          </w:p>
        </w:tc>
        <w:tc>
          <w:tcPr>
            <w:tcW w:w="4180" w:type="dxa"/>
            <w:vAlign w:val="bottom"/>
          </w:tcPr>
          <w:p>
            <w:pPr>
              <w:spacing w:after="0"/>
              <w:rPr>
                <w:sz w:val="7"/>
                <w:szCs w:val="7"/>
                <w:color w:val="auto"/>
              </w:rPr>
            </w:pPr>
          </w:p>
        </w:tc>
        <w:tc>
          <w:tcPr>
            <w:tcW w:w="620" w:type="dxa"/>
            <w:vAlign w:val="bottom"/>
          </w:tcPr>
          <w:p>
            <w:pPr>
              <w:spacing w:after="0"/>
              <w:rPr>
                <w:sz w:val="7"/>
                <w:szCs w:val="7"/>
                <w:color w:val="auto"/>
              </w:rPr>
            </w:pPr>
          </w:p>
        </w:tc>
        <w:tc>
          <w:tcPr>
            <w:tcW w:w="220" w:type="dxa"/>
            <w:vAlign w:val="bottom"/>
          </w:tcPr>
          <w:p>
            <w:pPr>
              <w:spacing w:after="0"/>
              <w:rPr>
                <w:sz w:val="7"/>
                <w:szCs w:val="7"/>
                <w:color w:val="auto"/>
              </w:rPr>
            </w:pPr>
          </w:p>
        </w:tc>
        <w:tc>
          <w:tcPr>
            <w:tcW w:w="840" w:type="dxa"/>
            <w:vAlign w:val="bottom"/>
          </w:tcPr>
          <w:p>
            <w:pPr>
              <w:spacing w:after="0"/>
              <w:rPr>
                <w:sz w:val="7"/>
                <w:szCs w:val="7"/>
                <w:color w:val="auto"/>
              </w:rPr>
            </w:pPr>
          </w:p>
        </w:tc>
        <w:tc>
          <w:tcPr>
            <w:tcW w:w="220" w:type="dxa"/>
            <w:vAlign w:val="bottom"/>
          </w:tcPr>
          <w:p>
            <w:pPr>
              <w:spacing w:after="0"/>
              <w:rPr>
                <w:sz w:val="7"/>
                <w:szCs w:val="7"/>
                <w:color w:val="auto"/>
              </w:rPr>
            </w:pPr>
          </w:p>
        </w:tc>
        <w:tc>
          <w:tcPr>
            <w:tcW w:w="480" w:type="dxa"/>
            <w:vAlign w:val="bottom"/>
          </w:tcPr>
          <w:p>
            <w:pPr>
              <w:spacing w:after="0"/>
              <w:rPr>
                <w:sz w:val="7"/>
                <w:szCs w:val="7"/>
                <w:color w:val="auto"/>
              </w:rPr>
            </w:pPr>
          </w:p>
        </w:tc>
        <w:tc>
          <w:tcPr>
            <w:tcW w:w="500" w:type="dxa"/>
            <w:vAlign w:val="bottom"/>
            <w:gridSpan w:val="2"/>
          </w:tcPr>
          <w:p>
            <w:pPr>
              <w:spacing w:after="0"/>
              <w:rPr>
                <w:sz w:val="7"/>
                <w:szCs w:val="7"/>
                <w:color w:val="auto"/>
              </w:rPr>
            </w:pPr>
          </w:p>
        </w:tc>
        <w:tc>
          <w:tcPr>
            <w:tcW w:w="500" w:type="dxa"/>
            <w:vAlign w:val="bottom"/>
          </w:tcPr>
          <w:p>
            <w:pPr>
              <w:spacing w:after="0"/>
              <w:rPr>
                <w:sz w:val="7"/>
                <w:szCs w:val="7"/>
                <w:color w:val="auto"/>
              </w:rPr>
            </w:pPr>
          </w:p>
        </w:tc>
        <w:tc>
          <w:tcPr>
            <w:tcW w:w="240" w:type="dxa"/>
            <w:vAlign w:val="bottom"/>
          </w:tcPr>
          <w:p>
            <w:pPr>
              <w:spacing w:after="0"/>
              <w:rPr>
                <w:sz w:val="7"/>
                <w:szCs w:val="7"/>
                <w:color w:val="auto"/>
              </w:rPr>
            </w:pPr>
          </w:p>
        </w:tc>
        <w:tc>
          <w:tcPr>
            <w:tcW w:w="100" w:type="dxa"/>
            <w:vAlign w:val="bottom"/>
          </w:tcPr>
          <w:p>
            <w:pPr>
              <w:spacing w:after="0"/>
              <w:rPr>
                <w:sz w:val="7"/>
                <w:szCs w:val="7"/>
                <w:color w:val="auto"/>
              </w:rPr>
            </w:pPr>
          </w:p>
        </w:tc>
        <w:tc>
          <w:tcPr>
            <w:tcW w:w="700" w:type="dxa"/>
            <w:vAlign w:val="bottom"/>
          </w:tcPr>
          <w:p>
            <w:pPr>
              <w:spacing w:after="0"/>
              <w:rPr>
                <w:sz w:val="7"/>
                <w:szCs w:val="7"/>
                <w:color w:val="auto"/>
              </w:rPr>
            </w:pPr>
          </w:p>
        </w:tc>
        <w:tc>
          <w:tcPr>
            <w:tcW w:w="220" w:type="dxa"/>
            <w:vAlign w:val="bottom"/>
          </w:tcPr>
          <w:p>
            <w:pPr>
              <w:spacing w:after="0"/>
              <w:rPr>
                <w:sz w:val="7"/>
                <w:szCs w:val="7"/>
                <w:color w:val="auto"/>
              </w:rPr>
            </w:pPr>
          </w:p>
        </w:tc>
        <w:tc>
          <w:tcPr>
            <w:tcW w:w="720" w:type="dxa"/>
            <w:vAlign w:val="bottom"/>
          </w:tcPr>
          <w:p>
            <w:pPr>
              <w:spacing w:after="0"/>
              <w:rPr>
                <w:sz w:val="7"/>
                <w:szCs w:val="7"/>
                <w:color w:val="auto"/>
              </w:rPr>
            </w:pPr>
          </w:p>
        </w:tc>
        <w:tc>
          <w:tcPr>
            <w:tcW w:w="22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 w:type="dxa"/>
            <w:vAlign w:val="bottom"/>
            <w:vMerge w:val="restart"/>
          </w:tcPr>
          <w:p>
            <w:pPr>
              <w:spacing w:after="0"/>
              <w:rPr>
                <w:sz w:val="7"/>
                <w:szCs w:val="7"/>
                <w:color w:val="auto"/>
              </w:rPr>
            </w:pPr>
          </w:p>
        </w:tc>
        <w:tc>
          <w:tcPr>
            <w:tcW w:w="0" w:type="dxa"/>
            <w:vAlign w:val="bottom"/>
          </w:tcPr>
          <w:p>
            <w:pPr>
              <w:spacing w:after="0"/>
              <w:rPr>
                <w:sz w:val="1"/>
                <w:szCs w:val="1"/>
                <w:color w:val="auto"/>
              </w:rPr>
            </w:pPr>
          </w:p>
        </w:tc>
      </w:tr>
      <w:tr>
        <w:trPr>
          <w:trHeight w:val="148"/>
        </w:trPr>
        <w:tc>
          <w:tcPr>
            <w:tcW w:w="494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i2 Holdings Ltd.</w:t>
            </w:r>
          </w:p>
        </w:tc>
        <w:tc>
          <w:tcPr>
            <w:tcW w:w="620" w:type="dxa"/>
            <w:vAlign w:val="bottom"/>
            <w:shd w:val="clear" w:color="auto" w:fill="CCEEFF"/>
          </w:tcPr>
          <w:p>
            <w:pPr>
              <w:ind w:left="420"/>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2"/>
                <w:szCs w:val="12"/>
                <w:color w:val="auto"/>
              </w:rPr>
            </w:pPr>
          </w:p>
        </w:tc>
        <w:tc>
          <w:tcPr>
            <w:tcW w:w="8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1"/>
              </w:rPr>
              <w:t>Aerospace and</w:t>
            </w:r>
          </w:p>
        </w:tc>
        <w:tc>
          <w:tcPr>
            <w:tcW w:w="1200" w:type="dxa"/>
            <w:vAlign w:val="bottom"/>
            <w:gridSpan w:val="4"/>
            <w:shd w:val="clear" w:color="auto" w:fill="CCEEFF"/>
          </w:tcPr>
          <w:p>
            <w:pPr>
              <w:jc w:val="right"/>
              <w:ind w:right="164"/>
              <w:spacing w:after="0" w:line="149" w:lineRule="exact"/>
              <w:rPr>
                <w:sz w:val="20"/>
                <w:szCs w:val="20"/>
                <w:color w:val="auto"/>
              </w:rPr>
            </w:pPr>
            <w:r>
              <w:rPr>
                <w:rFonts w:ascii="Arial" w:cs="Arial" w:eastAsia="Arial" w:hAnsi="Arial"/>
                <w:sz w:val="10"/>
                <w:szCs w:val="10"/>
                <w:color w:val="auto"/>
              </w:rPr>
              <w:t>12.00</w:t>
            </w:r>
            <w:r>
              <w:rPr>
                <w:rFonts w:ascii="Arial" w:cs="Arial" w:eastAsia="Arial" w:hAnsi="Arial"/>
                <w:sz w:val="17"/>
                <w:szCs w:val="17"/>
                <w:color w:val="auto"/>
                <w:vertAlign w:val="subscript"/>
              </w:rPr>
              <w:t>%</w:t>
            </w:r>
            <w:r>
              <w:rPr>
                <w:rFonts w:ascii="Arial" w:cs="Arial" w:eastAsia="Arial" w:hAnsi="Arial"/>
                <w:sz w:val="10"/>
                <w:szCs w:val="10"/>
                <w:color w:val="auto"/>
              </w:rPr>
              <w:t xml:space="preserve"> </w:t>
            </w:r>
            <w:r>
              <w:rPr>
                <w:rFonts w:ascii="Arial" w:cs="Arial" w:eastAsia="Arial" w:hAnsi="Arial"/>
                <w:sz w:val="15"/>
                <w:szCs w:val="15"/>
                <w:color w:val="auto"/>
                <w:vertAlign w:val="superscript"/>
              </w:rPr>
              <w:t>(7)</w:t>
            </w:r>
          </w:p>
        </w:tc>
        <w:tc>
          <w:tcPr>
            <w:tcW w:w="740" w:type="dxa"/>
            <w:vAlign w:val="bottom"/>
            <w:gridSpan w:val="2"/>
            <w:shd w:val="clear" w:color="auto" w:fill="CCEEFF"/>
          </w:tcPr>
          <w:p>
            <w:pPr>
              <w:jc w:val="right"/>
              <w:ind w:right="320"/>
              <w:spacing w:after="0"/>
              <w:rPr>
                <w:sz w:val="20"/>
                <w:szCs w:val="20"/>
                <w:color w:val="auto"/>
              </w:rPr>
            </w:pPr>
            <w:r>
              <w:rPr>
                <w:rFonts w:ascii="Arial" w:cs="Arial" w:eastAsia="Arial" w:hAnsi="Arial"/>
                <w:sz w:val="13"/>
                <w:szCs w:val="13"/>
                <w:color w:val="auto"/>
              </w:rPr>
              <w:t>—</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3,960,000</w:t>
            </w:r>
          </w:p>
        </w:tc>
        <w:tc>
          <w:tcPr>
            <w:tcW w:w="1160" w:type="dxa"/>
            <w:vAlign w:val="bottom"/>
            <w:gridSpan w:val="3"/>
            <w:shd w:val="clear" w:color="auto" w:fill="CCEEFF"/>
          </w:tcPr>
          <w:p>
            <w:pPr>
              <w:jc w:val="right"/>
              <w:ind w:right="220"/>
              <w:spacing w:after="0"/>
              <w:rPr>
                <w:sz w:val="20"/>
                <w:szCs w:val="20"/>
                <w:color w:val="auto"/>
              </w:rPr>
            </w:pPr>
            <w:r>
              <w:rPr>
                <w:rFonts w:ascii="Arial" w:cs="Arial" w:eastAsia="Arial" w:hAnsi="Arial"/>
                <w:sz w:val="13"/>
                <w:szCs w:val="13"/>
                <w:color w:val="auto"/>
              </w:rPr>
              <w:t>3,960,000</w:t>
            </w: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3,960,000</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60" w:type="dxa"/>
            <w:vAlign w:val="bottom"/>
            <w:shd w:val="clear" w:color="auto" w:fill="CCEEFF"/>
          </w:tcPr>
          <w:p>
            <w:pPr>
              <w:spacing w:after="0"/>
              <w:rPr>
                <w:sz w:val="12"/>
                <w:szCs w:val="12"/>
                <w:color w:val="auto"/>
              </w:rPr>
            </w:pPr>
          </w:p>
        </w:tc>
        <w:tc>
          <w:tcPr>
            <w:tcW w:w="41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0"/>
              </w:rPr>
              <w:t>Defense</w:t>
            </w:r>
          </w:p>
        </w:tc>
        <w:tc>
          <w:tcPr>
            <w:tcW w:w="2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46"/>
        </w:trPr>
        <w:tc>
          <w:tcPr>
            <w:tcW w:w="4940" w:type="dxa"/>
            <w:vAlign w:val="bottom"/>
            <w:gridSpan w:val="2"/>
          </w:tcPr>
          <w:p>
            <w:pPr>
              <w:spacing w:after="0"/>
              <w:rPr>
                <w:sz w:val="20"/>
                <w:szCs w:val="20"/>
                <w:color w:val="auto"/>
              </w:rPr>
            </w:pPr>
            <w:r>
              <w:rPr>
                <w:rFonts w:ascii="Arial" w:cs="Arial" w:eastAsia="Arial" w:hAnsi="Arial"/>
                <w:sz w:val="13"/>
                <w:szCs w:val="13"/>
                <w:color w:val="auto"/>
              </w:rPr>
              <w:t>TZ Holdings, L.P., Series A</w:t>
            </w:r>
          </w:p>
        </w:tc>
        <w:tc>
          <w:tcPr>
            <w:tcW w:w="620" w:type="dxa"/>
            <w:vAlign w:val="bottom"/>
          </w:tcPr>
          <w:p>
            <w:pPr>
              <w:ind w:left="42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21"/>
                <w:szCs w:val="21"/>
                <w:color w:val="auto"/>
              </w:rPr>
            </w:pPr>
          </w:p>
        </w:tc>
        <w:tc>
          <w:tcPr>
            <w:tcW w:w="840" w:type="dxa"/>
            <w:vAlign w:val="bottom"/>
          </w:tcPr>
          <w:p>
            <w:pPr>
              <w:jc w:val="center"/>
              <w:spacing w:after="0"/>
              <w:rPr>
                <w:sz w:val="20"/>
                <w:szCs w:val="20"/>
                <w:color w:val="auto"/>
              </w:rPr>
            </w:pPr>
            <w:r>
              <w:rPr>
                <w:rFonts w:ascii="Arial" w:cs="Arial" w:eastAsia="Arial" w:hAnsi="Arial"/>
                <w:sz w:val="13"/>
                <w:szCs w:val="13"/>
                <w:color w:val="auto"/>
                <w:w w:val="91"/>
              </w:rPr>
              <w:t>Insurance</w:t>
            </w:r>
          </w:p>
        </w:tc>
        <w:tc>
          <w:tcPr>
            <w:tcW w:w="220" w:type="dxa"/>
            <w:vAlign w:val="bottom"/>
          </w:tcPr>
          <w:p>
            <w:pPr>
              <w:spacing w:after="0"/>
              <w:rPr>
                <w:sz w:val="21"/>
                <w:szCs w:val="21"/>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380" w:type="dxa"/>
            <w:vAlign w:val="bottom"/>
          </w:tcPr>
          <w:p>
            <w:pPr>
              <w:jc w:val="right"/>
              <w:ind w:right="164"/>
              <w:spacing w:after="0"/>
              <w:rPr>
                <w:sz w:val="20"/>
                <w:szCs w:val="20"/>
                <w:color w:val="auto"/>
              </w:rPr>
            </w:pPr>
            <w:r>
              <w:rPr>
                <w:rFonts w:ascii="Arial" w:cs="Arial" w:eastAsia="Arial" w:hAnsi="Arial"/>
                <w:sz w:val="11"/>
                <w:szCs w:val="11"/>
                <w:color w:val="auto"/>
              </w:rPr>
              <w:t>(7)</w:t>
            </w:r>
          </w:p>
        </w:tc>
        <w:tc>
          <w:tcPr>
            <w:tcW w:w="740" w:type="dxa"/>
            <w:vAlign w:val="bottom"/>
            <w:gridSpan w:val="2"/>
          </w:tcPr>
          <w:p>
            <w:pPr>
              <w:jc w:val="right"/>
              <w:ind w:right="320"/>
              <w:spacing w:after="0"/>
              <w:rPr>
                <w:sz w:val="20"/>
                <w:szCs w:val="20"/>
                <w:color w:val="auto"/>
              </w:rPr>
            </w:pPr>
            <w:r>
              <w:rPr>
                <w:rFonts w:ascii="Arial" w:cs="Arial" w:eastAsia="Arial" w:hAnsi="Arial"/>
                <w:sz w:val="13"/>
                <w:szCs w:val="13"/>
                <w:color w:val="auto"/>
              </w:rPr>
              <w:t>—</w:t>
            </w:r>
          </w:p>
        </w:tc>
        <w:tc>
          <w:tcPr>
            <w:tcW w:w="800" w:type="dxa"/>
            <w:vAlign w:val="bottom"/>
            <w:gridSpan w:val="2"/>
          </w:tcPr>
          <w:p>
            <w:pPr>
              <w:jc w:val="right"/>
              <w:spacing w:after="0"/>
              <w:rPr>
                <w:sz w:val="20"/>
                <w:szCs w:val="20"/>
                <w:color w:val="auto"/>
              </w:rPr>
            </w:pPr>
            <w:r>
              <w:rPr>
                <w:rFonts w:ascii="Arial" w:cs="Arial" w:eastAsia="Arial" w:hAnsi="Arial"/>
                <w:sz w:val="13"/>
                <w:szCs w:val="13"/>
                <w:color w:val="auto"/>
              </w:rPr>
              <w:t>686</w:t>
            </w:r>
          </w:p>
        </w:tc>
        <w:tc>
          <w:tcPr>
            <w:tcW w:w="1160" w:type="dxa"/>
            <w:vAlign w:val="bottom"/>
            <w:gridSpan w:val="3"/>
          </w:tcPr>
          <w:p>
            <w:pPr>
              <w:jc w:val="right"/>
              <w:ind w:right="220"/>
              <w:spacing w:after="0"/>
              <w:rPr>
                <w:sz w:val="20"/>
                <w:szCs w:val="20"/>
                <w:color w:val="auto"/>
              </w:rPr>
            </w:pPr>
            <w:r>
              <w:rPr>
                <w:rFonts w:ascii="Arial" w:cs="Arial" w:eastAsia="Arial" w:hAnsi="Arial"/>
                <w:sz w:val="13"/>
                <w:szCs w:val="13"/>
                <w:color w:val="auto"/>
              </w:rPr>
              <w:t>685,820</w:t>
            </w:r>
          </w:p>
        </w:tc>
        <w:tc>
          <w:tcPr>
            <w:tcW w:w="80" w:type="dxa"/>
            <w:vAlign w:val="bottom"/>
          </w:tcPr>
          <w:p>
            <w:pPr>
              <w:spacing w:after="0"/>
              <w:rPr>
                <w:sz w:val="21"/>
                <w:szCs w:val="21"/>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3"/>
                <w:szCs w:val="13"/>
                <w:color w:val="auto"/>
              </w:rPr>
              <w:t>685,820</w:t>
            </w:r>
          </w:p>
        </w:tc>
        <w:tc>
          <w:tcPr>
            <w:tcW w:w="0" w:type="dxa"/>
            <w:vAlign w:val="bottom"/>
          </w:tcPr>
          <w:p>
            <w:pPr>
              <w:spacing w:after="0"/>
              <w:rPr>
                <w:sz w:val="1"/>
                <w:szCs w:val="1"/>
                <w:color w:val="auto"/>
              </w:rPr>
            </w:pPr>
          </w:p>
        </w:tc>
      </w:tr>
      <w:tr>
        <w:trPr>
          <w:trHeight w:val="172"/>
        </w:trPr>
        <w:tc>
          <w:tcPr>
            <w:tcW w:w="4940" w:type="dxa"/>
            <w:vAlign w:val="bottom"/>
            <w:gridSpan w:val="2"/>
          </w:tcPr>
          <w:p>
            <w:pPr>
              <w:ind w:left="220"/>
              <w:spacing w:after="0"/>
              <w:rPr>
                <w:sz w:val="20"/>
                <w:szCs w:val="20"/>
                <w:color w:val="auto"/>
              </w:rPr>
            </w:pPr>
            <w:r>
              <w:rPr>
                <w:rFonts w:ascii="Arial" w:cs="Arial" w:eastAsia="Arial" w:hAnsi="Arial"/>
                <w:sz w:val="13"/>
                <w:szCs w:val="13"/>
                <w:color w:val="auto"/>
              </w:rPr>
              <w:t>(TZ Merger Sub, Inc.)</w:t>
            </w: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760" w:type="dxa"/>
            <w:vAlign w:val="bottom"/>
          </w:tcPr>
          <w:p>
            <w:pPr>
              <w:spacing w:after="0"/>
              <w:rPr>
                <w:sz w:val="8"/>
                <w:szCs w:val="8"/>
                <w:color w:val="auto"/>
              </w:rPr>
            </w:pPr>
          </w:p>
        </w:tc>
        <w:tc>
          <w:tcPr>
            <w:tcW w:w="4180" w:type="dxa"/>
            <w:vAlign w:val="bottom"/>
          </w:tcPr>
          <w:p>
            <w:pPr>
              <w:spacing w:after="0"/>
              <w:rPr>
                <w:sz w:val="8"/>
                <w:szCs w:val="8"/>
                <w:color w:val="auto"/>
              </w:rPr>
            </w:pPr>
          </w:p>
        </w:tc>
        <w:tc>
          <w:tcPr>
            <w:tcW w:w="620" w:type="dxa"/>
            <w:vAlign w:val="bottom"/>
          </w:tcPr>
          <w:p>
            <w:pPr>
              <w:spacing w:after="0"/>
              <w:rPr>
                <w:sz w:val="8"/>
                <w:szCs w:val="8"/>
                <w:color w:val="auto"/>
              </w:rPr>
            </w:pPr>
          </w:p>
        </w:tc>
        <w:tc>
          <w:tcPr>
            <w:tcW w:w="220" w:type="dxa"/>
            <w:vAlign w:val="bottom"/>
          </w:tcPr>
          <w:p>
            <w:pPr>
              <w:spacing w:after="0"/>
              <w:rPr>
                <w:sz w:val="8"/>
                <w:szCs w:val="8"/>
                <w:color w:val="auto"/>
              </w:rPr>
            </w:pPr>
          </w:p>
        </w:tc>
        <w:tc>
          <w:tcPr>
            <w:tcW w:w="840" w:type="dxa"/>
            <w:vAlign w:val="bottom"/>
          </w:tcPr>
          <w:p>
            <w:pPr>
              <w:spacing w:after="0"/>
              <w:rPr>
                <w:sz w:val="8"/>
                <w:szCs w:val="8"/>
                <w:color w:val="auto"/>
              </w:rPr>
            </w:pPr>
          </w:p>
        </w:tc>
        <w:tc>
          <w:tcPr>
            <w:tcW w:w="220" w:type="dxa"/>
            <w:vAlign w:val="bottom"/>
          </w:tcPr>
          <w:p>
            <w:pPr>
              <w:spacing w:after="0"/>
              <w:rPr>
                <w:sz w:val="8"/>
                <w:szCs w:val="8"/>
                <w:color w:val="auto"/>
              </w:rPr>
            </w:pPr>
          </w:p>
        </w:tc>
        <w:tc>
          <w:tcPr>
            <w:tcW w:w="480" w:type="dxa"/>
            <w:vAlign w:val="bottom"/>
          </w:tcPr>
          <w:p>
            <w:pPr>
              <w:spacing w:after="0"/>
              <w:rPr>
                <w:sz w:val="8"/>
                <w:szCs w:val="8"/>
                <w:color w:val="auto"/>
              </w:rPr>
            </w:pPr>
          </w:p>
        </w:tc>
        <w:tc>
          <w:tcPr>
            <w:tcW w:w="500" w:type="dxa"/>
            <w:vAlign w:val="bottom"/>
            <w:gridSpan w:val="2"/>
          </w:tcPr>
          <w:p>
            <w:pPr>
              <w:spacing w:after="0"/>
              <w:rPr>
                <w:sz w:val="8"/>
                <w:szCs w:val="8"/>
                <w:color w:val="auto"/>
              </w:rPr>
            </w:pPr>
          </w:p>
        </w:tc>
        <w:tc>
          <w:tcPr>
            <w:tcW w:w="5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220" w:type="dxa"/>
            <w:vAlign w:val="bottom"/>
          </w:tcPr>
          <w:p>
            <w:pPr>
              <w:spacing w:after="0"/>
              <w:rPr>
                <w:sz w:val="8"/>
                <w:szCs w:val="8"/>
                <w:color w:val="auto"/>
              </w:rPr>
            </w:pPr>
          </w:p>
        </w:tc>
        <w:tc>
          <w:tcPr>
            <w:tcW w:w="72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48"/>
        </w:trPr>
        <w:tc>
          <w:tcPr>
            <w:tcW w:w="494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TZ Holdings, L.P., Series B</w:t>
            </w:r>
          </w:p>
        </w:tc>
        <w:tc>
          <w:tcPr>
            <w:tcW w:w="620" w:type="dxa"/>
            <w:vAlign w:val="bottom"/>
            <w:shd w:val="clear" w:color="auto" w:fill="CCEEFF"/>
          </w:tcPr>
          <w:p>
            <w:pPr>
              <w:ind w:left="420"/>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2"/>
                <w:szCs w:val="12"/>
                <w:color w:val="auto"/>
              </w:rPr>
            </w:pPr>
          </w:p>
        </w:tc>
        <w:tc>
          <w:tcPr>
            <w:tcW w:w="8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1"/>
              </w:rPr>
              <w:t>Insurance</w:t>
            </w:r>
          </w:p>
        </w:tc>
        <w:tc>
          <w:tcPr>
            <w:tcW w:w="1200" w:type="dxa"/>
            <w:vAlign w:val="bottom"/>
            <w:gridSpan w:val="4"/>
            <w:shd w:val="clear" w:color="auto" w:fill="CCEEFF"/>
          </w:tcPr>
          <w:p>
            <w:pPr>
              <w:jc w:val="right"/>
              <w:ind w:right="164"/>
              <w:spacing w:after="0" w:line="149" w:lineRule="exact"/>
              <w:rPr>
                <w:sz w:val="20"/>
                <w:szCs w:val="20"/>
                <w:color w:val="auto"/>
              </w:rPr>
            </w:pPr>
            <w:r>
              <w:rPr>
                <w:rFonts w:ascii="Arial" w:cs="Arial" w:eastAsia="Arial" w:hAnsi="Arial"/>
                <w:sz w:val="10"/>
                <w:szCs w:val="10"/>
                <w:color w:val="auto"/>
              </w:rPr>
              <w:t>6.50</w:t>
            </w:r>
            <w:r>
              <w:rPr>
                <w:rFonts w:ascii="Arial" w:cs="Arial" w:eastAsia="Arial" w:hAnsi="Arial"/>
                <w:sz w:val="17"/>
                <w:szCs w:val="17"/>
                <w:color w:val="auto"/>
                <w:vertAlign w:val="subscript"/>
              </w:rPr>
              <w:t>%</w:t>
            </w:r>
            <w:r>
              <w:rPr>
                <w:rFonts w:ascii="Arial" w:cs="Arial" w:eastAsia="Arial" w:hAnsi="Arial"/>
                <w:sz w:val="10"/>
                <w:szCs w:val="10"/>
                <w:color w:val="auto"/>
              </w:rPr>
              <w:t xml:space="preserve"> </w:t>
            </w:r>
            <w:r>
              <w:rPr>
                <w:rFonts w:ascii="Arial" w:cs="Arial" w:eastAsia="Arial" w:hAnsi="Arial"/>
                <w:sz w:val="15"/>
                <w:szCs w:val="15"/>
                <w:color w:val="auto"/>
                <w:vertAlign w:val="superscript"/>
              </w:rPr>
              <w:t>(7)</w:t>
            </w:r>
          </w:p>
        </w:tc>
        <w:tc>
          <w:tcPr>
            <w:tcW w:w="740" w:type="dxa"/>
            <w:vAlign w:val="bottom"/>
            <w:gridSpan w:val="2"/>
            <w:shd w:val="clear" w:color="auto" w:fill="CCEEFF"/>
          </w:tcPr>
          <w:p>
            <w:pPr>
              <w:jc w:val="right"/>
              <w:ind w:right="320"/>
              <w:spacing w:after="0"/>
              <w:rPr>
                <w:sz w:val="20"/>
                <w:szCs w:val="20"/>
                <w:color w:val="auto"/>
              </w:rPr>
            </w:pPr>
            <w:r>
              <w:rPr>
                <w:rFonts w:ascii="Arial" w:cs="Arial" w:eastAsia="Arial" w:hAnsi="Arial"/>
                <w:sz w:val="13"/>
                <w:szCs w:val="13"/>
                <w:color w:val="auto"/>
              </w:rPr>
              <w:t>—</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1,312</w:t>
            </w:r>
          </w:p>
        </w:tc>
        <w:tc>
          <w:tcPr>
            <w:tcW w:w="1160" w:type="dxa"/>
            <w:vAlign w:val="bottom"/>
            <w:gridSpan w:val="3"/>
            <w:shd w:val="clear" w:color="auto" w:fill="CCEEFF"/>
          </w:tcPr>
          <w:p>
            <w:pPr>
              <w:jc w:val="right"/>
              <w:ind w:right="220"/>
              <w:spacing w:after="0"/>
              <w:rPr>
                <w:sz w:val="20"/>
                <w:szCs w:val="20"/>
                <w:color w:val="auto"/>
              </w:rPr>
            </w:pPr>
            <w:r>
              <w:rPr>
                <w:rFonts w:ascii="Arial" w:cs="Arial" w:eastAsia="Arial" w:hAnsi="Arial"/>
                <w:sz w:val="13"/>
                <w:szCs w:val="13"/>
                <w:color w:val="auto"/>
              </w:rPr>
              <w:t>1,312,006</w:t>
            </w: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1,312,006</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940" w:type="dxa"/>
            <w:vAlign w:val="bottom"/>
            <w:gridSpan w:val="2"/>
            <w:shd w:val="clear" w:color="auto" w:fill="CCEEFF"/>
          </w:tcPr>
          <w:p>
            <w:pPr>
              <w:ind w:left="220"/>
              <w:spacing w:after="0"/>
              <w:rPr>
                <w:sz w:val="20"/>
                <w:szCs w:val="20"/>
                <w:color w:val="auto"/>
              </w:rPr>
            </w:pPr>
            <w:r>
              <w:rPr>
                <w:rFonts w:ascii="Arial" w:cs="Arial" w:eastAsia="Arial" w:hAnsi="Arial"/>
                <w:sz w:val="13"/>
                <w:szCs w:val="13"/>
                <w:color w:val="auto"/>
              </w:rPr>
              <w:t>(TZ Merger Sub, Inc.)</w:t>
            </w:r>
          </w:p>
        </w:tc>
        <w:tc>
          <w:tcPr>
            <w:tcW w:w="6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6"/>
        </w:trPr>
        <w:tc>
          <w:tcPr>
            <w:tcW w:w="4940" w:type="dxa"/>
            <w:vAlign w:val="bottom"/>
            <w:gridSpan w:val="2"/>
          </w:tcPr>
          <w:p>
            <w:pPr>
              <w:spacing w:after="0"/>
              <w:rPr>
                <w:sz w:val="20"/>
                <w:szCs w:val="20"/>
                <w:color w:val="auto"/>
              </w:rPr>
            </w:pPr>
            <w:r>
              <w:rPr>
                <w:rFonts w:ascii="Arial" w:cs="Arial" w:eastAsia="Arial" w:hAnsi="Arial"/>
                <w:sz w:val="13"/>
                <w:szCs w:val="13"/>
                <w:color w:val="auto"/>
              </w:rPr>
              <w:t>UP Holdings Inc., Class A-1</w:t>
            </w:r>
          </w:p>
        </w:tc>
        <w:tc>
          <w:tcPr>
            <w:tcW w:w="620" w:type="dxa"/>
            <w:vAlign w:val="bottom"/>
          </w:tcPr>
          <w:p>
            <w:pPr>
              <w:ind w:left="42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22"/>
                <w:szCs w:val="22"/>
                <w:color w:val="auto"/>
              </w:rPr>
            </w:pPr>
          </w:p>
        </w:tc>
        <w:tc>
          <w:tcPr>
            <w:tcW w:w="840" w:type="dxa"/>
            <w:vAlign w:val="bottom"/>
          </w:tcPr>
          <w:p>
            <w:pPr>
              <w:jc w:val="center"/>
              <w:spacing w:after="0"/>
              <w:rPr>
                <w:sz w:val="20"/>
                <w:szCs w:val="20"/>
                <w:color w:val="auto"/>
              </w:rPr>
            </w:pPr>
            <w:r>
              <w:rPr>
                <w:rFonts w:ascii="Arial" w:cs="Arial" w:eastAsia="Arial" w:hAnsi="Arial"/>
                <w:sz w:val="13"/>
                <w:szCs w:val="13"/>
                <w:color w:val="auto"/>
                <w:w w:val="93"/>
              </w:rPr>
              <w:t>Oil and Gas</w:t>
            </w:r>
          </w:p>
        </w:tc>
        <w:tc>
          <w:tcPr>
            <w:tcW w:w="1200" w:type="dxa"/>
            <w:vAlign w:val="bottom"/>
            <w:gridSpan w:val="4"/>
          </w:tcPr>
          <w:p>
            <w:pPr>
              <w:jc w:val="right"/>
              <w:ind w:right="164"/>
              <w:spacing w:after="0" w:line="256" w:lineRule="exact"/>
              <w:rPr>
                <w:sz w:val="20"/>
                <w:szCs w:val="20"/>
                <w:color w:val="auto"/>
              </w:rPr>
            </w:pPr>
            <w:r>
              <w:rPr>
                <w:rFonts w:ascii="Arial" w:cs="Arial" w:eastAsia="Arial" w:hAnsi="Arial"/>
                <w:sz w:val="13"/>
                <w:szCs w:val="13"/>
                <w:color w:val="auto"/>
              </w:rPr>
              <w:t>8.00</w:t>
            </w:r>
            <w:r>
              <w:rPr>
                <w:rFonts w:ascii="Arial" w:cs="Arial" w:eastAsia="Arial" w:hAnsi="Arial"/>
                <w:sz w:val="26"/>
                <w:szCs w:val="26"/>
                <w:color w:val="auto"/>
                <w:vertAlign w:val="subscript"/>
              </w:rPr>
              <w:t>%</w:t>
            </w:r>
            <w:r>
              <w:rPr>
                <w:rFonts w:ascii="Arial" w:cs="Arial" w:eastAsia="Arial" w:hAnsi="Arial"/>
                <w:sz w:val="13"/>
                <w:szCs w:val="13"/>
                <w:color w:val="auto"/>
              </w:rPr>
              <w:t xml:space="preserve"> </w:t>
            </w:r>
            <w:r>
              <w:rPr>
                <w:rFonts w:ascii="Arial" w:cs="Arial" w:eastAsia="Arial" w:hAnsi="Arial"/>
                <w:sz w:val="22"/>
                <w:szCs w:val="22"/>
                <w:color w:val="auto"/>
                <w:vertAlign w:val="superscript"/>
              </w:rPr>
              <w:t>(7)</w:t>
            </w:r>
          </w:p>
        </w:tc>
        <w:tc>
          <w:tcPr>
            <w:tcW w:w="740" w:type="dxa"/>
            <w:vAlign w:val="bottom"/>
            <w:gridSpan w:val="2"/>
          </w:tcPr>
          <w:p>
            <w:pPr>
              <w:jc w:val="right"/>
              <w:ind w:right="320"/>
              <w:spacing w:after="0"/>
              <w:rPr>
                <w:sz w:val="20"/>
                <w:szCs w:val="20"/>
                <w:color w:val="auto"/>
              </w:rPr>
            </w:pPr>
            <w:r>
              <w:rPr>
                <w:rFonts w:ascii="Arial" w:cs="Arial" w:eastAsia="Arial" w:hAnsi="Arial"/>
                <w:sz w:val="13"/>
                <w:szCs w:val="13"/>
                <w:color w:val="auto"/>
              </w:rPr>
              <w:t>—</w:t>
            </w:r>
          </w:p>
        </w:tc>
        <w:tc>
          <w:tcPr>
            <w:tcW w:w="800" w:type="dxa"/>
            <w:vAlign w:val="bottom"/>
            <w:gridSpan w:val="2"/>
          </w:tcPr>
          <w:p>
            <w:pPr>
              <w:jc w:val="right"/>
              <w:spacing w:after="0"/>
              <w:rPr>
                <w:sz w:val="20"/>
                <w:szCs w:val="20"/>
                <w:color w:val="auto"/>
              </w:rPr>
            </w:pPr>
            <w:r>
              <w:rPr>
                <w:rFonts w:ascii="Arial" w:cs="Arial" w:eastAsia="Arial" w:hAnsi="Arial"/>
                <w:sz w:val="13"/>
                <w:szCs w:val="13"/>
                <w:color w:val="auto"/>
              </w:rPr>
              <w:t>91,608</w:t>
            </w:r>
          </w:p>
        </w:tc>
        <w:tc>
          <w:tcPr>
            <w:tcW w:w="1160" w:type="dxa"/>
            <w:vAlign w:val="bottom"/>
            <w:gridSpan w:val="3"/>
          </w:tcPr>
          <w:p>
            <w:pPr>
              <w:jc w:val="right"/>
              <w:ind w:right="220"/>
              <w:spacing w:after="0"/>
              <w:rPr>
                <w:sz w:val="20"/>
                <w:szCs w:val="20"/>
                <w:color w:val="auto"/>
              </w:rPr>
            </w:pPr>
            <w:r>
              <w:rPr>
                <w:rFonts w:ascii="Arial" w:cs="Arial" w:eastAsia="Arial" w:hAnsi="Arial"/>
                <w:sz w:val="13"/>
                <w:szCs w:val="13"/>
                <w:color w:val="auto"/>
              </w:rPr>
              <w:t>2,499,066</w:t>
            </w:r>
          </w:p>
        </w:tc>
        <w:tc>
          <w:tcPr>
            <w:tcW w:w="80" w:type="dxa"/>
            <w:vAlign w:val="bottom"/>
          </w:tcPr>
          <w:p>
            <w:pPr>
              <w:spacing w:after="0"/>
              <w:rPr>
                <w:sz w:val="22"/>
                <w:szCs w:val="22"/>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3"/>
                <w:szCs w:val="13"/>
                <w:color w:val="auto"/>
              </w:rPr>
              <w:t>2,499,066</w:t>
            </w:r>
          </w:p>
        </w:tc>
        <w:tc>
          <w:tcPr>
            <w:tcW w:w="0" w:type="dxa"/>
            <w:vAlign w:val="bottom"/>
          </w:tcPr>
          <w:p>
            <w:pPr>
              <w:spacing w:after="0"/>
              <w:rPr>
                <w:sz w:val="1"/>
                <w:szCs w:val="1"/>
                <w:color w:val="auto"/>
              </w:rPr>
            </w:pPr>
          </w:p>
        </w:tc>
      </w:tr>
      <w:tr>
        <w:trPr>
          <w:trHeight w:val="149"/>
        </w:trPr>
        <w:tc>
          <w:tcPr>
            <w:tcW w:w="4940" w:type="dxa"/>
            <w:vAlign w:val="bottom"/>
            <w:gridSpan w:val="2"/>
          </w:tcPr>
          <w:p>
            <w:pPr>
              <w:ind w:left="220"/>
              <w:spacing w:after="0"/>
              <w:rPr>
                <w:sz w:val="20"/>
                <w:szCs w:val="20"/>
                <w:color w:val="auto"/>
              </w:rPr>
            </w:pPr>
            <w:r>
              <w:rPr>
                <w:rFonts w:ascii="Arial" w:cs="Arial" w:eastAsia="Arial" w:hAnsi="Arial"/>
                <w:sz w:val="13"/>
                <w:szCs w:val="13"/>
                <w:color w:val="auto"/>
              </w:rPr>
              <w:t>(UP Acquisitions Sub Inc.)</w:t>
            </w: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5"/>
        </w:trPr>
        <w:tc>
          <w:tcPr>
            <w:tcW w:w="760" w:type="dxa"/>
            <w:vAlign w:val="bottom"/>
          </w:tcPr>
          <w:p>
            <w:pPr>
              <w:spacing w:after="0"/>
              <w:rPr>
                <w:sz w:val="10"/>
                <w:szCs w:val="10"/>
                <w:color w:val="auto"/>
              </w:rPr>
            </w:pPr>
          </w:p>
        </w:tc>
        <w:tc>
          <w:tcPr>
            <w:tcW w:w="41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 w:type="dxa"/>
            <w:vAlign w:val="bottom"/>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4940" w:type="dxa"/>
            <w:vAlign w:val="bottom"/>
            <w:gridSpan w:val="2"/>
            <w:shd w:val="clear" w:color="auto" w:fill="CCEEFF"/>
          </w:tcPr>
          <w:p>
            <w:pPr>
              <w:spacing w:after="0"/>
              <w:rPr>
                <w:sz w:val="20"/>
                <w:szCs w:val="20"/>
                <w:color w:val="auto"/>
              </w:rPr>
            </w:pPr>
            <w:r>
              <w:rPr>
                <w:rFonts w:ascii="Arial" w:cs="Arial" w:eastAsia="Arial" w:hAnsi="Arial"/>
                <w:sz w:val="13"/>
                <w:szCs w:val="13"/>
                <w:b w:val="1"/>
                <w:bCs w:val="1"/>
                <w:color w:val="auto"/>
              </w:rPr>
              <w:t>Total Preferred Equity / Partnership Interest</w:t>
            </w:r>
          </w:p>
        </w:tc>
        <w:tc>
          <w:tcPr>
            <w:tcW w:w="6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4,054,448</w:t>
            </w:r>
          </w:p>
        </w:tc>
        <w:tc>
          <w:tcPr>
            <w:tcW w:w="1160" w:type="dxa"/>
            <w:vAlign w:val="bottom"/>
            <w:gridSpan w:val="3"/>
            <w:shd w:val="clear" w:color="auto" w:fill="CCEEFF"/>
          </w:tcPr>
          <w:p>
            <w:pPr>
              <w:jc w:val="right"/>
              <w:ind w:right="220"/>
              <w:spacing w:after="0"/>
              <w:rPr>
                <w:sz w:val="20"/>
                <w:szCs w:val="20"/>
                <w:color w:val="auto"/>
              </w:rPr>
            </w:pPr>
            <w:r>
              <w:rPr>
                <w:rFonts w:ascii="Arial" w:cs="Arial" w:eastAsia="Arial" w:hAnsi="Arial"/>
                <w:sz w:val="13"/>
                <w:szCs w:val="13"/>
                <w:color w:val="auto"/>
              </w:rPr>
              <w:t>9,298,819</w:t>
            </w: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9,298,819</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392"/>
        </w:trPr>
        <w:tc>
          <w:tcPr>
            <w:tcW w:w="4940" w:type="dxa"/>
            <w:vAlign w:val="bottom"/>
            <w:gridSpan w:val="2"/>
          </w:tcPr>
          <w:p>
            <w:pPr>
              <w:spacing w:after="0"/>
              <w:rPr>
                <w:sz w:val="20"/>
                <w:szCs w:val="20"/>
                <w:color w:val="auto"/>
              </w:rPr>
            </w:pPr>
            <w:r>
              <w:rPr>
                <w:rFonts w:ascii="Arial" w:cs="Arial" w:eastAsia="Arial" w:hAnsi="Arial"/>
                <w:sz w:val="13"/>
                <w:szCs w:val="13"/>
                <w:b w:val="1"/>
                <w:bCs w:val="1"/>
                <w:color w:val="auto"/>
              </w:rPr>
              <w:t>Common Equity/Partnership Interest</w:t>
            </w:r>
            <w:r>
              <w:rPr>
                <w:rFonts w:ascii="Arial" w:cs="Arial" w:eastAsia="Arial" w:hAnsi="Arial"/>
                <w:sz w:val="22"/>
                <w:szCs w:val="22"/>
                <w:b w:val="1"/>
                <w:bCs w:val="1"/>
                <w:color w:val="auto"/>
                <w:vertAlign w:val="superscript"/>
              </w:rPr>
              <w:t>(7)</w:t>
            </w:r>
            <w:r>
              <w:rPr>
                <w:rFonts w:ascii="Arial" w:cs="Arial" w:eastAsia="Arial" w:hAnsi="Arial"/>
                <w:sz w:val="13"/>
                <w:szCs w:val="13"/>
                <w:b w:val="1"/>
                <w:bCs w:val="1"/>
                <w:color w:val="auto"/>
              </w:rPr>
              <w:t xml:space="preserve"> – 4.0%</w:t>
            </w: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4"/>
        </w:trPr>
        <w:tc>
          <w:tcPr>
            <w:tcW w:w="4940" w:type="dxa"/>
            <w:vAlign w:val="bottom"/>
            <w:gridSpan w:val="2"/>
            <w:shd w:val="clear" w:color="auto" w:fill="CCEEFF"/>
          </w:tcPr>
          <w:p>
            <w:pPr>
              <w:spacing w:after="0" w:line="144" w:lineRule="exact"/>
              <w:rPr>
                <w:sz w:val="20"/>
                <w:szCs w:val="20"/>
                <w:color w:val="auto"/>
              </w:rPr>
            </w:pPr>
            <w:r>
              <w:rPr>
                <w:rFonts w:ascii="Arial" w:cs="Arial" w:eastAsia="Arial" w:hAnsi="Arial"/>
                <w:sz w:val="13"/>
                <w:szCs w:val="13"/>
                <w:color w:val="auto"/>
              </w:rPr>
              <w:t>AHC Mezzanine</w:t>
            </w:r>
          </w:p>
        </w:tc>
        <w:tc>
          <w:tcPr>
            <w:tcW w:w="620" w:type="dxa"/>
            <w:vAlign w:val="bottom"/>
            <w:shd w:val="clear" w:color="auto" w:fill="CCEEFF"/>
          </w:tcPr>
          <w:p>
            <w:pPr>
              <w:ind w:left="420"/>
              <w:spacing w:after="0" w:line="144" w:lineRule="exact"/>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2"/>
                <w:szCs w:val="12"/>
                <w:color w:val="auto"/>
              </w:rPr>
            </w:pPr>
          </w:p>
        </w:tc>
        <w:tc>
          <w:tcPr>
            <w:tcW w:w="840" w:type="dxa"/>
            <w:vAlign w:val="bottom"/>
            <w:shd w:val="clear" w:color="auto" w:fill="CCEEFF"/>
          </w:tcPr>
          <w:p>
            <w:pPr>
              <w:jc w:val="center"/>
              <w:spacing w:after="0" w:line="144" w:lineRule="exact"/>
              <w:rPr>
                <w:sz w:val="20"/>
                <w:szCs w:val="20"/>
                <w:color w:val="auto"/>
              </w:rPr>
            </w:pPr>
            <w:r>
              <w:rPr>
                <w:rFonts w:ascii="Arial" w:cs="Arial" w:eastAsia="Arial" w:hAnsi="Arial"/>
                <w:sz w:val="13"/>
                <w:szCs w:val="13"/>
                <w:color w:val="auto"/>
                <w:w w:val="95"/>
              </w:rPr>
              <w:t>Other Media</w:t>
            </w:r>
          </w:p>
        </w:tc>
        <w:tc>
          <w:tcPr>
            <w:tcW w:w="22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80"/>
              <w:spacing w:after="0" w:line="144" w:lineRule="exact"/>
              <w:rPr>
                <w:sz w:val="20"/>
                <w:szCs w:val="20"/>
                <w:color w:val="auto"/>
              </w:rPr>
            </w:pPr>
            <w:r>
              <w:rPr>
                <w:rFonts w:ascii="Arial" w:cs="Arial" w:eastAsia="Arial" w:hAnsi="Arial"/>
                <w:sz w:val="13"/>
                <w:szCs w:val="13"/>
                <w:color w:val="auto"/>
              </w:rPr>
              <w:t>—</w:t>
            </w:r>
          </w:p>
        </w:tc>
        <w:tc>
          <w:tcPr>
            <w:tcW w:w="3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320"/>
              <w:spacing w:after="0" w:line="144" w:lineRule="exact"/>
              <w:rPr>
                <w:sz w:val="20"/>
                <w:szCs w:val="20"/>
                <w:color w:val="auto"/>
              </w:rPr>
            </w:pPr>
            <w:r>
              <w:rPr>
                <w:rFonts w:ascii="Arial" w:cs="Arial" w:eastAsia="Arial" w:hAnsi="Arial"/>
                <w:sz w:val="13"/>
                <w:szCs w:val="13"/>
                <w:color w:val="auto"/>
              </w:rPr>
              <w:t>—</w:t>
            </w:r>
          </w:p>
        </w:tc>
        <w:tc>
          <w:tcPr>
            <w:tcW w:w="800" w:type="dxa"/>
            <w:vAlign w:val="bottom"/>
            <w:gridSpan w:val="2"/>
            <w:shd w:val="clear" w:color="auto" w:fill="CCEEFF"/>
          </w:tcPr>
          <w:p>
            <w:pPr>
              <w:jc w:val="right"/>
              <w:spacing w:after="0" w:line="144" w:lineRule="exact"/>
              <w:rPr>
                <w:sz w:val="20"/>
                <w:szCs w:val="20"/>
                <w:color w:val="auto"/>
              </w:rPr>
            </w:pPr>
            <w:r>
              <w:rPr>
                <w:rFonts w:ascii="Arial" w:cs="Arial" w:eastAsia="Arial" w:hAnsi="Arial"/>
                <w:sz w:val="13"/>
                <w:szCs w:val="13"/>
                <w:color w:val="auto"/>
              </w:rPr>
              <w:t>3,000</w:t>
            </w:r>
          </w:p>
        </w:tc>
        <w:tc>
          <w:tcPr>
            <w:tcW w:w="1160" w:type="dxa"/>
            <w:vAlign w:val="bottom"/>
            <w:gridSpan w:val="3"/>
            <w:shd w:val="clear" w:color="auto" w:fill="CCEEFF"/>
          </w:tcPr>
          <w:p>
            <w:pPr>
              <w:jc w:val="right"/>
              <w:ind w:right="220"/>
              <w:spacing w:after="0" w:line="144" w:lineRule="exact"/>
              <w:rPr>
                <w:sz w:val="20"/>
                <w:szCs w:val="20"/>
                <w:color w:val="auto"/>
              </w:rPr>
            </w:pPr>
            <w:r>
              <w:rPr>
                <w:rFonts w:ascii="Arial" w:cs="Arial" w:eastAsia="Arial" w:hAnsi="Arial"/>
                <w:sz w:val="13"/>
                <w:szCs w:val="13"/>
                <w:color w:val="auto"/>
              </w:rPr>
              <w:t>3,000,000</w:t>
            </w: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998,883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4940" w:type="dxa"/>
            <w:vAlign w:val="bottom"/>
            <w:gridSpan w:val="2"/>
            <w:shd w:val="clear" w:color="auto" w:fill="CCEEFF"/>
          </w:tcPr>
          <w:p>
            <w:pPr>
              <w:ind w:left="220"/>
              <w:spacing w:after="0"/>
              <w:rPr>
                <w:sz w:val="20"/>
                <w:szCs w:val="20"/>
                <w:color w:val="auto"/>
              </w:rPr>
            </w:pPr>
            <w:r>
              <w:rPr>
                <w:rFonts w:ascii="Arial" w:cs="Arial" w:eastAsia="Arial" w:hAnsi="Arial"/>
                <w:sz w:val="13"/>
                <w:szCs w:val="13"/>
                <w:color w:val="auto"/>
              </w:rPr>
              <w:t>(Advanstar Inc.)</w:t>
            </w:r>
          </w:p>
        </w:tc>
        <w:tc>
          <w:tcPr>
            <w:tcW w:w="6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6"/>
        </w:trPr>
        <w:tc>
          <w:tcPr>
            <w:tcW w:w="4940" w:type="dxa"/>
            <w:vAlign w:val="bottom"/>
            <w:gridSpan w:val="2"/>
          </w:tcPr>
          <w:p>
            <w:pPr>
              <w:spacing w:after="0"/>
              <w:rPr>
                <w:sz w:val="20"/>
                <w:szCs w:val="20"/>
                <w:color w:val="auto"/>
              </w:rPr>
            </w:pPr>
            <w:r>
              <w:rPr>
                <w:rFonts w:ascii="Arial" w:cs="Arial" w:eastAsia="Arial" w:hAnsi="Arial"/>
                <w:sz w:val="13"/>
                <w:szCs w:val="13"/>
                <w:color w:val="auto"/>
              </w:rPr>
              <w:t>CFHC Holdings, Inc.,</w:t>
            </w:r>
          </w:p>
        </w:tc>
        <w:tc>
          <w:tcPr>
            <w:tcW w:w="620" w:type="dxa"/>
            <w:vAlign w:val="bottom"/>
          </w:tcPr>
          <w:p>
            <w:pPr>
              <w:ind w:left="42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21"/>
                <w:szCs w:val="21"/>
                <w:color w:val="auto"/>
              </w:rPr>
            </w:pPr>
          </w:p>
        </w:tc>
        <w:tc>
          <w:tcPr>
            <w:tcW w:w="840" w:type="dxa"/>
            <w:vAlign w:val="bottom"/>
          </w:tcPr>
          <w:p>
            <w:pPr>
              <w:jc w:val="center"/>
              <w:spacing w:after="0"/>
              <w:rPr>
                <w:sz w:val="20"/>
                <w:szCs w:val="20"/>
                <w:color w:val="auto"/>
              </w:rPr>
            </w:pPr>
            <w:r>
              <w:rPr>
                <w:rFonts w:ascii="Arial" w:cs="Arial" w:eastAsia="Arial" w:hAnsi="Arial"/>
                <w:sz w:val="13"/>
                <w:szCs w:val="13"/>
                <w:color w:val="auto"/>
                <w:w w:val="91"/>
              </w:rPr>
              <w:t>Aerospace and</w:t>
            </w:r>
          </w:p>
        </w:tc>
        <w:tc>
          <w:tcPr>
            <w:tcW w:w="220" w:type="dxa"/>
            <w:vAlign w:val="bottom"/>
          </w:tcPr>
          <w:p>
            <w:pPr>
              <w:spacing w:after="0"/>
              <w:rPr>
                <w:sz w:val="21"/>
                <w:szCs w:val="21"/>
                <w:color w:val="auto"/>
              </w:rPr>
            </w:pPr>
          </w:p>
        </w:tc>
        <w:tc>
          <w:tcPr>
            <w:tcW w:w="60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380" w:type="dxa"/>
            <w:vAlign w:val="bottom"/>
          </w:tcPr>
          <w:p>
            <w:pPr>
              <w:spacing w:after="0"/>
              <w:rPr>
                <w:sz w:val="21"/>
                <w:szCs w:val="21"/>
                <w:color w:val="auto"/>
              </w:rPr>
            </w:pPr>
          </w:p>
        </w:tc>
        <w:tc>
          <w:tcPr>
            <w:tcW w:w="740" w:type="dxa"/>
            <w:vAlign w:val="bottom"/>
            <w:gridSpan w:val="2"/>
          </w:tcPr>
          <w:p>
            <w:pPr>
              <w:jc w:val="right"/>
              <w:ind w:right="320"/>
              <w:spacing w:after="0"/>
              <w:rPr>
                <w:sz w:val="20"/>
                <w:szCs w:val="20"/>
                <w:color w:val="auto"/>
              </w:rPr>
            </w:pPr>
            <w:r>
              <w:rPr>
                <w:rFonts w:ascii="Arial" w:cs="Arial" w:eastAsia="Arial" w:hAnsi="Arial"/>
                <w:sz w:val="13"/>
                <w:szCs w:val="13"/>
                <w:color w:val="auto"/>
              </w:rPr>
              <w:t>—</w:t>
            </w:r>
          </w:p>
        </w:tc>
        <w:tc>
          <w:tcPr>
            <w:tcW w:w="800" w:type="dxa"/>
            <w:vAlign w:val="bottom"/>
            <w:gridSpan w:val="2"/>
          </w:tcPr>
          <w:p>
            <w:pPr>
              <w:jc w:val="right"/>
              <w:spacing w:after="0"/>
              <w:rPr>
                <w:sz w:val="20"/>
                <w:szCs w:val="20"/>
                <w:color w:val="auto"/>
              </w:rPr>
            </w:pPr>
            <w:r>
              <w:rPr>
                <w:rFonts w:ascii="Arial" w:cs="Arial" w:eastAsia="Arial" w:hAnsi="Arial"/>
                <w:sz w:val="13"/>
                <w:szCs w:val="13"/>
                <w:color w:val="auto"/>
              </w:rPr>
              <w:t>1,627</w:t>
            </w:r>
          </w:p>
        </w:tc>
        <w:tc>
          <w:tcPr>
            <w:tcW w:w="1160" w:type="dxa"/>
            <w:vAlign w:val="bottom"/>
            <w:gridSpan w:val="3"/>
          </w:tcPr>
          <w:p>
            <w:pPr>
              <w:jc w:val="right"/>
              <w:ind w:right="220"/>
              <w:spacing w:after="0"/>
              <w:rPr>
                <w:sz w:val="20"/>
                <w:szCs w:val="20"/>
                <w:color w:val="auto"/>
              </w:rPr>
            </w:pPr>
            <w:r>
              <w:rPr>
                <w:rFonts w:ascii="Arial" w:cs="Arial" w:eastAsia="Arial" w:hAnsi="Arial"/>
                <w:sz w:val="13"/>
                <w:szCs w:val="13"/>
                <w:color w:val="auto"/>
              </w:rPr>
              <w:t>16,271</w:t>
            </w:r>
          </w:p>
        </w:tc>
        <w:tc>
          <w:tcPr>
            <w:tcW w:w="80" w:type="dxa"/>
            <w:vAlign w:val="bottom"/>
          </w:tcPr>
          <w:p>
            <w:pPr>
              <w:spacing w:after="0"/>
              <w:rPr>
                <w:sz w:val="21"/>
                <w:szCs w:val="21"/>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3"/>
                <w:szCs w:val="13"/>
                <w:color w:val="auto"/>
              </w:rPr>
              <w:t>149,557</w:t>
            </w:r>
          </w:p>
        </w:tc>
        <w:tc>
          <w:tcPr>
            <w:tcW w:w="0" w:type="dxa"/>
            <w:vAlign w:val="bottom"/>
          </w:tcPr>
          <w:p>
            <w:pPr>
              <w:spacing w:after="0"/>
              <w:rPr>
                <w:sz w:val="1"/>
                <w:szCs w:val="1"/>
                <w:color w:val="auto"/>
              </w:rPr>
            </w:pPr>
          </w:p>
        </w:tc>
      </w:tr>
      <w:tr>
        <w:trPr>
          <w:trHeight w:val="172"/>
        </w:trPr>
        <w:tc>
          <w:tcPr>
            <w:tcW w:w="4940" w:type="dxa"/>
            <w:vAlign w:val="bottom"/>
            <w:gridSpan w:val="2"/>
          </w:tcPr>
          <w:p>
            <w:pPr>
              <w:ind w:left="220"/>
              <w:spacing w:after="0"/>
              <w:rPr>
                <w:sz w:val="20"/>
                <w:szCs w:val="20"/>
                <w:color w:val="auto"/>
              </w:rPr>
            </w:pPr>
            <w:r>
              <w:rPr>
                <w:rFonts w:ascii="Arial" w:cs="Arial" w:eastAsia="Arial" w:hAnsi="Arial"/>
                <w:sz w:val="13"/>
                <w:szCs w:val="13"/>
                <w:color w:val="auto"/>
              </w:rPr>
              <w:t>(Consolidated Foundries, Inc.)</w:t>
            </w: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Arial" w:cs="Arial" w:eastAsia="Arial" w:hAnsi="Arial"/>
                <w:sz w:val="13"/>
                <w:szCs w:val="13"/>
                <w:color w:val="auto"/>
                <w:w w:val="90"/>
              </w:rPr>
              <w:t>Defense</w:t>
            </w:r>
          </w:p>
        </w:tc>
        <w:tc>
          <w:tcPr>
            <w:tcW w:w="2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760" w:type="dxa"/>
            <w:vAlign w:val="bottom"/>
          </w:tcPr>
          <w:p>
            <w:pPr>
              <w:spacing w:after="0"/>
              <w:rPr>
                <w:sz w:val="8"/>
                <w:szCs w:val="8"/>
                <w:color w:val="auto"/>
              </w:rPr>
            </w:pPr>
          </w:p>
        </w:tc>
        <w:tc>
          <w:tcPr>
            <w:tcW w:w="4180" w:type="dxa"/>
            <w:vAlign w:val="bottom"/>
          </w:tcPr>
          <w:p>
            <w:pPr>
              <w:spacing w:after="0"/>
              <w:rPr>
                <w:sz w:val="8"/>
                <w:szCs w:val="8"/>
                <w:color w:val="auto"/>
              </w:rPr>
            </w:pPr>
          </w:p>
        </w:tc>
        <w:tc>
          <w:tcPr>
            <w:tcW w:w="620" w:type="dxa"/>
            <w:vAlign w:val="bottom"/>
          </w:tcPr>
          <w:p>
            <w:pPr>
              <w:spacing w:after="0"/>
              <w:rPr>
                <w:sz w:val="8"/>
                <w:szCs w:val="8"/>
                <w:color w:val="auto"/>
              </w:rPr>
            </w:pPr>
          </w:p>
        </w:tc>
        <w:tc>
          <w:tcPr>
            <w:tcW w:w="220" w:type="dxa"/>
            <w:vAlign w:val="bottom"/>
          </w:tcPr>
          <w:p>
            <w:pPr>
              <w:spacing w:after="0"/>
              <w:rPr>
                <w:sz w:val="8"/>
                <w:szCs w:val="8"/>
                <w:color w:val="auto"/>
              </w:rPr>
            </w:pPr>
          </w:p>
        </w:tc>
        <w:tc>
          <w:tcPr>
            <w:tcW w:w="840" w:type="dxa"/>
            <w:vAlign w:val="bottom"/>
          </w:tcPr>
          <w:p>
            <w:pPr>
              <w:spacing w:after="0"/>
              <w:rPr>
                <w:sz w:val="8"/>
                <w:szCs w:val="8"/>
                <w:color w:val="auto"/>
              </w:rPr>
            </w:pPr>
          </w:p>
        </w:tc>
        <w:tc>
          <w:tcPr>
            <w:tcW w:w="2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20" w:type="dxa"/>
            <w:vAlign w:val="bottom"/>
          </w:tcPr>
          <w:p>
            <w:pPr>
              <w:spacing w:after="0"/>
              <w:rPr>
                <w:sz w:val="8"/>
                <w:szCs w:val="8"/>
                <w:color w:val="auto"/>
              </w:rPr>
            </w:pPr>
          </w:p>
        </w:tc>
        <w:tc>
          <w:tcPr>
            <w:tcW w:w="380" w:type="dxa"/>
            <w:vAlign w:val="bottom"/>
          </w:tcPr>
          <w:p>
            <w:pPr>
              <w:spacing w:after="0"/>
              <w:rPr>
                <w:sz w:val="8"/>
                <w:szCs w:val="8"/>
                <w:color w:val="auto"/>
              </w:rPr>
            </w:pPr>
          </w:p>
        </w:tc>
        <w:tc>
          <w:tcPr>
            <w:tcW w:w="5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220" w:type="dxa"/>
            <w:vAlign w:val="bottom"/>
          </w:tcPr>
          <w:p>
            <w:pPr>
              <w:spacing w:after="0"/>
              <w:rPr>
                <w:sz w:val="8"/>
                <w:szCs w:val="8"/>
                <w:color w:val="auto"/>
              </w:rPr>
            </w:pPr>
          </w:p>
        </w:tc>
        <w:tc>
          <w:tcPr>
            <w:tcW w:w="72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38"/>
        </w:trPr>
        <w:tc>
          <w:tcPr>
            <w:tcW w:w="4940" w:type="dxa"/>
            <w:vAlign w:val="bottom"/>
            <w:gridSpan w:val="2"/>
            <w:shd w:val="clear" w:color="auto" w:fill="CCEEFF"/>
          </w:tcPr>
          <w:p>
            <w:pPr>
              <w:spacing w:after="0" w:line="138" w:lineRule="exact"/>
              <w:rPr>
                <w:sz w:val="20"/>
                <w:szCs w:val="20"/>
                <w:color w:val="auto"/>
              </w:rPr>
            </w:pPr>
            <w:r>
              <w:rPr>
                <w:rFonts w:ascii="Arial" w:cs="Arial" w:eastAsia="Arial" w:hAnsi="Arial"/>
                <w:sz w:val="13"/>
                <w:szCs w:val="13"/>
                <w:color w:val="auto"/>
              </w:rPr>
              <w:t>CT Technologies Holdings, LLC</w:t>
            </w:r>
          </w:p>
        </w:tc>
        <w:tc>
          <w:tcPr>
            <w:tcW w:w="620" w:type="dxa"/>
            <w:vAlign w:val="bottom"/>
            <w:shd w:val="clear" w:color="auto" w:fill="CCEEFF"/>
          </w:tcPr>
          <w:p>
            <w:pPr>
              <w:ind w:left="420"/>
              <w:spacing w:after="0" w:line="138" w:lineRule="exact"/>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1"/>
                <w:szCs w:val="11"/>
                <w:color w:val="auto"/>
              </w:rPr>
            </w:pPr>
          </w:p>
        </w:tc>
        <w:tc>
          <w:tcPr>
            <w:tcW w:w="840" w:type="dxa"/>
            <w:vAlign w:val="bottom"/>
            <w:shd w:val="clear" w:color="auto" w:fill="CCEEFF"/>
          </w:tcPr>
          <w:p>
            <w:pPr>
              <w:jc w:val="center"/>
              <w:spacing w:after="0" w:line="138" w:lineRule="exact"/>
              <w:rPr>
                <w:sz w:val="20"/>
                <w:szCs w:val="20"/>
                <w:color w:val="auto"/>
              </w:rPr>
            </w:pPr>
            <w:r>
              <w:rPr>
                <w:rFonts w:ascii="Arial" w:cs="Arial" w:eastAsia="Arial" w:hAnsi="Arial"/>
                <w:sz w:val="13"/>
                <w:szCs w:val="13"/>
                <w:color w:val="auto"/>
                <w:w w:val="90"/>
              </w:rPr>
              <w:t>Business</w:t>
            </w:r>
          </w:p>
        </w:tc>
        <w:tc>
          <w:tcPr>
            <w:tcW w:w="22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180"/>
              <w:spacing w:after="0" w:line="138" w:lineRule="exact"/>
              <w:rPr>
                <w:sz w:val="20"/>
                <w:szCs w:val="20"/>
                <w:color w:val="auto"/>
              </w:rPr>
            </w:pPr>
            <w:r>
              <w:rPr>
                <w:rFonts w:ascii="Arial" w:cs="Arial" w:eastAsia="Arial" w:hAnsi="Arial"/>
                <w:sz w:val="13"/>
                <w:szCs w:val="13"/>
                <w:color w:val="auto"/>
              </w:rPr>
              <w:t>—</w:t>
            </w:r>
          </w:p>
        </w:tc>
        <w:tc>
          <w:tcPr>
            <w:tcW w:w="38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320"/>
              <w:spacing w:after="0" w:line="138" w:lineRule="exact"/>
              <w:rPr>
                <w:sz w:val="20"/>
                <w:szCs w:val="20"/>
                <w:color w:val="auto"/>
              </w:rPr>
            </w:pPr>
            <w:r>
              <w:rPr>
                <w:rFonts w:ascii="Arial" w:cs="Arial" w:eastAsia="Arial" w:hAnsi="Arial"/>
                <w:sz w:val="13"/>
                <w:szCs w:val="13"/>
                <w:color w:val="auto"/>
              </w:rPr>
              <w:t>—</w:t>
            </w:r>
          </w:p>
        </w:tc>
        <w:tc>
          <w:tcPr>
            <w:tcW w:w="80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3"/>
                <w:szCs w:val="13"/>
                <w:color w:val="auto"/>
              </w:rPr>
              <w:t>5,556</w:t>
            </w:r>
          </w:p>
        </w:tc>
        <w:tc>
          <w:tcPr>
            <w:tcW w:w="1160" w:type="dxa"/>
            <w:vAlign w:val="bottom"/>
            <w:gridSpan w:val="3"/>
            <w:shd w:val="clear" w:color="auto" w:fill="CCEEFF"/>
          </w:tcPr>
          <w:p>
            <w:pPr>
              <w:jc w:val="right"/>
              <w:ind w:right="220"/>
              <w:spacing w:after="0" w:line="138" w:lineRule="exact"/>
              <w:rPr>
                <w:sz w:val="20"/>
                <w:szCs w:val="20"/>
                <w:color w:val="auto"/>
              </w:rPr>
            </w:pPr>
            <w:r>
              <w:rPr>
                <w:rFonts w:ascii="Arial" w:cs="Arial" w:eastAsia="Arial" w:hAnsi="Arial"/>
                <w:sz w:val="13"/>
                <w:szCs w:val="13"/>
                <w:color w:val="auto"/>
              </w:rPr>
              <w:t>3,200,000</w:t>
            </w: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3,200,000</w:t>
            </w:r>
          </w:p>
        </w:tc>
        <w:tc>
          <w:tcPr>
            <w:tcW w:w="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4940" w:type="dxa"/>
            <w:vAlign w:val="bottom"/>
            <w:gridSpan w:val="2"/>
            <w:shd w:val="clear" w:color="auto" w:fill="CCEEFF"/>
          </w:tcPr>
          <w:p>
            <w:pPr>
              <w:ind w:left="220"/>
              <w:spacing w:after="0"/>
              <w:rPr>
                <w:sz w:val="20"/>
                <w:szCs w:val="20"/>
                <w:color w:val="auto"/>
              </w:rPr>
            </w:pPr>
            <w:r>
              <w:rPr>
                <w:rFonts w:ascii="Arial" w:cs="Arial" w:eastAsia="Arial" w:hAnsi="Arial"/>
                <w:sz w:val="13"/>
                <w:szCs w:val="13"/>
                <w:color w:val="auto"/>
              </w:rPr>
              <w:t>(CT Technologies Intermediate Holdings, Inc.)</w:t>
            </w:r>
          </w:p>
        </w:tc>
        <w:tc>
          <w:tcPr>
            <w:tcW w:w="6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2"/>
              </w:rPr>
              <w:t>Services</w:t>
            </w:r>
          </w:p>
        </w:tc>
        <w:tc>
          <w:tcPr>
            <w:tcW w:w="22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6"/>
        </w:trPr>
        <w:tc>
          <w:tcPr>
            <w:tcW w:w="4940" w:type="dxa"/>
            <w:vAlign w:val="bottom"/>
            <w:gridSpan w:val="2"/>
          </w:tcPr>
          <w:p>
            <w:pPr>
              <w:spacing w:after="0"/>
              <w:rPr>
                <w:sz w:val="20"/>
                <w:szCs w:val="20"/>
                <w:color w:val="auto"/>
              </w:rPr>
            </w:pPr>
            <w:r>
              <w:rPr>
                <w:rFonts w:ascii="Arial" w:cs="Arial" w:eastAsia="Arial" w:hAnsi="Arial"/>
                <w:sz w:val="13"/>
                <w:szCs w:val="13"/>
                <w:color w:val="auto"/>
              </w:rPr>
              <w:t>i2 Holdings Ltd.</w:t>
            </w:r>
          </w:p>
        </w:tc>
        <w:tc>
          <w:tcPr>
            <w:tcW w:w="620" w:type="dxa"/>
            <w:vAlign w:val="bottom"/>
          </w:tcPr>
          <w:p>
            <w:pPr>
              <w:ind w:left="42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21"/>
                <w:szCs w:val="21"/>
                <w:color w:val="auto"/>
              </w:rPr>
            </w:pPr>
          </w:p>
        </w:tc>
        <w:tc>
          <w:tcPr>
            <w:tcW w:w="840" w:type="dxa"/>
            <w:vAlign w:val="bottom"/>
          </w:tcPr>
          <w:p>
            <w:pPr>
              <w:jc w:val="center"/>
              <w:spacing w:after="0"/>
              <w:rPr>
                <w:sz w:val="20"/>
                <w:szCs w:val="20"/>
                <w:color w:val="auto"/>
              </w:rPr>
            </w:pPr>
            <w:r>
              <w:rPr>
                <w:rFonts w:ascii="Arial" w:cs="Arial" w:eastAsia="Arial" w:hAnsi="Arial"/>
                <w:sz w:val="13"/>
                <w:szCs w:val="13"/>
                <w:color w:val="auto"/>
                <w:w w:val="91"/>
              </w:rPr>
              <w:t>Aerospace and</w:t>
            </w:r>
          </w:p>
        </w:tc>
        <w:tc>
          <w:tcPr>
            <w:tcW w:w="220" w:type="dxa"/>
            <w:vAlign w:val="bottom"/>
          </w:tcPr>
          <w:p>
            <w:pPr>
              <w:spacing w:after="0"/>
              <w:rPr>
                <w:sz w:val="21"/>
                <w:szCs w:val="21"/>
                <w:color w:val="auto"/>
              </w:rPr>
            </w:pPr>
          </w:p>
        </w:tc>
        <w:tc>
          <w:tcPr>
            <w:tcW w:w="60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380" w:type="dxa"/>
            <w:vAlign w:val="bottom"/>
          </w:tcPr>
          <w:p>
            <w:pPr>
              <w:spacing w:after="0"/>
              <w:rPr>
                <w:sz w:val="21"/>
                <w:szCs w:val="21"/>
                <w:color w:val="auto"/>
              </w:rPr>
            </w:pPr>
          </w:p>
        </w:tc>
        <w:tc>
          <w:tcPr>
            <w:tcW w:w="740" w:type="dxa"/>
            <w:vAlign w:val="bottom"/>
            <w:gridSpan w:val="2"/>
          </w:tcPr>
          <w:p>
            <w:pPr>
              <w:jc w:val="right"/>
              <w:ind w:right="320"/>
              <w:spacing w:after="0"/>
              <w:rPr>
                <w:sz w:val="20"/>
                <w:szCs w:val="20"/>
                <w:color w:val="auto"/>
              </w:rPr>
            </w:pPr>
            <w:r>
              <w:rPr>
                <w:rFonts w:ascii="Arial" w:cs="Arial" w:eastAsia="Arial" w:hAnsi="Arial"/>
                <w:sz w:val="13"/>
                <w:szCs w:val="13"/>
                <w:color w:val="auto"/>
              </w:rPr>
              <w:t>—</w:t>
            </w:r>
          </w:p>
        </w:tc>
        <w:tc>
          <w:tcPr>
            <w:tcW w:w="800" w:type="dxa"/>
            <w:vAlign w:val="bottom"/>
            <w:gridSpan w:val="2"/>
          </w:tcPr>
          <w:p>
            <w:pPr>
              <w:jc w:val="right"/>
              <w:spacing w:after="0"/>
              <w:rPr>
                <w:sz w:val="20"/>
                <w:szCs w:val="20"/>
                <w:color w:val="auto"/>
              </w:rPr>
            </w:pPr>
            <w:r>
              <w:rPr>
                <w:rFonts w:ascii="Arial" w:cs="Arial" w:eastAsia="Arial" w:hAnsi="Arial"/>
                <w:sz w:val="13"/>
                <w:szCs w:val="13"/>
                <w:color w:val="auto"/>
              </w:rPr>
              <w:t>440,000</w:t>
            </w:r>
          </w:p>
        </w:tc>
        <w:tc>
          <w:tcPr>
            <w:tcW w:w="1160" w:type="dxa"/>
            <w:vAlign w:val="bottom"/>
            <w:gridSpan w:val="3"/>
          </w:tcPr>
          <w:p>
            <w:pPr>
              <w:jc w:val="right"/>
              <w:ind w:right="220"/>
              <w:spacing w:after="0"/>
              <w:rPr>
                <w:sz w:val="20"/>
                <w:szCs w:val="20"/>
                <w:color w:val="auto"/>
              </w:rPr>
            </w:pPr>
            <w:r>
              <w:rPr>
                <w:rFonts w:ascii="Arial" w:cs="Arial" w:eastAsia="Arial" w:hAnsi="Arial"/>
                <w:sz w:val="13"/>
                <w:szCs w:val="13"/>
                <w:color w:val="auto"/>
              </w:rPr>
              <w:t>440,000</w:t>
            </w:r>
          </w:p>
        </w:tc>
        <w:tc>
          <w:tcPr>
            <w:tcW w:w="80" w:type="dxa"/>
            <w:vAlign w:val="bottom"/>
          </w:tcPr>
          <w:p>
            <w:pPr>
              <w:spacing w:after="0"/>
              <w:rPr>
                <w:sz w:val="21"/>
                <w:szCs w:val="21"/>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3"/>
                <w:szCs w:val="13"/>
                <w:color w:val="auto"/>
              </w:rPr>
              <w:t>1,545,062</w:t>
            </w:r>
          </w:p>
        </w:tc>
        <w:tc>
          <w:tcPr>
            <w:tcW w:w="0" w:type="dxa"/>
            <w:vAlign w:val="bottom"/>
          </w:tcPr>
          <w:p>
            <w:pPr>
              <w:spacing w:after="0"/>
              <w:rPr>
                <w:sz w:val="1"/>
                <w:szCs w:val="1"/>
                <w:color w:val="auto"/>
              </w:rPr>
            </w:pPr>
          </w:p>
        </w:tc>
      </w:tr>
      <w:tr>
        <w:trPr>
          <w:trHeight w:val="172"/>
        </w:trPr>
        <w:tc>
          <w:tcPr>
            <w:tcW w:w="760" w:type="dxa"/>
            <w:vAlign w:val="bottom"/>
          </w:tcPr>
          <w:p>
            <w:pPr>
              <w:spacing w:after="0"/>
              <w:rPr>
                <w:sz w:val="14"/>
                <w:szCs w:val="14"/>
                <w:color w:val="auto"/>
              </w:rPr>
            </w:pPr>
          </w:p>
        </w:tc>
        <w:tc>
          <w:tcPr>
            <w:tcW w:w="4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Arial" w:cs="Arial" w:eastAsia="Arial" w:hAnsi="Arial"/>
                <w:sz w:val="13"/>
                <w:szCs w:val="13"/>
                <w:color w:val="auto"/>
                <w:w w:val="90"/>
              </w:rPr>
              <w:t>Defense</w:t>
            </w:r>
          </w:p>
        </w:tc>
        <w:tc>
          <w:tcPr>
            <w:tcW w:w="2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760" w:type="dxa"/>
            <w:vAlign w:val="bottom"/>
          </w:tcPr>
          <w:p>
            <w:pPr>
              <w:spacing w:after="0"/>
              <w:rPr>
                <w:sz w:val="8"/>
                <w:szCs w:val="8"/>
                <w:color w:val="auto"/>
              </w:rPr>
            </w:pPr>
          </w:p>
        </w:tc>
        <w:tc>
          <w:tcPr>
            <w:tcW w:w="4180" w:type="dxa"/>
            <w:vAlign w:val="bottom"/>
          </w:tcPr>
          <w:p>
            <w:pPr>
              <w:spacing w:after="0"/>
              <w:rPr>
                <w:sz w:val="8"/>
                <w:szCs w:val="8"/>
                <w:color w:val="auto"/>
              </w:rPr>
            </w:pPr>
          </w:p>
        </w:tc>
        <w:tc>
          <w:tcPr>
            <w:tcW w:w="620" w:type="dxa"/>
            <w:vAlign w:val="bottom"/>
          </w:tcPr>
          <w:p>
            <w:pPr>
              <w:spacing w:after="0"/>
              <w:rPr>
                <w:sz w:val="8"/>
                <w:szCs w:val="8"/>
                <w:color w:val="auto"/>
              </w:rPr>
            </w:pPr>
          </w:p>
        </w:tc>
        <w:tc>
          <w:tcPr>
            <w:tcW w:w="220" w:type="dxa"/>
            <w:vAlign w:val="bottom"/>
          </w:tcPr>
          <w:p>
            <w:pPr>
              <w:spacing w:after="0"/>
              <w:rPr>
                <w:sz w:val="8"/>
                <w:szCs w:val="8"/>
                <w:color w:val="auto"/>
              </w:rPr>
            </w:pPr>
          </w:p>
        </w:tc>
        <w:tc>
          <w:tcPr>
            <w:tcW w:w="840" w:type="dxa"/>
            <w:vAlign w:val="bottom"/>
          </w:tcPr>
          <w:p>
            <w:pPr>
              <w:spacing w:after="0"/>
              <w:rPr>
                <w:sz w:val="8"/>
                <w:szCs w:val="8"/>
                <w:color w:val="auto"/>
              </w:rPr>
            </w:pPr>
          </w:p>
        </w:tc>
        <w:tc>
          <w:tcPr>
            <w:tcW w:w="2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20" w:type="dxa"/>
            <w:vAlign w:val="bottom"/>
          </w:tcPr>
          <w:p>
            <w:pPr>
              <w:spacing w:after="0"/>
              <w:rPr>
                <w:sz w:val="8"/>
                <w:szCs w:val="8"/>
                <w:color w:val="auto"/>
              </w:rPr>
            </w:pPr>
          </w:p>
        </w:tc>
        <w:tc>
          <w:tcPr>
            <w:tcW w:w="380" w:type="dxa"/>
            <w:vAlign w:val="bottom"/>
          </w:tcPr>
          <w:p>
            <w:pPr>
              <w:spacing w:after="0"/>
              <w:rPr>
                <w:sz w:val="8"/>
                <w:szCs w:val="8"/>
                <w:color w:val="auto"/>
              </w:rPr>
            </w:pPr>
          </w:p>
        </w:tc>
        <w:tc>
          <w:tcPr>
            <w:tcW w:w="5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220" w:type="dxa"/>
            <w:vAlign w:val="bottom"/>
          </w:tcPr>
          <w:p>
            <w:pPr>
              <w:spacing w:after="0"/>
              <w:rPr>
                <w:sz w:val="8"/>
                <w:szCs w:val="8"/>
                <w:color w:val="auto"/>
              </w:rPr>
            </w:pPr>
          </w:p>
        </w:tc>
        <w:tc>
          <w:tcPr>
            <w:tcW w:w="72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38"/>
        </w:trPr>
        <w:tc>
          <w:tcPr>
            <w:tcW w:w="4940" w:type="dxa"/>
            <w:vAlign w:val="bottom"/>
            <w:gridSpan w:val="2"/>
            <w:shd w:val="clear" w:color="auto" w:fill="CCEEFF"/>
          </w:tcPr>
          <w:p>
            <w:pPr>
              <w:spacing w:after="0" w:line="138" w:lineRule="exact"/>
              <w:rPr>
                <w:sz w:val="20"/>
                <w:szCs w:val="20"/>
                <w:color w:val="auto"/>
              </w:rPr>
            </w:pPr>
            <w:r>
              <w:rPr>
                <w:rFonts w:ascii="Arial" w:cs="Arial" w:eastAsia="Arial" w:hAnsi="Arial"/>
                <w:sz w:val="13"/>
                <w:szCs w:val="13"/>
                <w:color w:val="auto"/>
              </w:rPr>
              <w:t>TZ Holdings, L.P.</w:t>
            </w:r>
          </w:p>
        </w:tc>
        <w:tc>
          <w:tcPr>
            <w:tcW w:w="620" w:type="dxa"/>
            <w:vAlign w:val="bottom"/>
            <w:shd w:val="clear" w:color="auto" w:fill="CCEEFF"/>
          </w:tcPr>
          <w:p>
            <w:pPr>
              <w:ind w:left="420"/>
              <w:spacing w:after="0" w:line="138" w:lineRule="exact"/>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1"/>
                <w:szCs w:val="11"/>
                <w:color w:val="auto"/>
              </w:rPr>
            </w:pPr>
          </w:p>
        </w:tc>
        <w:tc>
          <w:tcPr>
            <w:tcW w:w="840" w:type="dxa"/>
            <w:vAlign w:val="bottom"/>
            <w:shd w:val="clear" w:color="auto" w:fill="CCEEFF"/>
          </w:tcPr>
          <w:p>
            <w:pPr>
              <w:jc w:val="center"/>
              <w:spacing w:after="0" w:line="138" w:lineRule="exact"/>
              <w:rPr>
                <w:sz w:val="20"/>
                <w:szCs w:val="20"/>
                <w:color w:val="auto"/>
              </w:rPr>
            </w:pPr>
            <w:r>
              <w:rPr>
                <w:rFonts w:ascii="Arial" w:cs="Arial" w:eastAsia="Arial" w:hAnsi="Arial"/>
                <w:sz w:val="13"/>
                <w:szCs w:val="13"/>
                <w:color w:val="auto"/>
                <w:w w:val="91"/>
              </w:rPr>
              <w:t>Insurance</w:t>
            </w:r>
          </w:p>
        </w:tc>
        <w:tc>
          <w:tcPr>
            <w:tcW w:w="22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180"/>
              <w:spacing w:after="0" w:line="138" w:lineRule="exact"/>
              <w:rPr>
                <w:sz w:val="20"/>
                <w:szCs w:val="20"/>
                <w:color w:val="auto"/>
              </w:rPr>
            </w:pPr>
            <w:r>
              <w:rPr>
                <w:rFonts w:ascii="Arial" w:cs="Arial" w:eastAsia="Arial" w:hAnsi="Arial"/>
                <w:sz w:val="13"/>
                <w:szCs w:val="13"/>
                <w:color w:val="auto"/>
              </w:rPr>
              <w:t>—</w:t>
            </w:r>
          </w:p>
        </w:tc>
        <w:tc>
          <w:tcPr>
            <w:tcW w:w="38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320"/>
              <w:spacing w:after="0" w:line="138" w:lineRule="exact"/>
              <w:rPr>
                <w:sz w:val="20"/>
                <w:szCs w:val="20"/>
                <w:color w:val="auto"/>
              </w:rPr>
            </w:pPr>
            <w:r>
              <w:rPr>
                <w:rFonts w:ascii="Arial" w:cs="Arial" w:eastAsia="Arial" w:hAnsi="Arial"/>
                <w:sz w:val="13"/>
                <w:szCs w:val="13"/>
                <w:color w:val="auto"/>
              </w:rPr>
              <w:t>—</w:t>
            </w:r>
          </w:p>
        </w:tc>
        <w:tc>
          <w:tcPr>
            <w:tcW w:w="80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3"/>
                <w:szCs w:val="13"/>
                <w:color w:val="auto"/>
              </w:rPr>
              <w:t>2</w:t>
            </w:r>
          </w:p>
        </w:tc>
        <w:tc>
          <w:tcPr>
            <w:tcW w:w="1160" w:type="dxa"/>
            <w:vAlign w:val="bottom"/>
            <w:gridSpan w:val="3"/>
            <w:shd w:val="clear" w:color="auto" w:fill="CCEEFF"/>
          </w:tcPr>
          <w:p>
            <w:pPr>
              <w:jc w:val="right"/>
              <w:ind w:right="220"/>
              <w:spacing w:after="0" w:line="138" w:lineRule="exact"/>
              <w:rPr>
                <w:sz w:val="20"/>
                <w:szCs w:val="20"/>
                <w:color w:val="auto"/>
              </w:rPr>
            </w:pPr>
            <w:r>
              <w:rPr>
                <w:rFonts w:ascii="Arial" w:cs="Arial" w:eastAsia="Arial" w:hAnsi="Arial"/>
                <w:sz w:val="13"/>
                <w:szCs w:val="13"/>
                <w:color w:val="auto"/>
              </w:rPr>
              <w:t>2,173</w:t>
            </w: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2,173</w:t>
            </w:r>
          </w:p>
        </w:tc>
        <w:tc>
          <w:tcPr>
            <w:tcW w:w="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4940" w:type="dxa"/>
            <w:vAlign w:val="bottom"/>
            <w:gridSpan w:val="2"/>
            <w:shd w:val="clear" w:color="auto" w:fill="CCEEFF"/>
          </w:tcPr>
          <w:p>
            <w:pPr>
              <w:ind w:left="220"/>
              <w:spacing w:after="0"/>
              <w:rPr>
                <w:sz w:val="20"/>
                <w:szCs w:val="20"/>
                <w:color w:val="auto"/>
              </w:rPr>
            </w:pPr>
            <w:r>
              <w:rPr>
                <w:rFonts w:ascii="Arial" w:cs="Arial" w:eastAsia="Arial" w:hAnsi="Arial"/>
                <w:sz w:val="13"/>
                <w:szCs w:val="13"/>
                <w:color w:val="auto"/>
              </w:rPr>
              <w:t>(TZ Merger Sub, Inc.)</w:t>
            </w:r>
          </w:p>
        </w:tc>
        <w:tc>
          <w:tcPr>
            <w:tcW w:w="6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6"/>
        </w:trPr>
        <w:tc>
          <w:tcPr>
            <w:tcW w:w="4940" w:type="dxa"/>
            <w:vAlign w:val="bottom"/>
            <w:gridSpan w:val="2"/>
          </w:tcPr>
          <w:p>
            <w:pPr>
              <w:spacing w:after="0"/>
              <w:rPr>
                <w:sz w:val="20"/>
                <w:szCs w:val="20"/>
                <w:color w:val="auto"/>
              </w:rPr>
            </w:pPr>
            <w:r>
              <w:rPr>
                <w:rFonts w:ascii="Arial" w:cs="Arial" w:eastAsia="Arial" w:hAnsi="Arial"/>
                <w:sz w:val="13"/>
                <w:szCs w:val="13"/>
                <w:color w:val="auto"/>
              </w:rPr>
              <w:t>UP Holdings Inc.</w:t>
            </w:r>
          </w:p>
        </w:tc>
        <w:tc>
          <w:tcPr>
            <w:tcW w:w="620" w:type="dxa"/>
            <w:vAlign w:val="bottom"/>
          </w:tcPr>
          <w:p>
            <w:pPr>
              <w:ind w:left="42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21"/>
                <w:szCs w:val="21"/>
                <w:color w:val="auto"/>
              </w:rPr>
            </w:pPr>
          </w:p>
        </w:tc>
        <w:tc>
          <w:tcPr>
            <w:tcW w:w="840" w:type="dxa"/>
            <w:vAlign w:val="bottom"/>
          </w:tcPr>
          <w:p>
            <w:pPr>
              <w:jc w:val="center"/>
              <w:spacing w:after="0"/>
              <w:rPr>
                <w:sz w:val="20"/>
                <w:szCs w:val="20"/>
                <w:color w:val="auto"/>
              </w:rPr>
            </w:pPr>
            <w:r>
              <w:rPr>
                <w:rFonts w:ascii="Arial" w:cs="Arial" w:eastAsia="Arial" w:hAnsi="Arial"/>
                <w:sz w:val="13"/>
                <w:szCs w:val="13"/>
                <w:color w:val="auto"/>
                <w:w w:val="93"/>
              </w:rPr>
              <w:t>Oil and Gas</w:t>
            </w:r>
          </w:p>
        </w:tc>
        <w:tc>
          <w:tcPr>
            <w:tcW w:w="220" w:type="dxa"/>
            <w:vAlign w:val="bottom"/>
          </w:tcPr>
          <w:p>
            <w:pPr>
              <w:spacing w:after="0"/>
              <w:rPr>
                <w:sz w:val="21"/>
                <w:szCs w:val="21"/>
                <w:color w:val="auto"/>
              </w:rPr>
            </w:pPr>
          </w:p>
        </w:tc>
        <w:tc>
          <w:tcPr>
            <w:tcW w:w="60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380" w:type="dxa"/>
            <w:vAlign w:val="bottom"/>
          </w:tcPr>
          <w:p>
            <w:pPr>
              <w:spacing w:after="0"/>
              <w:rPr>
                <w:sz w:val="21"/>
                <w:szCs w:val="21"/>
                <w:color w:val="auto"/>
              </w:rPr>
            </w:pPr>
          </w:p>
        </w:tc>
        <w:tc>
          <w:tcPr>
            <w:tcW w:w="740" w:type="dxa"/>
            <w:vAlign w:val="bottom"/>
            <w:gridSpan w:val="2"/>
          </w:tcPr>
          <w:p>
            <w:pPr>
              <w:jc w:val="right"/>
              <w:ind w:right="320"/>
              <w:spacing w:after="0"/>
              <w:rPr>
                <w:sz w:val="20"/>
                <w:szCs w:val="20"/>
                <w:color w:val="auto"/>
              </w:rPr>
            </w:pPr>
            <w:r>
              <w:rPr>
                <w:rFonts w:ascii="Arial" w:cs="Arial" w:eastAsia="Arial" w:hAnsi="Arial"/>
                <w:sz w:val="13"/>
                <w:szCs w:val="13"/>
                <w:color w:val="auto"/>
              </w:rPr>
              <w:t>—</w:t>
            </w:r>
          </w:p>
        </w:tc>
        <w:tc>
          <w:tcPr>
            <w:tcW w:w="800" w:type="dxa"/>
            <w:vAlign w:val="bottom"/>
            <w:gridSpan w:val="2"/>
          </w:tcPr>
          <w:p>
            <w:pPr>
              <w:jc w:val="right"/>
              <w:spacing w:after="0"/>
              <w:rPr>
                <w:sz w:val="20"/>
                <w:szCs w:val="20"/>
                <w:color w:val="auto"/>
              </w:rPr>
            </w:pPr>
            <w:r>
              <w:rPr>
                <w:rFonts w:ascii="Arial" w:cs="Arial" w:eastAsia="Arial" w:hAnsi="Arial"/>
                <w:sz w:val="13"/>
                <w:szCs w:val="13"/>
                <w:color w:val="auto"/>
              </w:rPr>
              <w:t>91,608</w:t>
            </w:r>
          </w:p>
        </w:tc>
        <w:tc>
          <w:tcPr>
            <w:tcW w:w="1160" w:type="dxa"/>
            <w:vAlign w:val="bottom"/>
            <w:gridSpan w:val="3"/>
          </w:tcPr>
          <w:p>
            <w:pPr>
              <w:jc w:val="right"/>
              <w:ind w:right="220"/>
              <w:spacing w:after="0"/>
              <w:rPr>
                <w:sz w:val="20"/>
                <w:szCs w:val="20"/>
                <w:color w:val="auto"/>
              </w:rPr>
            </w:pPr>
            <w:r>
              <w:rPr>
                <w:rFonts w:ascii="Arial" w:cs="Arial" w:eastAsia="Arial" w:hAnsi="Arial"/>
                <w:sz w:val="13"/>
                <w:szCs w:val="13"/>
                <w:color w:val="auto"/>
              </w:rPr>
              <w:t>916</w:t>
            </w:r>
          </w:p>
        </w:tc>
        <w:tc>
          <w:tcPr>
            <w:tcW w:w="80" w:type="dxa"/>
            <w:vAlign w:val="bottom"/>
          </w:tcPr>
          <w:p>
            <w:pPr>
              <w:spacing w:after="0"/>
              <w:rPr>
                <w:sz w:val="21"/>
                <w:szCs w:val="21"/>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3"/>
                <w:szCs w:val="13"/>
                <w:color w:val="auto"/>
              </w:rPr>
              <w:t>2,569,208</w:t>
            </w:r>
          </w:p>
        </w:tc>
        <w:tc>
          <w:tcPr>
            <w:tcW w:w="0" w:type="dxa"/>
            <w:vAlign w:val="bottom"/>
          </w:tcPr>
          <w:p>
            <w:pPr>
              <w:spacing w:after="0"/>
              <w:rPr>
                <w:sz w:val="1"/>
                <w:szCs w:val="1"/>
                <w:color w:val="auto"/>
              </w:rPr>
            </w:pPr>
          </w:p>
        </w:tc>
      </w:tr>
      <w:tr>
        <w:trPr>
          <w:trHeight w:val="159"/>
        </w:trPr>
        <w:tc>
          <w:tcPr>
            <w:tcW w:w="4940" w:type="dxa"/>
            <w:vAlign w:val="bottom"/>
            <w:gridSpan w:val="2"/>
          </w:tcPr>
          <w:p>
            <w:pPr>
              <w:ind w:left="220"/>
              <w:spacing w:after="0"/>
              <w:rPr>
                <w:sz w:val="20"/>
                <w:szCs w:val="20"/>
                <w:color w:val="auto"/>
              </w:rPr>
            </w:pPr>
            <w:r>
              <w:rPr>
                <w:rFonts w:ascii="Arial" w:cs="Arial" w:eastAsia="Arial" w:hAnsi="Arial"/>
                <w:sz w:val="13"/>
                <w:szCs w:val="13"/>
                <w:color w:val="auto"/>
              </w:rPr>
              <w:t>(UP Acquisitions Sub Inc.)</w:t>
            </w: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5"/>
        </w:trPr>
        <w:tc>
          <w:tcPr>
            <w:tcW w:w="760" w:type="dxa"/>
            <w:vAlign w:val="bottom"/>
          </w:tcPr>
          <w:p>
            <w:pPr>
              <w:spacing w:after="0"/>
              <w:rPr>
                <w:sz w:val="10"/>
                <w:szCs w:val="10"/>
                <w:color w:val="auto"/>
              </w:rPr>
            </w:pPr>
          </w:p>
        </w:tc>
        <w:tc>
          <w:tcPr>
            <w:tcW w:w="41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 w:type="dxa"/>
            <w:vAlign w:val="bottom"/>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4940" w:type="dxa"/>
            <w:vAlign w:val="bottom"/>
            <w:gridSpan w:val="2"/>
            <w:shd w:val="clear" w:color="auto" w:fill="CCEEFF"/>
          </w:tcPr>
          <w:p>
            <w:pPr>
              <w:spacing w:after="0"/>
              <w:rPr>
                <w:sz w:val="20"/>
                <w:szCs w:val="20"/>
                <w:color w:val="auto"/>
              </w:rPr>
            </w:pPr>
            <w:r>
              <w:rPr>
                <w:rFonts w:ascii="Arial" w:cs="Arial" w:eastAsia="Arial" w:hAnsi="Arial"/>
                <w:sz w:val="13"/>
                <w:szCs w:val="13"/>
                <w:b w:val="1"/>
                <w:bCs w:val="1"/>
                <w:color w:val="auto"/>
              </w:rPr>
              <w:t>Total Common Equity/Partnership Interest</w:t>
            </w:r>
          </w:p>
        </w:tc>
        <w:tc>
          <w:tcPr>
            <w:tcW w:w="6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541,793</w:t>
            </w:r>
          </w:p>
        </w:tc>
        <w:tc>
          <w:tcPr>
            <w:tcW w:w="1160" w:type="dxa"/>
            <w:vAlign w:val="bottom"/>
            <w:gridSpan w:val="3"/>
            <w:shd w:val="clear" w:color="auto" w:fill="CCEEFF"/>
          </w:tcPr>
          <w:p>
            <w:pPr>
              <w:jc w:val="right"/>
              <w:ind w:right="220"/>
              <w:spacing w:after="0"/>
              <w:rPr>
                <w:sz w:val="20"/>
                <w:szCs w:val="20"/>
                <w:color w:val="auto"/>
              </w:rPr>
            </w:pPr>
            <w:r>
              <w:rPr>
                <w:rFonts w:ascii="Arial" w:cs="Arial" w:eastAsia="Arial" w:hAnsi="Arial"/>
                <w:sz w:val="13"/>
                <w:szCs w:val="13"/>
                <w:color w:val="auto"/>
              </w:rPr>
              <w:t>6,659,360</w:t>
            </w: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8,464,883</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372"/>
        </w:trPr>
        <w:tc>
          <w:tcPr>
            <w:tcW w:w="760" w:type="dxa"/>
            <w:vAlign w:val="bottom"/>
          </w:tcPr>
          <w:p>
            <w:pPr>
              <w:spacing w:after="0"/>
              <w:rPr>
                <w:sz w:val="24"/>
                <w:szCs w:val="24"/>
                <w:color w:val="auto"/>
              </w:rPr>
            </w:pPr>
          </w:p>
        </w:tc>
        <w:tc>
          <w:tcPr>
            <w:tcW w:w="4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3"/>
                <w:szCs w:val="13"/>
                <w:b w:val="1"/>
                <w:bCs w:val="1"/>
                <w:color w:val="auto"/>
              </w:rPr>
              <w:t>Par</w:t>
            </w:r>
          </w:p>
        </w:tc>
        <w:tc>
          <w:tcPr>
            <w:tcW w:w="220" w:type="dxa"/>
            <w:vAlign w:val="bottom"/>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4940" w:type="dxa"/>
            <w:vAlign w:val="bottom"/>
            <w:gridSpan w:val="2"/>
            <w:shd w:val="clear" w:color="auto" w:fill="CCEEFF"/>
          </w:tcPr>
          <w:p>
            <w:pPr>
              <w:spacing w:after="0" w:line="142" w:lineRule="exact"/>
              <w:rPr>
                <w:sz w:val="20"/>
                <w:szCs w:val="20"/>
                <w:color w:val="auto"/>
              </w:rPr>
            </w:pPr>
            <w:r>
              <w:rPr>
                <w:rFonts w:ascii="Arial" w:cs="Arial" w:eastAsia="Arial" w:hAnsi="Arial"/>
                <w:sz w:val="13"/>
                <w:szCs w:val="13"/>
                <w:b w:val="1"/>
                <w:bCs w:val="1"/>
                <w:color w:val="auto"/>
              </w:rPr>
              <w:t>First Lien Secured Debt – 37.4%</w:t>
            </w:r>
          </w:p>
        </w:tc>
        <w:tc>
          <w:tcPr>
            <w:tcW w:w="6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0"/>
        </w:trPr>
        <w:tc>
          <w:tcPr>
            <w:tcW w:w="4940" w:type="dxa"/>
            <w:vAlign w:val="bottom"/>
            <w:gridSpan w:val="2"/>
          </w:tcPr>
          <w:p>
            <w:pPr>
              <w:spacing w:after="0"/>
              <w:rPr>
                <w:sz w:val="20"/>
                <w:szCs w:val="20"/>
                <w:color w:val="auto"/>
              </w:rPr>
            </w:pPr>
            <w:r>
              <w:rPr>
                <w:rFonts w:ascii="Arial" w:cs="Arial" w:eastAsia="Arial" w:hAnsi="Arial"/>
                <w:sz w:val="13"/>
                <w:szCs w:val="13"/>
                <w:color w:val="auto"/>
              </w:rPr>
              <w:t>Burlington Coat Factory Warehouse Corp.</w:t>
            </w:r>
          </w:p>
        </w:tc>
        <w:tc>
          <w:tcPr>
            <w:tcW w:w="620" w:type="dxa"/>
            <w:vAlign w:val="bottom"/>
          </w:tcPr>
          <w:p>
            <w:pPr>
              <w:spacing w:after="0"/>
              <w:rPr>
                <w:sz w:val="20"/>
                <w:szCs w:val="20"/>
                <w:color w:val="auto"/>
              </w:rPr>
            </w:pPr>
            <w:r>
              <w:rPr>
                <w:rFonts w:ascii="Arial" w:cs="Arial" w:eastAsia="Arial" w:hAnsi="Arial"/>
                <w:sz w:val="13"/>
                <w:szCs w:val="13"/>
                <w:color w:val="auto"/>
                <w:w w:val="92"/>
              </w:rPr>
              <w:t>05/28/2013</w:t>
            </w:r>
          </w:p>
        </w:tc>
        <w:tc>
          <w:tcPr>
            <w:tcW w:w="220" w:type="dxa"/>
            <w:vAlign w:val="bottom"/>
          </w:tcPr>
          <w:p>
            <w:pPr>
              <w:spacing w:after="0"/>
              <w:rPr>
                <w:sz w:val="23"/>
                <w:szCs w:val="23"/>
                <w:color w:val="auto"/>
              </w:rPr>
            </w:pPr>
          </w:p>
        </w:tc>
        <w:tc>
          <w:tcPr>
            <w:tcW w:w="840" w:type="dxa"/>
            <w:vAlign w:val="bottom"/>
          </w:tcPr>
          <w:p>
            <w:pPr>
              <w:jc w:val="center"/>
              <w:spacing w:after="0"/>
              <w:rPr>
                <w:sz w:val="20"/>
                <w:szCs w:val="20"/>
                <w:color w:val="auto"/>
              </w:rPr>
            </w:pPr>
            <w:r>
              <w:rPr>
                <w:rFonts w:ascii="Arial" w:cs="Arial" w:eastAsia="Arial" w:hAnsi="Arial"/>
                <w:sz w:val="13"/>
                <w:szCs w:val="13"/>
                <w:color w:val="auto"/>
                <w:w w:val="94"/>
              </w:rPr>
              <w:t>Retail Store</w:t>
            </w:r>
          </w:p>
        </w:tc>
        <w:tc>
          <w:tcPr>
            <w:tcW w:w="820" w:type="dxa"/>
            <w:vAlign w:val="bottom"/>
            <w:gridSpan w:val="3"/>
          </w:tcPr>
          <w:p>
            <w:pPr>
              <w:jc w:val="right"/>
              <w:spacing w:after="0"/>
              <w:rPr>
                <w:sz w:val="20"/>
                <w:szCs w:val="20"/>
                <w:color w:val="auto"/>
              </w:rPr>
            </w:pPr>
            <w:r>
              <w:rPr>
                <w:rFonts w:ascii="Arial" w:cs="Arial" w:eastAsia="Arial" w:hAnsi="Arial"/>
                <w:sz w:val="13"/>
                <w:szCs w:val="13"/>
                <w:color w:val="auto"/>
              </w:rPr>
              <w:t>5.06%</w:t>
            </w:r>
          </w:p>
        </w:tc>
        <w:tc>
          <w:tcPr>
            <w:tcW w:w="380" w:type="dxa"/>
            <w:vAlign w:val="bottom"/>
          </w:tcPr>
          <w:p>
            <w:pPr>
              <w:spacing w:after="0"/>
              <w:rPr>
                <w:sz w:val="23"/>
                <w:szCs w:val="23"/>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3"/>
                <w:szCs w:val="13"/>
                <w:color w:val="auto"/>
              </w:rPr>
              <w:t>L+225</w:t>
            </w:r>
          </w:p>
        </w:tc>
        <w:tc>
          <w:tcPr>
            <w:tcW w:w="800" w:type="dxa"/>
            <w:vAlign w:val="bottom"/>
            <w:gridSpan w:val="2"/>
          </w:tcPr>
          <w:p>
            <w:pPr>
              <w:jc w:val="right"/>
              <w:spacing w:after="0"/>
              <w:rPr>
                <w:sz w:val="20"/>
                <w:szCs w:val="20"/>
                <w:color w:val="auto"/>
              </w:rPr>
            </w:pPr>
            <w:r>
              <w:rPr>
                <w:rFonts w:ascii="Arial" w:cs="Arial" w:eastAsia="Arial" w:hAnsi="Arial"/>
                <w:sz w:val="13"/>
                <w:szCs w:val="13"/>
                <w:color w:val="auto"/>
              </w:rPr>
              <w:t>$  7,896,473</w:t>
            </w:r>
          </w:p>
        </w:tc>
        <w:tc>
          <w:tcPr>
            <w:tcW w:w="1160" w:type="dxa"/>
            <w:vAlign w:val="bottom"/>
            <w:gridSpan w:val="3"/>
          </w:tcPr>
          <w:p>
            <w:pPr>
              <w:jc w:val="right"/>
              <w:ind w:right="220"/>
              <w:spacing w:after="0"/>
              <w:rPr>
                <w:sz w:val="20"/>
                <w:szCs w:val="20"/>
                <w:color w:val="auto"/>
              </w:rPr>
            </w:pPr>
            <w:r>
              <w:rPr>
                <w:rFonts w:ascii="Arial" w:cs="Arial" w:eastAsia="Arial" w:hAnsi="Arial"/>
                <w:sz w:val="13"/>
                <w:szCs w:val="13"/>
                <w:color w:val="auto"/>
              </w:rPr>
              <w:t>7,889,120</w:t>
            </w:r>
          </w:p>
        </w:tc>
        <w:tc>
          <w:tcPr>
            <w:tcW w:w="80" w:type="dxa"/>
            <w:vAlign w:val="bottom"/>
          </w:tcPr>
          <w:p>
            <w:pPr>
              <w:spacing w:after="0"/>
              <w:rPr>
                <w:sz w:val="23"/>
                <w:szCs w:val="23"/>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3"/>
                <w:szCs w:val="13"/>
                <w:color w:val="auto"/>
              </w:rPr>
              <w:t>5,401,187</w:t>
            </w:r>
          </w:p>
        </w:tc>
        <w:tc>
          <w:tcPr>
            <w:tcW w:w="0" w:type="dxa"/>
            <w:vAlign w:val="bottom"/>
          </w:tcPr>
          <w:p>
            <w:pPr>
              <w:spacing w:after="0"/>
              <w:rPr>
                <w:sz w:val="1"/>
                <w:szCs w:val="1"/>
                <w:color w:val="auto"/>
              </w:rPr>
            </w:pPr>
          </w:p>
        </w:tc>
      </w:tr>
      <w:tr>
        <w:trPr>
          <w:trHeight w:val="95"/>
        </w:trPr>
        <w:tc>
          <w:tcPr>
            <w:tcW w:w="760" w:type="dxa"/>
            <w:vAlign w:val="bottom"/>
          </w:tcPr>
          <w:p>
            <w:pPr>
              <w:spacing w:after="0"/>
              <w:rPr>
                <w:sz w:val="8"/>
                <w:szCs w:val="8"/>
                <w:color w:val="auto"/>
              </w:rPr>
            </w:pPr>
          </w:p>
        </w:tc>
        <w:tc>
          <w:tcPr>
            <w:tcW w:w="4180" w:type="dxa"/>
            <w:vAlign w:val="bottom"/>
          </w:tcPr>
          <w:p>
            <w:pPr>
              <w:spacing w:after="0"/>
              <w:rPr>
                <w:sz w:val="8"/>
                <w:szCs w:val="8"/>
                <w:color w:val="auto"/>
              </w:rPr>
            </w:pPr>
          </w:p>
        </w:tc>
        <w:tc>
          <w:tcPr>
            <w:tcW w:w="620" w:type="dxa"/>
            <w:vAlign w:val="bottom"/>
          </w:tcPr>
          <w:p>
            <w:pPr>
              <w:spacing w:after="0"/>
              <w:rPr>
                <w:sz w:val="8"/>
                <w:szCs w:val="8"/>
                <w:color w:val="auto"/>
              </w:rPr>
            </w:pPr>
          </w:p>
        </w:tc>
        <w:tc>
          <w:tcPr>
            <w:tcW w:w="220" w:type="dxa"/>
            <w:vAlign w:val="bottom"/>
          </w:tcPr>
          <w:p>
            <w:pPr>
              <w:spacing w:after="0"/>
              <w:rPr>
                <w:sz w:val="8"/>
                <w:szCs w:val="8"/>
                <w:color w:val="auto"/>
              </w:rPr>
            </w:pPr>
          </w:p>
        </w:tc>
        <w:tc>
          <w:tcPr>
            <w:tcW w:w="840" w:type="dxa"/>
            <w:vAlign w:val="bottom"/>
          </w:tcPr>
          <w:p>
            <w:pPr>
              <w:spacing w:after="0"/>
              <w:rPr>
                <w:sz w:val="8"/>
                <w:szCs w:val="8"/>
                <w:color w:val="auto"/>
              </w:rPr>
            </w:pPr>
          </w:p>
        </w:tc>
        <w:tc>
          <w:tcPr>
            <w:tcW w:w="2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20" w:type="dxa"/>
            <w:vAlign w:val="bottom"/>
          </w:tcPr>
          <w:p>
            <w:pPr>
              <w:spacing w:after="0"/>
              <w:rPr>
                <w:sz w:val="8"/>
                <w:szCs w:val="8"/>
                <w:color w:val="auto"/>
              </w:rPr>
            </w:pPr>
          </w:p>
        </w:tc>
        <w:tc>
          <w:tcPr>
            <w:tcW w:w="380" w:type="dxa"/>
            <w:vAlign w:val="bottom"/>
          </w:tcPr>
          <w:p>
            <w:pPr>
              <w:spacing w:after="0"/>
              <w:rPr>
                <w:sz w:val="8"/>
                <w:szCs w:val="8"/>
                <w:color w:val="auto"/>
              </w:rPr>
            </w:pPr>
          </w:p>
        </w:tc>
        <w:tc>
          <w:tcPr>
            <w:tcW w:w="5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220" w:type="dxa"/>
            <w:vAlign w:val="bottom"/>
          </w:tcPr>
          <w:p>
            <w:pPr>
              <w:spacing w:after="0"/>
              <w:rPr>
                <w:sz w:val="8"/>
                <w:szCs w:val="8"/>
                <w:color w:val="auto"/>
              </w:rPr>
            </w:pPr>
          </w:p>
        </w:tc>
        <w:tc>
          <w:tcPr>
            <w:tcW w:w="72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38"/>
        </w:trPr>
        <w:tc>
          <w:tcPr>
            <w:tcW w:w="4940" w:type="dxa"/>
            <w:vAlign w:val="bottom"/>
            <w:gridSpan w:val="2"/>
            <w:shd w:val="clear" w:color="auto" w:fill="CCEEFF"/>
          </w:tcPr>
          <w:p>
            <w:pPr>
              <w:spacing w:after="0" w:line="138" w:lineRule="exact"/>
              <w:rPr>
                <w:sz w:val="20"/>
                <w:szCs w:val="20"/>
                <w:color w:val="auto"/>
              </w:rPr>
            </w:pPr>
            <w:r>
              <w:rPr>
                <w:rFonts w:ascii="Arial" w:cs="Arial" w:eastAsia="Arial" w:hAnsi="Arial"/>
                <w:sz w:val="13"/>
                <w:szCs w:val="13"/>
                <w:color w:val="auto"/>
              </w:rPr>
              <w:t>Cohr Holdings, Inc.</w:t>
            </w:r>
          </w:p>
        </w:tc>
        <w:tc>
          <w:tcPr>
            <w:tcW w:w="620" w:type="dxa"/>
            <w:vAlign w:val="bottom"/>
            <w:shd w:val="clear" w:color="auto" w:fill="CCEEFF"/>
          </w:tcPr>
          <w:p>
            <w:pPr>
              <w:spacing w:after="0" w:line="138" w:lineRule="exact"/>
              <w:rPr>
                <w:sz w:val="20"/>
                <w:szCs w:val="20"/>
                <w:color w:val="auto"/>
              </w:rPr>
            </w:pPr>
            <w:r>
              <w:rPr>
                <w:rFonts w:ascii="Arial" w:cs="Arial" w:eastAsia="Arial" w:hAnsi="Arial"/>
                <w:sz w:val="13"/>
                <w:szCs w:val="13"/>
                <w:color w:val="auto"/>
                <w:w w:val="92"/>
              </w:rPr>
              <w:t>01/31/2013</w:t>
            </w:r>
          </w:p>
        </w:tc>
        <w:tc>
          <w:tcPr>
            <w:tcW w:w="220" w:type="dxa"/>
            <w:vAlign w:val="bottom"/>
            <w:shd w:val="clear" w:color="auto" w:fill="CCEEFF"/>
          </w:tcPr>
          <w:p>
            <w:pPr>
              <w:spacing w:after="0"/>
              <w:rPr>
                <w:sz w:val="11"/>
                <w:szCs w:val="11"/>
                <w:color w:val="auto"/>
              </w:rPr>
            </w:pPr>
          </w:p>
        </w:tc>
        <w:tc>
          <w:tcPr>
            <w:tcW w:w="840" w:type="dxa"/>
            <w:vAlign w:val="bottom"/>
            <w:shd w:val="clear" w:color="auto" w:fill="CCEEFF"/>
          </w:tcPr>
          <w:p>
            <w:pPr>
              <w:jc w:val="center"/>
              <w:spacing w:after="0" w:line="138" w:lineRule="exact"/>
              <w:rPr>
                <w:sz w:val="20"/>
                <w:szCs w:val="20"/>
                <w:color w:val="auto"/>
              </w:rPr>
            </w:pPr>
            <w:r>
              <w:rPr>
                <w:rFonts w:ascii="Arial" w:cs="Arial" w:eastAsia="Arial" w:hAnsi="Arial"/>
                <w:sz w:val="13"/>
                <w:szCs w:val="13"/>
                <w:color w:val="auto"/>
                <w:w w:val="93"/>
              </w:rPr>
              <w:t>Healthcare,</w:t>
            </w:r>
          </w:p>
        </w:tc>
        <w:tc>
          <w:tcPr>
            <w:tcW w:w="820" w:type="dxa"/>
            <w:vAlign w:val="bottom"/>
            <w:gridSpan w:val="3"/>
            <w:shd w:val="clear" w:color="auto" w:fill="CCEEFF"/>
          </w:tcPr>
          <w:p>
            <w:pPr>
              <w:jc w:val="right"/>
              <w:spacing w:after="0" w:line="138" w:lineRule="exact"/>
              <w:rPr>
                <w:sz w:val="20"/>
                <w:szCs w:val="20"/>
                <w:color w:val="auto"/>
              </w:rPr>
            </w:pPr>
            <w:r>
              <w:rPr>
                <w:rFonts w:ascii="Arial" w:cs="Arial" w:eastAsia="Arial" w:hAnsi="Arial"/>
                <w:sz w:val="13"/>
                <w:szCs w:val="13"/>
                <w:color w:val="auto"/>
              </w:rPr>
              <w:t>5.35%</w:t>
            </w:r>
          </w:p>
        </w:tc>
        <w:tc>
          <w:tcPr>
            <w:tcW w:w="38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240"/>
              <w:spacing w:after="0" w:line="138" w:lineRule="exact"/>
              <w:rPr>
                <w:sz w:val="20"/>
                <w:szCs w:val="20"/>
                <w:color w:val="auto"/>
              </w:rPr>
            </w:pPr>
            <w:r>
              <w:rPr>
                <w:rFonts w:ascii="Arial" w:cs="Arial" w:eastAsia="Arial" w:hAnsi="Arial"/>
                <w:sz w:val="13"/>
                <w:szCs w:val="13"/>
                <w:color w:val="auto"/>
              </w:rPr>
              <w:t>L+250</w:t>
            </w:r>
          </w:p>
        </w:tc>
        <w:tc>
          <w:tcPr>
            <w:tcW w:w="80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3"/>
                <w:szCs w:val="13"/>
                <w:color w:val="auto"/>
              </w:rPr>
              <w:t>2,955,000</w:t>
            </w:r>
          </w:p>
        </w:tc>
        <w:tc>
          <w:tcPr>
            <w:tcW w:w="1160" w:type="dxa"/>
            <w:vAlign w:val="bottom"/>
            <w:gridSpan w:val="3"/>
            <w:shd w:val="clear" w:color="auto" w:fill="CCEEFF"/>
          </w:tcPr>
          <w:p>
            <w:pPr>
              <w:jc w:val="right"/>
              <w:ind w:right="220"/>
              <w:spacing w:after="0" w:line="138" w:lineRule="exact"/>
              <w:rPr>
                <w:sz w:val="20"/>
                <w:szCs w:val="20"/>
                <w:color w:val="auto"/>
              </w:rPr>
            </w:pPr>
            <w:r>
              <w:rPr>
                <w:rFonts w:ascii="Arial" w:cs="Arial" w:eastAsia="Arial" w:hAnsi="Arial"/>
                <w:sz w:val="13"/>
                <w:szCs w:val="13"/>
                <w:color w:val="auto"/>
              </w:rPr>
              <w:t>2,955,000</w:t>
            </w: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1,484,888</w:t>
            </w:r>
          </w:p>
        </w:tc>
        <w:tc>
          <w:tcPr>
            <w:tcW w:w="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760" w:type="dxa"/>
            <w:vAlign w:val="bottom"/>
            <w:shd w:val="clear" w:color="auto" w:fill="CCEEFF"/>
          </w:tcPr>
          <w:p>
            <w:pPr>
              <w:spacing w:after="0"/>
              <w:rPr>
                <w:sz w:val="12"/>
                <w:szCs w:val="12"/>
                <w:color w:val="auto"/>
              </w:rPr>
            </w:pPr>
          </w:p>
        </w:tc>
        <w:tc>
          <w:tcPr>
            <w:tcW w:w="41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3"/>
              </w:rPr>
              <w:t>Education and</w:t>
            </w:r>
          </w:p>
        </w:tc>
        <w:tc>
          <w:tcPr>
            <w:tcW w:w="2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760" w:type="dxa"/>
            <w:vAlign w:val="bottom"/>
            <w:shd w:val="clear" w:color="auto" w:fill="CCEEFF"/>
          </w:tcPr>
          <w:p>
            <w:pPr>
              <w:spacing w:after="0"/>
              <w:rPr>
                <w:sz w:val="13"/>
                <w:szCs w:val="13"/>
                <w:color w:val="auto"/>
              </w:rPr>
            </w:pPr>
          </w:p>
        </w:tc>
        <w:tc>
          <w:tcPr>
            <w:tcW w:w="418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4"/>
              </w:rPr>
              <w:t>Childcare</w:t>
            </w:r>
          </w:p>
        </w:tc>
        <w:tc>
          <w:tcPr>
            <w:tcW w:w="22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6"/>
        </w:trPr>
        <w:tc>
          <w:tcPr>
            <w:tcW w:w="4940" w:type="dxa"/>
            <w:vAlign w:val="bottom"/>
            <w:gridSpan w:val="2"/>
          </w:tcPr>
          <w:p>
            <w:pPr>
              <w:spacing w:after="0"/>
              <w:rPr>
                <w:sz w:val="20"/>
                <w:szCs w:val="20"/>
                <w:color w:val="auto"/>
              </w:rPr>
            </w:pPr>
            <w:r>
              <w:rPr>
                <w:rFonts w:ascii="Arial" w:cs="Arial" w:eastAsia="Arial" w:hAnsi="Arial"/>
                <w:sz w:val="13"/>
                <w:szCs w:val="13"/>
                <w:color w:val="auto"/>
              </w:rPr>
              <w:t>EnviroSolutions, Inc.</w:t>
            </w:r>
          </w:p>
        </w:tc>
        <w:tc>
          <w:tcPr>
            <w:tcW w:w="620" w:type="dxa"/>
            <w:vAlign w:val="bottom"/>
          </w:tcPr>
          <w:p>
            <w:pPr>
              <w:spacing w:after="0"/>
              <w:rPr>
                <w:sz w:val="20"/>
                <w:szCs w:val="20"/>
                <w:color w:val="auto"/>
              </w:rPr>
            </w:pPr>
            <w:r>
              <w:rPr>
                <w:rFonts w:ascii="Arial" w:cs="Arial" w:eastAsia="Arial" w:hAnsi="Arial"/>
                <w:sz w:val="13"/>
                <w:szCs w:val="13"/>
                <w:color w:val="auto"/>
                <w:w w:val="92"/>
              </w:rPr>
              <w:t>08/07/2012</w:t>
            </w:r>
          </w:p>
        </w:tc>
        <w:tc>
          <w:tcPr>
            <w:tcW w:w="220" w:type="dxa"/>
            <w:vAlign w:val="bottom"/>
          </w:tcPr>
          <w:p>
            <w:pPr>
              <w:spacing w:after="0"/>
              <w:rPr>
                <w:sz w:val="22"/>
                <w:szCs w:val="22"/>
                <w:color w:val="auto"/>
              </w:rPr>
            </w:pPr>
          </w:p>
        </w:tc>
        <w:tc>
          <w:tcPr>
            <w:tcW w:w="840" w:type="dxa"/>
            <w:vAlign w:val="bottom"/>
          </w:tcPr>
          <w:p>
            <w:pPr>
              <w:jc w:val="center"/>
              <w:spacing w:after="0"/>
              <w:rPr>
                <w:sz w:val="20"/>
                <w:szCs w:val="20"/>
                <w:color w:val="auto"/>
              </w:rPr>
            </w:pPr>
            <w:r>
              <w:rPr>
                <w:rFonts w:ascii="Arial" w:cs="Arial" w:eastAsia="Arial" w:hAnsi="Arial"/>
                <w:sz w:val="13"/>
                <w:szCs w:val="13"/>
                <w:color w:val="auto"/>
                <w:w w:val="96"/>
              </w:rPr>
              <w:t>Environmental</w:t>
            </w:r>
          </w:p>
        </w:tc>
        <w:tc>
          <w:tcPr>
            <w:tcW w:w="1200" w:type="dxa"/>
            <w:vAlign w:val="bottom"/>
            <w:gridSpan w:val="4"/>
          </w:tcPr>
          <w:p>
            <w:pPr>
              <w:jc w:val="right"/>
              <w:ind w:right="164"/>
              <w:spacing w:after="0" w:line="256" w:lineRule="exact"/>
              <w:rPr>
                <w:sz w:val="20"/>
                <w:szCs w:val="20"/>
                <w:color w:val="auto"/>
              </w:rPr>
            </w:pPr>
            <w:r>
              <w:rPr>
                <w:rFonts w:ascii="Arial" w:cs="Arial" w:eastAsia="Arial" w:hAnsi="Arial"/>
                <w:sz w:val="13"/>
                <w:szCs w:val="13"/>
                <w:color w:val="auto"/>
              </w:rPr>
              <w:t>12.04</w:t>
            </w:r>
            <w:r>
              <w:rPr>
                <w:rFonts w:ascii="Arial" w:cs="Arial" w:eastAsia="Arial" w:hAnsi="Arial"/>
                <w:sz w:val="26"/>
                <w:szCs w:val="26"/>
                <w:color w:val="auto"/>
                <w:vertAlign w:val="subscript"/>
              </w:rPr>
              <w:t>%</w:t>
            </w:r>
            <w:r>
              <w:rPr>
                <w:rFonts w:ascii="Arial" w:cs="Arial" w:eastAsia="Arial" w:hAnsi="Arial"/>
                <w:sz w:val="13"/>
                <w:szCs w:val="13"/>
                <w:color w:val="auto"/>
              </w:rPr>
              <w:t xml:space="preserve"> </w:t>
            </w:r>
            <w:r>
              <w:rPr>
                <w:rFonts w:ascii="Arial" w:cs="Arial" w:eastAsia="Arial" w:hAnsi="Arial"/>
                <w:sz w:val="22"/>
                <w:szCs w:val="22"/>
                <w:color w:val="auto"/>
                <w:vertAlign w:val="superscript"/>
              </w:rPr>
              <w:t>(6)</w:t>
            </w:r>
          </w:p>
        </w:tc>
        <w:tc>
          <w:tcPr>
            <w:tcW w:w="740" w:type="dxa"/>
            <w:vAlign w:val="bottom"/>
            <w:gridSpan w:val="2"/>
          </w:tcPr>
          <w:p>
            <w:pPr>
              <w:jc w:val="right"/>
              <w:ind w:right="120"/>
              <w:spacing w:after="0"/>
              <w:rPr>
                <w:sz w:val="20"/>
                <w:szCs w:val="20"/>
                <w:color w:val="auto"/>
              </w:rPr>
            </w:pPr>
            <w:r>
              <w:rPr>
                <w:rFonts w:ascii="Arial" w:cs="Arial" w:eastAsia="Arial" w:hAnsi="Arial"/>
                <w:sz w:val="13"/>
                <w:szCs w:val="13"/>
                <w:color w:val="auto"/>
              </w:rPr>
              <w:t>L+825</w:t>
            </w:r>
            <w:r>
              <w:rPr>
                <w:rFonts w:ascii="Arial" w:cs="Arial" w:eastAsia="Arial" w:hAnsi="Arial"/>
                <w:sz w:val="22"/>
                <w:szCs w:val="22"/>
                <w:color w:val="auto"/>
                <w:vertAlign w:val="superscript"/>
              </w:rPr>
              <w:t>(8)</w:t>
            </w:r>
          </w:p>
        </w:tc>
        <w:tc>
          <w:tcPr>
            <w:tcW w:w="800" w:type="dxa"/>
            <w:vAlign w:val="bottom"/>
            <w:gridSpan w:val="2"/>
          </w:tcPr>
          <w:p>
            <w:pPr>
              <w:jc w:val="right"/>
              <w:spacing w:after="0"/>
              <w:rPr>
                <w:sz w:val="20"/>
                <w:szCs w:val="20"/>
                <w:color w:val="auto"/>
              </w:rPr>
            </w:pPr>
            <w:r>
              <w:rPr>
                <w:rFonts w:ascii="Arial" w:cs="Arial" w:eastAsia="Arial" w:hAnsi="Arial"/>
                <w:sz w:val="13"/>
                <w:szCs w:val="13"/>
                <w:color w:val="auto"/>
              </w:rPr>
              <w:t>14,014,177</w:t>
            </w:r>
          </w:p>
        </w:tc>
        <w:tc>
          <w:tcPr>
            <w:tcW w:w="1160" w:type="dxa"/>
            <w:vAlign w:val="bottom"/>
            <w:gridSpan w:val="3"/>
          </w:tcPr>
          <w:p>
            <w:pPr>
              <w:jc w:val="right"/>
              <w:ind w:right="220"/>
              <w:spacing w:after="0"/>
              <w:rPr>
                <w:sz w:val="20"/>
                <w:szCs w:val="20"/>
                <w:color w:val="auto"/>
              </w:rPr>
            </w:pPr>
            <w:r>
              <w:rPr>
                <w:rFonts w:ascii="Arial" w:cs="Arial" w:eastAsia="Arial" w:hAnsi="Arial"/>
                <w:sz w:val="13"/>
                <w:szCs w:val="13"/>
                <w:color w:val="auto"/>
              </w:rPr>
              <w:t>12,965,204</w:t>
            </w:r>
          </w:p>
        </w:tc>
        <w:tc>
          <w:tcPr>
            <w:tcW w:w="80" w:type="dxa"/>
            <w:vAlign w:val="bottom"/>
          </w:tcPr>
          <w:p>
            <w:pPr>
              <w:spacing w:after="0"/>
              <w:rPr>
                <w:sz w:val="22"/>
                <w:szCs w:val="22"/>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3"/>
                <w:szCs w:val="13"/>
                <w:color w:val="auto"/>
                <w:w w:val="95"/>
              </w:rPr>
              <w:t>12,192,334</w:t>
            </w:r>
          </w:p>
        </w:tc>
        <w:tc>
          <w:tcPr>
            <w:tcW w:w="0" w:type="dxa"/>
            <w:vAlign w:val="bottom"/>
          </w:tcPr>
          <w:p>
            <w:pPr>
              <w:spacing w:after="0"/>
              <w:rPr>
                <w:sz w:val="1"/>
                <w:szCs w:val="1"/>
                <w:color w:val="auto"/>
              </w:rPr>
            </w:pPr>
          </w:p>
        </w:tc>
      </w:tr>
      <w:tr>
        <w:trPr>
          <w:trHeight w:val="172"/>
        </w:trPr>
        <w:tc>
          <w:tcPr>
            <w:tcW w:w="760" w:type="dxa"/>
            <w:vAlign w:val="bottom"/>
          </w:tcPr>
          <w:p>
            <w:pPr>
              <w:spacing w:after="0"/>
              <w:rPr>
                <w:sz w:val="14"/>
                <w:szCs w:val="14"/>
                <w:color w:val="auto"/>
              </w:rPr>
            </w:pPr>
          </w:p>
        </w:tc>
        <w:tc>
          <w:tcPr>
            <w:tcW w:w="4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Arial" w:cs="Arial" w:eastAsia="Arial" w:hAnsi="Arial"/>
                <w:sz w:val="13"/>
                <w:szCs w:val="13"/>
                <w:color w:val="auto"/>
                <w:w w:val="92"/>
              </w:rPr>
              <w:t>Services</w:t>
            </w:r>
          </w:p>
        </w:tc>
        <w:tc>
          <w:tcPr>
            <w:tcW w:w="2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4"/>
        </w:trPr>
        <w:tc>
          <w:tcPr>
            <w:tcW w:w="760" w:type="dxa"/>
            <w:vAlign w:val="bottom"/>
          </w:tcPr>
          <w:p>
            <w:pPr>
              <w:spacing w:after="0"/>
              <w:rPr>
                <w:sz w:val="7"/>
                <w:szCs w:val="7"/>
                <w:color w:val="auto"/>
              </w:rPr>
            </w:pPr>
          </w:p>
        </w:tc>
        <w:tc>
          <w:tcPr>
            <w:tcW w:w="4180" w:type="dxa"/>
            <w:vAlign w:val="bottom"/>
          </w:tcPr>
          <w:p>
            <w:pPr>
              <w:spacing w:after="0"/>
              <w:rPr>
                <w:sz w:val="7"/>
                <w:szCs w:val="7"/>
                <w:color w:val="auto"/>
              </w:rPr>
            </w:pPr>
          </w:p>
        </w:tc>
        <w:tc>
          <w:tcPr>
            <w:tcW w:w="620" w:type="dxa"/>
            <w:vAlign w:val="bottom"/>
          </w:tcPr>
          <w:p>
            <w:pPr>
              <w:spacing w:after="0"/>
              <w:rPr>
                <w:sz w:val="7"/>
                <w:szCs w:val="7"/>
                <w:color w:val="auto"/>
              </w:rPr>
            </w:pPr>
          </w:p>
        </w:tc>
        <w:tc>
          <w:tcPr>
            <w:tcW w:w="220" w:type="dxa"/>
            <w:vAlign w:val="bottom"/>
          </w:tcPr>
          <w:p>
            <w:pPr>
              <w:spacing w:after="0"/>
              <w:rPr>
                <w:sz w:val="7"/>
                <w:szCs w:val="7"/>
                <w:color w:val="auto"/>
              </w:rPr>
            </w:pPr>
          </w:p>
        </w:tc>
        <w:tc>
          <w:tcPr>
            <w:tcW w:w="840" w:type="dxa"/>
            <w:vAlign w:val="bottom"/>
          </w:tcPr>
          <w:p>
            <w:pPr>
              <w:spacing w:after="0"/>
              <w:rPr>
                <w:sz w:val="7"/>
                <w:szCs w:val="7"/>
                <w:color w:val="auto"/>
              </w:rPr>
            </w:pPr>
          </w:p>
        </w:tc>
        <w:tc>
          <w:tcPr>
            <w:tcW w:w="220" w:type="dxa"/>
            <w:vAlign w:val="bottom"/>
          </w:tcPr>
          <w:p>
            <w:pPr>
              <w:spacing w:after="0"/>
              <w:rPr>
                <w:sz w:val="7"/>
                <w:szCs w:val="7"/>
                <w:color w:val="auto"/>
              </w:rPr>
            </w:pPr>
          </w:p>
        </w:tc>
        <w:tc>
          <w:tcPr>
            <w:tcW w:w="480" w:type="dxa"/>
            <w:vAlign w:val="bottom"/>
          </w:tcPr>
          <w:p>
            <w:pPr>
              <w:spacing w:after="0"/>
              <w:rPr>
                <w:sz w:val="7"/>
                <w:szCs w:val="7"/>
                <w:color w:val="auto"/>
              </w:rPr>
            </w:pPr>
          </w:p>
        </w:tc>
        <w:tc>
          <w:tcPr>
            <w:tcW w:w="120" w:type="dxa"/>
            <w:vAlign w:val="bottom"/>
          </w:tcPr>
          <w:p>
            <w:pPr>
              <w:spacing w:after="0"/>
              <w:rPr>
                <w:sz w:val="7"/>
                <w:szCs w:val="7"/>
                <w:color w:val="auto"/>
              </w:rPr>
            </w:pPr>
          </w:p>
        </w:tc>
        <w:tc>
          <w:tcPr>
            <w:tcW w:w="380" w:type="dxa"/>
            <w:vAlign w:val="bottom"/>
          </w:tcPr>
          <w:p>
            <w:pPr>
              <w:spacing w:after="0"/>
              <w:rPr>
                <w:sz w:val="7"/>
                <w:szCs w:val="7"/>
                <w:color w:val="auto"/>
              </w:rPr>
            </w:pPr>
          </w:p>
        </w:tc>
        <w:tc>
          <w:tcPr>
            <w:tcW w:w="500" w:type="dxa"/>
            <w:vAlign w:val="bottom"/>
          </w:tcPr>
          <w:p>
            <w:pPr>
              <w:spacing w:after="0"/>
              <w:rPr>
                <w:sz w:val="7"/>
                <w:szCs w:val="7"/>
                <w:color w:val="auto"/>
              </w:rPr>
            </w:pPr>
          </w:p>
        </w:tc>
        <w:tc>
          <w:tcPr>
            <w:tcW w:w="240" w:type="dxa"/>
            <w:vAlign w:val="bottom"/>
          </w:tcPr>
          <w:p>
            <w:pPr>
              <w:spacing w:after="0"/>
              <w:rPr>
                <w:sz w:val="7"/>
                <w:szCs w:val="7"/>
                <w:color w:val="auto"/>
              </w:rPr>
            </w:pPr>
          </w:p>
        </w:tc>
        <w:tc>
          <w:tcPr>
            <w:tcW w:w="100" w:type="dxa"/>
            <w:vAlign w:val="bottom"/>
          </w:tcPr>
          <w:p>
            <w:pPr>
              <w:spacing w:after="0"/>
              <w:rPr>
                <w:sz w:val="7"/>
                <w:szCs w:val="7"/>
                <w:color w:val="auto"/>
              </w:rPr>
            </w:pPr>
          </w:p>
        </w:tc>
        <w:tc>
          <w:tcPr>
            <w:tcW w:w="700" w:type="dxa"/>
            <w:vAlign w:val="bottom"/>
          </w:tcPr>
          <w:p>
            <w:pPr>
              <w:spacing w:after="0"/>
              <w:rPr>
                <w:sz w:val="7"/>
                <w:szCs w:val="7"/>
                <w:color w:val="auto"/>
              </w:rPr>
            </w:pPr>
          </w:p>
        </w:tc>
        <w:tc>
          <w:tcPr>
            <w:tcW w:w="220" w:type="dxa"/>
            <w:vAlign w:val="bottom"/>
          </w:tcPr>
          <w:p>
            <w:pPr>
              <w:spacing w:after="0"/>
              <w:rPr>
                <w:sz w:val="7"/>
                <w:szCs w:val="7"/>
                <w:color w:val="auto"/>
              </w:rPr>
            </w:pPr>
          </w:p>
        </w:tc>
        <w:tc>
          <w:tcPr>
            <w:tcW w:w="720" w:type="dxa"/>
            <w:vAlign w:val="bottom"/>
          </w:tcPr>
          <w:p>
            <w:pPr>
              <w:spacing w:after="0"/>
              <w:rPr>
                <w:sz w:val="7"/>
                <w:szCs w:val="7"/>
                <w:color w:val="auto"/>
              </w:rPr>
            </w:pPr>
          </w:p>
        </w:tc>
        <w:tc>
          <w:tcPr>
            <w:tcW w:w="22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 w:type="dxa"/>
            <w:vAlign w:val="bottom"/>
            <w:vMerge w:val="restart"/>
          </w:tcPr>
          <w:p>
            <w:pPr>
              <w:spacing w:after="0"/>
              <w:rPr>
                <w:sz w:val="7"/>
                <w:szCs w:val="7"/>
                <w:color w:val="auto"/>
              </w:rPr>
            </w:pPr>
          </w:p>
        </w:tc>
        <w:tc>
          <w:tcPr>
            <w:tcW w:w="0" w:type="dxa"/>
            <w:vAlign w:val="bottom"/>
          </w:tcPr>
          <w:p>
            <w:pPr>
              <w:spacing w:after="0"/>
              <w:rPr>
                <w:sz w:val="1"/>
                <w:szCs w:val="1"/>
                <w:color w:val="auto"/>
              </w:rPr>
            </w:pPr>
          </w:p>
        </w:tc>
      </w:tr>
      <w:tr>
        <w:trPr>
          <w:trHeight w:val="138"/>
        </w:trPr>
        <w:tc>
          <w:tcPr>
            <w:tcW w:w="4940" w:type="dxa"/>
            <w:vAlign w:val="bottom"/>
            <w:gridSpan w:val="2"/>
            <w:shd w:val="clear" w:color="auto" w:fill="CCEEFF"/>
          </w:tcPr>
          <w:p>
            <w:pPr>
              <w:spacing w:after="0" w:line="138" w:lineRule="exact"/>
              <w:rPr>
                <w:sz w:val="20"/>
                <w:szCs w:val="20"/>
                <w:color w:val="auto"/>
              </w:rPr>
            </w:pPr>
            <w:r>
              <w:rPr>
                <w:rFonts w:ascii="Arial" w:cs="Arial" w:eastAsia="Arial" w:hAnsi="Arial"/>
                <w:sz w:val="13"/>
                <w:szCs w:val="13"/>
                <w:color w:val="auto"/>
              </w:rPr>
              <w:t>EnviroSolutions, Inc.</w:t>
            </w:r>
          </w:p>
        </w:tc>
        <w:tc>
          <w:tcPr>
            <w:tcW w:w="620" w:type="dxa"/>
            <w:vAlign w:val="bottom"/>
            <w:shd w:val="clear" w:color="auto" w:fill="CCEEFF"/>
          </w:tcPr>
          <w:p>
            <w:pPr>
              <w:spacing w:after="0" w:line="138" w:lineRule="exact"/>
              <w:rPr>
                <w:sz w:val="20"/>
                <w:szCs w:val="20"/>
                <w:color w:val="auto"/>
              </w:rPr>
            </w:pPr>
            <w:r>
              <w:rPr>
                <w:rFonts w:ascii="Arial" w:cs="Arial" w:eastAsia="Arial" w:hAnsi="Arial"/>
                <w:sz w:val="13"/>
                <w:szCs w:val="13"/>
                <w:color w:val="auto"/>
                <w:w w:val="92"/>
              </w:rPr>
              <w:t>08/07/2012</w:t>
            </w:r>
          </w:p>
        </w:tc>
        <w:tc>
          <w:tcPr>
            <w:tcW w:w="220" w:type="dxa"/>
            <w:vAlign w:val="bottom"/>
            <w:shd w:val="clear" w:color="auto" w:fill="CCEEFF"/>
          </w:tcPr>
          <w:p>
            <w:pPr>
              <w:spacing w:after="0"/>
              <w:rPr>
                <w:sz w:val="11"/>
                <w:szCs w:val="11"/>
                <w:color w:val="auto"/>
              </w:rPr>
            </w:pPr>
          </w:p>
        </w:tc>
        <w:tc>
          <w:tcPr>
            <w:tcW w:w="840" w:type="dxa"/>
            <w:vAlign w:val="bottom"/>
            <w:shd w:val="clear" w:color="auto" w:fill="CCEEFF"/>
          </w:tcPr>
          <w:p>
            <w:pPr>
              <w:jc w:val="center"/>
              <w:spacing w:after="0" w:line="138" w:lineRule="exact"/>
              <w:rPr>
                <w:sz w:val="20"/>
                <w:szCs w:val="20"/>
                <w:color w:val="auto"/>
              </w:rPr>
            </w:pPr>
            <w:r>
              <w:rPr>
                <w:rFonts w:ascii="Arial" w:cs="Arial" w:eastAsia="Arial" w:hAnsi="Arial"/>
                <w:sz w:val="13"/>
                <w:szCs w:val="13"/>
                <w:color w:val="auto"/>
                <w:w w:val="96"/>
              </w:rPr>
              <w:t>Environmental</w:t>
            </w:r>
          </w:p>
        </w:tc>
        <w:tc>
          <w:tcPr>
            <w:tcW w:w="820" w:type="dxa"/>
            <w:vAlign w:val="bottom"/>
            <w:gridSpan w:val="3"/>
            <w:shd w:val="clear" w:color="auto" w:fill="CCEEFF"/>
          </w:tcPr>
          <w:p>
            <w:pPr>
              <w:jc w:val="right"/>
              <w:spacing w:after="0" w:line="138" w:lineRule="exact"/>
              <w:rPr>
                <w:sz w:val="20"/>
                <w:szCs w:val="20"/>
                <w:color w:val="auto"/>
              </w:rPr>
            </w:pPr>
            <w:r>
              <w:rPr>
                <w:rFonts w:ascii="Arial" w:cs="Arial" w:eastAsia="Arial" w:hAnsi="Arial"/>
                <w:sz w:val="13"/>
                <w:szCs w:val="13"/>
                <w:color w:val="auto"/>
              </w:rPr>
              <w:t>12.25%</w:t>
            </w:r>
          </w:p>
        </w:tc>
        <w:tc>
          <w:tcPr>
            <w:tcW w:w="38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240"/>
              <w:spacing w:after="0" w:line="138" w:lineRule="exact"/>
              <w:rPr>
                <w:sz w:val="20"/>
                <w:szCs w:val="20"/>
                <w:color w:val="auto"/>
              </w:rPr>
            </w:pPr>
            <w:r>
              <w:rPr>
                <w:rFonts w:ascii="Arial" w:cs="Arial" w:eastAsia="Arial" w:hAnsi="Arial"/>
                <w:sz w:val="13"/>
                <w:szCs w:val="13"/>
                <w:color w:val="auto"/>
              </w:rPr>
              <w:t>P+725</w:t>
            </w:r>
          </w:p>
        </w:tc>
        <w:tc>
          <w:tcPr>
            <w:tcW w:w="80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3"/>
                <w:szCs w:val="13"/>
                <w:color w:val="auto"/>
              </w:rPr>
              <w:t>2,293</w:t>
            </w:r>
          </w:p>
        </w:tc>
        <w:tc>
          <w:tcPr>
            <w:tcW w:w="1160" w:type="dxa"/>
            <w:vAlign w:val="bottom"/>
            <w:gridSpan w:val="3"/>
            <w:shd w:val="clear" w:color="auto" w:fill="CCEEFF"/>
          </w:tcPr>
          <w:p>
            <w:pPr>
              <w:jc w:val="right"/>
              <w:ind w:right="220"/>
              <w:spacing w:after="0" w:line="138" w:lineRule="exact"/>
              <w:rPr>
                <w:sz w:val="20"/>
                <w:szCs w:val="20"/>
                <w:color w:val="auto"/>
              </w:rPr>
            </w:pPr>
            <w:r>
              <w:rPr>
                <w:rFonts w:ascii="Arial" w:cs="Arial" w:eastAsia="Arial" w:hAnsi="Arial"/>
                <w:sz w:val="13"/>
                <w:szCs w:val="13"/>
                <w:color w:val="auto"/>
              </w:rPr>
              <w:t>2,121</w:t>
            </w: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1,995</w:t>
            </w:r>
          </w:p>
        </w:tc>
        <w:tc>
          <w:tcPr>
            <w:tcW w:w="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760" w:type="dxa"/>
            <w:vAlign w:val="bottom"/>
            <w:shd w:val="clear" w:color="auto" w:fill="CCEEFF"/>
          </w:tcPr>
          <w:p>
            <w:pPr>
              <w:spacing w:after="0"/>
              <w:rPr>
                <w:sz w:val="13"/>
                <w:szCs w:val="13"/>
                <w:color w:val="auto"/>
              </w:rPr>
            </w:pPr>
          </w:p>
        </w:tc>
        <w:tc>
          <w:tcPr>
            <w:tcW w:w="418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2"/>
              </w:rPr>
              <w:t>Services</w:t>
            </w:r>
          </w:p>
        </w:tc>
        <w:tc>
          <w:tcPr>
            <w:tcW w:w="22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0"/>
        </w:trPr>
        <w:tc>
          <w:tcPr>
            <w:tcW w:w="4940" w:type="dxa"/>
            <w:vAlign w:val="bottom"/>
            <w:gridSpan w:val="2"/>
          </w:tcPr>
          <w:p>
            <w:pPr>
              <w:spacing w:after="0"/>
              <w:rPr>
                <w:sz w:val="20"/>
                <w:szCs w:val="20"/>
                <w:color w:val="auto"/>
              </w:rPr>
            </w:pPr>
            <w:r>
              <w:rPr>
                <w:rFonts w:ascii="Arial" w:cs="Arial" w:eastAsia="Arial" w:hAnsi="Arial"/>
                <w:sz w:val="13"/>
                <w:szCs w:val="13"/>
                <w:color w:val="auto"/>
              </w:rPr>
              <w:t>Gatehouse Media Operating, Inc.</w:t>
            </w:r>
          </w:p>
        </w:tc>
        <w:tc>
          <w:tcPr>
            <w:tcW w:w="620" w:type="dxa"/>
            <w:vAlign w:val="bottom"/>
          </w:tcPr>
          <w:p>
            <w:pPr>
              <w:spacing w:after="0"/>
              <w:rPr>
                <w:sz w:val="20"/>
                <w:szCs w:val="20"/>
                <w:color w:val="auto"/>
              </w:rPr>
            </w:pPr>
            <w:r>
              <w:rPr>
                <w:rFonts w:ascii="Arial" w:cs="Arial" w:eastAsia="Arial" w:hAnsi="Arial"/>
                <w:sz w:val="13"/>
                <w:szCs w:val="13"/>
                <w:color w:val="auto"/>
                <w:w w:val="92"/>
              </w:rPr>
              <w:t>08/28/2014</w:t>
            </w:r>
          </w:p>
        </w:tc>
        <w:tc>
          <w:tcPr>
            <w:tcW w:w="220" w:type="dxa"/>
            <w:vAlign w:val="bottom"/>
          </w:tcPr>
          <w:p>
            <w:pPr>
              <w:spacing w:after="0"/>
              <w:rPr>
                <w:sz w:val="23"/>
                <w:szCs w:val="23"/>
                <w:color w:val="auto"/>
              </w:rPr>
            </w:pPr>
          </w:p>
        </w:tc>
        <w:tc>
          <w:tcPr>
            <w:tcW w:w="840" w:type="dxa"/>
            <w:vAlign w:val="bottom"/>
          </w:tcPr>
          <w:p>
            <w:pPr>
              <w:jc w:val="center"/>
              <w:spacing w:after="0"/>
              <w:rPr>
                <w:sz w:val="20"/>
                <w:szCs w:val="20"/>
                <w:color w:val="auto"/>
              </w:rPr>
            </w:pPr>
            <w:r>
              <w:rPr>
                <w:rFonts w:ascii="Arial" w:cs="Arial" w:eastAsia="Arial" w:hAnsi="Arial"/>
                <w:sz w:val="13"/>
                <w:szCs w:val="13"/>
                <w:color w:val="auto"/>
                <w:w w:val="95"/>
              </w:rPr>
              <w:t>Media</w:t>
            </w:r>
          </w:p>
        </w:tc>
        <w:tc>
          <w:tcPr>
            <w:tcW w:w="820" w:type="dxa"/>
            <w:vAlign w:val="bottom"/>
            <w:gridSpan w:val="3"/>
          </w:tcPr>
          <w:p>
            <w:pPr>
              <w:jc w:val="right"/>
              <w:spacing w:after="0"/>
              <w:rPr>
                <w:sz w:val="20"/>
                <w:szCs w:val="20"/>
                <w:color w:val="auto"/>
              </w:rPr>
            </w:pPr>
            <w:r>
              <w:rPr>
                <w:rFonts w:ascii="Arial" w:cs="Arial" w:eastAsia="Arial" w:hAnsi="Arial"/>
                <w:sz w:val="13"/>
                <w:szCs w:val="13"/>
                <w:color w:val="auto"/>
              </w:rPr>
              <w:t>4.81%</w:t>
            </w:r>
          </w:p>
        </w:tc>
        <w:tc>
          <w:tcPr>
            <w:tcW w:w="380" w:type="dxa"/>
            <w:vAlign w:val="bottom"/>
          </w:tcPr>
          <w:p>
            <w:pPr>
              <w:spacing w:after="0"/>
              <w:rPr>
                <w:sz w:val="23"/>
                <w:szCs w:val="23"/>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3"/>
                <w:szCs w:val="13"/>
                <w:color w:val="auto"/>
              </w:rPr>
              <w:t>L+200</w:t>
            </w:r>
          </w:p>
        </w:tc>
        <w:tc>
          <w:tcPr>
            <w:tcW w:w="800" w:type="dxa"/>
            <w:vAlign w:val="bottom"/>
            <w:gridSpan w:val="2"/>
          </w:tcPr>
          <w:p>
            <w:pPr>
              <w:jc w:val="right"/>
              <w:spacing w:after="0"/>
              <w:rPr>
                <w:sz w:val="20"/>
                <w:szCs w:val="20"/>
                <w:color w:val="auto"/>
              </w:rPr>
            </w:pPr>
            <w:r>
              <w:rPr>
                <w:rFonts w:ascii="Arial" w:cs="Arial" w:eastAsia="Arial" w:hAnsi="Arial"/>
                <w:sz w:val="13"/>
                <w:szCs w:val="13"/>
                <w:color w:val="auto"/>
              </w:rPr>
              <w:t>7,000,000</w:t>
            </w:r>
          </w:p>
        </w:tc>
        <w:tc>
          <w:tcPr>
            <w:tcW w:w="1160" w:type="dxa"/>
            <w:vAlign w:val="bottom"/>
            <w:gridSpan w:val="3"/>
          </w:tcPr>
          <w:p>
            <w:pPr>
              <w:jc w:val="right"/>
              <w:ind w:right="220"/>
              <w:spacing w:after="0"/>
              <w:rPr>
                <w:sz w:val="20"/>
                <w:szCs w:val="20"/>
                <w:color w:val="auto"/>
              </w:rPr>
            </w:pPr>
            <w:r>
              <w:rPr>
                <w:rFonts w:ascii="Arial" w:cs="Arial" w:eastAsia="Arial" w:hAnsi="Arial"/>
                <w:sz w:val="13"/>
                <w:szCs w:val="13"/>
                <w:color w:val="auto"/>
              </w:rPr>
              <w:t>7,000,000</w:t>
            </w:r>
          </w:p>
        </w:tc>
        <w:tc>
          <w:tcPr>
            <w:tcW w:w="80" w:type="dxa"/>
            <w:vAlign w:val="bottom"/>
          </w:tcPr>
          <w:p>
            <w:pPr>
              <w:spacing w:after="0"/>
              <w:rPr>
                <w:sz w:val="23"/>
                <w:szCs w:val="23"/>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3"/>
                <w:szCs w:val="13"/>
                <w:color w:val="auto"/>
              </w:rPr>
              <w:t>3,336,690</w:t>
            </w:r>
          </w:p>
        </w:tc>
        <w:tc>
          <w:tcPr>
            <w:tcW w:w="0" w:type="dxa"/>
            <w:vAlign w:val="bottom"/>
          </w:tcPr>
          <w:p>
            <w:pPr>
              <w:spacing w:after="0"/>
              <w:rPr>
                <w:sz w:val="1"/>
                <w:szCs w:val="1"/>
                <w:color w:val="auto"/>
              </w:rPr>
            </w:pPr>
          </w:p>
        </w:tc>
      </w:tr>
      <w:tr>
        <w:trPr>
          <w:trHeight w:val="95"/>
        </w:trPr>
        <w:tc>
          <w:tcPr>
            <w:tcW w:w="760" w:type="dxa"/>
            <w:vAlign w:val="bottom"/>
          </w:tcPr>
          <w:p>
            <w:pPr>
              <w:spacing w:after="0"/>
              <w:rPr>
                <w:sz w:val="8"/>
                <w:szCs w:val="8"/>
                <w:color w:val="auto"/>
              </w:rPr>
            </w:pPr>
          </w:p>
        </w:tc>
        <w:tc>
          <w:tcPr>
            <w:tcW w:w="4180" w:type="dxa"/>
            <w:vAlign w:val="bottom"/>
          </w:tcPr>
          <w:p>
            <w:pPr>
              <w:spacing w:after="0"/>
              <w:rPr>
                <w:sz w:val="8"/>
                <w:szCs w:val="8"/>
                <w:color w:val="auto"/>
              </w:rPr>
            </w:pPr>
          </w:p>
        </w:tc>
        <w:tc>
          <w:tcPr>
            <w:tcW w:w="620" w:type="dxa"/>
            <w:vAlign w:val="bottom"/>
          </w:tcPr>
          <w:p>
            <w:pPr>
              <w:spacing w:after="0"/>
              <w:rPr>
                <w:sz w:val="8"/>
                <w:szCs w:val="8"/>
                <w:color w:val="auto"/>
              </w:rPr>
            </w:pPr>
          </w:p>
        </w:tc>
        <w:tc>
          <w:tcPr>
            <w:tcW w:w="220" w:type="dxa"/>
            <w:vAlign w:val="bottom"/>
          </w:tcPr>
          <w:p>
            <w:pPr>
              <w:spacing w:after="0"/>
              <w:rPr>
                <w:sz w:val="8"/>
                <w:szCs w:val="8"/>
                <w:color w:val="auto"/>
              </w:rPr>
            </w:pPr>
          </w:p>
        </w:tc>
        <w:tc>
          <w:tcPr>
            <w:tcW w:w="840" w:type="dxa"/>
            <w:vAlign w:val="bottom"/>
          </w:tcPr>
          <w:p>
            <w:pPr>
              <w:spacing w:after="0"/>
              <w:rPr>
                <w:sz w:val="8"/>
                <w:szCs w:val="8"/>
                <w:color w:val="auto"/>
              </w:rPr>
            </w:pPr>
          </w:p>
        </w:tc>
        <w:tc>
          <w:tcPr>
            <w:tcW w:w="2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20" w:type="dxa"/>
            <w:vAlign w:val="bottom"/>
          </w:tcPr>
          <w:p>
            <w:pPr>
              <w:spacing w:after="0"/>
              <w:rPr>
                <w:sz w:val="8"/>
                <w:szCs w:val="8"/>
                <w:color w:val="auto"/>
              </w:rPr>
            </w:pPr>
          </w:p>
        </w:tc>
        <w:tc>
          <w:tcPr>
            <w:tcW w:w="380" w:type="dxa"/>
            <w:vAlign w:val="bottom"/>
          </w:tcPr>
          <w:p>
            <w:pPr>
              <w:spacing w:after="0"/>
              <w:rPr>
                <w:sz w:val="8"/>
                <w:szCs w:val="8"/>
                <w:color w:val="auto"/>
              </w:rPr>
            </w:pPr>
          </w:p>
        </w:tc>
        <w:tc>
          <w:tcPr>
            <w:tcW w:w="5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220" w:type="dxa"/>
            <w:vAlign w:val="bottom"/>
          </w:tcPr>
          <w:p>
            <w:pPr>
              <w:spacing w:after="0"/>
              <w:rPr>
                <w:sz w:val="8"/>
                <w:szCs w:val="8"/>
                <w:color w:val="auto"/>
              </w:rPr>
            </w:pPr>
          </w:p>
        </w:tc>
        <w:tc>
          <w:tcPr>
            <w:tcW w:w="72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494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General Nutrition Centers, Inc.</w:t>
            </w:r>
          </w:p>
        </w:tc>
        <w:tc>
          <w:tcPr>
            <w:tcW w:w="620" w:type="dxa"/>
            <w:vAlign w:val="bottom"/>
            <w:shd w:val="clear" w:color="auto" w:fill="CCEEFF"/>
          </w:tcPr>
          <w:p>
            <w:pPr>
              <w:spacing w:after="0"/>
              <w:rPr>
                <w:sz w:val="20"/>
                <w:szCs w:val="20"/>
                <w:color w:val="auto"/>
              </w:rPr>
            </w:pPr>
            <w:r>
              <w:rPr>
                <w:rFonts w:ascii="Arial" w:cs="Arial" w:eastAsia="Arial" w:hAnsi="Arial"/>
                <w:sz w:val="13"/>
                <w:szCs w:val="13"/>
                <w:color w:val="auto"/>
                <w:w w:val="92"/>
              </w:rPr>
              <w:t>09/16/2013</w:t>
            </w:r>
          </w:p>
        </w:tc>
        <w:tc>
          <w:tcPr>
            <w:tcW w:w="220" w:type="dxa"/>
            <w:vAlign w:val="bottom"/>
            <w:shd w:val="clear" w:color="auto" w:fill="CCEEFF"/>
          </w:tcPr>
          <w:p>
            <w:pPr>
              <w:spacing w:after="0"/>
              <w:rPr>
                <w:sz w:val="12"/>
                <w:szCs w:val="12"/>
                <w:color w:val="auto"/>
              </w:rPr>
            </w:pPr>
          </w:p>
        </w:tc>
        <w:tc>
          <w:tcPr>
            <w:tcW w:w="8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4"/>
              </w:rPr>
              <w:t>Retail Store</w:t>
            </w:r>
          </w:p>
        </w:tc>
        <w:tc>
          <w:tcPr>
            <w:tcW w:w="82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5.57%</w:t>
            </w:r>
          </w:p>
        </w:tc>
        <w:tc>
          <w:tcPr>
            <w:tcW w:w="3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L+225</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3,410,095</w:t>
            </w:r>
          </w:p>
        </w:tc>
        <w:tc>
          <w:tcPr>
            <w:tcW w:w="1160" w:type="dxa"/>
            <w:vAlign w:val="bottom"/>
            <w:gridSpan w:val="3"/>
            <w:shd w:val="clear" w:color="auto" w:fill="CCEEFF"/>
          </w:tcPr>
          <w:p>
            <w:pPr>
              <w:jc w:val="right"/>
              <w:ind w:right="220"/>
              <w:spacing w:after="0"/>
              <w:rPr>
                <w:sz w:val="20"/>
                <w:szCs w:val="20"/>
                <w:color w:val="auto"/>
              </w:rPr>
            </w:pPr>
            <w:r>
              <w:rPr>
                <w:rFonts w:ascii="Arial" w:cs="Arial" w:eastAsia="Arial" w:hAnsi="Arial"/>
                <w:sz w:val="13"/>
                <w:szCs w:val="13"/>
                <w:color w:val="auto"/>
              </w:rPr>
              <w:t>3,411,892</w:t>
            </w: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2,821,854</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46"/>
        </w:trPr>
        <w:tc>
          <w:tcPr>
            <w:tcW w:w="4940" w:type="dxa"/>
            <w:vAlign w:val="bottom"/>
            <w:gridSpan w:val="2"/>
          </w:tcPr>
          <w:p>
            <w:pPr>
              <w:spacing w:after="0"/>
              <w:rPr>
                <w:sz w:val="20"/>
                <w:szCs w:val="20"/>
                <w:color w:val="auto"/>
              </w:rPr>
            </w:pPr>
            <w:r>
              <w:rPr>
                <w:rFonts w:ascii="Arial" w:cs="Arial" w:eastAsia="Arial" w:hAnsi="Arial"/>
                <w:sz w:val="13"/>
                <w:szCs w:val="13"/>
                <w:color w:val="auto"/>
              </w:rPr>
              <w:t>Greatwide Logistics Services, Inc.</w:t>
            </w:r>
          </w:p>
        </w:tc>
        <w:tc>
          <w:tcPr>
            <w:tcW w:w="620" w:type="dxa"/>
            <w:vAlign w:val="bottom"/>
          </w:tcPr>
          <w:p>
            <w:pPr>
              <w:spacing w:after="0"/>
              <w:rPr>
                <w:sz w:val="20"/>
                <w:szCs w:val="20"/>
                <w:color w:val="auto"/>
              </w:rPr>
            </w:pPr>
            <w:r>
              <w:rPr>
                <w:rFonts w:ascii="Arial" w:cs="Arial" w:eastAsia="Arial" w:hAnsi="Arial"/>
                <w:sz w:val="13"/>
                <w:szCs w:val="13"/>
                <w:color w:val="auto"/>
                <w:w w:val="92"/>
              </w:rPr>
              <w:t>12/19/2013</w:t>
            </w:r>
          </w:p>
        </w:tc>
        <w:tc>
          <w:tcPr>
            <w:tcW w:w="220" w:type="dxa"/>
            <w:vAlign w:val="bottom"/>
          </w:tcPr>
          <w:p>
            <w:pPr>
              <w:spacing w:after="0"/>
              <w:rPr>
                <w:sz w:val="21"/>
                <w:szCs w:val="21"/>
                <w:color w:val="auto"/>
              </w:rPr>
            </w:pPr>
          </w:p>
        </w:tc>
        <w:tc>
          <w:tcPr>
            <w:tcW w:w="840" w:type="dxa"/>
            <w:vAlign w:val="bottom"/>
          </w:tcPr>
          <w:p>
            <w:pPr>
              <w:jc w:val="center"/>
              <w:spacing w:after="0"/>
              <w:rPr>
                <w:sz w:val="20"/>
                <w:szCs w:val="20"/>
                <w:color w:val="auto"/>
              </w:rPr>
            </w:pPr>
            <w:r>
              <w:rPr>
                <w:rFonts w:ascii="Arial" w:cs="Arial" w:eastAsia="Arial" w:hAnsi="Arial"/>
                <w:sz w:val="13"/>
                <w:szCs w:val="13"/>
                <w:color w:val="auto"/>
                <w:w w:val="90"/>
              </w:rPr>
              <w:t>Cargo</w:t>
            </w:r>
          </w:p>
        </w:tc>
        <w:tc>
          <w:tcPr>
            <w:tcW w:w="220" w:type="dxa"/>
            <w:vAlign w:val="bottom"/>
          </w:tcPr>
          <w:p>
            <w:pPr>
              <w:spacing w:after="0"/>
              <w:rPr>
                <w:sz w:val="21"/>
                <w:szCs w:val="21"/>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380" w:type="dxa"/>
            <w:vAlign w:val="bottom"/>
          </w:tcPr>
          <w:p>
            <w:pPr>
              <w:jc w:val="right"/>
              <w:ind w:right="164"/>
              <w:spacing w:after="0"/>
              <w:rPr>
                <w:sz w:val="20"/>
                <w:szCs w:val="20"/>
                <w:color w:val="auto"/>
              </w:rPr>
            </w:pPr>
            <w:r>
              <w:rPr>
                <w:rFonts w:ascii="Arial" w:cs="Arial" w:eastAsia="Arial" w:hAnsi="Arial"/>
                <w:sz w:val="11"/>
                <w:szCs w:val="11"/>
                <w:color w:val="auto"/>
              </w:rPr>
              <w:t>(7)</w:t>
            </w:r>
          </w:p>
        </w:tc>
        <w:tc>
          <w:tcPr>
            <w:tcW w:w="740" w:type="dxa"/>
            <w:vAlign w:val="bottom"/>
            <w:gridSpan w:val="2"/>
          </w:tcPr>
          <w:p>
            <w:pPr>
              <w:jc w:val="right"/>
              <w:ind w:right="320"/>
              <w:spacing w:after="0"/>
              <w:rPr>
                <w:sz w:val="20"/>
                <w:szCs w:val="20"/>
                <w:color w:val="auto"/>
              </w:rPr>
            </w:pPr>
            <w:r>
              <w:rPr>
                <w:rFonts w:ascii="Arial" w:cs="Arial" w:eastAsia="Arial" w:hAnsi="Arial"/>
                <w:sz w:val="13"/>
                <w:szCs w:val="13"/>
                <w:color w:val="auto"/>
              </w:rPr>
              <w:t>—</w:t>
            </w:r>
          </w:p>
        </w:tc>
        <w:tc>
          <w:tcPr>
            <w:tcW w:w="800" w:type="dxa"/>
            <w:vAlign w:val="bottom"/>
            <w:gridSpan w:val="2"/>
          </w:tcPr>
          <w:p>
            <w:pPr>
              <w:jc w:val="right"/>
              <w:spacing w:after="0"/>
              <w:rPr>
                <w:sz w:val="20"/>
                <w:szCs w:val="20"/>
                <w:color w:val="auto"/>
              </w:rPr>
            </w:pPr>
            <w:r>
              <w:rPr>
                <w:rFonts w:ascii="Arial" w:cs="Arial" w:eastAsia="Arial" w:hAnsi="Arial"/>
                <w:sz w:val="13"/>
                <w:szCs w:val="13"/>
                <w:color w:val="auto"/>
              </w:rPr>
              <w:t>6,912,500</w:t>
            </w:r>
          </w:p>
        </w:tc>
        <w:tc>
          <w:tcPr>
            <w:tcW w:w="1160" w:type="dxa"/>
            <w:vAlign w:val="bottom"/>
            <w:gridSpan w:val="3"/>
          </w:tcPr>
          <w:p>
            <w:pPr>
              <w:jc w:val="right"/>
              <w:ind w:right="220"/>
              <w:spacing w:after="0"/>
              <w:rPr>
                <w:sz w:val="20"/>
                <w:szCs w:val="20"/>
                <w:color w:val="auto"/>
              </w:rPr>
            </w:pPr>
            <w:r>
              <w:rPr>
                <w:rFonts w:ascii="Arial" w:cs="Arial" w:eastAsia="Arial" w:hAnsi="Arial"/>
                <w:sz w:val="13"/>
                <w:szCs w:val="13"/>
                <w:color w:val="auto"/>
              </w:rPr>
              <w:t>6,912,500</w:t>
            </w:r>
          </w:p>
        </w:tc>
        <w:tc>
          <w:tcPr>
            <w:tcW w:w="80" w:type="dxa"/>
            <w:vAlign w:val="bottom"/>
          </w:tcPr>
          <w:p>
            <w:pPr>
              <w:spacing w:after="0"/>
              <w:rPr>
                <w:sz w:val="21"/>
                <w:szCs w:val="21"/>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3"/>
                <w:szCs w:val="13"/>
                <w:color w:val="auto"/>
              </w:rPr>
              <w:t>5,149,813</w:t>
            </w:r>
          </w:p>
        </w:tc>
        <w:tc>
          <w:tcPr>
            <w:tcW w:w="0" w:type="dxa"/>
            <w:vAlign w:val="bottom"/>
          </w:tcPr>
          <w:p>
            <w:pPr>
              <w:spacing w:after="0"/>
              <w:rPr>
                <w:sz w:val="1"/>
                <w:szCs w:val="1"/>
                <w:color w:val="auto"/>
              </w:rPr>
            </w:pPr>
          </w:p>
        </w:tc>
      </w:tr>
      <w:tr>
        <w:trPr>
          <w:trHeight w:val="172"/>
        </w:trPr>
        <w:tc>
          <w:tcPr>
            <w:tcW w:w="760" w:type="dxa"/>
            <w:vAlign w:val="bottom"/>
          </w:tcPr>
          <w:p>
            <w:pPr>
              <w:spacing w:after="0"/>
              <w:rPr>
                <w:sz w:val="14"/>
                <w:szCs w:val="14"/>
                <w:color w:val="auto"/>
              </w:rPr>
            </w:pPr>
          </w:p>
        </w:tc>
        <w:tc>
          <w:tcPr>
            <w:tcW w:w="4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Arial" w:cs="Arial" w:eastAsia="Arial" w:hAnsi="Arial"/>
                <w:sz w:val="13"/>
                <w:szCs w:val="13"/>
                <w:color w:val="auto"/>
                <w:w w:val="93"/>
              </w:rPr>
              <w:t>Transport</w:t>
            </w:r>
          </w:p>
        </w:tc>
        <w:tc>
          <w:tcPr>
            <w:tcW w:w="2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240"/>
          </w:cols>
          <w:pgMar w:left="320" w:top="459" w:right="3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206375</wp:posOffset>
            </wp:positionH>
            <wp:positionV relativeFrom="page">
              <wp:posOffset>88900</wp:posOffset>
            </wp:positionV>
            <wp:extent cx="7153275" cy="279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32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PENNANTPARK INVESTMENT CORPORATION</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SCHEDULE OF INVESTMENTS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SEPTEMBER 30, 2008</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760" w:type="dxa"/>
            <w:vAlign w:val="bottom"/>
          </w:tcPr>
          <w:p>
            <w:pPr>
              <w:spacing w:after="0"/>
              <w:rPr>
                <w:sz w:val="13"/>
                <w:szCs w:val="13"/>
                <w:color w:val="auto"/>
              </w:rPr>
            </w:pPr>
          </w:p>
        </w:tc>
        <w:tc>
          <w:tcPr>
            <w:tcW w:w="28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8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86"/>
              </w:rPr>
              <w:t>Basis</w:t>
            </w: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760" w:type="dxa"/>
            <w:vAlign w:val="bottom"/>
          </w:tcPr>
          <w:p>
            <w:pPr>
              <w:spacing w:after="0"/>
              <w:rPr>
                <w:sz w:val="12"/>
                <w:szCs w:val="12"/>
                <w:color w:val="auto"/>
              </w:rPr>
            </w:pPr>
          </w:p>
        </w:tc>
        <w:tc>
          <w:tcPr>
            <w:tcW w:w="28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8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8"/>
              </w:rPr>
              <w:t>Point</w:t>
            </w: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60" w:type="dxa"/>
            <w:vAlign w:val="bottom"/>
          </w:tcPr>
          <w:p>
            <w:pPr>
              <w:spacing w:after="0"/>
              <w:rPr>
                <w:sz w:val="12"/>
                <w:szCs w:val="12"/>
                <w:color w:val="auto"/>
              </w:rPr>
            </w:pPr>
          </w:p>
        </w:tc>
        <w:tc>
          <w:tcPr>
            <w:tcW w:w="28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8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0"/>
              </w:rPr>
              <w:t>Spread</w:t>
            </w: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760" w:type="dxa"/>
            <w:vAlign w:val="bottom"/>
          </w:tcPr>
          <w:p>
            <w:pPr>
              <w:spacing w:after="0"/>
              <w:rPr>
                <w:sz w:val="14"/>
                <w:szCs w:val="14"/>
                <w:color w:val="auto"/>
              </w:rPr>
            </w:pPr>
          </w:p>
        </w:tc>
        <w:tc>
          <w:tcPr>
            <w:tcW w:w="28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3"/>
                <w:szCs w:val="13"/>
                <w:b w:val="1"/>
                <w:bCs w:val="1"/>
                <w:color w:val="auto"/>
              </w:rPr>
              <w:t>Current</w:t>
            </w:r>
          </w:p>
        </w:tc>
        <w:tc>
          <w:tcPr>
            <w:tcW w:w="460" w:type="dxa"/>
            <w:vAlign w:val="bottom"/>
          </w:tcPr>
          <w:p>
            <w:pPr>
              <w:spacing w:after="0"/>
              <w:rPr>
                <w:sz w:val="14"/>
                <w:szCs w:val="14"/>
                <w:color w:val="auto"/>
              </w:rPr>
            </w:pPr>
          </w:p>
        </w:tc>
        <w:tc>
          <w:tcPr>
            <w:tcW w:w="78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0"/>
              </w:rPr>
              <w:t>Above</w:t>
            </w: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vMerge w:val="restart"/>
          </w:tcPr>
          <w:p>
            <w:pPr>
              <w:jc w:val="right"/>
              <w:ind w:right="153"/>
              <w:spacing w:after="0"/>
              <w:rPr>
                <w:sz w:val="20"/>
                <w:szCs w:val="20"/>
                <w:color w:val="auto"/>
              </w:rPr>
            </w:pPr>
            <w:r>
              <w:rPr>
                <w:rFonts w:ascii="Arial" w:cs="Arial" w:eastAsia="Arial" w:hAnsi="Arial"/>
                <w:sz w:val="13"/>
                <w:szCs w:val="13"/>
                <w:b w:val="1"/>
                <w:bCs w:val="1"/>
                <w:color w:val="auto"/>
                <w:w w:val="95"/>
              </w:rPr>
              <w:t xml:space="preserve">Value </w:t>
            </w:r>
            <w:r>
              <w:rPr>
                <w:rFonts w:ascii="Arial" w:cs="Arial" w:eastAsia="Arial" w:hAnsi="Arial"/>
                <w:sz w:val="22"/>
                <w:szCs w:val="22"/>
                <w:b w:val="1"/>
                <w:bCs w:val="1"/>
                <w:color w:val="auto"/>
                <w:w w:val="95"/>
                <w:vertAlign w:val="superscript"/>
              </w:rPr>
              <w:t>(3)</w:t>
            </w: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76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w w:val="95"/>
              </w:rPr>
              <w:t>Issuer Name</w:t>
            </w:r>
          </w:p>
        </w:tc>
        <w:tc>
          <w:tcPr>
            <w:tcW w:w="2820" w:type="dxa"/>
            <w:vAlign w:val="bottom"/>
          </w:tcPr>
          <w:p>
            <w:pPr>
              <w:spacing w:after="0"/>
              <w:rPr>
                <w:sz w:val="15"/>
                <w:szCs w:val="15"/>
                <w:color w:val="auto"/>
              </w:rPr>
            </w:pP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Maturity</w:t>
            </w:r>
          </w:p>
        </w:tc>
        <w:tc>
          <w:tcPr>
            <w:tcW w:w="220" w:type="dxa"/>
            <w:vAlign w:val="bottom"/>
          </w:tcPr>
          <w:p>
            <w:pPr>
              <w:spacing w:after="0"/>
              <w:rPr>
                <w:sz w:val="15"/>
                <w:szCs w:val="15"/>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7"/>
              </w:rPr>
              <w:t>Industry</w:t>
            </w:r>
          </w:p>
        </w:tc>
        <w:tc>
          <w:tcPr>
            <w:tcW w:w="220" w:type="dxa"/>
            <w:vAlign w:val="bottom"/>
          </w:tcPr>
          <w:p>
            <w:pPr>
              <w:spacing w:after="0"/>
              <w:rPr>
                <w:sz w:val="15"/>
                <w:szCs w:val="15"/>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w w:val="97"/>
              </w:rPr>
              <w:t>Coupon</w:t>
            </w:r>
          </w:p>
        </w:tc>
        <w:tc>
          <w:tcPr>
            <w:tcW w:w="1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560" w:type="dxa"/>
            <w:vAlign w:val="bottom"/>
            <w:tcBorders>
              <w:bottom w:val="single" w:sz="8" w:color="auto"/>
            </w:tcBorders>
          </w:tcPr>
          <w:p>
            <w:pPr>
              <w:jc w:val="center"/>
              <w:spacing w:after="0" w:line="176" w:lineRule="exact"/>
              <w:rPr>
                <w:sz w:val="20"/>
                <w:szCs w:val="20"/>
                <w:color w:val="auto"/>
              </w:rPr>
            </w:pPr>
            <w:r>
              <w:rPr>
                <w:rFonts w:ascii="Arial" w:cs="Arial" w:eastAsia="Arial" w:hAnsi="Arial"/>
                <w:sz w:val="12"/>
                <w:szCs w:val="12"/>
                <w:b w:val="1"/>
                <w:bCs w:val="1"/>
                <w:color w:val="auto"/>
                <w:w w:val="96"/>
              </w:rPr>
              <w:t>Index</w:t>
            </w:r>
            <w:r>
              <w:rPr>
                <w:rFonts w:ascii="Arial" w:cs="Arial" w:eastAsia="Arial" w:hAnsi="Arial"/>
                <w:sz w:val="20"/>
                <w:szCs w:val="20"/>
                <w:b w:val="1"/>
                <w:bCs w:val="1"/>
                <w:color w:val="auto"/>
                <w:w w:val="96"/>
                <w:vertAlign w:val="superscript"/>
              </w:rPr>
              <w:t>(4)</w:t>
            </w:r>
          </w:p>
        </w:tc>
        <w:tc>
          <w:tcPr>
            <w:tcW w:w="2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273"/>
              <w:spacing w:after="0"/>
              <w:rPr>
                <w:sz w:val="20"/>
                <w:szCs w:val="20"/>
                <w:color w:val="auto"/>
              </w:rPr>
            </w:pPr>
            <w:r>
              <w:rPr>
                <w:rFonts w:ascii="Arial" w:cs="Arial" w:eastAsia="Arial" w:hAnsi="Arial"/>
                <w:sz w:val="13"/>
                <w:szCs w:val="13"/>
                <w:b w:val="1"/>
                <w:bCs w:val="1"/>
                <w:color w:val="auto"/>
              </w:rPr>
              <w:t>Par</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ind w:left="160"/>
              <w:spacing w:after="0"/>
              <w:rPr>
                <w:sz w:val="20"/>
                <w:szCs w:val="20"/>
                <w:color w:val="auto"/>
              </w:rPr>
            </w:pPr>
            <w:r>
              <w:rPr>
                <w:rFonts w:ascii="Arial" w:cs="Arial" w:eastAsia="Arial" w:hAnsi="Arial"/>
                <w:sz w:val="13"/>
                <w:szCs w:val="13"/>
                <w:b w:val="1"/>
                <w:bCs w:val="1"/>
                <w:color w:val="auto"/>
              </w:rPr>
              <w:t>Cost</w:t>
            </w:r>
          </w:p>
        </w:tc>
        <w:tc>
          <w:tcPr>
            <w:tcW w:w="2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vMerge w:val="continue"/>
          </w:tcPr>
          <w:p>
            <w:pPr>
              <w:spacing w:after="0"/>
              <w:rPr>
                <w:sz w:val="15"/>
                <w:szCs w:val="15"/>
                <w:color w:val="auto"/>
              </w:rPr>
            </w:pP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580" w:type="dxa"/>
            <w:vAlign w:val="bottom"/>
            <w:gridSpan w:val="2"/>
            <w:shd w:val="clear" w:color="auto" w:fill="CCEEFF"/>
          </w:tcPr>
          <w:p>
            <w:pPr>
              <w:spacing w:after="0" w:line="142" w:lineRule="exact"/>
              <w:rPr>
                <w:sz w:val="20"/>
                <w:szCs w:val="20"/>
                <w:color w:val="auto"/>
              </w:rPr>
            </w:pPr>
            <w:r>
              <w:rPr>
                <w:rFonts w:ascii="Arial" w:cs="Arial" w:eastAsia="Arial" w:hAnsi="Arial"/>
                <w:sz w:val="13"/>
                <w:szCs w:val="13"/>
                <w:color w:val="auto"/>
              </w:rPr>
              <w:t>Hanley- Wood, L.L.C.</w:t>
            </w:r>
          </w:p>
        </w:tc>
        <w:tc>
          <w:tcPr>
            <w:tcW w:w="740" w:type="dxa"/>
            <w:vAlign w:val="bottom"/>
            <w:shd w:val="clear" w:color="auto" w:fill="CCEEFF"/>
          </w:tcPr>
          <w:p>
            <w:pPr>
              <w:jc w:val="center"/>
              <w:spacing w:after="0" w:line="142" w:lineRule="exact"/>
              <w:rPr>
                <w:sz w:val="20"/>
                <w:szCs w:val="20"/>
                <w:color w:val="auto"/>
              </w:rPr>
            </w:pPr>
            <w:r>
              <w:rPr>
                <w:rFonts w:ascii="Arial" w:cs="Arial" w:eastAsia="Arial" w:hAnsi="Arial"/>
                <w:sz w:val="13"/>
                <w:szCs w:val="13"/>
                <w:color w:val="auto"/>
                <w:w w:val="95"/>
              </w:rPr>
              <w:t>03/08/2014</w:t>
            </w:r>
          </w:p>
        </w:tc>
        <w:tc>
          <w:tcPr>
            <w:tcW w:w="220" w:type="dxa"/>
            <w:vAlign w:val="bottom"/>
            <w:shd w:val="clear" w:color="auto" w:fill="CCEEFF"/>
          </w:tcPr>
          <w:p>
            <w:pPr>
              <w:spacing w:after="0"/>
              <w:rPr>
                <w:sz w:val="12"/>
                <w:szCs w:val="12"/>
                <w:color w:val="auto"/>
              </w:rPr>
            </w:pPr>
          </w:p>
        </w:tc>
        <w:tc>
          <w:tcPr>
            <w:tcW w:w="1380" w:type="dxa"/>
            <w:vAlign w:val="bottom"/>
            <w:shd w:val="clear" w:color="auto" w:fill="CCEEFF"/>
          </w:tcPr>
          <w:p>
            <w:pPr>
              <w:jc w:val="center"/>
              <w:spacing w:after="0" w:line="142" w:lineRule="exact"/>
              <w:rPr>
                <w:sz w:val="20"/>
                <w:szCs w:val="20"/>
                <w:color w:val="auto"/>
              </w:rPr>
            </w:pPr>
            <w:r>
              <w:rPr>
                <w:rFonts w:ascii="Arial" w:cs="Arial" w:eastAsia="Arial" w:hAnsi="Arial"/>
                <w:sz w:val="13"/>
                <w:szCs w:val="13"/>
                <w:color w:val="auto"/>
                <w:w w:val="97"/>
              </w:rPr>
              <w:t>Other Media</w:t>
            </w:r>
          </w:p>
        </w:tc>
        <w:tc>
          <w:tcPr>
            <w:tcW w:w="920" w:type="dxa"/>
            <w:vAlign w:val="bottom"/>
            <w:gridSpan w:val="3"/>
            <w:shd w:val="clear" w:color="auto" w:fill="CCEEFF"/>
          </w:tcPr>
          <w:p>
            <w:pPr>
              <w:jc w:val="right"/>
              <w:ind w:right="20"/>
              <w:spacing w:after="0" w:line="142" w:lineRule="exact"/>
              <w:rPr>
                <w:sz w:val="20"/>
                <w:szCs w:val="20"/>
                <w:color w:val="auto"/>
              </w:rPr>
            </w:pPr>
            <w:r>
              <w:rPr>
                <w:rFonts w:ascii="Arial" w:cs="Arial" w:eastAsia="Arial" w:hAnsi="Arial"/>
                <w:sz w:val="13"/>
                <w:szCs w:val="13"/>
                <w:color w:val="auto"/>
              </w:rPr>
              <w:t>4.83%</w:t>
            </w:r>
          </w:p>
        </w:tc>
        <w:tc>
          <w:tcPr>
            <w:tcW w:w="46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20"/>
              <w:spacing w:after="0" w:line="142" w:lineRule="exact"/>
              <w:rPr>
                <w:sz w:val="20"/>
                <w:szCs w:val="20"/>
                <w:color w:val="auto"/>
              </w:rPr>
            </w:pPr>
            <w:r>
              <w:rPr>
                <w:rFonts w:ascii="Arial" w:cs="Arial" w:eastAsia="Arial" w:hAnsi="Arial"/>
                <w:sz w:val="13"/>
                <w:szCs w:val="13"/>
                <w:color w:val="auto"/>
              </w:rPr>
              <w:t>L+225</w:t>
            </w: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2" w:lineRule="exact"/>
              <w:rPr>
                <w:sz w:val="20"/>
                <w:szCs w:val="20"/>
                <w:color w:val="auto"/>
              </w:rPr>
            </w:pPr>
            <w:r>
              <w:rPr>
                <w:rFonts w:ascii="Arial" w:cs="Arial" w:eastAsia="Arial" w:hAnsi="Arial"/>
                <w:sz w:val="13"/>
                <w:szCs w:val="13"/>
                <w:color w:val="auto"/>
              </w:rPr>
              <w:t>8,932,500</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220"/>
              <w:spacing w:after="0" w:line="142" w:lineRule="exact"/>
              <w:rPr>
                <w:sz w:val="20"/>
                <w:szCs w:val="20"/>
                <w:color w:val="auto"/>
              </w:rPr>
            </w:pPr>
            <w:r>
              <w:rPr>
                <w:rFonts w:ascii="Arial" w:cs="Arial" w:eastAsia="Arial" w:hAnsi="Arial"/>
                <w:sz w:val="13"/>
                <w:szCs w:val="13"/>
                <w:color w:val="auto"/>
              </w:rPr>
              <w:t>8,932,500</w:t>
            </w: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2" w:lineRule="exact"/>
              <w:rPr>
                <w:sz w:val="20"/>
                <w:szCs w:val="20"/>
                <w:color w:val="auto"/>
              </w:rPr>
            </w:pPr>
            <w:r>
              <w:rPr>
                <w:rFonts w:ascii="Arial" w:cs="Arial" w:eastAsia="Arial" w:hAnsi="Arial"/>
                <w:sz w:val="13"/>
                <w:szCs w:val="13"/>
                <w:color w:val="auto"/>
              </w:rPr>
              <w:t>6,327,185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0"/>
        </w:trPr>
        <w:tc>
          <w:tcPr>
            <w:tcW w:w="3580" w:type="dxa"/>
            <w:vAlign w:val="bottom"/>
            <w:gridSpan w:val="2"/>
          </w:tcPr>
          <w:p>
            <w:pPr>
              <w:spacing w:after="0"/>
              <w:rPr>
                <w:sz w:val="20"/>
                <w:szCs w:val="20"/>
                <w:color w:val="auto"/>
              </w:rPr>
            </w:pPr>
            <w:r>
              <w:rPr>
                <w:rFonts w:ascii="Arial" w:cs="Arial" w:eastAsia="Arial" w:hAnsi="Arial"/>
                <w:sz w:val="13"/>
                <w:szCs w:val="13"/>
                <w:b w:val="1"/>
                <w:bCs w:val="1"/>
                <w:color w:val="auto"/>
              </w:rPr>
              <w:t>First Lien Secured Debt – (Continued)</w:t>
            </w:r>
          </w:p>
        </w:tc>
        <w:tc>
          <w:tcPr>
            <w:tcW w:w="7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95"/>
        </w:trPr>
        <w:tc>
          <w:tcPr>
            <w:tcW w:w="760" w:type="dxa"/>
            <w:vAlign w:val="bottom"/>
          </w:tcPr>
          <w:p>
            <w:pPr>
              <w:spacing w:after="0"/>
              <w:rPr>
                <w:sz w:val="8"/>
                <w:szCs w:val="8"/>
                <w:color w:val="auto"/>
              </w:rPr>
            </w:pPr>
          </w:p>
        </w:tc>
        <w:tc>
          <w:tcPr>
            <w:tcW w:w="2820" w:type="dxa"/>
            <w:vAlign w:val="bottom"/>
          </w:tcPr>
          <w:p>
            <w:pPr>
              <w:spacing w:after="0"/>
              <w:rPr>
                <w:sz w:val="8"/>
                <w:szCs w:val="8"/>
                <w:color w:val="auto"/>
              </w:rPr>
            </w:pPr>
          </w:p>
        </w:tc>
        <w:tc>
          <w:tcPr>
            <w:tcW w:w="7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380" w:type="dxa"/>
            <w:vAlign w:val="bottom"/>
          </w:tcPr>
          <w:p>
            <w:pPr>
              <w:spacing w:after="0"/>
              <w:rPr>
                <w:sz w:val="8"/>
                <w:szCs w:val="8"/>
                <w:color w:val="auto"/>
              </w:rPr>
            </w:pPr>
          </w:p>
        </w:tc>
        <w:tc>
          <w:tcPr>
            <w:tcW w:w="2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40" w:type="dxa"/>
            <w:vAlign w:val="bottom"/>
          </w:tcPr>
          <w:p>
            <w:pPr>
              <w:spacing w:after="0"/>
              <w:rPr>
                <w:sz w:val="8"/>
                <w:szCs w:val="8"/>
                <w:color w:val="auto"/>
              </w:rPr>
            </w:pPr>
          </w:p>
        </w:tc>
        <w:tc>
          <w:tcPr>
            <w:tcW w:w="460" w:type="dxa"/>
            <w:vAlign w:val="bottom"/>
          </w:tcPr>
          <w:p>
            <w:pPr>
              <w:spacing w:after="0"/>
              <w:rPr>
                <w:sz w:val="8"/>
                <w:szCs w:val="8"/>
                <w:color w:val="auto"/>
              </w:rPr>
            </w:pPr>
          </w:p>
        </w:tc>
        <w:tc>
          <w:tcPr>
            <w:tcW w:w="5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7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48"/>
        </w:trPr>
        <w:tc>
          <w:tcPr>
            <w:tcW w:w="358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Hughes Network Systems, L.L.C.</w:t>
            </w:r>
          </w:p>
        </w:tc>
        <w:tc>
          <w:tcPr>
            <w:tcW w:w="7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5"/>
              </w:rPr>
              <w:t>04/15/2014</w:t>
            </w:r>
          </w:p>
        </w:tc>
        <w:tc>
          <w:tcPr>
            <w:tcW w:w="220" w:type="dxa"/>
            <w:vAlign w:val="bottom"/>
            <w:shd w:val="clear" w:color="auto" w:fill="CCEEFF"/>
          </w:tcPr>
          <w:p>
            <w:pPr>
              <w:spacing w:after="0"/>
              <w:rPr>
                <w:sz w:val="12"/>
                <w:szCs w:val="12"/>
                <w:color w:val="auto"/>
              </w:rPr>
            </w:pPr>
          </w:p>
        </w:tc>
        <w:tc>
          <w:tcPr>
            <w:tcW w:w="13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3"/>
              </w:rPr>
              <w:t>Telecommunications</w:t>
            </w:r>
          </w:p>
        </w:tc>
        <w:tc>
          <w:tcPr>
            <w:tcW w:w="920" w:type="dxa"/>
            <w:vAlign w:val="bottom"/>
            <w:gridSpan w:val="3"/>
            <w:shd w:val="clear" w:color="auto" w:fill="CCEEFF"/>
          </w:tcPr>
          <w:p>
            <w:pPr>
              <w:jc w:val="right"/>
              <w:ind w:right="20"/>
              <w:spacing w:after="0"/>
              <w:rPr>
                <w:sz w:val="20"/>
                <w:szCs w:val="20"/>
                <w:color w:val="auto"/>
              </w:rPr>
            </w:pPr>
            <w:r>
              <w:rPr>
                <w:rFonts w:ascii="Arial" w:cs="Arial" w:eastAsia="Arial" w:hAnsi="Arial"/>
                <w:sz w:val="13"/>
                <w:szCs w:val="13"/>
                <w:color w:val="auto"/>
              </w:rPr>
              <w:t>5.31%</w:t>
            </w:r>
          </w:p>
        </w:tc>
        <w:tc>
          <w:tcPr>
            <w:tcW w:w="46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L+250</w:t>
            </w:r>
          </w:p>
        </w:tc>
        <w:tc>
          <w:tcPr>
            <w:tcW w:w="140" w:type="dxa"/>
            <w:vAlign w:val="bottom"/>
            <w:shd w:val="clear" w:color="auto" w:fill="CCEEFF"/>
          </w:tcPr>
          <w:p>
            <w:pPr>
              <w:jc w:val="right"/>
              <w:ind w:right="29"/>
              <w:spacing w:after="0"/>
              <w:rPr>
                <w:sz w:val="20"/>
                <w:szCs w:val="20"/>
                <w:color w:val="auto"/>
              </w:rPr>
            </w:pPr>
            <w:r>
              <w:rPr>
                <w:rFonts w:ascii="Arial" w:cs="Arial" w:eastAsia="Arial" w:hAnsi="Arial"/>
                <w:sz w:val="10"/>
                <w:szCs w:val="10"/>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5,000,000</w:t>
            </w:r>
          </w:p>
        </w:tc>
        <w:tc>
          <w:tcPr>
            <w:tcW w:w="120" w:type="dxa"/>
            <w:vAlign w:val="bottom"/>
            <w:shd w:val="clear" w:color="auto" w:fill="CCEEFF"/>
          </w:tcPr>
          <w:p>
            <w:pPr>
              <w:spacing w:after="0"/>
              <w:rPr>
                <w:sz w:val="12"/>
                <w:szCs w:val="12"/>
                <w:color w:val="auto"/>
              </w:rPr>
            </w:pPr>
          </w:p>
        </w:tc>
        <w:tc>
          <w:tcPr>
            <w:tcW w:w="2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5,000,000</w:t>
            </w:r>
          </w:p>
        </w:tc>
        <w:tc>
          <w:tcPr>
            <w:tcW w:w="140" w:type="dxa"/>
            <w:vAlign w:val="bottom"/>
            <w:shd w:val="clear" w:color="auto" w:fill="CCEEFF"/>
          </w:tcPr>
          <w:p>
            <w:pPr>
              <w:jc w:val="right"/>
              <w:ind w:right="29"/>
              <w:spacing w:after="0"/>
              <w:rPr>
                <w:sz w:val="20"/>
                <w:szCs w:val="20"/>
                <w:color w:val="auto"/>
              </w:rPr>
            </w:pPr>
            <w:r>
              <w:rPr>
                <w:rFonts w:ascii="Arial" w:cs="Arial" w:eastAsia="Arial" w:hAnsi="Arial"/>
                <w:sz w:val="10"/>
                <w:szCs w:val="10"/>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4,275,000</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46"/>
        </w:trPr>
        <w:tc>
          <w:tcPr>
            <w:tcW w:w="3580" w:type="dxa"/>
            <w:vAlign w:val="bottom"/>
            <w:gridSpan w:val="2"/>
          </w:tcPr>
          <w:p>
            <w:pPr>
              <w:spacing w:after="0"/>
              <w:rPr>
                <w:sz w:val="20"/>
                <w:szCs w:val="20"/>
                <w:color w:val="auto"/>
              </w:rPr>
            </w:pPr>
            <w:r>
              <w:rPr>
                <w:rFonts w:ascii="Arial" w:cs="Arial" w:eastAsia="Arial" w:hAnsi="Arial"/>
                <w:sz w:val="13"/>
                <w:szCs w:val="13"/>
                <w:color w:val="auto"/>
              </w:rPr>
              <w:t>Jacuzzi Brands Corp.</w:t>
            </w:r>
          </w:p>
        </w:tc>
        <w:tc>
          <w:tcPr>
            <w:tcW w:w="740" w:type="dxa"/>
            <w:vAlign w:val="bottom"/>
          </w:tcPr>
          <w:p>
            <w:pPr>
              <w:jc w:val="center"/>
              <w:spacing w:after="0"/>
              <w:rPr>
                <w:sz w:val="20"/>
                <w:szCs w:val="20"/>
                <w:color w:val="auto"/>
              </w:rPr>
            </w:pPr>
            <w:r>
              <w:rPr>
                <w:rFonts w:ascii="Arial" w:cs="Arial" w:eastAsia="Arial" w:hAnsi="Arial"/>
                <w:sz w:val="13"/>
                <w:szCs w:val="13"/>
                <w:color w:val="auto"/>
                <w:w w:val="95"/>
              </w:rPr>
              <w:t>02/07/2014</w:t>
            </w:r>
          </w:p>
        </w:tc>
        <w:tc>
          <w:tcPr>
            <w:tcW w:w="220" w:type="dxa"/>
            <w:vAlign w:val="bottom"/>
          </w:tcPr>
          <w:p>
            <w:pPr>
              <w:spacing w:after="0"/>
              <w:rPr>
                <w:sz w:val="21"/>
                <w:szCs w:val="21"/>
                <w:color w:val="auto"/>
              </w:rPr>
            </w:pPr>
          </w:p>
        </w:tc>
        <w:tc>
          <w:tcPr>
            <w:tcW w:w="1380" w:type="dxa"/>
            <w:vAlign w:val="bottom"/>
          </w:tcPr>
          <w:p>
            <w:pPr>
              <w:jc w:val="center"/>
              <w:spacing w:after="0"/>
              <w:rPr>
                <w:sz w:val="20"/>
                <w:szCs w:val="20"/>
                <w:color w:val="auto"/>
              </w:rPr>
            </w:pPr>
            <w:r>
              <w:rPr>
                <w:rFonts w:ascii="Arial" w:cs="Arial" w:eastAsia="Arial" w:hAnsi="Arial"/>
                <w:sz w:val="13"/>
                <w:szCs w:val="13"/>
                <w:color w:val="auto"/>
                <w:w w:val="96"/>
              </w:rPr>
              <w:t>Home and Office</w:t>
            </w:r>
          </w:p>
        </w:tc>
        <w:tc>
          <w:tcPr>
            <w:tcW w:w="920" w:type="dxa"/>
            <w:vAlign w:val="bottom"/>
            <w:gridSpan w:val="3"/>
          </w:tcPr>
          <w:p>
            <w:pPr>
              <w:jc w:val="right"/>
              <w:ind w:right="20"/>
              <w:spacing w:after="0"/>
              <w:rPr>
                <w:sz w:val="20"/>
                <w:szCs w:val="20"/>
                <w:color w:val="auto"/>
              </w:rPr>
            </w:pPr>
            <w:r>
              <w:rPr>
                <w:rFonts w:ascii="Arial" w:cs="Arial" w:eastAsia="Arial" w:hAnsi="Arial"/>
                <w:sz w:val="13"/>
                <w:szCs w:val="13"/>
                <w:color w:val="auto"/>
              </w:rPr>
              <w:t>5.35%</w:t>
            </w:r>
          </w:p>
        </w:tc>
        <w:tc>
          <w:tcPr>
            <w:tcW w:w="460" w:type="dxa"/>
            <w:vAlign w:val="bottom"/>
          </w:tcPr>
          <w:p>
            <w:pPr>
              <w:spacing w:after="0"/>
              <w:rPr>
                <w:sz w:val="21"/>
                <w:szCs w:val="21"/>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3"/>
                <w:szCs w:val="13"/>
                <w:color w:val="auto"/>
              </w:rPr>
              <w:t>L+225</w:t>
            </w:r>
          </w:p>
        </w:tc>
        <w:tc>
          <w:tcPr>
            <w:tcW w:w="1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9,890,541</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3"/>
                <w:szCs w:val="13"/>
                <w:color w:val="auto"/>
              </w:rPr>
              <w:t>9,890,541</w:t>
            </w:r>
          </w:p>
        </w:tc>
        <w:tc>
          <w:tcPr>
            <w:tcW w:w="140" w:type="dxa"/>
            <w:vAlign w:val="bottom"/>
          </w:tcPr>
          <w:p>
            <w:pPr>
              <w:spacing w:after="0"/>
              <w:rPr>
                <w:sz w:val="21"/>
                <w:szCs w:val="21"/>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3"/>
                <w:szCs w:val="13"/>
                <w:color w:val="auto"/>
              </w:rPr>
              <w:t>6,156,861</w:t>
            </w:r>
          </w:p>
        </w:tc>
        <w:tc>
          <w:tcPr>
            <w:tcW w:w="0" w:type="dxa"/>
            <w:vAlign w:val="bottom"/>
          </w:tcPr>
          <w:p>
            <w:pPr>
              <w:spacing w:after="0"/>
              <w:rPr>
                <w:sz w:val="1"/>
                <w:szCs w:val="1"/>
                <w:color w:val="auto"/>
              </w:rPr>
            </w:pPr>
          </w:p>
        </w:tc>
      </w:tr>
      <w:tr>
        <w:trPr>
          <w:trHeight w:val="148"/>
        </w:trPr>
        <w:tc>
          <w:tcPr>
            <w:tcW w:w="760" w:type="dxa"/>
            <w:vAlign w:val="bottom"/>
          </w:tcPr>
          <w:p>
            <w:pPr>
              <w:spacing w:after="0"/>
              <w:rPr>
                <w:sz w:val="12"/>
                <w:szCs w:val="12"/>
                <w:color w:val="auto"/>
              </w:rPr>
            </w:pPr>
          </w:p>
        </w:tc>
        <w:tc>
          <w:tcPr>
            <w:tcW w:w="28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80" w:type="dxa"/>
            <w:vAlign w:val="bottom"/>
          </w:tcPr>
          <w:p>
            <w:pPr>
              <w:jc w:val="center"/>
              <w:spacing w:after="0"/>
              <w:rPr>
                <w:sz w:val="20"/>
                <w:szCs w:val="20"/>
                <w:color w:val="auto"/>
              </w:rPr>
            </w:pPr>
            <w:r>
              <w:rPr>
                <w:rFonts w:ascii="Arial" w:cs="Arial" w:eastAsia="Arial" w:hAnsi="Arial"/>
                <w:sz w:val="13"/>
                <w:szCs w:val="13"/>
                <w:color w:val="auto"/>
                <w:w w:val="93"/>
              </w:rPr>
              <w:t>Furnishings,</w:t>
            </w: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60" w:type="dxa"/>
            <w:vAlign w:val="bottom"/>
          </w:tcPr>
          <w:p>
            <w:pPr>
              <w:spacing w:after="0"/>
              <w:rPr>
                <w:sz w:val="12"/>
                <w:szCs w:val="12"/>
                <w:color w:val="auto"/>
              </w:rPr>
            </w:pPr>
          </w:p>
        </w:tc>
        <w:tc>
          <w:tcPr>
            <w:tcW w:w="28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80" w:type="dxa"/>
            <w:vAlign w:val="bottom"/>
          </w:tcPr>
          <w:p>
            <w:pPr>
              <w:jc w:val="center"/>
              <w:spacing w:after="0"/>
              <w:rPr>
                <w:sz w:val="20"/>
                <w:szCs w:val="20"/>
                <w:color w:val="auto"/>
              </w:rPr>
            </w:pPr>
            <w:r>
              <w:rPr>
                <w:rFonts w:ascii="Arial" w:cs="Arial" w:eastAsia="Arial" w:hAnsi="Arial"/>
                <w:sz w:val="13"/>
                <w:szCs w:val="13"/>
                <w:color w:val="auto"/>
                <w:w w:val="92"/>
              </w:rPr>
              <w:t>Housewares and</w:t>
            </w: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60" w:type="dxa"/>
            <w:vAlign w:val="bottom"/>
          </w:tcPr>
          <w:p>
            <w:pPr>
              <w:spacing w:after="0"/>
              <w:rPr>
                <w:sz w:val="12"/>
                <w:szCs w:val="12"/>
                <w:color w:val="auto"/>
              </w:rPr>
            </w:pPr>
          </w:p>
        </w:tc>
        <w:tc>
          <w:tcPr>
            <w:tcW w:w="28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80" w:type="dxa"/>
            <w:vAlign w:val="bottom"/>
          </w:tcPr>
          <w:p>
            <w:pPr>
              <w:jc w:val="center"/>
              <w:spacing w:after="0"/>
              <w:rPr>
                <w:sz w:val="20"/>
                <w:szCs w:val="20"/>
                <w:color w:val="auto"/>
              </w:rPr>
            </w:pPr>
            <w:r>
              <w:rPr>
                <w:rFonts w:ascii="Arial" w:cs="Arial" w:eastAsia="Arial" w:hAnsi="Arial"/>
                <w:sz w:val="13"/>
                <w:szCs w:val="13"/>
                <w:color w:val="auto"/>
                <w:w w:val="93"/>
              </w:rPr>
              <w:t>Durable Consumer</w:t>
            </w: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760" w:type="dxa"/>
            <w:vAlign w:val="bottom"/>
          </w:tcPr>
          <w:p>
            <w:pPr>
              <w:spacing w:after="0"/>
              <w:rPr>
                <w:sz w:val="14"/>
                <w:szCs w:val="14"/>
                <w:color w:val="auto"/>
              </w:rPr>
            </w:pPr>
          </w:p>
        </w:tc>
        <w:tc>
          <w:tcPr>
            <w:tcW w:w="28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80" w:type="dxa"/>
            <w:vAlign w:val="bottom"/>
          </w:tcPr>
          <w:p>
            <w:pPr>
              <w:jc w:val="center"/>
              <w:spacing w:after="0"/>
              <w:rPr>
                <w:sz w:val="20"/>
                <w:szCs w:val="20"/>
                <w:color w:val="auto"/>
              </w:rPr>
            </w:pPr>
            <w:r>
              <w:rPr>
                <w:rFonts w:ascii="Arial" w:cs="Arial" w:eastAsia="Arial" w:hAnsi="Arial"/>
                <w:sz w:val="13"/>
                <w:szCs w:val="13"/>
                <w:color w:val="auto"/>
                <w:w w:val="89"/>
              </w:rPr>
              <w:t>Products</w:t>
            </w:r>
          </w:p>
        </w:tc>
        <w:tc>
          <w:tcPr>
            <w:tcW w:w="2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760" w:type="dxa"/>
            <w:vAlign w:val="bottom"/>
          </w:tcPr>
          <w:p>
            <w:pPr>
              <w:spacing w:after="0"/>
              <w:rPr>
                <w:sz w:val="8"/>
                <w:szCs w:val="8"/>
                <w:color w:val="auto"/>
              </w:rPr>
            </w:pPr>
          </w:p>
        </w:tc>
        <w:tc>
          <w:tcPr>
            <w:tcW w:w="2820" w:type="dxa"/>
            <w:vAlign w:val="bottom"/>
          </w:tcPr>
          <w:p>
            <w:pPr>
              <w:spacing w:after="0"/>
              <w:rPr>
                <w:sz w:val="8"/>
                <w:szCs w:val="8"/>
                <w:color w:val="auto"/>
              </w:rPr>
            </w:pPr>
          </w:p>
        </w:tc>
        <w:tc>
          <w:tcPr>
            <w:tcW w:w="7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380" w:type="dxa"/>
            <w:vAlign w:val="bottom"/>
          </w:tcPr>
          <w:p>
            <w:pPr>
              <w:spacing w:after="0"/>
              <w:rPr>
                <w:sz w:val="8"/>
                <w:szCs w:val="8"/>
                <w:color w:val="auto"/>
              </w:rPr>
            </w:pPr>
          </w:p>
        </w:tc>
        <w:tc>
          <w:tcPr>
            <w:tcW w:w="2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40" w:type="dxa"/>
            <w:vAlign w:val="bottom"/>
          </w:tcPr>
          <w:p>
            <w:pPr>
              <w:spacing w:after="0"/>
              <w:rPr>
                <w:sz w:val="8"/>
                <w:szCs w:val="8"/>
                <w:color w:val="auto"/>
              </w:rPr>
            </w:pPr>
          </w:p>
        </w:tc>
        <w:tc>
          <w:tcPr>
            <w:tcW w:w="460" w:type="dxa"/>
            <w:vAlign w:val="bottom"/>
          </w:tcPr>
          <w:p>
            <w:pPr>
              <w:spacing w:after="0"/>
              <w:rPr>
                <w:sz w:val="8"/>
                <w:szCs w:val="8"/>
                <w:color w:val="auto"/>
              </w:rPr>
            </w:pPr>
          </w:p>
        </w:tc>
        <w:tc>
          <w:tcPr>
            <w:tcW w:w="5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7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48"/>
        </w:trPr>
        <w:tc>
          <w:tcPr>
            <w:tcW w:w="358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Levlad, L.L.C.</w:t>
            </w:r>
          </w:p>
        </w:tc>
        <w:tc>
          <w:tcPr>
            <w:tcW w:w="7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5"/>
              </w:rPr>
              <w:t>03/08/2014</w:t>
            </w:r>
          </w:p>
        </w:tc>
        <w:tc>
          <w:tcPr>
            <w:tcW w:w="220" w:type="dxa"/>
            <w:vAlign w:val="bottom"/>
            <w:shd w:val="clear" w:color="auto" w:fill="CCEEFF"/>
          </w:tcPr>
          <w:p>
            <w:pPr>
              <w:spacing w:after="0"/>
              <w:rPr>
                <w:sz w:val="12"/>
                <w:szCs w:val="12"/>
                <w:color w:val="auto"/>
              </w:rPr>
            </w:pPr>
          </w:p>
        </w:tc>
        <w:tc>
          <w:tcPr>
            <w:tcW w:w="13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2"/>
              </w:rPr>
              <w:t>Consumer Products</w:t>
            </w:r>
          </w:p>
        </w:tc>
        <w:tc>
          <w:tcPr>
            <w:tcW w:w="920" w:type="dxa"/>
            <w:vAlign w:val="bottom"/>
            <w:gridSpan w:val="3"/>
            <w:shd w:val="clear" w:color="auto" w:fill="CCEEFF"/>
          </w:tcPr>
          <w:p>
            <w:pPr>
              <w:jc w:val="right"/>
              <w:ind w:right="20"/>
              <w:spacing w:after="0"/>
              <w:rPr>
                <w:sz w:val="20"/>
                <w:szCs w:val="20"/>
                <w:color w:val="auto"/>
              </w:rPr>
            </w:pPr>
            <w:r>
              <w:rPr>
                <w:rFonts w:ascii="Arial" w:cs="Arial" w:eastAsia="Arial" w:hAnsi="Arial"/>
                <w:sz w:val="13"/>
                <w:szCs w:val="13"/>
                <w:color w:val="auto"/>
              </w:rPr>
              <w:t>5.46%</w:t>
            </w:r>
          </w:p>
        </w:tc>
        <w:tc>
          <w:tcPr>
            <w:tcW w:w="46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L+225</w:t>
            </w: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4,564,563</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4,564,563</w:t>
            </w: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2,639,837</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69"/>
        </w:trPr>
        <w:tc>
          <w:tcPr>
            <w:tcW w:w="3580" w:type="dxa"/>
            <w:vAlign w:val="bottom"/>
            <w:gridSpan w:val="2"/>
          </w:tcPr>
          <w:p>
            <w:pPr>
              <w:spacing w:after="0"/>
              <w:rPr>
                <w:sz w:val="20"/>
                <w:szCs w:val="20"/>
                <w:color w:val="auto"/>
              </w:rPr>
            </w:pPr>
            <w:r>
              <w:rPr>
                <w:rFonts w:ascii="Arial" w:cs="Arial" w:eastAsia="Arial" w:hAnsi="Arial"/>
                <w:sz w:val="13"/>
                <w:szCs w:val="13"/>
                <w:color w:val="auto"/>
              </w:rPr>
              <w:t>Longview Power, L.L.C.</w:t>
            </w:r>
          </w:p>
        </w:tc>
        <w:tc>
          <w:tcPr>
            <w:tcW w:w="740" w:type="dxa"/>
            <w:vAlign w:val="bottom"/>
          </w:tcPr>
          <w:p>
            <w:pPr>
              <w:jc w:val="center"/>
              <w:spacing w:after="0"/>
              <w:rPr>
                <w:sz w:val="20"/>
                <w:szCs w:val="20"/>
                <w:color w:val="auto"/>
              </w:rPr>
            </w:pPr>
            <w:r>
              <w:rPr>
                <w:rFonts w:ascii="Arial" w:cs="Arial" w:eastAsia="Arial" w:hAnsi="Arial"/>
                <w:sz w:val="13"/>
                <w:szCs w:val="13"/>
                <w:color w:val="auto"/>
                <w:w w:val="95"/>
              </w:rPr>
              <w:t>02/28/2014</w:t>
            </w:r>
          </w:p>
        </w:tc>
        <w:tc>
          <w:tcPr>
            <w:tcW w:w="220" w:type="dxa"/>
            <w:vAlign w:val="bottom"/>
          </w:tcPr>
          <w:p>
            <w:pPr>
              <w:spacing w:after="0"/>
              <w:rPr>
                <w:sz w:val="23"/>
                <w:szCs w:val="23"/>
                <w:color w:val="auto"/>
              </w:rPr>
            </w:pPr>
          </w:p>
        </w:tc>
        <w:tc>
          <w:tcPr>
            <w:tcW w:w="1380" w:type="dxa"/>
            <w:vAlign w:val="bottom"/>
          </w:tcPr>
          <w:p>
            <w:pPr>
              <w:jc w:val="center"/>
              <w:spacing w:after="0"/>
              <w:rPr>
                <w:sz w:val="20"/>
                <w:szCs w:val="20"/>
                <w:color w:val="auto"/>
              </w:rPr>
            </w:pPr>
            <w:r>
              <w:rPr>
                <w:rFonts w:ascii="Arial" w:cs="Arial" w:eastAsia="Arial" w:hAnsi="Arial"/>
                <w:sz w:val="13"/>
                <w:szCs w:val="13"/>
                <w:color w:val="auto"/>
              </w:rPr>
              <w:t>Utilities</w:t>
            </w:r>
          </w:p>
        </w:tc>
        <w:tc>
          <w:tcPr>
            <w:tcW w:w="920" w:type="dxa"/>
            <w:vAlign w:val="bottom"/>
            <w:gridSpan w:val="3"/>
          </w:tcPr>
          <w:p>
            <w:pPr>
              <w:jc w:val="right"/>
              <w:ind w:right="20"/>
              <w:spacing w:after="0"/>
              <w:rPr>
                <w:sz w:val="20"/>
                <w:szCs w:val="20"/>
                <w:color w:val="auto"/>
              </w:rPr>
            </w:pPr>
            <w:r>
              <w:rPr>
                <w:rFonts w:ascii="Arial" w:cs="Arial" w:eastAsia="Arial" w:hAnsi="Arial"/>
                <w:sz w:val="13"/>
                <w:szCs w:val="13"/>
                <w:color w:val="auto"/>
              </w:rPr>
              <w:t>5.54%</w:t>
            </w:r>
          </w:p>
        </w:tc>
        <w:tc>
          <w:tcPr>
            <w:tcW w:w="460" w:type="dxa"/>
            <w:vAlign w:val="bottom"/>
          </w:tcPr>
          <w:p>
            <w:pPr>
              <w:spacing w:after="0"/>
              <w:rPr>
                <w:sz w:val="23"/>
                <w:szCs w:val="23"/>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3"/>
                <w:szCs w:val="13"/>
                <w:color w:val="auto"/>
              </w:rPr>
              <w:t>L+225</w:t>
            </w:r>
          </w:p>
        </w:tc>
        <w:tc>
          <w:tcPr>
            <w:tcW w:w="14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3,000,000</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3"/>
                <w:szCs w:val="13"/>
                <w:color w:val="auto"/>
              </w:rPr>
              <w:t>3,000,000</w:t>
            </w:r>
          </w:p>
        </w:tc>
        <w:tc>
          <w:tcPr>
            <w:tcW w:w="140" w:type="dxa"/>
            <w:vAlign w:val="bottom"/>
          </w:tcPr>
          <w:p>
            <w:pPr>
              <w:spacing w:after="0"/>
              <w:rPr>
                <w:sz w:val="23"/>
                <w:szCs w:val="23"/>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3"/>
                <w:szCs w:val="13"/>
                <w:color w:val="auto"/>
              </w:rPr>
              <w:t>2,630,001</w:t>
            </w:r>
          </w:p>
        </w:tc>
        <w:tc>
          <w:tcPr>
            <w:tcW w:w="0" w:type="dxa"/>
            <w:vAlign w:val="bottom"/>
          </w:tcPr>
          <w:p>
            <w:pPr>
              <w:spacing w:after="0"/>
              <w:rPr>
                <w:sz w:val="1"/>
                <w:szCs w:val="1"/>
                <w:color w:val="auto"/>
              </w:rPr>
            </w:pPr>
          </w:p>
        </w:tc>
      </w:tr>
      <w:tr>
        <w:trPr>
          <w:trHeight w:val="95"/>
        </w:trPr>
        <w:tc>
          <w:tcPr>
            <w:tcW w:w="760" w:type="dxa"/>
            <w:vAlign w:val="bottom"/>
          </w:tcPr>
          <w:p>
            <w:pPr>
              <w:spacing w:after="0"/>
              <w:rPr>
                <w:sz w:val="8"/>
                <w:szCs w:val="8"/>
                <w:color w:val="auto"/>
              </w:rPr>
            </w:pPr>
          </w:p>
        </w:tc>
        <w:tc>
          <w:tcPr>
            <w:tcW w:w="2820" w:type="dxa"/>
            <w:vAlign w:val="bottom"/>
          </w:tcPr>
          <w:p>
            <w:pPr>
              <w:spacing w:after="0"/>
              <w:rPr>
                <w:sz w:val="8"/>
                <w:szCs w:val="8"/>
                <w:color w:val="auto"/>
              </w:rPr>
            </w:pPr>
          </w:p>
        </w:tc>
        <w:tc>
          <w:tcPr>
            <w:tcW w:w="7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380" w:type="dxa"/>
            <w:vAlign w:val="bottom"/>
          </w:tcPr>
          <w:p>
            <w:pPr>
              <w:spacing w:after="0"/>
              <w:rPr>
                <w:sz w:val="8"/>
                <w:szCs w:val="8"/>
                <w:color w:val="auto"/>
              </w:rPr>
            </w:pPr>
          </w:p>
        </w:tc>
        <w:tc>
          <w:tcPr>
            <w:tcW w:w="2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40" w:type="dxa"/>
            <w:vAlign w:val="bottom"/>
          </w:tcPr>
          <w:p>
            <w:pPr>
              <w:spacing w:after="0"/>
              <w:rPr>
                <w:sz w:val="8"/>
                <w:szCs w:val="8"/>
                <w:color w:val="auto"/>
              </w:rPr>
            </w:pPr>
          </w:p>
        </w:tc>
        <w:tc>
          <w:tcPr>
            <w:tcW w:w="460" w:type="dxa"/>
            <w:vAlign w:val="bottom"/>
          </w:tcPr>
          <w:p>
            <w:pPr>
              <w:spacing w:after="0"/>
              <w:rPr>
                <w:sz w:val="8"/>
                <w:szCs w:val="8"/>
                <w:color w:val="auto"/>
              </w:rPr>
            </w:pPr>
          </w:p>
        </w:tc>
        <w:tc>
          <w:tcPr>
            <w:tcW w:w="5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7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38"/>
        </w:trPr>
        <w:tc>
          <w:tcPr>
            <w:tcW w:w="3580" w:type="dxa"/>
            <w:vAlign w:val="bottom"/>
            <w:gridSpan w:val="2"/>
            <w:shd w:val="clear" w:color="auto" w:fill="CCEEFF"/>
          </w:tcPr>
          <w:p>
            <w:pPr>
              <w:spacing w:after="0" w:line="138" w:lineRule="exact"/>
              <w:rPr>
                <w:sz w:val="20"/>
                <w:szCs w:val="20"/>
                <w:color w:val="auto"/>
              </w:rPr>
            </w:pPr>
            <w:r>
              <w:rPr>
                <w:rFonts w:ascii="Arial" w:cs="Arial" w:eastAsia="Arial" w:hAnsi="Arial"/>
                <w:sz w:val="13"/>
                <w:szCs w:val="13"/>
                <w:color w:val="auto"/>
              </w:rPr>
              <w:t>Mattress Holding Corp.</w:t>
            </w:r>
          </w:p>
        </w:tc>
        <w:tc>
          <w:tcPr>
            <w:tcW w:w="740" w:type="dxa"/>
            <w:vAlign w:val="bottom"/>
            <w:shd w:val="clear" w:color="auto" w:fill="CCEEFF"/>
          </w:tcPr>
          <w:p>
            <w:pPr>
              <w:jc w:val="center"/>
              <w:spacing w:after="0" w:line="138" w:lineRule="exact"/>
              <w:rPr>
                <w:sz w:val="20"/>
                <w:szCs w:val="20"/>
                <w:color w:val="auto"/>
              </w:rPr>
            </w:pPr>
            <w:r>
              <w:rPr>
                <w:rFonts w:ascii="Arial" w:cs="Arial" w:eastAsia="Arial" w:hAnsi="Arial"/>
                <w:sz w:val="13"/>
                <w:szCs w:val="13"/>
                <w:color w:val="auto"/>
                <w:w w:val="95"/>
              </w:rPr>
              <w:t>01/18/2014</w:t>
            </w:r>
          </w:p>
        </w:tc>
        <w:tc>
          <w:tcPr>
            <w:tcW w:w="220" w:type="dxa"/>
            <w:vAlign w:val="bottom"/>
            <w:shd w:val="clear" w:color="auto" w:fill="CCEEFF"/>
          </w:tcPr>
          <w:p>
            <w:pPr>
              <w:spacing w:after="0"/>
              <w:rPr>
                <w:sz w:val="11"/>
                <w:szCs w:val="11"/>
                <w:color w:val="auto"/>
              </w:rPr>
            </w:pPr>
          </w:p>
        </w:tc>
        <w:tc>
          <w:tcPr>
            <w:tcW w:w="1380" w:type="dxa"/>
            <w:vAlign w:val="bottom"/>
            <w:shd w:val="clear" w:color="auto" w:fill="CCEEFF"/>
          </w:tcPr>
          <w:p>
            <w:pPr>
              <w:jc w:val="center"/>
              <w:spacing w:after="0" w:line="138" w:lineRule="exact"/>
              <w:rPr>
                <w:sz w:val="20"/>
                <w:szCs w:val="20"/>
                <w:color w:val="auto"/>
              </w:rPr>
            </w:pPr>
            <w:r>
              <w:rPr>
                <w:rFonts w:ascii="Arial" w:cs="Arial" w:eastAsia="Arial" w:hAnsi="Arial"/>
                <w:sz w:val="13"/>
                <w:szCs w:val="13"/>
                <w:color w:val="auto"/>
                <w:w w:val="96"/>
              </w:rPr>
              <w:t>Home and Office</w:t>
            </w:r>
          </w:p>
        </w:tc>
        <w:tc>
          <w:tcPr>
            <w:tcW w:w="920" w:type="dxa"/>
            <w:vAlign w:val="bottom"/>
            <w:gridSpan w:val="3"/>
            <w:shd w:val="clear" w:color="auto" w:fill="CCEEFF"/>
          </w:tcPr>
          <w:p>
            <w:pPr>
              <w:jc w:val="right"/>
              <w:ind w:right="20"/>
              <w:spacing w:after="0" w:line="138" w:lineRule="exact"/>
              <w:rPr>
                <w:sz w:val="20"/>
                <w:szCs w:val="20"/>
                <w:color w:val="auto"/>
              </w:rPr>
            </w:pPr>
            <w:r>
              <w:rPr>
                <w:rFonts w:ascii="Arial" w:cs="Arial" w:eastAsia="Arial" w:hAnsi="Arial"/>
                <w:sz w:val="13"/>
                <w:szCs w:val="13"/>
                <w:color w:val="auto"/>
              </w:rPr>
              <w:t>5.96%</w:t>
            </w:r>
          </w:p>
        </w:tc>
        <w:tc>
          <w:tcPr>
            <w:tcW w:w="46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220"/>
              <w:spacing w:after="0" w:line="138" w:lineRule="exact"/>
              <w:rPr>
                <w:sz w:val="20"/>
                <w:szCs w:val="20"/>
                <w:color w:val="auto"/>
              </w:rPr>
            </w:pPr>
            <w:r>
              <w:rPr>
                <w:rFonts w:ascii="Arial" w:cs="Arial" w:eastAsia="Arial" w:hAnsi="Arial"/>
                <w:sz w:val="13"/>
                <w:szCs w:val="13"/>
                <w:color w:val="auto"/>
              </w:rPr>
              <w:t>L+225</w:t>
            </w:r>
          </w:p>
        </w:tc>
        <w:tc>
          <w:tcPr>
            <w:tcW w:w="140" w:type="dxa"/>
            <w:vAlign w:val="bottom"/>
            <w:shd w:val="clear" w:color="auto" w:fill="CCEEFF"/>
          </w:tcPr>
          <w:p>
            <w:pPr>
              <w:spacing w:after="0"/>
              <w:rPr>
                <w:sz w:val="11"/>
                <w:szCs w:val="11"/>
                <w:color w:val="auto"/>
              </w:rPr>
            </w:pPr>
          </w:p>
        </w:tc>
        <w:tc>
          <w:tcPr>
            <w:tcW w:w="76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3,950,100</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60" w:type="dxa"/>
            <w:vAlign w:val="bottom"/>
            <w:gridSpan w:val="2"/>
            <w:shd w:val="clear" w:color="auto" w:fill="CCEEFF"/>
          </w:tcPr>
          <w:p>
            <w:pPr>
              <w:jc w:val="right"/>
              <w:ind w:right="220"/>
              <w:spacing w:after="0" w:line="138" w:lineRule="exact"/>
              <w:rPr>
                <w:sz w:val="20"/>
                <w:szCs w:val="20"/>
                <w:color w:val="auto"/>
              </w:rPr>
            </w:pPr>
            <w:r>
              <w:rPr>
                <w:rFonts w:ascii="Arial" w:cs="Arial" w:eastAsia="Arial" w:hAnsi="Arial"/>
                <w:sz w:val="13"/>
                <w:szCs w:val="13"/>
                <w:color w:val="auto"/>
              </w:rPr>
              <w:t>3,950,100</w:t>
            </w:r>
          </w:p>
        </w:tc>
        <w:tc>
          <w:tcPr>
            <w:tcW w:w="14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2,567,565</w:t>
            </w:r>
          </w:p>
        </w:tc>
        <w:tc>
          <w:tcPr>
            <w:tcW w:w="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760" w:type="dxa"/>
            <w:vAlign w:val="bottom"/>
            <w:shd w:val="clear" w:color="auto" w:fill="CCEEFF"/>
          </w:tcPr>
          <w:p>
            <w:pPr>
              <w:spacing w:after="0"/>
              <w:rPr>
                <w:sz w:val="12"/>
                <w:szCs w:val="12"/>
                <w:color w:val="auto"/>
              </w:rPr>
            </w:pPr>
          </w:p>
        </w:tc>
        <w:tc>
          <w:tcPr>
            <w:tcW w:w="28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3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3"/>
              </w:rPr>
              <w:t>Furnishings,</w:t>
            </w:r>
          </w:p>
        </w:tc>
        <w:tc>
          <w:tcPr>
            <w:tcW w:w="2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60" w:type="dxa"/>
            <w:vAlign w:val="bottom"/>
            <w:shd w:val="clear" w:color="auto" w:fill="CCEEFF"/>
          </w:tcPr>
          <w:p>
            <w:pPr>
              <w:spacing w:after="0"/>
              <w:rPr>
                <w:sz w:val="12"/>
                <w:szCs w:val="12"/>
                <w:color w:val="auto"/>
              </w:rPr>
            </w:pPr>
          </w:p>
        </w:tc>
        <w:tc>
          <w:tcPr>
            <w:tcW w:w="28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3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2"/>
              </w:rPr>
              <w:t>Housewares and</w:t>
            </w:r>
          </w:p>
        </w:tc>
        <w:tc>
          <w:tcPr>
            <w:tcW w:w="2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60" w:type="dxa"/>
            <w:vAlign w:val="bottom"/>
            <w:shd w:val="clear" w:color="auto" w:fill="CCEEFF"/>
          </w:tcPr>
          <w:p>
            <w:pPr>
              <w:spacing w:after="0"/>
              <w:rPr>
                <w:sz w:val="12"/>
                <w:szCs w:val="12"/>
                <w:color w:val="auto"/>
              </w:rPr>
            </w:pPr>
          </w:p>
        </w:tc>
        <w:tc>
          <w:tcPr>
            <w:tcW w:w="28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3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3"/>
              </w:rPr>
              <w:t>Durable Consumer</w:t>
            </w:r>
          </w:p>
        </w:tc>
        <w:tc>
          <w:tcPr>
            <w:tcW w:w="2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760" w:type="dxa"/>
            <w:vAlign w:val="bottom"/>
            <w:shd w:val="clear" w:color="auto" w:fill="CCEEFF"/>
          </w:tcPr>
          <w:p>
            <w:pPr>
              <w:spacing w:after="0"/>
              <w:rPr>
                <w:sz w:val="13"/>
                <w:szCs w:val="13"/>
                <w:color w:val="auto"/>
              </w:rPr>
            </w:pPr>
          </w:p>
        </w:tc>
        <w:tc>
          <w:tcPr>
            <w:tcW w:w="282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3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9"/>
              </w:rPr>
              <w:t>Products</w:t>
            </w:r>
          </w:p>
        </w:tc>
        <w:tc>
          <w:tcPr>
            <w:tcW w:w="22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0"/>
        </w:trPr>
        <w:tc>
          <w:tcPr>
            <w:tcW w:w="3580" w:type="dxa"/>
            <w:vAlign w:val="bottom"/>
            <w:gridSpan w:val="2"/>
          </w:tcPr>
          <w:p>
            <w:pPr>
              <w:spacing w:after="0"/>
              <w:rPr>
                <w:sz w:val="20"/>
                <w:szCs w:val="20"/>
                <w:color w:val="auto"/>
              </w:rPr>
            </w:pPr>
            <w:r>
              <w:rPr>
                <w:rFonts w:ascii="Arial" w:cs="Arial" w:eastAsia="Arial" w:hAnsi="Arial"/>
                <w:sz w:val="13"/>
                <w:szCs w:val="13"/>
                <w:color w:val="auto"/>
              </w:rPr>
              <w:t>Mitchell International, Inc.</w:t>
            </w:r>
          </w:p>
        </w:tc>
        <w:tc>
          <w:tcPr>
            <w:tcW w:w="740" w:type="dxa"/>
            <w:vAlign w:val="bottom"/>
          </w:tcPr>
          <w:p>
            <w:pPr>
              <w:jc w:val="center"/>
              <w:spacing w:after="0"/>
              <w:rPr>
                <w:sz w:val="20"/>
                <w:szCs w:val="20"/>
                <w:color w:val="auto"/>
              </w:rPr>
            </w:pPr>
            <w:r>
              <w:rPr>
                <w:rFonts w:ascii="Arial" w:cs="Arial" w:eastAsia="Arial" w:hAnsi="Arial"/>
                <w:sz w:val="13"/>
                <w:szCs w:val="13"/>
                <w:color w:val="auto"/>
                <w:w w:val="95"/>
              </w:rPr>
              <w:t>03/28/2014</w:t>
            </w:r>
          </w:p>
        </w:tc>
        <w:tc>
          <w:tcPr>
            <w:tcW w:w="220" w:type="dxa"/>
            <w:vAlign w:val="bottom"/>
          </w:tcPr>
          <w:p>
            <w:pPr>
              <w:spacing w:after="0"/>
              <w:rPr>
                <w:sz w:val="23"/>
                <w:szCs w:val="23"/>
                <w:color w:val="auto"/>
              </w:rPr>
            </w:pPr>
          </w:p>
        </w:tc>
        <w:tc>
          <w:tcPr>
            <w:tcW w:w="1380" w:type="dxa"/>
            <w:vAlign w:val="bottom"/>
          </w:tcPr>
          <w:p>
            <w:pPr>
              <w:jc w:val="center"/>
              <w:spacing w:after="0"/>
              <w:rPr>
                <w:sz w:val="20"/>
                <w:szCs w:val="20"/>
                <w:color w:val="auto"/>
              </w:rPr>
            </w:pPr>
            <w:r>
              <w:rPr>
                <w:rFonts w:ascii="Arial" w:cs="Arial" w:eastAsia="Arial" w:hAnsi="Arial"/>
                <w:sz w:val="13"/>
                <w:szCs w:val="13"/>
                <w:color w:val="auto"/>
                <w:w w:val="92"/>
              </w:rPr>
              <w:t>Business Services</w:t>
            </w:r>
          </w:p>
        </w:tc>
        <w:tc>
          <w:tcPr>
            <w:tcW w:w="920" w:type="dxa"/>
            <w:vAlign w:val="bottom"/>
            <w:gridSpan w:val="3"/>
          </w:tcPr>
          <w:p>
            <w:pPr>
              <w:jc w:val="right"/>
              <w:ind w:right="20"/>
              <w:spacing w:after="0"/>
              <w:rPr>
                <w:sz w:val="20"/>
                <w:szCs w:val="20"/>
                <w:color w:val="auto"/>
              </w:rPr>
            </w:pPr>
            <w:r>
              <w:rPr>
                <w:rFonts w:ascii="Arial" w:cs="Arial" w:eastAsia="Arial" w:hAnsi="Arial"/>
                <w:sz w:val="13"/>
                <w:szCs w:val="13"/>
                <w:color w:val="auto"/>
              </w:rPr>
              <w:t>5.81%</w:t>
            </w:r>
          </w:p>
        </w:tc>
        <w:tc>
          <w:tcPr>
            <w:tcW w:w="460" w:type="dxa"/>
            <w:vAlign w:val="bottom"/>
          </w:tcPr>
          <w:p>
            <w:pPr>
              <w:spacing w:after="0"/>
              <w:rPr>
                <w:sz w:val="23"/>
                <w:szCs w:val="23"/>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3"/>
                <w:szCs w:val="13"/>
                <w:color w:val="auto"/>
              </w:rPr>
              <w:t>L+200</w:t>
            </w:r>
          </w:p>
        </w:tc>
        <w:tc>
          <w:tcPr>
            <w:tcW w:w="14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3,940,000</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3"/>
                <w:szCs w:val="13"/>
                <w:color w:val="auto"/>
              </w:rPr>
              <w:t>3,940,000</w:t>
            </w:r>
          </w:p>
        </w:tc>
        <w:tc>
          <w:tcPr>
            <w:tcW w:w="140" w:type="dxa"/>
            <w:vAlign w:val="bottom"/>
          </w:tcPr>
          <w:p>
            <w:pPr>
              <w:spacing w:after="0"/>
              <w:rPr>
                <w:sz w:val="23"/>
                <w:szCs w:val="23"/>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3"/>
                <w:szCs w:val="13"/>
                <w:color w:val="auto"/>
              </w:rPr>
              <w:t>3,723,300</w:t>
            </w:r>
          </w:p>
        </w:tc>
        <w:tc>
          <w:tcPr>
            <w:tcW w:w="0" w:type="dxa"/>
            <w:vAlign w:val="bottom"/>
          </w:tcPr>
          <w:p>
            <w:pPr>
              <w:spacing w:after="0"/>
              <w:rPr>
                <w:sz w:val="1"/>
                <w:szCs w:val="1"/>
                <w:color w:val="auto"/>
              </w:rPr>
            </w:pPr>
          </w:p>
        </w:tc>
      </w:tr>
      <w:tr>
        <w:trPr>
          <w:trHeight w:val="95"/>
        </w:trPr>
        <w:tc>
          <w:tcPr>
            <w:tcW w:w="760" w:type="dxa"/>
            <w:vAlign w:val="bottom"/>
          </w:tcPr>
          <w:p>
            <w:pPr>
              <w:spacing w:after="0"/>
              <w:rPr>
                <w:sz w:val="8"/>
                <w:szCs w:val="8"/>
                <w:color w:val="auto"/>
              </w:rPr>
            </w:pPr>
          </w:p>
        </w:tc>
        <w:tc>
          <w:tcPr>
            <w:tcW w:w="2820" w:type="dxa"/>
            <w:vAlign w:val="bottom"/>
          </w:tcPr>
          <w:p>
            <w:pPr>
              <w:spacing w:after="0"/>
              <w:rPr>
                <w:sz w:val="8"/>
                <w:szCs w:val="8"/>
                <w:color w:val="auto"/>
              </w:rPr>
            </w:pPr>
          </w:p>
        </w:tc>
        <w:tc>
          <w:tcPr>
            <w:tcW w:w="7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380" w:type="dxa"/>
            <w:vAlign w:val="bottom"/>
          </w:tcPr>
          <w:p>
            <w:pPr>
              <w:spacing w:after="0"/>
              <w:rPr>
                <w:sz w:val="8"/>
                <w:szCs w:val="8"/>
                <w:color w:val="auto"/>
              </w:rPr>
            </w:pPr>
          </w:p>
        </w:tc>
        <w:tc>
          <w:tcPr>
            <w:tcW w:w="2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40" w:type="dxa"/>
            <w:vAlign w:val="bottom"/>
          </w:tcPr>
          <w:p>
            <w:pPr>
              <w:spacing w:after="0"/>
              <w:rPr>
                <w:sz w:val="8"/>
                <w:szCs w:val="8"/>
                <w:color w:val="auto"/>
              </w:rPr>
            </w:pPr>
          </w:p>
        </w:tc>
        <w:tc>
          <w:tcPr>
            <w:tcW w:w="460" w:type="dxa"/>
            <w:vAlign w:val="bottom"/>
          </w:tcPr>
          <w:p>
            <w:pPr>
              <w:spacing w:after="0"/>
              <w:rPr>
                <w:sz w:val="8"/>
                <w:szCs w:val="8"/>
                <w:color w:val="auto"/>
              </w:rPr>
            </w:pPr>
          </w:p>
        </w:tc>
        <w:tc>
          <w:tcPr>
            <w:tcW w:w="5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7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38"/>
        </w:trPr>
        <w:tc>
          <w:tcPr>
            <w:tcW w:w="3580" w:type="dxa"/>
            <w:vAlign w:val="bottom"/>
            <w:gridSpan w:val="2"/>
            <w:shd w:val="clear" w:color="auto" w:fill="CCEEFF"/>
          </w:tcPr>
          <w:p>
            <w:pPr>
              <w:spacing w:after="0" w:line="138" w:lineRule="exact"/>
              <w:rPr>
                <w:sz w:val="20"/>
                <w:szCs w:val="20"/>
                <w:color w:val="auto"/>
              </w:rPr>
            </w:pPr>
            <w:r>
              <w:rPr>
                <w:rFonts w:ascii="Arial" w:cs="Arial" w:eastAsia="Arial" w:hAnsi="Arial"/>
                <w:sz w:val="13"/>
                <w:szCs w:val="13"/>
                <w:color w:val="auto"/>
              </w:rPr>
              <w:t>National Bedding Co., L.L.C.</w:t>
            </w:r>
          </w:p>
        </w:tc>
        <w:tc>
          <w:tcPr>
            <w:tcW w:w="740" w:type="dxa"/>
            <w:vAlign w:val="bottom"/>
            <w:shd w:val="clear" w:color="auto" w:fill="CCEEFF"/>
          </w:tcPr>
          <w:p>
            <w:pPr>
              <w:jc w:val="center"/>
              <w:spacing w:after="0" w:line="138" w:lineRule="exact"/>
              <w:rPr>
                <w:sz w:val="20"/>
                <w:szCs w:val="20"/>
                <w:color w:val="auto"/>
              </w:rPr>
            </w:pPr>
            <w:r>
              <w:rPr>
                <w:rFonts w:ascii="Arial" w:cs="Arial" w:eastAsia="Arial" w:hAnsi="Arial"/>
                <w:sz w:val="13"/>
                <w:szCs w:val="13"/>
                <w:color w:val="auto"/>
                <w:w w:val="95"/>
              </w:rPr>
              <w:t>02/28/2013</w:t>
            </w:r>
          </w:p>
        </w:tc>
        <w:tc>
          <w:tcPr>
            <w:tcW w:w="220" w:type="dxa"/>
            <w:vAlign w:val="bottom"/>
            <w:shd w:val="clear" w:color="auto" w:fill="CCEEFF"/>
          </w:tcPr>
          <w:p>
            <w:pPr>
              <w:spacing w:after="0"/>
              <w:rPr>
                <w:sz w:val="11"/>
                <w:szCs w:val="11"/>
                <w:color w:val="auto"/>
              </w:rPr>
            </w:pPr>
          </w:p>
        </w:tc>
        <w:tc>
          <w:tcPr>
            <w:tcW w:w="1380" w:type="dxa"/>
            <w:vAlign w:val="bottom"/>
            <w:shd w:val="clear" w:color="auto" w:fill="CCEEFF"/>
          </w:tcPr>
          <w:p>
            <w:pPr>
              <w:jc w:val="center"/>
              <w:spacing w:after="0" w:line="138" w:lineRule="exact"/>
              <w:rPr>
                <w:sz w:val="20"/>
                <w:szCs w:val="20"/>
                <w:color w:val="auto"/>
              </w:rPr>
            </w:pPr>
            <w:r>
              <w:rPr>
                <w:rFonts w:ascii="Arial" w:cs="Arial" w:eastAsia="Arial" w:hAnsi="Arial"/>
                <w:sz w:val="13"/>
                <w:szCs w:val="13"/>
                <w:color w:val="auto"/>
                <w:w w:val="96"/>
              </w:rPr>
              <w:t>Home and Office</w:t>
            </w:r>
          </w:p>
        </w:tc>
        <w:tc>
          <w:tcPr>
            <w:tcW w:w="920" w:type="dxa"/>
            <w:vAlign w:val="bottom"/>
            <w:gridSpan w:val="3"/>
            <w:shd w:val="clear" w:color="auto" w:fill="CCEEFF"/>
          </w:tcPr>
          <w:p>
            <w:pPr>
              <w:jc w:val="right"/>
              <w:ind w:right="20"/>
              <w:spacing w:after="0" w:line="138" w:lineRule="exact"/>
              <w:rPr>
                <w:sz w:val="20"/>
                <w:szCs w:val="20"/>
                <w:color w:val="auto"/>
              </w:rPr>
            </w:pPr>
            <w:r>
              <w:rPr>
                <w:rFonts w:ascii="Arial" w:cs="Arial" w:eastAsia="Arial" w:hAnsi="Arial"/>
                <w:sz w:val="13"/>
                <w:szCs w:val="13"/>
                <w:color w:val="auto"/>
              </w:rPr>
              <w:t>4.62%</w:t>
            </w:r>
          </w:p>
        </w:tc>
        <w:tc>
          <w:tcPr>
            <w:tcW w:w="46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220"/>
              <w:spacing w:after="0" w:line="138" w:lineRule="exact"/>
              <w:rPr>
                <w:sz w:val="20"/>
                <w:szCs w:val="20"/>
                <w:color w:val="auto"/>
              </w:rPr>
            </w:pPr>
            <w:r>
              <w:rPr>
                <w:rFonts w:ascii="Arial" w:cs="Arial" w:eastAsia="Arial" w:hAnsi="Arial"/>
                <w:sz w:val="13"/>
                <w:szCs w:val="13"/>
                <w:color w:val="auto"/>
              </w:rPr>
              <w:t>L+200</w:t>
            </w:r>
          </w:p>
        </w:tc>
        <w:tc>
          <w:tcPr>
            <w:tcW w:w="140" w:type="dxa"/>
            <w:vAlign w:val="bottom"/>
            <w:shd w:val="clear" w:color="auto" w:fill="CCEEFF"/>
          </w:tcPr>
          <w:p>
            <w:pPr>
              <w:spacing w:after="0"/>
              <w:rPr>
                <w:sz w:val="11"/>
                <w:szCs w:val="11"/>
                <w:color w:val="auto"/>
              </w:rPr>
            </w:pPr>
          </w:p>
        </w:tc>
        <w:tc>
          <w:tcPr>
            <w:tcW w:w="76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6,895,000</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60" w:type="dxa"/>
            <w:vAlign w:val="bottom"/>
            <w:gridSpan w:val="2"/>
            <w:shd w:val="clear" w:color="auto" w:fill="CCEEFF"/>
          </w:tcPr>
          <w:p>
            <w:pPr>
              <w:jc w:val="right"/>
              <w:ind w:right="220"/>
              <w:spacing w:after="0" w:line="138" w:lineRule="exact"/>
              <w:rPr>
                <w:sz w:val="20"/>
                <w:szCs w:val="20"/>
                <w:color w:val="auto"/>
              </w:rPr>
            </w:pPr>
            <w:r>
              <w:rPr>
                <w:rFonts w:ascii="Arial" w:cs="Arial" w:eastAsia="Arial" w:hAnsi="Arial"/>
                <w:sz w:val="13"/>
                <w:szCs w:val="13"/>
                <w:color w:val="auto"/>
              </w:rPr>
              <w:t>6,900,583</w:t>
            </w:r>
          </w:p>
        </w:tc>
        <w:tc>
          <w:tcPr>
            <w:tcW w:w="14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5,274,675</w:t>
            </w:r>
          </w:p>
        </w:tc>
        <w:tc>
          <w:tcPr>
            <w:tcW w:w="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760" w:type="dxa"/>
            <w:vAlign w:val="bottom"/>
            <w:shd w:val="clear" w:color="auto" w:fill="CCEEFF"/>
          </w:tcPr>
          <w:p>
            <w:pPr>
              <w:spacing w:after="0"/>
              <w:rPr>
                <w:sz w:val="12"/>
                <w:szCs w:val="12"/>
                <w:color w:val="auto"/>
              </w:rPr>
            </w:pPr>
          </w:p>
        </w:tc>
        <w:tc>
          <w:tcPr>
            <w:tcW w:w="28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3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3"/>
              </w:rPr>
              <w:t>Furnishings,</w:t>
            </w:r>
          </w:p>
        </w:tc>
        <w:tc>
          <w:tcPr>
            <w:tcW w:w="2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60" w:type="dxa"/>
            <w:vAlign w:val="bottom"/>
            <w:shd w:val="clear" w:color="auto" w:fill="CCEEFF"/>
          </w:tcPr>
          <w:p>
            <w:pPr>
              <w:spacing w:after="0"/>
              <w:rPr>
                <w:sz w:val="12"/>
                <w:szCs w:val="12"/>
                <w:color w:val="auto"/>
              </w:rPr>
            </w:pPr>
          </w:p>
        </w:tc>
        <w:tc>
          <w:tcPr>
            <w:tcW w:w="28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3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2"/>
              </w:rPr>
              <w:t>Housewares and</w:t>
            </w:r>
          </w:p>
        </w:tc>
        <w:tc>
          <w:tcPr>
            <w:tcW w:w="2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60" w:type="dxa"/>
            <w:vAlign w:val="bottom"/>
            <w:shd w:val="clear" w:color="auto" w:fill="CCEEFF"/>
          </w:tcPr>
          <w:p>
            <w:pPr>
              <w:spacing w:after="0"/>
              <w:rPr>
                <w:sz w:val="12"/>
                <w:szCs w:val="12"/>
                <w:color w:val="auto"/>
              </w:rPr>
            </w:pPr>
          </w:p>
        </w:tc>
        <w:tc>
          <w:tcPr>
            <w:tcW w:w="28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3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3"/>
              </w:rPr>
              <w:t>Durable Consumer</w:t>
            </w:r>
          </w:p>
        </w:tc>
        <w:tc>
          <w:tcPr>
            <w:tcW w:w="2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760" w:type="dxa"/>
            <w:vAlign w:val="bottom"/>
            <w:shd w:val="clear" w:color="auto" w:fill="CCEEFF"/>
          </w:tcPr>
          <w:p>
            <w:pPr>
              <w:spacing w:after="0"/>
              <w:rPr>
                <w:sz w:val="13"/>
                <w:szCs w:val="13"/>
                <w:color w:val="auto"/>
              </w:rPr>
            </w:pPr>
          </w:p>
        </w:tc>
        <w:tc>
          <w:tcPr>
            <w:tcW w:w="282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3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9"/>
              </w:rPr>
              <w:t>Products</w:t>
            </w:r>
          </w:p>
        </w:tc>
        <w:tc>
          <w:tcPr>
            <w:tcW w:w="22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0"/>
        </w:trPr>
        <w:tc>
          <w:tcPr>
            <w:tcW w:w="3580" w:type="dxa"/>
            <w:vAlign w:val="bottom"/>
            <w:gridSpan w:val="2"/>
          </w:tcPr>
          <w:p>
            <w:pPr>
              <w:spacing w:after="0"/>
              <w:rPr>
                <w:sz w:val="20"/>
                <w:szCs w:val="20"/>
                <w:color w:val="auto"/>
              </w:rPr>
            </w:pPr>
            <w:r>
              <w:rPr>
                <w:rFonts w:ascii="Arial" w:cs="Arial" w:eastAsia="Arial" w:hAnsi="Arial"/>
                <w:sz w:val="13"/>
                <w:szCs w:val="13"/>
                <w:color w:val="auto"/>
              </w:rPr>
              <w:t>Penton Media, Inc.</w:t>
            </w:r>
          </w:p>
        </w:tc>
        <w:tc>
          <w:tcPr>
            <w:tcW w:w="740" w:type="dxa"/>
            <w:vAlign w:val="bottom"/>
          </w:tcPr>
          <w:p>
            <w:pPr>
              <w:jc w:val="center"/>
              <w:spacing w:after="0"/>
              <w:rPr>
                <w:sz w:val="20"/>
                <w:szCs w:val="20"/>
                <w:color w:val="auto"/>
              </w:rPr>
            </w:pPr>
            <w:r>
              <w:rPr>
                <w:rFonts w:ascii="Arial" w:cs="Arial" w:eastAsia="Arial" w:hAnsi="Arial"/>
                <w:sz w:val="13"/>
                <w:szCs w:val="13"/>
                <w:color w:val="auto"/>
                <w:w w:val="95"/>
              </w:rPr>
              <w:t>02/01/2013</w:t>
            </w:r>
          </w:p>
        </w:tc>
        <w:tc>
          <w:tcPr>
            <w:tcW w:w="220" w:type="dxa"/>
            <w:vAlign w:val="bottom"/>
          </w:tcPr>
          <w:p>
            <w:pPr>
              <w:spacing w:after="0"/>
              <w:rPr>
                <w:sz w:val="23"/>
                <w:szCs w:val="23"/>
                <w:color w:val="auto"/>
              </w:rPr>
            </w:pPr>
          </w:p>
        </w:tc>
        <w:tc>
          <w:tcPr>
            <w:tcW w:w="1380" w:type="dxa"/>
            <w:vAlign w:val="bottom"/>
          </w:tcPr>
          <w:p>
            <w:pPr>
              <w:jc w:val="center"/>
              <w:spacing w:after="0"/>
              <w:rPr>
                <w:sz w:val="20"/>
                <w:szCs w:val="20"/>
                <w:color w:val="auto"/>
              </w:rPr>
            </w:pPr>
            <w:r>
              <w:rPr>
                <w:rFonts w:ascii="Arial" w:cs="Arial" w:eastAsia="Arial" w:hAnsi="Arial"/>
                <w:sz w:val="13"/>
                <w:szCs w:val="13"/>
                <w:color w:val="auto"/>
                <w:w w:val="97"/>
              </w:rPr>
              <w:t>Other Media</w:t>
            </w:r>
          </w:p>
        </w:tc>
        <w:tc>
          <w:tcPr>
            <w:tcW w:w="920" w:type="dxa"/>
            <w:vAlign w:val="bottom"/>
            <w:gridSpan w:val="3"/>
          </w:tcPr>
          <w:p>
            <w:pPr>
              <w:jc w:val="right"/>
              <w:ind w:right="20"/>
              <w:spacing w:after="0"/>
              <w:rPr>
                <w:sz w:val="20"/>
                <w:szCs w:val="20"/>
                <w:color w:val="auto"/>
              </w:rPr>
            </w:pPr>
            <w:r>
              <w:rPr>
                <w:rFonts w:ascii="Arial" w:cs="Arial" w:eastAsia="Arial" w:hAnsi="Arial"/>
                <w:sz w:val="13"/>
                <w:szCs w:val="13"/>
                <w:color w:val="auto"/>
              </w:rPr>
              <w:t>5.07%</w:t>
            </w:r>
          </w:p>
        </w:tc>
        <w:tc>
          <w:tcPr>
            <w:tcW w:w="460" w:type="dxa"/>
            <w:vAlign w:val="bottom"/>
          </w:tcPr>
          <w:p>
            <w:pPr>
              <w:spacing w:after="0"/>
              <w:rPr>
                <w:sz w:val="23"/>
                <w:szCs w:val="23"/>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3"/>
                <w:szCs w:val="13"/>
                <w:color w:val="auto"/>
              </w:rPr>
              <w:t>L+225</w:t>
            </w:r>
          </w:p>
        </w:tc>
        <w:tc>
          <w:tcPr>
            <w:tcW w:w="14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4,925,000</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3"/>
                <w:szCs w:val="13"/>
                <w:color w:val="auto"/>
              </w:rPr>
              <w:t>4,925,000</w:t>
            </w:r>
          </w:p>
        </w:tc>
        <w:tc>
          <w:tcPr>
            <w:tcW w:w="140" w:type="dxa"/>
            <w:vAlign w:val="bottom"/>
          </w:tcPr>
          <w:p>
            <w:pPr>
              <w:spacing w:after="0"/>
              <w:rPr>
                <w:sz w:val="23"/>
                <w:szCs w:val="23"/>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3"/>
                <w:szCs w:val="13"/>
                <w:color w:val="auto"/>
              </w:rPr>
              <w:t>3,558,313</w:t>
            </w:r>
          </w:p>
        </w:tc>
        <w:tc>
          <w:tcPr>
            <w:tcW w:w="0" w:type="dxa"/>
            <w:vAlign w:val="bottom"/>
          </w:tcPr>
          <w:p>
            <w:pPr>
              <w:spacing w:after="0"/>
              <w:rPr>
                <w:sz w:val="1"/>
                <w:szCs w:val="1"/>
                <w:color w:val="auto"/>
              </w:rPr>
            </w:pPr>
          </w:p>
        </w:tc>
      </w:tr>
      <w:tr>
        <w:trPr>
          <w:trHeight w:val="95"/>
        </w:trPr>
        <w:tc>
          <w:tcPr>
            <w:tcW w:w="760" w:type="dxa"/>
            <w:vAlign w:val="bottom"/>
          </w:tcPr>
          <w:p>
            <w:pPr>
              <w:spacing w:after="0"/>
              <w:rPr>
                <w:sz w:val="8"/>
                <w:szCs w:val="8"/>
                <w:color w:val="auto"/>
              </w:rPr>
            </w:pPr>
          </w:p>
        </w:tc>
        <w:tc>
          <w:tcPr>
            <w:tcW w:w="2820" w:type="dxa"/>
            <w:vAlign w:val="bottom"/>
          </w:tcPr>
          <w:p>
            <w:pPr>
              <w:spacing w:after="0"/>
              <w:rPr>
                <w:sz w:val="8"/>
                <w:szCs w:val="8"/>
                <w:color w:val="auto"/>
              </w:rPr>
            </w:pPr>
          </w:p>
        </w:tc>
        <w:tc>
          <w:tcPr>
            <w:tcW w:w="7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380" w:type="dxa"/>
            <w:vAlign w:val="bottom"/>
          </w:tcPr>
          <w:p>
            <w:pPr>
              <w:spacing w:after="0"/>
              <w:rPr>
                <w:sz w:val="8"/>
                <w:szCs w:val="8"/>
                <w:color w:val="auto"/>
              </w:rPr>
            </w:pPr>
          </w:p>
        </w:tc>
        <w:tc>
          <w:tcPr>
            <w:tcW w:w="2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40" w:type="dxa"/>
            <w:vAlign w:val="bottom"/>
          </w:tcPr>
          <w:p>
            <w:pPr>
              <w:spacing w:after="0"/>
              <w:rPr>
                <w:sz w:val="8"/>
                <w:szCs w:val="8"/>
                <w:color w:val="auto"/>
              </w:rPr>
            </w:pPr>
          </w:p>
        </w:tc>
        <w:tc>
          <w:tcPr>
            <w:tcW w:w="460" w:type="dxa"/>
            <w:vAlign w:val="bottom"/>
          </w:tcPr>
          <w:p>
            <w:pPr>
              <w:spacing w:after="0"/>
              <w:rPr>
                <w:sz w:val="8"/>
                <w:szCs w:val="8"/>
                <w:color w:val="auto"/>
              </w:rPr>
            </w:pPr>
          </w:p>
        </w:tc>
        <w:tc>
          <w:tcPr>
            <w:tcW w:w="5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7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48"/>
        </w:trPr>
        <w:tc>
          <w:tcPr>
            <w:tcW w:w="358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Philosophy, Inc.</w:t>
            </w:r>
          </w:p>
        </w:tc>
        <w:tc>
          <w:tcPr>
            <w:tcW w:w="7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5"/>
              </w:rPr>
              <w:t>03/16/2014</w:t>
            </w:r>
          </w:p>
        </w:tc>
        <w:tc>
          <w:tcPr>
            <w:tcW w:w="220" w:type="dxa"/>
            <w:vAlign w:val="bottom"/>
            <w:shd w:val="clear" w:color="auto" w:fill="CCEEFF"/>
          </w:tcPr>
          <w:p>
            <w:pPr>
              <w:spacing w:after="0"/>
              <w:rPr>
                <w:sz w:val="12"/>
                <w:szCs w:val="12"/>
                <w:color w:val="auto"/>
              </w:rPr>
            </w:pPr>
          </w:p>
        </w:tc>
        <w:tc>
          <w:tcPr>
            <w:tcW w:w="13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2"/>
              </w:rPr>
              <w:t>Consumer Products</w:t>
            </w:r>
          </w:p>
        </w:tc>
        <w:tc>
          <w:tcPr>
            <w:tcW w:w="920" w:type="dxa"/>
            <w:vAlign w:val="bottom"/>
            <w:gridSpan w:val="3"/>
            <w:shd w:val="clear" w:color="auto" w:fill="CCEEFF"/>
          </w:tcPr>
          <w:p>
            <w:pPr>
              <w:jc w:val="right"/>
              <w:ind w:right="20"/>
              <w:spacing w:after="0"/>
              <w:rPr>
                <w:sz w:val="20"/>
                <w:szCs w:val="20"/>
                <w:color w:val="auto"/>
              </w:rPr>
            </w:pPr>
            <w:r>
              <w:rPr>
                <w:rFonts w:ascii="Arial" w:cs="Arial" w:eastAsia="Arial" w:hAnsi="Arial"/>
                <w:sz w:val="13"/>
                <w:szCs w:val="13"/>
                <w:color w:val="auto"/>
              </w:rPr>
              <w:t>5.71%</w:t>
            </w:r>
          </w:p>
        </w:tc>
        <w:tc>
          <w:tcPr>
            <w:tcW w:w="46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L+200</w:t>
            </w: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1,474,667</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1,474,667</w:t>
            </w: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1,194,480</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70"/>
        </w:trPr>
        <w:tc>
          <w:tcPr>
            <w:tcW w:w="3580" w:type="dxa"/>
            <w:vAlign w:val="bottom"/>
            <w:gridSpan w:val="2"/>
          </w:tcPr>
          <w:p>
            <w:pPr>
              <w:spacing w:after="0"/>
              <w:rPr>
                <w:sz w:val="20"/>
                <w:szCs w:val="20"/>
                <w:color w:val="auto"/>
              </w:rPr>
            </w:pPr>
            <w:r>
              <w:rPr>
                <w:rFonts w:ascii="Arial" w:cs="Arial" w:eastAsia="Arial" w:hAnsi="Arial"/>
                <w:sz w:val="13"/>
                <w:szCs w:val="13"/>
                <w:color w:val="auto"/>
              </w:rPr>
              <w:t>Questex Media Group, Inc.</w:t>
            </w:r>
          </w:p>
        </w:tc>
        <w:tc>
          <w:tcPr>
            <w:tcW w:w="740" w:type="dxa"/>
            <w:vAlign w:val="bottom"/>
          </w:tcPr>
          <w:p>
            <w:pPr>
              <w:jc w:val="center"/>
              <w:spacing w:after="0"/>
              <w:rPr>
                <w:sz w:val="20"/>
                <w:szCs w:val="20"/>
                <w:color w:val="auto"/>
              </w:rPr>
            </w:pPr>
            <w:r>
              <w:rPr>
                <w:rFonts w:ascii="Arial" w:cs="Arial" w:eastAsia="Arial" w:hAnsi="Arial"/>
                <w:sz w:val="13"/>
                <w:szCs w:val="13"/>
                <w:color w:val="auto"/>
                <w:w w:val="95"/>
              </w:rPr>
              <w:t>05/04/2014</w:t>
            </w:r>
          </w:p>
        </w:tc>
        <w:tc>
          <w:tcPr>
            <w:tcW w:w="220" w:type="dxa"/>
            <w:vAlign w:val="bottom"/>
          </w:tcPr>
          <w:p>
            <w:pPr>
              <w:spacing w:after="0"/>
              <w:rPr>
                <w:sz w:val="23"/>
                <w:szCs w:val="23"/>
                <w:color w:val="auto"/>
              </w:rPr>
            </w:pPr>
          </w:p>
        </w:tc>
        <w:tc>
          <w:tcPr>
            <w:tcW w:w="1380" w:type="dxa"/>
            <w:vAlign w:val="bottom"/>
          </w:tcPr>
          <w:p>
            <w:pPr>
              <w:jc w:val="center"/>
              <w:spacing w:after="0"/>
              <w:rPr>
                <w:sz w:val="20"/>
                <w:szCs w:val="20"/>
                <w:color w:val="auto"/>
              </w:rPr>
            </w:pPr>
            <w:r>
              <w:rPr>
                <w:rFonts w:ascii="Arial" w:cs="Arial" w:eastAsia="Arial" w:hAnsi="Arial"/>
                <w:sz w:val="13"/>
                <w:szCs w:val="13"/>
                <w:color w:val="auto"/>
                <w:w w:val="97"/>
              </w:rPr>
              <w:t>Other Media</w:t>
            </w:r>
          </w:p>
        </w:tc>
        <w:tc>
          <w:tcPr>
            <w:tcW w:w="920" w:type="dxa"/>
            <w:vAlign w:val="bottom"/>
            <w:gridSpan w:val="3"/>
          </w:tcPr>
          <w:p>
            <w:pPr>
              <w:jc w:val="right"/>
              <w:ind w:right="20"/>
              <w:spacing w:after="0"/>
              <w:rPr>
                <w:sz w:val="20"/>
                <w:szCs w:val="20"/>
                <w:color w:val="auto"/>
              </w:rPr>
            </w:pPr>
            <w:r>
              <w:rPr>
                <w:rFonts w:ascii="Arial" w:cs="Arial" w:eastAsia="Arial" w:hAnsi="Arial"/>
                <w:sz w:val="13"/>
                <w:szCs w:val="13"/>
                <w:color w:val="auto"/>
              </w:rPr>
              <w:t>5.81%</w:t>
            </w:r>
          </w:p>
        </w:tc>
        <w:tc>
          <w:tcPr>
            <w:tcW w:w="460" w:type="dxa"/>
            <w:vAlign w:val="bottom"/>
          </w:tcPr>
          <w:p>
            <w:pPr>
              <w:spacing w:after="0"/>
              <w:rPr>
                <w:sz w:val="23"/>
                <w:szCs w:val="23"/>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3"/>
                <w:szCs w:val="13"/>
                <w:color w:val="auto"/>
              </w:rPr>
              <w:t>L+300</w:t>
            </w:r>
          </w:p>
        </w:tc>
        <w:tc>
          <w:tcPr>
            <w:tcW w:w="14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4,924,167</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3"/>
                <w:szCs w:val="13"/>
                <w:color w:val="auto"/>
              </w:rPr>
              <w:t>4,924,167</w:t>
            </w:r>
          </w:p>
        </w:tc>
        <w:tc>
          <w:tcPr>
            <w:tcW w:w="140" w:type="dxa"/>
            <w:vAlign w:val="bottom"/>
          </w:tcPr>
          <w:p>
            <w:pPr>
              <w:spacing w:after="0"/>
              <w:rPr>
                <w:sz w:val="23"/>
                <w:szCs w:val="23"/>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3"/>
                <w:szCs w:val="13"/>
                <w:color w:val="auto"/>
              </w:rPr>
              <w:t>4,825,683</w:t>
            </w:r>
          </w:p>
        </w:tc>
        <w:tc>
          <w:tcPr>
            <w:tcW w:w="0" w:type="dxa"/>
            <w:vAlign w:val="bottom"/>
          </w:tcPr>
          <w:p>
            <w:pPr>
              <w:spacing w:after="0"/>
              <w:rPr>
                <w:sz w:val="1"/>
                <w:szCs w:val="1"/>
                <w:color w:val="auto"/>
              </w:rPr>
            </w:pPr>
          </w:p>
        </w:tc>
      </w:tr>
      <w:tr>
        <w:trPr>
          <w:trHeight w:val="95"/>
        </w:trPr>
        <w:tc>
          <w:tcPr>
            <w:tcW w:w="760" w:type="dxa"/>
            <w:vAlign w:val="bottom"/>
          </w:tcPr>
          <w:p>
            <w:pPr>
              <w:spacing w:after="0"/>
              <w:rPr>
                <w:sz w:val="8"/>
                <w:szCs w:val="8"/>
                <w:color w:val="auto"/>
              </w:rPr>
            </w:pPr>
          </w:p>
        </w:tc>
        <w:tc>
          <w:tcPr>
            <w:tcW w:w="2820" w:type="dxa"/>
            <w:vAlign w:val="bottom"/>
          </w:tcPr>
          <w:p>
            <w:pPr>
              <w:spacing w:after="0"/>
              <w:rPr>
                <w:sz w:val="8"/>
                <w:szCs w:val="8"/>
                <w:color w:val="auto"/>
              </w:rPr>
            </w:pPr>
          </w:p>
        </w:tc>
        <w:tc>
          <w:tcPr>
            <w:tcW w:w="7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380" w:type="dxa"/>
            <w:vAlign w:val="bottom"/>
          </w:tcPr>
          <w:p>
            <w:pPr>
              <w:spacing w:after="0"/>
              <w:rPr>
                <w:sz w:val="8"/>
                <w:szCs w:val="8"/>
                <w:color w:val="auto"/>
              </w:rPr>
            </w:pPr>
          </w:p>
        </w:tc>
        <w:tc>
          <w:tcPr>
            <w:tcW w:w="2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40" w:type="dxa"/>
            <w:vAlign w:val="bottom"/>
          </w:tcPr>
          <w:p>
            <w:pPr>
              <w:spacing w:after="0"/>
              <w:rPr>
                <w:sz w:val="8"/>
                <w:szCs w:val="8"/>
                <w:color w:val="auto"/>
              </w:rPr>
            </w:pPr>
          </w:p>
        </w:tc>
        <w:tc>
          <w:tcPr>
            <w:tcW w:w="460" w:type="dxa"/>
            <w:vAlign w:val="bottom"/>
          </w:tcPr>
          <w:p>
            <w:pPr>
              <w:spacing w:after="0"/>
              <w:rPr>
                <w:sz w:val="8"/>
                <w:szCs w:val="8"/>
                <w:color w:val="auto"/>
              </w:rPr>
            </w:pPr>
          </w:p>
        </w:tc>
        <w:tc>
          <w:tcPr>
            <w:tcW w:w="5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7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38"/>
        </w:trPr>
        <w:tc>
          <w:tcPr>
            <w:tcW w:w="3580" w:type="dxa"/>
            <w:vAlign w:val="bottom"/>
            <w:gridSpan w:val="2"/>
            <w:shd w:val="clear" w:color="auto" w:fill="CCEEFF"/>
          </w:tcPr>
          <w:p>
            <w:pPr>
              <w:spacing w:after="0" w:line="138" w:lineRule="exact"/>
              <w:rPr>
                <w:sz w:val="20"/>
                <w:szCs w:val="20"/>
                <w:color w:val="auto"/>
              </w:rPr>
            </w:pPr>
            <w:r>
              <w:rPr>
                <w:rFonts w:ascii="Arial" w:cs="Arial" w:eastAsia="Arial" w:hAnsi="Arial"/>
                <w:sz w:val="13"/>
                <w:szCs w:val="13"/>
                <w:color w:val="auto"/>
              </w:rPr>
              <w:t>Reader’s Digest Association, Inc.</w:t>
            </w:r>
          </w:p>
        </w:tc>
        <w:tc>
          <w:tcPr>
            <w:tcW w:w="740" w:type="dxa"/>
            <w:vAlign w:val="bottom"/>
            <w:shd w:val="clear" w:color="auto" w:fill="CCEEFF"/>
          </w:tcPr>
          <w:p>
            <w:pPr>
              <w:jc w:val="center"/>
              <w:spacing w:after="0" w:line="138" w:lineRule="exact"/>
              <w:rPr>
                <w:sz w:val="20"/>
                <w:szCs w:val="20"/>
                <w:color w:val="auto"/>
              </w:rPr>
            </w:pPr>
            <w:r>
              <w:rPr>
                <w:rFonts w:ascii="Arial" w:cs="Arial" w:eastAsia="Arial" w:hAnsi="Arial"/>
                <w:sz w:val="13"/>
                <w:szCs w:val="13"/>
                <w:color w:val="auto"/>
                <w:w w:val="95"/>
              </w:rPr>
              <w:t>03/02/2014</w:t>
            </w:r>
          </w:p>
        </w:tc>
        <w:tc>
          <w:tcPr>
            <w:tcW w:w="220" w:type="dxa"/>
            <w:vAlign w:val="bottom"/>
            <w:shd w:val="clear" w:color="auto" w:fill="CCEEFF"/>
          </w:tcPr>
          <w:p>
            <w:pPr>
              <w:spacing w:after="0"/>
              <w:rPr>
                <w:sz w:val="11"/>
                <w:szCs w:val="11"/>
                <w:color w:val="auto"/>
              </w:rPr>
            </w:pPr>
          </w:p>
        </w:tc>
        <w:tc>
          <w:tcPr>
            <w:tcW w:w="1380" w:type="dxa"/>
            <w:vAlign w:val="bottom"/>
            <w:shd w:val="clear" w:color="auto" w:fill="CCEEFF"/>
          </w:tcPr>
          <w:p>
            <w:pPr>
              <w:jc w:val="center"/>
              <w:spacing w:after="0" w:line="138" w:lineRule="exact"/>
              <w:rPr>
                <w:sz w:val="20"/>
                <w:szCs w:val="20"/>
                <w:color w:val="auto"/>
              </w:rPr>
            </w:pPr>
            <w:r>
              <w:rPr>
                <w:rFonts w:ascii="Arial" w:cs="Arial" w:eastAsia="Arial" w:hAnsi="Arial"/>
                <w:sz w:val="13"/>
                <w:szCs w:val="13"/>
                <w:color w:val="auto"/>
                <w:w w:val="95"/>
              </w:rPr>
              <w:t>Printing and</w:t>
            </w:r>
          </w:p>
        </w:tc>
        <w:tc>
          <w:tcPr>
            <w:tcW w:w="920" w:type="dxa"/>
            <w:vAlign w:val="bottom"/>
            <w:gridSpan w:val="3"/>
            <w:shd w:val="clear" w:color="auto" w:fill="CCEEFF"/>
          </w:tcPr>
          <w:p>
            <w:pPr>
              <w:jc w:val="right"/>
              <w:ind w:right="20"/>
              <w:spacing w:after="0" w:line="138" w:lineRule="exact"/>
              <w:rPr>
                <w:sz w:val="20"/>
                <w:szCs w:val="20"/>
                <w:color w:val="auto"/>
              </w:rPr>
            </w:pPr>
            <w:r>
              <w:rPr>
                <w:rFonts w:ascii="Arial" w:cs="Arial" w:eastAsia="Arial" w:hAnsi="Arial"/>
                <w:sz w:val="13"/>
                <w:szCs w:val="13"/>
                <w:color w:val="auto"/>
              </w:rPr>
              <w:t>4.71%</w:t>
            </w:r>
          </w:p>
        </w:tc>
        <w:tc>
          <w:tcPr>
            <w:tcW w:w="46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220"/>
              <w:spacing w:after="0" w:line="138" w:lineRule="exact"/>
              <w:rPr>
                <w:sz w:val="20"/>
                <w:szCs w:val="20"/>
                <w:color w:val="auto"/>
              </w:rPr>
            </w:pPr>
            <w:r>
              <w:rPr>
                <w:rFonts w:ascii="Arial" w:cs="Arial" w:eastAsia="Arial" w:hAnsi="Arial"/>
                <w:sz w:val="13"/>
                <w:szCs w:val="13"/>
                <w:color w:val="auto"/>
              </w:rPr>
              <w:t>L+200</w:t>
            </w:r>
          </w:p>
        </w:tc>
        <w:tc>
          <w:tcPr>
            <w:tcW w:w="140" w:type="dxa"/>
            <w:vAlign w:val="bottom"/>
            <w:shd w:val="clear" w:color="auto" w:fill="CCEEFF"/>
          </w:tcPr>
          <w:p>
            <w:pPr>
              <w:spacing w:after="0"/>
              <w:rPr>
                <w:sz w:val="11"/>
                <w:szCs w:val="11"/>
                <w:color w:val="auto"/>
              </w:rPr>
            </w:pPr>
          </w:p>
        </w:tc>
        <w:tc>
          <w:tcPr>
            <w:tcW w:w="76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985,000</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60" w:type="dxa"/>
            <w:vAlign w:val="bottom"/>
            <w:gridSpan w:val="2"/>
            <w:shd w:val="clear" w:color="auto" w:fill="CCEEFF"/>
          </w:tcPr>
          <w:p>
            <w:pPr>
              <w:jc w:val="right"/>
              <w:ind w:right="220"/>
              <w:spacing w:after="0" w:line="138" w:lineRule="exact"/>
              <w:rPr>
                <w:sz w:val="20"/>
                <w:szCs w:val="20"/>
                <w:color w:val="auto"/>
              </w:rPr>
            </w:pPr>
            <w:r>
              <w:rPr>
                <w:rFonts w:ascii="Arial" w:cs="Arial" w:eastAsia="Arial" w:hAnsi="Arial"/>
                <w:sz w:val="13"/>
                <w:szCs w:val="13"/>
                <w:color w:val="auto"/>
              </w:rPr>
              <w:t>985,000</w:t>
            </w:r>
          </w:p>
        </w:tc>
        <w:tc>
          <w:tcPr>
            <w:tcW w:w="14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699,350</w:t>
            </w:r>
          </w:p>
        </w:tc>
        <w:tc>
          <w:tcPr>
            <w:tcW w:w="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760" w:type="dxa"/>
            <w:vAlign w:val="bottom"/>
            <w:shd w:val="clear" w:color="auto" w:fill="CCEEFF"/>
          </w:tcPr>
          <w:p>
            <w:pPr>
              <w:spacing w:after="0"/>
              <w:rPr>
                <w:sz w:val="13"/>
                <w:szCs w:val="13"/>
                <w:color w:val="auto"/>
              </w:rPr>
            </w:pPr>
          </w:p>
        </w:tc>
        <w:tc>
          <w:tcPr>
            <w:tcW w:w="282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3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6"/>
              </w:rPr>
              <w:t>Publishing</w:t>
            </w:r>
          </w:p>
        </w:tc>
        <w:tc>
          <w:tcPr>
            <w:tcW w:w="22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6"/>
        </w:trPr>
        <w:tc>
          <w:tcPr>
            <w:tcW w:w="3580" w:type="dxa"/>
            <w:vAlign w:val="bottom"/>
            <w:gridSpan w:val="2"/>
          </w:tcPr>
          <w:p>
            <w:pPr>
              <w:spacing w:after="0"/>
              <w:rPr>
                <w:sz w:val="20"/>
                <w:szCs w:val="20"/>
                <w:color w:val="auto"/>
              </w:rPr>
            </w:pPr>
            <w:r>
              <w:rPr>
                <w:rFonts w:ascii="Arial" w:cs="Arial" w:eastAsia="Arial" w:hAnsi="Arial"/>
                <w:sz w:val="13"/>
                <w:szCs w:val="13"/>
                <w:color w:val="auto"/>
              </w:rPr>
              <w:t>Rexnord , L.L.C.</w:t>
            </w:r>
          </w:p>
        </w:tc>
        <w:tc>
          <w:tcPr>
            <w:tcW w:w="740" w:type="dxa"/>
            <w:vAlign w:val="bottom"/>
          </w:tcPr>
          <w:p>
            <w:pPr>
              <w:jc w:val="center"/>
              <w:spacing w:after="0"/>
              <w:rPr>
                <w:sz w:val="20"/>
                <w:szCs w:val="20"/>
                <w:color w:val="auto"/>
              </w:rPr>
            </w:pPr>
            <w:r>
              <w:rPr>
                <w:rFonts w:ascii="Arial" w:cs="Arial" w:eastAsia="Arial" w:hAnsi="Arial"/>
                <w:sz w:val="13"/>
                <w:szCs w:val="13"/>
                <w:color w:val="auto"/>
                <w:w w:val="95"/>
              </w:rPr>
              <w:t>07/19/2013</w:t>
            </w:r>
          </w:p>
        </w:tc>
        <w:tc>
          <w:tcPr>
            <w:tcW w:w="220" w:type="dxa"/>
            <w:vAlign w:val="bottom"/>
          </w:tcPr>
          <w:p>
            <w:pPr>
              <w:spacing w:after="0"/>
              <w:rPr>
                <w:sz w:val="21"/>
                <w:szCs w:val="21"/>
                <w:color w:val="auto"/>
              </w:rPr>
            </w:pPr>
          </w:p>
        </w:tc>
        <w:tc>
          <w:tcPr>
            <w:tcW w:w="1380" w:type="dxa"/>
            <w:vAlign w:val="bottom"/>
          </w:tcPr>
          <w:p>
            <w:pPr>
              <w:jc w:val="center"/>
              <w:spacing w:after="0"/>
              <w:rPr>
                <w:sz w:val="20"/>
                <w:szCs w:val="20"/>
                <w:color w:val="auto"/>
              </w:rPr>
            </w:pPr>
            <w:r>
              <w:rPr>
                <w:rFonts w:ascii="Arial" w:cs="Arial" w:eastAsia="Arial" w:hAnsi="Arial"/>
                <w:sz w:val="13"/>
                <w:szCs w:val="13"/>
                <w:color w:val="auto"/>
                <w:w w:val="95"/>
              </w:rPr>
              <w:t>Manufacturing /</w:t>
            </w:r>
          </w:p>
        </w:tc>
        <w:tc>
          <w:tcPr>
            <w:tcW w:w="920" w:type="dxa"/>
            <w:vAlign w:val="bottom"/>
            <w:gridSpan w:val="3"/>
          </w:tcPr>
          <w:p>
            <w:pPr>
              <w:jc w:val="right"/>
              <w:ind w:right="20"/>
              <w:spacing w:after="0"/>
              <w:rPr>
                <w:sz w:val="20"/>
                <w:szCs w:val="20"/>
                <w:color w:val="auto"/>
              </w:rPr>
            </w:pPr>
            <w:r>
              <w:rPr>
                <w:rFonts w:ascii="Arial" w:cs="Arial" w:eastAsia="Arial" w:hAnsi="Arial"/>
                <w:sz w:val="13"/>
                <w:szCs w:val="13"/>
                <w:color w:val="auto"/>
              </w:rPr>
              <w:t>5.76%</w:t>
            </w:r>
          </w:p>
        </w:tc>
        <w:tc>
          <w:tcPr>
            <w:tcW w:w="460" w:type="dxa"/>
            <w:vAlign w:val="bottom"/>
          </w:tcPr>
          <w:p>
            <w:pPr>
              <w:spacing w:after="0"/>
              <w:rPr>
                <w:sz w:val="21"/>
                <w:szCs w:val="21"/>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3"/>
                <w:szCs w:val="13"/>
                <w:color w:val="auto"/>
              </w:rPr>
              <w:t>L+200</w:t>
            </w:r>
          </w:p>
        </w:tc>
        <w:tc>
          <w:tcPr>
            <w:tcW w:w="1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2,917,576</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3"/>
                <w:szCs w:val="13"/>
                <w:color w:val="auto"/>
              </w:rPr>
              <w:t>2,917,576</w:t>
            </w:r>
          </w:p>
        </w:tc>
        <w:tc>
          <w:tcPr>
            <w:tcW w:w="140" w:type="dxa"/>
            <w:vAlign w:val="bottom"/>
          </w:tcPr>
          <w:p>
            <w:pPr>
              <w:spacing w:after="0"/>
              <w:rPr>
                <w:sz w:val="21"/>
                <w:szCs w:val="21"/>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3"/>
                <w:szCs w:val="13"/>
                <w:color w:val="auto"/>
              </w:rPr>
              <w:t>2,625,819</w:t>
            </w:r>
          </w:p>
        </w:tc>
        <w:tc>
          <w:tcPr>
            <w:tcW w:w="0" w:type="dxa"/>
            <w:vAlign w:val="bottom"/>
          </w:tcPr>
          <w:p>
            <w:pPr>
              <w:spacing w:after="0"/>
              <w:rPr>
                <w:sz w:val="1"/>
                <w:szCs w:val="1"/>
                <w:color w:val="auto"/>
              </w:rPr>
            </w:pPr>
          </w:p>
        </w:tc>
      </w:tr>
      <w:tr>
        <w:trPr>
          <w:trHeight w:val="172"/>
        </w:trPr>
        <w:tc>
          <w:tcPr>
            <w:tcW w:w="760" w:type="dxa"/>
            <w:vAlign w:val="bottom"/>
          </w:tcPr>
          <w:p>
            <w:pPr>
              <w:spacing w:after="0"/>
              <w:rPr>
                <w:sz w:val="14"/>
                <w:szCs w:val="14"/>
                <w:color w:val="auto"/>
              </w:rPr>
            </w:pPr>
          </w:p>
        </w:tc>
        <w:tc>
          <w:tcPr>
            <w:tcW w:w="28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80" w:type="dxa"/>
            <w:vAlign w:val="bottom"/>
          </w:tcPr>
          <w:p>
            <w:pPr>
              <w:jc w:val="center"/>
              <w:spacing w:after="0"/>
              <w:rPr>
                <w:sz w:val="20"/>
                <w:szCs w:val="20"/>
                <w:color w:val="auto"/>
              </w:rPr>
            </w:pPr>
            <w:r>
              <w:rPr>
                <w:rFonts w:ascii="Arial" w:cs="Arial" w:eastAsia="Arial" w:hAnsi="Arial"/>
                <w:sz w:val="13"/>
                <w:szCs w:val="13"/>
                <w:color w:val="auto"/>
                <w:w w:val="95"/>
              </w:rPr>
              <w:t>Basic Industry</w:t>
            </w:r>
          </w:p>
        </w:tc>
        <w:tc>
          <w:tcPr>
            <w:tcW w:w="2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760" w:type="dxa"/>
            <w:vAlign w:val="bottom"/>
          </w:tcPr>
          <w:p>
            <w:pPr>
              <w:spacing w:after="0"/>
              <w:rPr>
                <w:sz w:val="8"/>
                <w:szCs w:val="8"/>
                <w:color w:val="auto"/>
              </w:rPr>
            </w:pPr>
          </w:p>
        </w:tc>
        <w:tc>
          <w:tcPr>
            <w:tcW w:w="2820" w:type="dxa"/>
            <w:vAlign w:val="bottom"/>
          </w:tcPr>
          <w:p>
            <w:pPr>
              <w:spacing w:after="0"/>
              <w:rPr>
                <w:sz w:val="8"/>
                <w:szCs w:val="8"/>
                <w:color w:val="auto"/>
              </w:rPr>
            </w:pPr>
          </w:p>
        </w:tc>
        <w:tc>
          <w:tcPr>
            <w:tcW w:w="7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380" w:type="dxa"/>
            <w:vAlign w:val="bottom"/>
          </w:tcPr>
          <w:p>
            <w:pPr>
              <w:spacing w:after="0"/>
              <w:rPr>
                <w:sz w:val="8"/>
                <w:szCs w:val="8"/>
                <w:color w:val="auto"/>
              </w:rPr>
            </w:pPr>
          </w:p>
        </w:tc>
        <w:tc>
          <w:tcPr>
            <w:tcW w:w="2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40" w:type="dxa"/>
            <w:vAlign w:val="bottom"/>
          </w:tcPr>
          <w:p>
            <w:pPr>
              <w:spacing w:after="0"/>
              <w:rPr>
                <w:sz w:val="8"/>
                <w:szCs w:val="8"/>
                <w:color w:val="auto"/>
              </w:rPr>
            </w:pPr>
          </w:p>
        </w:tc>
        <w:tc>
          <w:tcPr>
            <w:tcW w:w="460" w:type="dxa"/>
            <w:vAlign w:val="bottom"/>
          </w:tcPr>
          <w:p>
            <w:pPr>
              <w:spacing w:after="0"/>
              <w:rPr>
                <w:sz w:val="8"/>
                <w:szCs w:val="8"/>
                <w:color w:val="auto"/>
              </w:rPr>
            </w:pPr>
          </w:p>
        </w:tc>
        <w:tc>
          <w:tcPr>
            <w:tcW w:w="5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7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48"/>
        </w:trPr>
        <w:tc>
          <w:tcPr>
            <w:tcW w:w="358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Sitel, L.L.C.</w:t>
            </w:r>
          </w:p>
        </w:tc>
        <w:tc>
          <w:tcPr>
            <w:tcW w:w="7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5"/>
              </w:rPr>
              <w:t>01/30/2014</w:t>
            </w:r>
          </w:p>
        </w:tc>
        <w:tc>
          <w:tcPr>
            <w:tcW w:w="220" w:type="dxa"/>
            <w:vAlign w:val="bottom"/>
            <w:shd w:val="clear" w:color="auto" w:fill="CCEEFF"/>
          </w:tcPr>
          <w:p>
            <w:pPr>
              <w:spacing w:after="0"/>
              <w:rPr>
                <w:sz w:val="12"/>
                <w:szCs w:val="12"/>
                <w:color w:val="auto"/>
              </w:rPr>
            </w:pPr>
          </w:p>
        </w:tc>
        <w:tc>
          <w:tcPr>
            <w:tcW w:w="13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2"/>
              </w:rPr>
              <w:t>Business Services</w:t>
            </w:r>
          </w:p>
        </w:tc>
        <w:tc>
          <w:tcPr>
            <w:tcW w:w="920" w:type="dxa"/>
            <w:vAlign w:val="bottom"/>
            <w:gridSpan w:val="3"/>
            <w:shd w:val="clear" w:color="auto" w:fill="CCEEFF"/>
          </w:tcPr>
          <w:p>
            <w:pPr>
              <w:jc w:val="right"/>
              <w:ind w:right="20"/>
              <w:spacing w:after="0"/>
              <w:rPr>
                <w:sz w:val="20"/>
                <w:szCs w:val="20"/>
                <w:color w:val="auto"/>
              </w:rPr>
            </w:pPr>
            <w:r>
              <w:rPr>
                <w:rFonts w:ascii="Arial" w:cs="Arial" w:eastAsia="Arial" w:hAnsi="Arial"/>
                <w:sz w:val="13"/>
                <w:szCs w:val="13"/>
                <w:color w:val="auto"/>
              </w:rPr>
              <w:t>5.30%</w:t>
            </w:r>
          </w:p>
        </w:tc>
        <w:tc>
          <w:tcPr>
            <w:tcW w:w="46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L+250</w:t>
            </w: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2,592,017</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2,592,017</w:t>
            </w: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1,892,172</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57"/>
        </w:trPr>
        <w:tc>
          <w:tcPr>
            <w:tcW w:w="3580" w:type="dxa"/>
            <w:vAlign w:val="bottom"/>
            <w:gridSpan w:val="2"/>
          </w:tcPr>
          <w:p>
            <w:pPr>
              <w:spacing w:after="0"/>
              <w:rPr>
                <w:sz w:val="20"/>
                <w:szCs w:val="20"/>
                <w:color w:val="auto"/>
              </w:rPr>
            </w:pPr>
            <w:r>
              <w:rPr>
                <w:rFonts w:ascii="Arial" w:cs="Arial" w:eastAsia="Arial" w:hAnsi="Arial"/>
                <w:sz w:val="13"/>
                <w:szCs w:val="13"/>
                <w:color w:val="auto"/>
              </w:rPr>
              <w:t>Sitel, L.L.C.</w:t>
            </w:r>
          </w:p>
        </w:tc>
        <w:tc>
          <w:tcPr>
            <w:tcW w:w="740" w:type="dxa"/>
            <w:vAlign w:val="bottom"/>
          </w:tcPr>
          <w:p>
            <w:pPr>
              <w:jc w:val="center"/>
              <w:spacing w:after="0"/>
              <w:rPr>
                <w:sz w:val="20"/>
                <w:szCs w:val="20"/>
                <w:color w:val="auto"/>
              </w:rPr>
            </w:pPr>
            <w:r>
              <w:rPr>
                <w:rFonts w:ascii="Arial" w:cs="Arial" w:eastAsia="Arial" w:hAnsi="Arial"/>
                <w:sz w:val="13"/>
                <w:szCs w:val="13"/>
                <w:color w:val="auto"/>
                <w:w w:val="95"/>
              </w:rPr>
              <w:t>01/30/2014</w:t>
            </w:r>
          </w:p>
        </w:tc>
        <w:tc>
          <w:tcPr>
            <w:tcW w:w="220" w:type="dxa"/>
            <w:vAlign w:val="bottom"/>
          </w:tcPr>
          <w:p>
            <w:pPr>
              <w:spacing w:after="0"/>
              <w:rPr>
                <w:sz w:val="22"/>
                <w:szCs w:val="22"/>
                <w:color w:val="auto"/>
              </w:rPr>
            </w:pPr>
          </w:p>
        </w:tc>
        <w:tc>
          <w:tcPr>
            <w:tcW w:w="1380" w:type="dxa"/>
            <w:vAlign w:val="bottom"/>
          </w:tcPr>
          <w:p>
            <w:pPr>
              <w:jc w:val="center"/>
              <w:spacing w:after="0"/>
              <w:rPr>
                <w:sz w:val="20"/>
                <w:szCs w:val="20"/>
                <w:color w:val="auto"/>
              </w:rPr>
            </w:pPr>
            <w:r>
              <w:rPr>
                <w:rFonts w:ascii="Arial" w:cs="Arial" w:eastAsia="Arial" w:hAnsi="Arial"/>
                <w:sz w:val="13"/>
                <w:szCs w:val="13"/>
                <w:color w:val="auto"/>
                <w:w w:val="92"/>
              </w:rPr>
              <w:t>Business Services</w:t>
            </w:r>
          </w:p>
        </w:tc>
        <w:tc>
          <w:tcPr>
            <w:tcW w:w="920" w:type="dxa"/>
            <w:vAlign w:val="bottom"/>
            <w:gridSpan w:val="3"/>
          </w:tcPr>
          <w:p>
            <w:pPr>
              <w:jc w:val="right"/>
              <w:ind w:right="20"/>
              <w:spacing w:after="0"/>
              <w:rPr>
                <w:sz w:val="20"/>
                <w:szCs w:val="20"/>
                <w:color w:val="auto"/>
              </w:rPr>
            </w:pPr>
            <w:r>
              <w:rPr>
                <w:rFonts w:ascii="Arial" w:cs="Arial" w:eastAsia="Arial" w:hAnsi="Arial"/>
                <w:sz w:val="13"/>
                <w:szCs w:val="13"/>
                <w:color w:val="auto"/>
              </w:rPr>
              <w:t>6.50%</w:t>
            </w:r>
          </w:p>
        </w:tc>
        <w:tc>
          <w:tcPr>
            <w:tcW w:w="460" w:type="dxa"/>
            <w:vAlign w:val="bottom"/>
          </w:tcPr>
          <w:p>
            <w:pPr>
              <w:spacing w:after="0"/>
              <w:rPr>
                <w:sz w:val="22"/>
                <w:szCs w:val="22"/>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3"/>
                <w:szCs w:val="13"/>
                <w:color w:val="auto"/>
              </w:rPr>
              <w:t>P+150</w:t>
            </w:r>
          </w:p>
        </w:tc>
        <w:tc>
          <w:tcPr>
            <w:tcW w:w="140" w:type="dxa"/>
            <w:vAlign w:val="bottom"/>
          </w:tcPr>
          <w:p>
            <w:pPr>
              <w:spacing w:after="0"/>
              <w:rPr>
                <w:sz w:val="22"/>
                <w:szCs w:val="22"/>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3"/>
                <w:szCs w:val="13"/>
                <w:color w:val="auto"/>
              </w:rPr>
              <w:t>90,311</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3"/>
                <w:szCs w:val="13"/>
                <w:color w:val="auto"/>
              </w:rPr>
              <w:t>90,311</w:t>
            </w:r>
          </w:p>
        </w:tc>
        <w:tc>
          <w:tcPr>
            <w:tcW w:w="140" w:type="dxa"/>
            <w:vAlign w:val="bottom"/>
          </w:tcPr>
          <w:p>
            <w:pPr>
              <w:spacing w:after="0"/>
              <w:rPr>
                <w:sz w:val="22"/>
                <w:szCs w:val="22"/>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3"/>
                <w:szCs w:val="13"/>
                <w:color w:val="auto"/>
              </w:rPr>
              <w:t>65,927</w:t>
            </w:r>
          </w:p>
        </w:tc>
        <w:tc>
          <w:tcPr>
            <w:tcW w:w="0" w:type="dxa"/>
            <w:vAlign w:val="bottom"/>
          </w:tcPr>
          <w:p>
            <w:pPr>
              <w:spacing w:after="0"/>
              <w:rPr>
                <w:sz w:val="1"/>
                <w:szCs w:val="1"/>
                <w:color w:val="auto"/>
              </w:rPr>
            </w:pPr>
          </w:p>
        </w:tc>
      </w:tr>
      <w:tr>
        <w:trPr>
          <w:trHeight w:val="115"/>
        </w:trPr>
        <w:tc>
          <w:tcPr>
            <w:tcW w:w="760" w:type="dxa"/>
            <w:vAlign w:val="bottom"/>
          </w:tcPr>
          <w:p>
            <w:pPr>
              <w:spacing w:after="0"/>
              <w:rPr>
                <w:sz w:val="10"/>
                <w:szCs w:val="10"/>
                <w:color w:val="auto"/>
              </w:rPr>
            </w:pPr>
          </w:p>
        </w:tc>
        <w:tc>
          <w:tcPr>
            <w:tcW w:w="28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76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tcPr>
          <w:p>
            <w:pPr>
              <w:spacing w:after="0"/>
              <w:rPr>
                <w:sz w:val="10"/>
                <w:szCs w:val="10"/>
                <w:color w:val="auto"/>
              </w:rPr>
            </w:pPr>
          </w:p>
        </w:tc>
        <w:tc>
          <w:tcPr>
            <w:tcW w:w="20" w:type="dxa"/>
            <w:vAlign w:val="bottom"/>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3580" w:type="dxa"/>
            <w:vAlign w:val="bottom"/>
            <w:gridSpan w:val="2"/>
            <w:shd w:val="clear" w:color="auto" w:fill="CCEEFF"/>
          </w:tcPr>
          <w:p>
            <w:pPr>
              <w:spacing w:after="0"/>
              <w:rPr>
                <w:sz w:val="20"/>
                <w:szCs w:val="20"/>
                <w:color w:val="auto"/>
              </w:rPr>
            </w:pPr>
            <w:r>
              <w:rPr>
                <w:rFonts w:ascii="Arial" w:cs="Arial" w:eastAsia="Arial" w:hAnsi="Arial"/>
                <w:sz w:val="13"/>
                <w:szCs w:val="13"/>
                <w:b w:val="1"/>
                <w:bCs w:val="1"/>
                <w:color w:val="auto"/>
              </w:rPr>
              <w:t>Total First Lien Secured Debt</w:t>
            </w:r>
          </w:p>
        </w:tc>
        <w:tc>
          <w:tcPr>
            <w:tcW w:w="7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3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106,271,980</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w w:val="99"/>
              </w:rPr>
              <w:t>105,222,862</w:t>
            </w: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78,844,929</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4540" w:type="dxa"/>
            <w:vAlign w:val="bottom"/>
            <w:gridSpan w:val="4"/>
            <w:vMerge w:val="restart"/>
          </w:tcPr>
          <w:p>
            <w:pPr>
              <w:spacing w:after="0"/>
              <w:rPr>
                <w:sz w:val="20"/>
                <w:szCs w:val="20"/>
                <w:color w:val="auto"/>
              </w:rPr>
            </w:pPr>
            <w:r>
              <w:rPr>
                <w:rFonts w:ascii="Arial" w:cs="Arial" w:eastAsia="Arial" w:hAnsi="Arial"/>
                <w:sz w:val="13"/>
                <w:szCs w:val="13"/>
                <w:b w:val="1"/>
                <w:bCs w:val="1"/>
                <w:color w:val="auto"/>
              </w:rPr>
              <w:t>Investments in Non-Controlled, Non-Affiliated Portfolio Companies</w:t>
            </w:r>
          </w:p>
        </w:tc>
        <w:tc>
          <w:tcPr>
            <w:tcW w:w="1380" w:type="dxa"/>
            <w:vAlign w:val="bottom"/>
          </w:tcPr>
          <w:p>
            <w:pPr>
              <w:spacing w:after="0"/>
              <w:rPr>
                <w:sz w:val="9"/>
                <w:szCs w:val="9"/>
                <w:color w:val="auto"/>
              </w:rPr>
            </w:pPr>
          </w:p>
        </w:tc>
        <w:tc>
          <w:tcPr>
            <w:tcW w:w="220" w:type="dxa"/>
            <w:vAlign w:val="bottom"/>
          </w:tcPr>
          <w:p>
            <w:pPr>
              <w:spacing w:after="0"/>
              <w:rPr>
                <w:sz w:val="9"/>
                <w:szCs w:val="9"/>
                <w:color w:val="auto"/>
              </w:rPr>
            </w:pPr>
          </w:p>
        </w:tc>
        <w:tc>
          <w:tcPr>
            <w:tcW w:w="560" w:type="dxa"/>
            <w:vAlign w:val="bottom"/>
          </w:tcPr>
          <w:p>
            <w:pPr>
              <w:spacing w:after="0"/>
              <w:rPr>
                <w:sz w:val="9"/>
                <w:szCs w:val="9"/>
                <w:color w:val="auto"/>
              </w:rPr>
            </w:pPr>
          </w:p>
        </w:tc>
        <w:tc>
          <w:tcPr>
            <w:tcW w:w="140" w:type="dxa"/>
            <w:vAlign w:val="bottom"/>
          </w:tcPr>
          <w:p>
            <w:pPr>
              <w:spacing w:after="0"/>
              <w:rPr>
                <w:sz w:val="9"/>
                <w:szCs w:val="9"/>
                <w:color w:val="auto"/>
              </w:rPr>
            </w:pPr>
          </w:p>
        </w:tc>
        <w:tc>
          <w:tcPr>
            <w:tcW w:w="460" w:type="dxa"/>
            <w:vAlign w:val="bottom"/>
          </w:tcPr>
          <w:p>
            <w:pPr>
              <w:spacing w:after="0"/>
              <w:rPr>
                <w:sz w:val="9"/>
                <w:szCs w:val="9"/>
                <w:color w:val="auto"/>
              </w:rPr>
            </w:pPr>
          </w:p>
        </w:tc>
        <w:tc>
          <w:tcPr>
            <w:tcW w:w="5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7"/>
        </w:trPr>
        <w:tc>
          <w:tcPr>
            <w:tcW w:w="4540" w:type="dxa"/>
            <w:vAlign w:val="bottom"/>
            <w:gridSpan w:val="4"/>
            <w:vMerge w:val="continue"/>
          </w:tcPr>
          <w:p>
            <w:pPr>
              <w:spacing w:after="0"/>
              <w:rPr>
                <w:sz w:val="24"/>
                <w:szCs w:val="24"/>
                <w:color w:val="auto"/>
              </w:rPr>
            </w:pPr>
          </w:p>
        </w:tc>
        <w:tc>
          <w:tcPr>
            <w:tcW w:w="1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3"/>
                <w:szCs w:val="13"/>
                <w:color w:val="auto"/>
                <w:w w:val="99"/>
              </w:rPr>
              <w:t>427,481,745</w:t>
            </w:r>
          </w:p>
        </w:tc>
        <w:tc>
          <w:tcPr>
            <w:tcW w:w="140" w:type="dxa"/>
            <w:vAlign w:val="bottom"/>
          </w:tcPr>
          <w:p>
            <w:pPr>
              <w:spacing w:after="0"/>
              <w:rPr>
                <w:sz w:val="24"/>
                <w:szCs w:val="24"/>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3"/>
                <w:szCs w:val="13"/>
                <w:color w:val="auto"/>
              </w:rPr>
              <w:t>354,261,950</w:t>
            </w:r>
          </w:p>
        </w:tc>
        <w:tc>
          <w:tcPr>
            <w:tcW w:w="0" w:type="dxa"/>
            <w:vAlign w:val="bottom"/>
          </w:tcPr>
          <w:p>
            <w:pPr>
              <w:spacing w:after="0"/>
              <w:rPr>
                <w:sz w:val="1"/>
                <w:szCs w:val="1"/>
                <w:color w:val="auto"/>
              </w:rPr>
            </w:pPr>
          </w:p>
        </w:tc>
      </w:tr>
      <w:tr>
        <w:trPr>
          <w:trHeight w:val="95"/>
        </w:trPr>
        <w:tc>
          <w:tcPr>
            <w:tcW w:w="760" w:type="dxa"/>
            <w:vAlign w:val="bottom"/>
          </w:tcPr>
          <w:p>
            <w:pPr>
              <w:spacing w:after="0"/>
              <w:rPr>
                <w:sz w:val="8"/>
                <w:szCs w:val="8"/>
                <w:color w:val="auto"/>
              </w:rPr>
            </w:pPr>
          </w:p>
        </w:tc>
        <w:tc>
          <w:tcPr>
            <w:tcW w:w="3560" w:type="dxa"/>
            <w:vAlign w:val="bottom"/>
            <w:gridSpan w:val="2"/>
          </w:tcPr>
          <w:p>
            <w:pPr>
              <w:spacing w:after="0"/>
              <w:rPr>
                <w:sz w:val="8"/>
                <w:szCs w:val="8"/>
                <w:color w:val="auto"/>
              </w:rPr>
            </w:pPr>
          </w:p>
        </w:tc>
        <w:tc>
          <w:tcPr>
            <w:tcW w:w="220" w:type="dxa"/>
            <w:vAlign w:val="bottom"/>
          </w:tcPr>
          <w:p>
            <w:pPr>
              <w:spacing w:after="0"/>
              <w:rPr>
                <w:sz w:val="8"/>
                <w:szCs w:val="8"/>
                <w:color w:val="auto"/>
              </w:rPr>
            </w:pPr>
          </w:p>
        </w:tc>
        <w:tc>
          <w:tcPr>
            <w:tcW w:w="1380" w:type="dxa"/>
            <w:vAlign w:val="bottom"/>
          </w:tcPr>
          <w:p>
            <w:pPr>
              <w:spacing w:after="0"/>
              <w:rPr>
                <w:sz w:val="8"/>
                <w:szCs w:val="8"/>
                <w:color w:val="auto"/>
              </w:rPr>
            </w:pPr>
          </w:p>
        </w:tc>
        <w:tc>
          <w:tcPr>
            <w:tcW w:w="2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40" w:type="dxa"/>
            <w:vAlign w:val="bottom"/>
          </w:tcPr>
          <w:p>
            <w:pPr>
              <w:spacing w:after="0"/>
              <w:rPr>
                <w:sz w:val="8"/>
                <w:szCs w:val="8"/>
                <w:color w:val="auto"/>
              </w:rPr>
            </w:pPr>
          </w:p>
        </w:tc>
        <w:tc>
          <w:tcPr>
            <w:tcW w:w="460" w:type="dxa"/>
            <w:vAlign w:val="bottom"/>
          </w:tcPr>
          <w:p>
            <w:pPr>
              <w:spacing w:after="0"/>
              <w:rPr>
                <w:sz w:val="8"/>
                <w:szCs w:val="8"/>
                <w:color w:val="auto"/>
              </w:rPr>
            </w:pPr>
          </w:p>
        </w:tc>
        <w:tc>
          <w:tcPr>
            <w:tcW w:w="5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7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5"/>
        </w:trPr>
        <w:tc>
          <w:tcPr>
            <w:tcW w:w="760" w:type="dxa"/>
            <w:vAlign w:val="bottom"/>
          </w:tcPr>
          <w:p>
            <w:pPr>
              <w:spacing w:after="0"/>
              <w:rPr>
                <w:sz w:val="10"/>
                <w:szCs w:val="10"/>
                <w:color w:val="auto"/>
              </w:rPr>
            </w:pPr>
          </w:p>
        </w:tc>
        <w:tc>
          <w:tcPr>
            <w:tcW w:w="28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5"/>
        </w:trPr>
        <w:tc>
          <w:tcPr>
            <w:tcW w:w="4540" w:type="dxa"/>
            <w:vAlign w:val="bottom"/>
            <w:gridSpan w:val="4"/>
            <w:shd w:val="clear" w:color="auto" w:fill="CCEEFF"/>
          </w:tcPr>
          <w:p>
            <w:pPr>
              <w:spacing w:after="0" w:line="176" w:lineRule="exact"/>
              <w:rPr>
                <w:sz w:val="20"/>
                <w:szCs w:val="20"/>
                <w:color w:val="auto"/>
              </w:rPr>
            </w:pPr>
            <w:r>
              <w:rPr>
                <w:rFonts w:ascii="Arial" w:cs="Arial" w:eastAsia="Arial" w:hAnsi="Arial"/>
                <w:sz w:val="12"/>
                <w:szCs w:val="12"/>
                <w:b w:val="1"/>
                <w:bCs w:val="1"/>
                <w:color w:val="auto"/>
              </w:rPr>
              <w:t>Investments in Non-Controlled, Affiliated Portfolio Companies – 8.5%</w:t>
            </w:r>
            <w:r>
              <w:rPr>
                <w:rFonts w:ascii="Arial" w:cs="Arial" w:eastAsia="Arial" w:hAnsi="Arial"/>
                <w:sz w:val="20"/>
                <w:szCs w:val="20"/>
                <w:b w:val="1"/>
                <w:bCs w:val="1"/>
                <w:color w:val="auto"/>
                <w:vertAlign w:val="superscript"/>
              </w:rPr>
              <w:t>(1)(2)</w:t>
            </w:r>
          </w:p>
        </w:tc>
        <w:tc>
          <w:tcPr>
            <w:tcW w:w="13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0"/>
        </w:trPr>
        <w:tc>
          <w:tcPr>
            <w:tcW w:w="3580" w:type="dxa"/>
            <w:vAlign w:val="bottom"/>
            <w:gridSpan w:val="2"/>
          </w:tcPr>
          <w:p>
            <w:pPr>
              <w:spacing w:after="0"/>
              <w:rPr>
                <w:sz w:val="20"/>
                <w:szCs w:val="20"/>
                <w:color w:val="auto"/>
              </w:rPr>
            </w:pPr>
            <w:r>
              <w:rPr>
                <w:rFonts w:ascii="Arial" w:cs="Arial" w:eastAsia="Arial" w:hAnsi="Arial"/>
                <w:sz w:val="13"/>
                <w:szCs w:val="13"/>
                <w:b w:val="1"/>
                <w:bCs w:val="1"/>
                <w:color w:val="auto"/>
              </w:rPr>
              <w:t>Subordinated Debt / Corporate Notes – 2.1%</w:t>
            </w:r>
          </w:p>
        </w:tc>
        <w:tc>
          <w:tcPr>
            <w:tcW w:w="7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95"/>
        </w:trPr>
        <w:tc>
          <w:tcPr>
            <w:tcW w:w="760" w:type="dxa"/>
            <w:vAlign w:val="bottom"/>
          </w:tcPr>
          <w:p>
            <w:pPr>
              <w:spacing w:after="0"/>
              <w:rPr>
                <w:sz w:val="8"/>
                <w:szCs w:val="8"/>
                <w:color w:val="auto"/>
              </w:rPr>
            </w:pPr>
          </w:p>
        </w:tc>
        <w:tc>
          <w:tcPr>
            <w:tcW w:w="2820" w:type="dxa"/>
            <w:vAlign w:val="bottom"/>
          </w:tcPr>
          <w:p>
            <w:pPr>
              <w:spacing w:after="0"/>
              <w:rPr>
                <w:sz w:val="8"/>
                <w:szCs w:val="8"/>
                <w:color w:val="auto"/>
              </w:rPr>
            </w:pPr>
          </w:p>
        </w:tc>
        <w:tc>
          <w:tcPr>
            <w:tcW w:w="7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380" w:type="dxa"/>
            <w:vAlign w:val="bottom"/>
          </w:tcPr>
          <w:p>
            <w:pPr>
              <w:spacing w:after="0"/>
              <w:rPr>
                <w:sz w:val="8"/>
                <w:szCs w:val="8"/>
                <w:color w:val="auto"/>
              </w:rPr>
            </w:pPr>
          </w:p>
        </w:tc>
        <w:tc>
          <w:tcPr>
            <w:tcW w:w="2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40" w:type="dxa"/>
            <w:vAlign w:val="bottom"/>
          </w:tcPr>
          <w:p>
            <w:pPr>
              <w:spacing w:after="0"/>
              <w:rPr>
                <w:sz w:val="8"/>
                <w:szCs w:val="8"/>
                <w:color w:val="auto"/>
              </w:rPr>
            </w:pPr>
          </w:p>
        </w:tc>
        <w:tc>
          <w:tcPr>
            <w:tcW w:w="460" w:type="dxa"/>
            <w:vAlign w:val="bottom"/>
          </w:tcPr>
          <w:p>
            <w:pPr>
              <w:spacing w:after="0"/>
              <w:rPr>
                <w:sz w:val="8"/>
                <w:szCs w:val="8"/>
                <w:color w:val="auto"/>
              </w:rPr>
            </w:pPr>
          </w:p>
        </w:tc>
        <w:tc>
          <w:tcPr>
            <w:tcW w:w="5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7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38"/>
        </w:trPr>
        <w:tc>
          <w:tcPr>
            <w:tcW w:w="3580" w:type="dxa"/>
            <w:vAlign w:val="bottom"/>
            <w:gridSpan w:val="2"/>
            <w:shd w:val="clear" w:color="auto" w:fill="CCEEFF"/>
          </w:tcPr>
          <w:p>
            <w:pPr>
              <w:spacing w:after="0" w:line="138" w:lineRule="exact"/>
              <w:rPr>
                <w:sz w:val="20"/>
                <w:szCs w:val="20"/>
                <w:color w:val="auto"/>
              </w:rPr>
            </w:pPr>
            <w:r>
              <w:rPr>
                <w:rFonts w:ascii="Arial" w:cs="Arial" w:eastAsia="Arial" w:hAnsi="Arial"/>
                <w:sz w:val="13"/>
                <w:szCs w:val="13"/>
                <w:color w:val="auto"/>
              </w:rPr>
              <w:t>Performance Holdings, Inc.</w:t>
            </w:r>
          </w:p>
        </w:tc>
        <w:tc>
          <w:tcPr>
            <w:tcW w:w="960" w:type="dxa"/>
            <w:vAlign w:val="bottom"/>
            <w:gridSpan w:val="2"/>
            <w:shd w:val="clear" w:color="auto" w:fill="CCEEFF"/>
          </w:tcPr>
          <w:p>
            <w:pPr>
              <w:jc w:val="right"/>
              <w:ind w:right="220"/>
              <w:spacing w:after="0" w:line="138" w:lineRule="exact"/>
              <w:rPr>
                <w:sz w:val="20"/>
                <w:szCs w:val="20"/>
                <w:color w:val="auto"/>
              </w:rPr>
            </w:pPr>
            <w:r>
              <w:rPr>
                <w:rFonts w:ascii="Arial" w:cs="Arial" w:eastAsia="Arial" w:hAnsi="Arial"/>
                <w:sz w:val="13"/>
                <w:szCs w:val="13"/>
                <w:color w:val="auto"/>
              </w:rPr>
              <w:t>07/02/2014</w:t>
            </w:r>
          </w:p>
        </w:tc>
        <w:tc>
          <w:tcPr>
            <w:tcW w:w="1380" w:type="dxa"/>
            <w:vAlign w:val="bottom"/>
            <w:shd w:val="clear" w:color="auto" w:fill="CCEEFF"/>
          </w:tcPr>
          <w:p>
            <w:pPr>
              <w:jc w:val="center"/>
              <w:spacing w:after="0" w:line="138" w:lineRule="exact"/>
              <w:rPr>
                <w:sz w:val="20"/>
                <w:szCs w:val="20"/>
                <w:color w:val="auto"/>
              </w:rPr>
            </w:pPr>
            <w:r>
              <w:rPr>
                <w:rFonts w:ascii="Arial" w:cs="Arial" w:eastAsia="Arial" w:hAnsi="Arial"/>
                <w:sz w:val="13"/>
                <w:szCs w:val="13"/>
                <w:color w:val="auto"/>
                <w:w w:val="95"/>
              </w:rPr>
              <w:t>Leisure,</w:t>
            </w:r>
          </w:p>
        </w:tc>
        <w:tc>
          <w:tcPr>
            <w:tcW w:w="920" w:type="dxa"/>
            <w:vAlign w:val="bottom"/>
            <w:gridSpan w:val="3"/>
            <w:shd w:val="clear" w:color="auto" w:fill="CCEEFF"/>
          </w:tcPr>
          <w:p>
            <w:pPr>
              <w:jc w:val="right"/>
              <w:ind w:right="20"/>
              <w:spacing w:after="0" w:line="138" w:lineRule="exact"/>
              <w:rPr>
                <w:sz w:val="20"/>
                <w:szCs w:val="20"/>
                <w:color w:val="auto"/>
              </w:rPr>
            </w:pPr>
            <w:r>
              <w:rPr>
                <w:rFonts w:ascii="Arial" w:cs="Arial" w:eastAsia="Arial" w:hAnsi="Arial"/>
                <w:sz w:val="13"/>
                <w:szCs w:val="13"/>
                <w:color w:val="auto"/>
              </w:rPr>
              <w:t>14.25%</w:t>
            </w:r>
          </w:p>
        </w:tc>
        <w:tc>
          <w:tcPr>
            <w:tcW w:w="460" w:type="dxa"/>
            <w:vAlign w:val="bottom"/>
            <w:shd w:val="clear" w:color="auto" w:fill="CCEEFF"/>
          </w:tcPr>
          <w:p>
            <w:pPr>
              <w:jc w:val="right"/>
              <w:ind w:right="233"/>
              <w:spacing w:after="0" w:line="138" w:lineRule="exact"/>
              <w:rPr>
                <w:sz w:val="20"/>
                <w:szCs w:val="20"/>
                <w:color w:val="auto"/>
              </w:rPr>
            </w:pPr>
            <w:r>
              <w:rPr>
                <w:rFonts w:ascii="Arial" w:cs="Arial" w:eastAsia="Arial" w:hAnsi="Arial"/>
                <w:sz w:val="13"/>
                <w:szCs w:val="13"/>
                <w:color w:val="auto"/>
                <w:w w:val="87"/>
              </w:rPr>
              <w:t>(6)</w:t>
            </w:r>
          </w:p>
        </w:tc>
        <w:tc>
          <w:tcPr>
            <w:tcW w:w="780" w:type="dxa"/>
            <w:vAlign w:val="bottom"/>
            <w:gridSpan w:val="2"/>
            <w:shd w:val="clear" w:color="auto" w:fill="CCEEFF"/>
          </w:tcPr>
          <w:p>
            <w:pPr>
              <w:jc w:val="right"/>
              <w:ind w:right="280"/>
              <w:spacing w:after="0" w:line="138"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76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4,414,356</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60" w:type="dxa"/>
            <w:vAlign w:val="bottom"/>
            <w:gridSpan w:val="2"/>
            <w:shd w:val="clear" w:color="auto" w:fill="CCEEFF"/>
          </w:tcPr>
          <w:p>
            <w:pPr>
              <w:jc w:val="right"/>
              <w:ind w:right="220"/>
              <w:spacing w:after="0" w:line="138" w:lineRule="exact"/>
              <w:rPr>
                <w:sz w:val="20"/>
                <w:szCs w:val="20"/>
                <w:color w:val="auto"/>
              </w:rPr>
            </w:pPr>
            <w:r>
              <w:rPr>
                <w:rFonts w:ascii="Arial" w:cs="Arial" w:eastAsia="Arial" w:hAnsi="Arial"/>
                <w:sz w:val="13"/>
                <w:szCs w:val="13"/>
                <w:color w:val="auto"/>
              </w:rPr>
              <w:t>4,192,261</w:t>
            </w:r>
          </w:p>
        </w:tc>
        <w:tc>
          <w:tcPr>
            <w:tcW w:w="14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4,414,356</w:t>
            </w:r>
          </w:p>
        </w:tc>
        <w:tc>
          <w:tcPr>
            <w:tcW w:w="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760" w:type="dxa"/>
            <w:vAlign w:val="bottom"/>
            <w:shd w:val="clear" w:color="auto" w:fill="CCEEFF"/>
          </w:tcPr>
          <w:p>
            <w:pPr>
              <w:spacing w:after="0"/>
              <w:rPr>
                <w:sz w:val="12"/>
                <w:szCs w:val="12"/>
                <w:color w:val="auto"/>
              </w:rPr>
            </w:pPr>
          </w:p>
        </w:tc>
        <w:tc>
          <w:tcPr>
            <w:tcW w:w="28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3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6"/>
              </w:rPr>
              <w:t>Amusement, Motion</w:t>
            </w:r>
          </w:p>
        </w:tc>
        <w:tc>
          <w:tcPr>
            <w:tcW w:w="2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60" w:type="dxa"/>
            <w:vAlign w:val="bottom"/>
            <w:shd w:val="clear" w:color="auto" w:fill="CCEEFF"/>
          </w:tcPr>
          <w:p>
            <w:pPr>
              <w:spacing w:after="0"/>
              <w:rPr>
                <w:sz w:val="12"/>
                <w:szCs w:val="12"/>
                <w:color w:val="auto"/>
              </w:rPr>
            </w:pPr>
          </w:p>
        </w:tc>
        <w:tc>
          <w:tcPr>
            <w:tcW w:w="28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3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0"/>
              </w:rPr>
              <w:t>Pictures,</w:t>
            </w:r>
          </w:p>
        </w:tc>
        <w:tc>
          <w:tcPr>
            <w:tcW w:w="2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760" w:type="dxa"/>
            <w:vAlign w:val="bottom"/>
            <w:shd w:val="clear" w:color="auto" w:fill="CCEEFF"/>
          </w:tcPr>
          <w:p>
            <w:pPr>
              <w:spacing w:after="0"/>
              <w:rPr>
                <w:sz w:val="13"/>
                <w:szCs w:val="13"/>
                <w:color w:val="auto"/>
              </w:rPr>
            </w:pPr>
          </w:p>
        </w:tc>
        <w:tc>
          <w:tcPr>
            <w:tcW w:w="282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3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3"/>
              </w:rPr>
              <w:t>Entertainment</w:t>
            </w:r>
          </w:p>
        </w:tc>
        <w:tc>
          <w:tcPr>
            <w:tcW w:w="22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spacing w:after="0"/>
              <w:rPr>
                <w:sz w:val="13"/>
                <w:szCs w:val="13"/>
                <w:color w:val="auto"/>
              </w:rPr>
            </w:pPr>
          </w:p>
        </w:tc>
        <w:tc>
          <w:tcPr>
            <w:tcW w:w="760" w:type="dxa"/>
            <w:vAlign w:val="bottom"/>
            <w:tcBorders>
              <w:bottom w:val="single" w:sz="8" w:color="auto"/>
            </w:tcBorders>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tcBorders>
              <w:bottom w:val="single" w:sz="8" w:color="auto"/>
            </w:tcBorders>
            <w:shd w:val="clear" w:color="auto" w:fill="CCEEFF"/>
          </w:tcPr>
          <w:p>
            <w:pPr>
              <w:spacing w:after="0"/>
              <w:rPr>
                <w:sz w:val="13"/>
                <w:szCs w:val="13"/>
                <w:color w:val="auto"/>
              </w:rPr>
            </w:pPr>
          </w:p>
        </w:tc>
        <w:tc>
          <w:tcPr>
            <w:tcW w:w="740" w:type="dxa"/>
            <w:vAlign w:val="bottom"/>
            <w:tcBorders>
              <w:bottom w:val="single" w:sz="8" w:color="auto"/>
            </w:tcBorders>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spacing w:after="0"/>
              <w:rPr>
                <w:sz w:val="13"/>
                <w:szCs w:val="13"/>
                <w:color w:val="auto"/>
              </w:rPr>
            </w:pPr>
          </w:p>
        </w:tc>
        <w:tc>
          <w:tcPr>
            <w:tcW w:w="780" w:type="dxa"/>
            <w:vAlign w:val="bottom"/>
            <w:tcBorders>
              <w:bottom w:val="single" w:sz="8" w:color="auto"/>
            </w:tcBorders>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240"/>
          </w:cols>
          <w:pgMar w:left="320" w:top="459" w:right="3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206375</wp:posOffset>
            </wp:positionH>
            <wp:positionV relativeFrom="page">
              <wp:posOffset>88900</wp:posOffset>
            </wp:positionV>
            <wp:extent cx="7153275" cy="279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32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PENNANTPARK INVESTMENT CORPORATION</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SCHEDULE OF INVESTMENTS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SEPTEMBER 30, 2008</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7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8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0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86"/>
              </w:rPr>
              <w:t>Basis</w:t>
            </w: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7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0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92"/>
              </w:rPr>
              <w:t>Point</w:t>
            </w: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0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95"/>
              </w:rPr>
              <w:t>Spread</w:t>
            </w: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gridSpan w:val="2"/>
          </w:tcPr>
          <w:p>
            <w:pPr>
              <w:spacing w:after="0"/>
              <w:rPr>
                <w:sz w:val="20"/>
                <w:szCs w:val="20"/>
                <w:color w:val="auto"/>
              </w:rPr>
            </w:pPr>
            <w:r>
              <w:rPr>
                <w:rFonts w:ascii="Arial" w:cs="Arial" w:eastAsia="Arial" w:hAnsi="Arial"/>
                <w:sz w:val="13"/>
                <w:szCs w:val="13"/>
                <w:b w:val="1"/>
                <w:bCs w:val="1"/>
                <w:color w:val="auto"/>
              </w:rPr>
              <w:t>Current</w:t>
            </w:r>
          </w:p>
        </w:tc>
        <w:tc>
          <w:tcPr>
            <w:tcW w:w="70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0"/>
              </w:rPr>
              <w:t>Above</w:t>
            </w: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vMerge w:val="restart"/>
          </w:tcPr>
          <w:p>
            <w:pPr>
              <w:jc w:val="right"/>
              <w:ind w:right="194"/>
              <w:spacing w:after="0"/>
              <w:rPr>
                <w:sz w:val="20"/>
                <w:szCs w:val="20"/>
                <w:color w:val="auto"/>
              </w:rPr>
            </w:pPr>
            <w:r>
              <w:rPr>
                <w:rFonts w:ascii="Arial" w:cs="Arial" w:eastAsia="Arial" w:hAnsi="Arial"/>
                <w:sz w:val="13"/>
                <w:szCs w:val="13"/>
                <w:b w:val="1"/>
                <w:bCs w:val="1"/>
                <w:color w:val="auto"/>
              </w:rPr>
              <w:t xml:space="preserve">Value </w:t>
            </w:r>
            <w:r>
              <w:rPr>
                <w:rFonts w:ascii="Arial" w:cs="Arial" w:eastAsia="Arial" w:hAnsi="Arial"/>
                <w:sz w:val="22"/>
                <w:szCs w:val="22"/>
                <w:b w:val="1"/>
                <w:bCs w:val="1"/>
                <w:color w:val="auto"/>
                <w:vertAlign w:val="superscript"/>
              </w:rPr>
              <w:t>(3)</w:t>
            </w:r>
          </w:p>
        </w:tc>
        <w:tc>
          <w:tcPr>
            <w:tcW w:w="6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76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w w:val="95"/>
              </w:rPr>
              <w:t>Issuer Name</w:t>
            </w:r>
          </w:p>
        </w:tc>
        <w:tc>
          <w:tcPr>
            <w:tcW w:w="3240" w:type="dxa"/>
            <w:vAlign w:val="bottom"/>
            <w:gridSpan w:val="2"/>
          </w:tcPr>
          <w:p>
            <w:pPr>
              <w:spacing w:after="0"/>
              <w:rPr>
                <w:sz w:val="15"/>
                <w:szCs w:val="15"/>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Maturity</w:t>
            </w:r>
          </w:p>
        </w:tc>
        <w:tc>
          <w:tcPr>
            <w:tcW w:w="200" w:type="dxa"/>
            <w:vAlign w:val="bottom"/>
          </w:tcPr>
          <w:p>
            <w:pPr>
              <w:spacing w:after="0"/>
              <w:rPr>
                <w:sz w:val="15"/>
                <w:szCs w:val="15"/>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7"/>
              </w:rPr>
              <w:t>Industry</w:t>
            </w:r>
          </w:p>
        </w:tc>
        <w:tc>
          <w:tcPr>
            <w:tcW w:w="220" w:type="dxa"/>
            <w:vAlign w:val="bottom"/>
          </w:tcPr>
          <w:p>
            <w:pPr>
              <w:spacing w:after="0"/>
              <w:rPr>
                <w:sz w:val="15"/>
                <w:szCs w:val="15"/>
                <w:color w:val="auto"/>
              </w:rPr>
            </w:pPr>
          </w:p>
        </w:tc>
        <w:tc>
          <w:tcPr>
            <w:tcW w:w="48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w w:val="89"/>
              </w:rPr>
              <w:t>Coupon</w:t>
            </w:r>
          </w:p>
        </w:tc>
        <w:tc>
          <w:tcPr>
            <w:tcW w:w="420" w:type="dxa"/>
            <w:vAlign w:val="bottom"/>
          </w:tcPr>
          <w:p>
            <w:pPr>
              <w:spacing w:after="0"/>
              <w:rPr>
                <w:sz w:val="15"/>
                <w:szCs w:val="15"/>
                <w:color w:val="auto"/>
              </w:rPr>
            </w:pPr>
          </w:p>
        </w:tc>
        <w:tc>
          <w:tcPr>
            <w:tcW w:w="480" w:type="dxa"/>
            <w:vAlign w:val="bottom"/>
            <w:tcBorders>
              <w:bottom w:val="single" w:sz="8" w:color="auto"/>
            </w:tcBorders>
          </w:tcPr>
          <w:p>
            <w:pPr>
              <w:jc w:val="center"/>
              <w:spacing w:after="0" w:line="176" w:lineRule="exact"/>
              <w:rPr>
                <w:sz w:val="20"/>
                <w:szCs w:val="20"/>
                <w:color w:val="auto"/>
              </w:rPr>
            </w:pPr>
            <w:r>
              <w:rPr>
                <w:rFonts w:ascii="Arial" w:cs="Arial" w:eastAsia="Arial" w:hAnsi="Arial"/>
                <w:sz w:val="12"/>
                <w:szCs w:val="12"/>
                <w:b w:val="1"/>
                <w:bCs w:val="1"/>
                <w:color w:val="auto"/>
                <w:w w:val="96"/>
              </w:rPr>
              <w:t>Index</w:t>
            </w:r>
            <w:r>
              <w:rPr>
                <w:rFonts w:ascii="Arial" w:cs="Arial" w:eastAsia="Arial" w:hAnsi="Arial"/>
                <w:sz w:val="20"/>
                <w:szCs w:val="20"/>
                <w:b w:val="1"/>
                <w:bCs w:val="1"/>
                <w:color w:val="auto"/>
                <w:w w:val="96"/>
                <w:vertAlign w:val="superscript"/>
              </w:rPr>
              <w:t>(4)</w:t>
            </w:r>
          </w:p>
        </w:tc>
        <w:tc>
          <w:tcPr>
            <w:tcW w:w="2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center"/>
              <w:ind w:right="21"/>
              <w:spacing w:after="0"/>
              <w:rPr>
                <w:sz w:val="20"/>
                <w:szCs w:val="20"/>
                <w:color w:val="auto"/>
              </w:rPr>
            </w:pPr>
            <w:r>
              <w:rPr>
                <w:rFonts w:ascii="Arial" w:cs="Arial" w:eastAsia="Arial" w:hAnsi="Arial"/>
                <w:sz w:val="13"/>
                <w:szCs w:val="13"/>
                <w:b w:val="1"/>
                <w:bCs w:val="1"/>
                <w:color w:val="auto"/>
                <w:w w:val="95"/>
              </w:rPr>
              <w:t>Par</w:t>
            </w:r>
          </w:p>
        </w:tc>
        <w:tc>
          <w:tcPr>
            <w:tcW w:w="2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275"/>
              <w:spacing w:after="0"/>
              <w:rPr>
                <w:sz w:val="20"/>
                <w:szCs w:val="20"/>
                <w:color w:val="auto"/>
              </w:rPr>
            </w:pPr>
            <w:r>
              <w:rPr>
                <w:rFonts w:ascii="Arial" w:cs="Arial" w:eastAsia="Arial" w:hAnsi="Arial"/>
                <w:sz w:val="13"/>
                <w:szCs w:val="13"/>
                <w:b w:val="1"/>
                <w:bCs w:val="1"/>
                <w:color w:val="auto"/>
              </w:rPr>
              <w:t>Cost</w:t>
            </w:r>
          </w:p>
        </w:tc>
        <w:tc>
          <w:tcPr>
            <w:tcW w:w="22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vMerge w:val="continue"/>
          </w:tcPr>
          <w:p>
            <w:pPr>
              <w:spacing w:after="0"/>
              <w:rPr>
                <w:sz w:val="15"/>
                <w:szCs w:val="15"/>
                <w:color w:val="auto"/>
              </w:rPr>
            </w:pPr>
          </w:p>
        </w:tc>
        <w:tc>
          <w:tcPr>
            <w:tcW w:w="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400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Second Lien Secured Debt – 4.0%</w:t>
            </w: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16"/>
        </w:trPr>
        <w:tc>
          <w:tcPr>
            <w:tcW w:w="4000" w:type="dxa"/>
            <w:vAlign w:val="bottom"/>
            <w:gridSpan w:val="3"/>
          </w:tcPr>
          <w:p>
            <w:pPr>
              <w:spacing w:after="0"/>
              <w:rPr>
                <w:sz w:val="20"/>
                <w:szCs w:val="20"/>
                <w:color w:val="auto"/>
              </w:rPr>
            </w:pPr>
            <w:r>
              <w:rPr>
                <w:rFonts w:ascii="Arial" w:cs="Arial" w:eastAsia="Arial" w:hAnsi="Arial"/>
                <w:sz w:val="18"/>
                <w:szCs w:val="18"/>
                <w:color w:val="auto"/>
              </w:rPr>
              <w:t>Performance, Inc.</w:t>
            </w:r>
          </w:p>
        </w:tc>
        <w:tc>
          <w:tcPr>
            <w:tcW w:w="820" w:type="dxa"/>
            <w:vAlign w:val="bottom"/>
          </w:tcPr>
          <w:p>
            <w:pPr>
              <w:jc w:val="right"/>
              <w:spacing w:after="0"/>
              <w:rPr>
                <w:sz w:val="20"/>
                <w:szCs w:val="20"/>
                <w:color w:val="auto"/>
              </w:rPr>
            </w:pPr>
            <w:r>
              <w:rPr>
                <w:rFonts w:ascii="Arial" w:cs="Arial" w:eastAsia="Arial" w:hAnsi="Arial"/>
                <w:sz w:val="18"/>
                <w:szCs w:val="18"/>
                <w:color w:val="auto"/>
                <w:w w:val="86"/>
              </w:rPr>
              <w:t>07/02/2013</w:t>
            </w:r>
          </w:p>
        </w:tc>
        <w:tc>
          <w:tcPr>
            <w:tcW w:w="200" w:type="dxa"/>
            <w:vAlign w:val="bottom"/>
          </w:tcPr>
          <w:p>
            <w:pPr>
              <w:spacing w:after="0"/>
              <w:rPr>
                <w:sz w:val="24"/>
                <w:szCs w:val="24"/>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w w:val="90"/>
              </w:rPr>
              <w:t>Leisure,</w:t>
            </w:r>
          </w:p>
        </w:tc>
        <w:tc>
          <w:tcPr>
            <w:tcW w:w="1120" w:type="dxa"/>
            <w:vAlign w:val="bottom"/>
            <w:gridSpan w:val="3"/>
          </w:tcPr>
          <w:p>
            <w:pPr>
              <w:jc w:val="right"/>
              <w:ind w:right="280"/>
              <w:spacing w:after="0"/>
              <w:rPr>
                <w:sz w:val="20"/>
                <w:szCs w:val="20"/>
                <w:color w:val="auto"/>
              </w:rPr>
            </w:pPr>
            <w:r>
              <w:rPr>
                <w:rFonts w:ascii="Arial" w:cs="Arial" w:eastAsia="Arial" w:hAnsi="Arial"/>
                <w:sz w:val="18"/>
                <w:szCs w:val="18"/>
                <w:color w:val="auto"/>
              </w:rPr>
              <w:t>8.55%</w:t>
            </w:r>
          </w:p>
        </w:tc>
        <w:tc>
          <w:tcPr>
            <w:tcW w:w="700" w:type="dxa"/>
            <w:vAlign w:val="bottom"/>
            <w:gridSpan w:val="2"/>
          </w:tcPr>
          <w:p>
            <w:pPr>
              <w:jc w:val="center"/>
              <w:ind w:right="200"/>
              <w:spacing w:after="0"/>
              <w:rPr>
                <w:sz w:val="20"/>
                <w:szCs w:val="20"/>
                <w:color w:val="auto"/>
              </w:rPr>
            </w:pPr>
            <w:r>
              <w:rPr>
                <w:rFonts w:ascii="Arial" w:cs="Arial" w:eastAsia="Arial" w:hAnsi="Arial"/>
                <w:sz w:val="18"/>
                <w:szCs w:val="18"/>
                <w:color w:val="auto"/>
                <w:w w:val="90"/>
              </w:rPr>
              <w:t>L+575</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w w:val="94"/>
              </w:rPr>
              <w:t>8,750,000</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8,750,000</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8,347,500</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7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w w:val="89"/>
              </w:rPr>
              <w:t>Amusement,</w:t>
            </w: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w w:val="92"/>
              </w:rPr>
              <w:t>Motion</w:t>
            </w: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w w:val="88"/>
              </w:rPr>
              <w:t>Pictures,</w:t>
            </w: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8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w w:val="87"/>
              </w:rPr>
              <w:t>Entertainment</w:t>
            </w:r>
          </w:p>
        </w:tc>
        <w:tc>
          <w:tcPr>
            <w:tcW w:w="2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2"/>
        </w:trPr>
        <w:tc>
          <w:tcPr>
            <w:tcW w:w="7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gridSpan w:val="2"/>
          </w:tcPr>
          <w:p>
            <w:pPr>
              <w:jc w:val="center"/>
              <w:ind w:right="320"/>
              <w:spacing w:after="0"/>
              <w:rPr>
                <w:sz w:val="20"/>
                <w:szCs w:val="20"/>
                <w:color w:val="auto"/>
              </w:rPr>
            </w:pPr>
            <w:r>
              <w:rPr>
                <w:rFonts w:ascii="Arial" w:cs="Arial" w:eastAsia="Arial" w:hAnsi="Arial"/>
                <w:sz w:val="13"/>
                <w:szCs w:val="13"/>
                <w:b w:val="1"/>
                <w:bCs w:val="1"/>
                <w:color w:val="auto"/>
                <w:w w:val="92"/>
              </w:rPr>
              <w:t>Shares</w:t>
            </w: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4000" w:type="dxa"/>
            <w:vAlign w:val="bottom"/>
            <w:gridSpan w:val="3"/>
            <w:shd w:val="clear" w:color="auto" w:fill="CCEEFF"/>
          </w:tcPr>
          <w:p>
            <w:pPr>
              <w:spacing w:after="0" w:line="209" w:lineRule="exact"/>
              <w:rPr>
                <w:sz w:val="20"/>
                <w:szCs w:val="20"/>
                <w:color w:val="auto"/>
              </w:rPr>
            </w:pPr>
            <w:r>
              <w:rPr>
                <w:rFonts w:ascii="Arial" w:cs="Arial" w:eastAsia="Arial" w:hAnsi="Arial"/>
                <w:sz w:val="18"/>
                <w:szCs w:val="18"/>
                <w:b w:val="1"/>
                <w:bCs w:val="1"/>
                <w:color w:val="auto"/>
              </w:rPr>
              <w:t>Common Equity/Partnership Interest</w:t>
            </w:r>
            <w:r>
              <w:rPr>
                <w:rFonts w:ascii="Arial" w:cs="Arial" w:eastAsia="Arial" w:hAnsi="Arial"/>
                <w:sz w:val="22"/>
                <w:szCs w:val="22"/>
                <w:b w:val="1"/>
                <w:bCs w:val="1"/>
                <w:color w:val="auto"/>
                <w:vertAlign w:val="superscript"/>
              </w:rPr>
              <w:t>(7)</w:t>
            </w:r>
            <w:r>
              <w:rPr>
                <w:rFonts w:ascii="Arial" w:cs="Arial" w:eastAsia="Arial" w:hAnsi="Arial"/>
                <w:sz w:val="18"/>
                <w:szCs w:val="18"/>
                <w:b w:val="1"/>
                <w:bCs w:val="1"/>
                <w:color w:val="auto"/>
              </w:rPr>
              <w:t xml:space="preserve"> – 2.4%</w:t>
            </w: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16"/>
        </w:trPr>
        <w:tc>
          <w:tcPr>
            <w:tcW w:w="4000" w:type="dxa"/>
            <w:vAlign w:val="bottom"/>
            <w:gridSpan w:val="3"/>
          </w:tcPr>
          <w:p>
            <w:pPr>
              <w:spacing w:after="0"/>
              <w:rPr>
                <w:sz w:val="20"/>
                <w:szCs w:val="20"/>
                <w:color w:val="auto"/>
              </w:rPr>
            </w:pPr>
            <w:r>
              <w:rPr>
                <w:rFonts w:ascii="Arial" w:cs="Arial" w:eastAsia="Arial" w:hAnsi="Arial"/>
                <w:sz w:val="18"/>
                <w:szCs w:val="18"/>
                <w:color w:val="auto"/>
              </w:rPr>
              <w:t>NCP-Performance</w:t>
            </w:r>
          </w:p>
        </w:tc>
        <w:tc>
          <w:tcPr>
            <w:tcW w:w="820" w:type="dxa"/>
            <w:vAlign w:val="bottom"/>
          </w:tcPr>
          <w:p>
            <w:pPr>
              <w:ind w:left="5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4"/>
                <w:szCs w:val="24"/>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w w:val="90"/>
              </w:rPr>
              <w:t>Leisure,</w:t>
            </w:r>
          </w:p>
        </w:tc>
        <w:tc>
          <w:tcPr>
            <w:tcW w:w="220" w:type="dxa"/>
            <w:vAlign w:val="bottom"/>
          </w:tcPr>
          <w:p>
            <w:pPr>
              <w:spacing w:after="0"/>
              <w:rPr>
                <w:sz w:val="24"/>
                <w:szCs w:val="24"/>
                <w:color w:val="auto"/>
              </w:rPr>
            </w:pPr>
          </w:p>
        </w:tc>
        <w:tc>
          <w:tcPr>
            <w:tcW w:w="90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70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37,500</w:t>
            </w:r>
          </w:p>
        </w:tc>
        <w:tc>
          <w:tcPr>
            <w:tcW w:w="100" w:type="dxa"/>
            <w:vAlign w:val="bottom"/>
          </w:tcPr>
          <w:p>
            <w:pPr>
              <w:spacing w:after="0"/>
              <w:rPr>
                <w:sz w:val="24"/>
                <w:szCs w:val="24"/>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3,750,000</w:t>
            </w:r>
          </w:p>
        </w:tc>
        <w:tc>
          <w:tcPr>
            <w:tcW w:w="8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5,124,014</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000" w:type="dxa"/>
            <w:vAlign w:val="bottom"/>
            <w:gridSpan w:val="3"/>
          </w:tcPr>
          <w:p>
            <w:pPr>
              <w:spacing w:after="0"/>
              <w:rPr>
                <w:sz w:val="20"/>
                <w:szCs w:val="20"/>
                <w:color w:val="auto"/>
              </w:rPr>
            </w:pPr>
            <w:r>
              <w:rPr>
                <w:rFonts w:ascii="Arial" w:cs="Arial" w:eastAsia="Arial" w:hAnsi="Arial"/>
                <w:sz w:val="18"/>
                <w:szCs w:val="18"/>
                <w:color w:val="auto"/>
              </w:rPr>
              <w:t>(Performance Holdings, Inc.)</w:t>
            </w: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w w:val="89"/>
              </w:rPr>
              <w:t>Amusement,</w:t>
            </w: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w w:val="92"/>
              </w:rPr>
              <w:t>Motion</w:t>
            </w: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w w:val="88"/>
              </w:rPr>
              <w:t>Pictures,</w:t>
            </w: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8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w w:val="87"/>
              </w:rPr>
              <w:t>Entertainment</w:t>
            </w:r>
          </w:p>
        </w:tc>
        <w:tc>
          <w:tcPr>
            <w:tcW w:w="2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6"/>
        </w:trPr>
        <w:tc>
          <w:tcPr>
            <w:tcW w:w="7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8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4820" w:type="dxa"/>
            <w:vAlign w:val="bottom"/>
            <w:gridSpan w:val="4"/>
            <w:shd w:val="clear" w:color="auto" w:fill="CCEEFF"/>
          </w:tcPr>
          <w:p>
            <w:pPr>
              <w:spacing w:after="0"/>
              <w:rPr>
                <w:sz w:val="20"/>
                <w:szCs w:val="20"/>
                <w:color w:val="auto"/>
              </w:rPr>
            </w:pPr>
            <w:r>
              <w:rPr>
                <w:rFonts w:ascii="Arial" w:cs="Arial" w:eastAsia="Arial" w:hAnsi="Arial"/>
                <w:sz w:val="18"/>
                <w:szCs w:val="18"/>
                <w:b w:val="1"/>
                <w:bCs w:val="1"/>
                <w:color w:val="auto"/>
                <w:w w:val="90"/>
              </w:rPr>
              <w:t>Investments in Non-Controlled, Affiliated Portfolio Companies</w:t>
            </w: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16,692,261</w:t>
            </w:r>
          </w:p>
        </w:tc>
        <w:tc>
          <w:tcPr>
            <w:tcW w:w="2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17,885,870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9"/>
        </w:trPr>
        <w:tc>
          <w:tcPr>
            <w:tcW w:w="4000" w:type="dxa"/>
            <w:vAlign w:val="bottom"/>
            <w:gridSpan w:val="3"/>
          </w:tcPr>
          <w:p>
            <w:pPr>
              <w:spacing w:after="0"/>
              <w:rPr>
                <w:sz w:val="20"/>
                <w:szCs w:val="20"/>
                <w:color w:val="auto"/>
              </w:rPr>
            </w:pPr>
            <w:r>
              <w:rPr>
                <w:rFonts w:ascii="Arial" w:cs="Arial" w:eastAsia="Arial" w:hAnsi="Arial"/>
                <w:sz w:val="18"/>
                <w:szCs w:val="18"/>
                <w:b w:val="1"/>
                <w:bCs w:val="1"/>
                <w:color w:val="auto"/>
              </w:rPr>
              <w:t>Total Investments – 176.6%</w:t>
            </w: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w w:val="85"/>
              </w:rPr>
              <w:t>444,174,006</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w w:val="93"/>
              </w:rPr>
              <w:t>372,147,820</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gridSpan w:val="2"/>
            <w:vMerge w:val="restart"/>
          </w:tcPr>
          <w:p>
            <w:pPr>
              <w:jc w:val="center"/>
              <w:ind w:right="320"/>
              <w:spacing w:after="0"/>
              <w:rPr>
                <w:sz w:val="20"/>
                <w:szCs w:val="20"/>
                <w:color w:val="auto"/>
              </w:rPr>
            </w:pPr>
            <w:r>
              <w:rPr>
                <w:rFonts w:ascii="Arial" w:cs="Arial" w:eastAsia="Arial" w:hAnsi="Arial"/>
                <w:sz w:val="13"/>
                <w:szCs w:val="13"/>
                <w:b w:val="1"/>
                <w:bCs w:val="1"/>
                <w:color w:val="auto"/>
                <w:w w:val="95"/>
              </w:rPr>
              <w:t>Par</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1"/>
        </w:trPr>
        <w:tc>
          <w:tcPr>
            <w:tcW w:w="7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gridSpan w:val="2"/>
            <w:vMerge w:val="continue"/>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400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Cash Equivalents – 19.1%</w:t>
            </w: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4000" w:type="dxa"/>
            <w:vAlign w:val="bottom"/>
            <w:gridSpan w:val="3"/>
          </w:tcPr>
          <w:p>
            <w:pPr>
              <w:spacing w:after="0"/>
              <w:rPr>
                <w:sz w:val="20"/>
                <w:szCs w:val="20"/>
                <w:color w:val="auto"/>
              </w:rPr>
            </w:pPr>
            <w:r>
              <w:rPr>
                <w:rFonts w:ascii="Arial" w:cs="Arial" w:eastAsia="Arial" w:hAnsi="Arial"/>
                <w:sz w:val="18"/>
                <w:szCs w:val="18"/>
                <w:color w:val="auto"/>
              </w:rPr>
              <w:t>Money Market – Mutual Funds</w:t>
            </w: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70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w w:val="84"/>
              </w:rPr>
              <w:t>40,249,201</w:t>
            </w:r>
          </w:p>
        </w:tc>
        <w:tc>
          <w:tcPr>
            <w:tcW w:w="100" w:type="dxa"/>
            <w:vAlign w:val="bottom"/>
          </w:tcPr>
          <w:p>
            <w:pPr>
              <w:spacing w:after="0"/>
              <w:rPr>
                <w:sz w:val="24"/>
                <w:szCs w:val="24"/>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w w:val="95"/>
              </w:rPr>
              <w:t>40,249,201</w:t>
            </w:r>
          </w:p>
        </w:tc>
        <w:tc>
          <w:tcPr>
            <w:tcW w:w="8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40,249,201</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6"/>
        </w:trPr>
        <w:tc>
          <w:tcPr>
            <w:tcW w:w="7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8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960" w:type="dxa"/>
            <w:vAlign w:val="bottom"/>
            <w:tcBorders>
              <w:top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400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Total Cash Equivalents</w:t>
            </w: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4"/>
              </w:rPr>
              <w:t>40,249,201</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5"/>
              </w:rPr>
              <w:t>40,249,201</w:t>
            </w: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40,249,201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30"/>
        </w:trPr>
        <w:tc>
          <w:tcPr>
            <w:tcW w:w="4000" w:type="dxa"/>
            <w:vAlign w:val="bottom"/>
            <w:gridSpan w:val="3"/>
          </w:tcPr>
          <w:p>
            <w:pPr>
              <w:spacing w:after="0"/>
              <w:rPr>
                <w:sz w:val="20"/>
                <w:szCs w:val="20"/>
                <w:color w:val="auto"/>
              </w:rPr>
            </w:pPr>
            <w:r>
              <w:rPr>
                <w:rFonts w:ascii="Arial" w:cs="Arial" w:eastAsia="Arial" w:hAnsi="Arial"/>
                <w:sz w:val="18"/>
                <w:szCs w:val="18"/>
                <w:b w:val="1"/>
                <w:bCs w:val="1"/>
                <w:color w:val="auto"/>
                <w:w w:val="93"/>
              </w:rPr>
              <w:t>Total Investments and Cash Equivalents – 195.7%</w:t>
            </w: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5"/>
              </w:rPr>
              <w:t>484,423,207</w:t>
            </w:r>
          </w:p>
        </w:tc>
        <w:tc>
          <w:tcPr>
            <w:tcW w:w="220" w:type="dxa"/>
            <w:vAlign w:val="bottom"/>
          </w:tcPr>
          <w:p>
            <w:pPr>
              <w:spacing w:after="0"/>
              <w:rPr>
                <w:sz w:val="24"/>
                <w:szCs w:val="24"/>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412,397,021</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760" w:type="dxa"/>
            <w:vAlign w:val="bottom"/>
          </w:tcPr>
          <w:p>
            <w:pPr>
              <w:spacing w:after="0"/>
              <w:rPr>
                <w:sz w:val="8"/>
                <w:szCs w:val="8"/>
                <w:color w:val="auto"/>
              </w:rPr>
            </w:pPr>
          </w:p>
        </w:tc>
        <w:tc>
          <w:tcPr>
            <w:tcW w:w="360" w:type="dxa"/>
            <w:vAlign w:val="bottom"/>
          </w:tcPr>
          <w:p>
            <w:pPr>
              <w:spacing w:after="0"/>
              <w:rPr>
                <w:sz w:val="8"/>
                <w:szCs w:val="8"/>
                <w:color w:val="auto"/>
              </w:rPr>
            </w:pPr>
          </w:p>
        </w:tc>
        <w:tc>
          <w:tcPr>
            <w:tcW w:w="288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220" w:type="dxa"/>
            <w:vAlign w:val="bottom"/>
          </w:tcPr>
          <w:p>
            <w:pPr>
              <w:spacing w:after="0"/>
              <w:rPr>
                <w:sz w:val="8"/>
                <w:szCs w:val="8"/>
                <w:color w:val="auto"/>
              </w:rPr>
            </w:pPr>
          </w:p>
        </w:tc>
        <w:tc>
          <w:tcPr>
            <w:tcW w:w="480" w:type="dxa"/>
            <w:vAlign w:val="bottom"/>
          </w:tcPr>
          <w:p>
            <w:pPr>
              <w:spacing w:after="0"/>
              <w:rPr>
                <w:sz w:val="8"/>
                <w:szCs w:val="8"/>
                <w:color w:val="auto"/>
              </w:rPr>
            </w:pPr>
          </w:p>
        </w:tc>
        <w:tc>
          <w:tcPr>
            <w:tcW w:w="420" w:type="dxa"/>
            <w:vAlign w:val="bottom"/>
          </w:tcPr>
          <w:p>
            <w:pPr>
              <w:spacing w:after="0"/>
              <w:rPr>
                <w:sz w:val="8"/>
                <w:szCs w:val="8"/>
                <w:color w:val="auto"/>
              </w:rPr>
            </w:pPr>
          </w:p>
        </w:tc>
        <w:tc>
          <w:tcPr>
            <w:tcW w:w="4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8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9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400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Liabilities in Excess of Other Assets – (95.7%)</w:t>
            </w: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(201,668,761)</w:t>
            </w:r>
          </w:p>
        </w:tc>
        <w:tc>
          <w:tcPr>
            <w:tcW w:w="0" w:type="dxa"/>
            <w:vAlign w:val="bottom"/>
          </w:tcPr>
          <w:p>
            <w:pPr>
              <w:spacing w:after="0"/>
              <w:rPr>
                <w:sz w:val="1"/>
                <w:szCs w:val="1"/>
                <w:color w:val="auto"/>
              </w:rPr>
            </w:pPr>
          </w:p>
        </w:tc>
      </w:tr>
      <w:tr>
        <w:trPr>
          <w:trHeight w:val="330"/>
        </w:trPr>
        <w:tc>
          <w:tcPr>
            <w:tcW w:w="4000" w:type="dxa"/>
            <w:vAlign w:val="bottom"/>
            <w:gridSpan w:val="3"/>
          </w:tcPr>
          <w:p>
            <w:pPr>
              <w:spacing w:after="0"/>
              <w:rPr>
                <w:sz w:val="20"/>
                <w:szCs w:val="20"/>
                <w:color w:val="auto"/>
              </w:rPr>
            </w:pPr>
            <w:r>
              <w:rPr>
                <w:rFonts w:ascii="Arial" w:cs="Arial" w:eastAsia="Arial" w:hAnsi="Arial"/>
                <w:sz w:val="18"/>
                <w:szCs w:val="18"/>
                <w:b w:val="1"/>
                <w:bCs w:val="1"/>
                <w:color w:val="auto"/>
              </w:rPr>
              <w:t>Net Assets – 100.0%</w:t>
            </w: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210,728,260</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76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288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220" w:type="dxa"/>
            <w:vAlign w:val="bottom"/>
          </w:tcPr>
          <w:p>
            <w:pPr>
              <w:spacing w:after="0"/>
              <w:rPr>
                <w:sz w:val="8"/>
                <w:szCs w:val="8"/>
                <w:color w:val="auto"/>
              </w:rPr>
            </w:pPr>
          </w:p>
        </w:tc>
        <w:tc>
          <w:tcPr>
            <w:tcW w:w="480" w:type="dxa"/>
            <w:vAlign w:val="bottom"/>
          </w:tcPr>
          <w:p>
            <w:pPr>
              <w:spacing w:after="0"/>
              <w:rPr>
                <w:sz w:val="8"/>
                <w:szCs w:val="8"/>
                <w:color w:val="auto"/>
              </w:rPr>
            </w:pPr>
          </w:p>
        </w:tc>
        <w:tc>
          <w:tcPr>
            <w:tcW w:w="420" w:type="dxa"/>
            <w:vAlign w:val="bottom"/>
          </w:tcPr>
          <w:p>
            <w:pPr>
              <w:spacing w:after="0"/>
              <w:rPr>
                <w:sz w:val="8"/>
                <w:szCs w:val="8"/>
                <w:color w:val="auto"/>
              </w:rPr>
            </w:pPr>
          </w:p>
        </w:tc>
        <w:tc>
          <w:tcPr>
            <w:tcW w:w="4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8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9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right="80" w:hanging="452"/>
        <w:spacing w:after="0" w:line="254" w:lineRule="auto"/>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As used in this Schedule of Investments and in accordance with the Investment Company Act of 1940 (the “1940 Act”) “non-controlled” means we own less than 25% of a portfolio company’s voting securities.</w:t>
      </w:r>
    </w:p>
    <w:p>
      <w:pPr>
        <w:ind w:left="460" w:right="420" w:hanging="452"/>
        <w:spacing w:after="0" w:line="250" w:lineRule="auto"/>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As used in this Schedule of Investments and in accordance with the 1940 Act “non-affiliated” means we own less than 5% of a portfolio company’s voting securities and “affiliated” means that we own more than 5% of a portfolio company’s voting securities.</w:t>
      </w:r>
    </w:p>
    <w:p>
      <w:pPr>
        <w:ind w:left="460" w:hanging="452"/>
        <w:spacing w:after="0"/>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Valued based on our accounting policy (see Note 2 to our financial statements).</w:t>
      </w:r>
    </w:p>
    <w:p>
      <w:pPr>
        <w:spacing w:after="0" w:line="9" w:lineRule="exact"/>
        <w:rPr>
          <w:rFonts w:ascii="Arial" w:cs="Arial" w:eastAsia="Arial" w:hAnsi="Arial"/>
          <w:sz w:val="18"/>
          <w:szCs w:val="18"/>
          <w:color w:val="auto"/>
        </w:rPr>
      </w:pPr>
    </w:p>
    <w:p>
      <w:pPr>
        <w:ind w:left="460" w:right="200" w:hanging="452"/>
        <w:spacing w:after="0" w:line="250" w:lineRule="auto"/>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Represents floating rate instruments that accrue interest at a predetermined spread relative to an index, typically the applicable London Interbank Offer Rate (LIBOR or “L”) or Prime Rate (Prime or “P”).</w:t>
      </w:r>
    </w:p>
    <w:p>
      <w:pPr>
        <w:ind w:left="460" w:right="140" w:hanging="452"/>
        <w:spacing w:after="0" w:line="250" w:lineRule="auto"/>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Security is exempt from registration under Rule 144A promulgated under the Securities Act of 1933. The security may be resold in transactions that are exempt from registration, normally to qualified institutional buyers.</w:t>
      </w:r>
    </w:p>
    <w:p>
      <w:pPr>
        <w:ind w:left="460" w:hanging="452"/>
        <w:spacing w:after="0"/>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Coupon payable in cash and/or payment-in-kind (“PIK”).</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Non-income producing.</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LIBOR floor applies.</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240"/>
          </w:cols>
          <w:pgMar w:left="320" w:top="459" w:right="3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206375</wp:posOffset>
            </wp:positionH>
            <wp:positionV relativeFrom="page">
              <wp:posOffset>88900</wp:posOffset>
            </wp:positionV>
            <wp:extent cx="7153275" cy="279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32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PENNANTPARK INVESTMENT CORPORATION</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MARCH 31, 2009</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ORGANIZATION</w:t>
      </w:r>
    </w:p>
    <w:p>
      <w:pPr>
        <w:spacing w:after="0" w:line="96" w:lineRule="exact"/>
        <w:rPr>
          <w:sz w:val="20"/>
          <w:szCs w:val="20"/>
          <w:color w:val="auto"/>
        </w:rPr>
      </w:pPr>
    </w:p>
    <w:p>
      <w:pPr>
        <w:ind w:right="320" w:firstLine="449"/>
        <w:spacing w:after="0" w:line="306" w:lineRule="auto"/>
        <w:rPr>
          <w:sz w:val="20"/>
          <w:szCs w:val="20"/>
          <w:color w:val="auto"/>
        </w:rPr>
      </w:pPr>
      <w:r>
        <w:rPr>
          <w:rFonts w:ascii="Arial" w:cs="Arial" w:eastAsia="Arial" w:hAnsi="Arial"/>
          <w:sz w:val="16"/>
          <w:szCs w:val="16"/>
          <w:color w:val="auto"/>
        </w:rPr>
        <w:t>PennantPark Investment Corporation (“PennantPark Investment” or “Company”) was organized as a Maryland corporation on January 11, 2007. PennantPark Investment’s objective is to generate both current income and capital appreciation through debt and equity investments. The Company invests primarily in U.S. middle-market companies in the form of mezzanine debt, senior secured loans and equity investments.</w:t>
      </w:r>
    </w:p>
    <w:p>
      <w:pPr>
        <w:spacing w:after="0" w:line="106" w:lineRule="exact"/>
        <w:rPr>
          <w:sz w:val="20"/>
          <w:szCs w:val="20"/>
          <w:color w:val="auto"/>
        </w:rPr>
      </w:pPr>
    </w:p>
    <w:p>
      <w:pPr>
        <w:ind w:firstLine="449"/>
        <w:spacing w:after="0" w:line="253" w:lineRule="auto"/>
        <w:rPr>
          <w:sz w:val="20"/>
          <w:szCs w:val="20"/>
          <w:color w:val="auto"/>
        </w:rPr>
      </w:pPr>
      <w:r>
        <w:rPr>
          <w:rFonts w:ascii="Arial" w:cs="Arial" w:eastAsia="Arial" w:hAnsi="Arial"/>
          <w:sz w:val="18"/>
          <w:szCs w:val="18"/>
          <w:color w:val="auto"/>
        </w:rPr>
        <w:t>On April 24, 2007 PennantPark Investment closed its initial public offering and sold 20,000,000 shares of common stock at a price of $15.00 per share, resulting in net proceeds of $279.6 million. Also, on April 24, 2007 PennantPark Investment closed a private placement to officers, directors, PennantPark Investment Advisers, LLC (the “Investment Adviser” or “PennantPark Investment Advisers”) and managers of the Investment Adviser, pursuant to Regulation D promulgated under the Securities Act of 1933, and issued an additional 320,000 shares of common stock at a price of $15.00 per share, resulting in net proceeds of $4.8 million. On May 21, 2007, the underwriters of the initial public offering exercised their over-allotment option under the Underwriting Agreement, by and among the Company and the underwriters, and elected to purchase 625,000 shares of common stock at a price of $15.00 per share, resulting in net proceeds of $8.8 million.</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SIGNIFICANT ACCOUNTING POLICIES</w:t>
      </w:r>
    </w:p>
    <w:p>
      <w:pPr>
        <w:spacing w:after="0" w:line="96" w:lineRule="exact"/>
        <w:rPr>
          <w:sz w:val="20"/>
          <w:szCs w:val="20"/>
          <w:color w:val="auto"/>
        </w:rPr>
      </w:pPr>
    </w:p>
    <w:p>
      <w:pPr>
        <w:ind w:right="360" w:firstLine="449"/>
        <w:spacing w:after="0" w:line="256" w:lineRule="auto"/>
        <w:rPr>
          <w:sz w:val="20"/>
          <w:szCs w:val="20"/>
          <w:color w:val="auto"/>
        </w:rPr>
      </w:pPr>
      <w:r>
        <w:rPr>
          <w:rFonts w:ascii="Arial" w:cs="Arial" w:eastAsia="Arial" w:hAnsi="Arial"/>
          <w:sz w:val="18"/>
          <w:szCs w:val="18"/>
          <w:color w:val="auto"/>
        </w:rPr>
        <w:t>The accompanying financial statements are prepared in accordance with accounting principles generally accepted in the United States of America (“GAAP”). In the opinion of management, all adjustments, consisting solely of normal recurring accruals, considered necessary for the fair presentation of financial statements for the interim periods, have been included. The results of operations for interim periods are not necessarily indicative of results to be expected for the full year.</w:t>
      </w:r>
    </w:p>
    <w:p>
      <w:pPr>
        <w:spacing w:after="0" w:line="143" w:lineRule="exact"/>
        <w:rPr>
          <w:sz w:val="20"/>
          <w:szCs w:val="20"/>
          <w:color w:val="auto"/>
        </w:rPr>
      </w:pPr>
    </w:p>
    <w:p>
      <w:pPr>
        <w:ind w:right="120" w:firstLine="449"/>
        <w:spacing w:after="0" w:line="298" w:lineRule="auto"/>
        <w:rPr>
          <w:sz w:val="20"/>
          <w:szCs w:val="20"/>
          <w:color w:val="auto"/>
        </w:rPr>
      </w:pPr>
      <w:r>
        <w:rPr>
          <w:rFonts w:ascii="Arial" w:cs="Arial" w:eastAsia="Arial" w:hAnsi="Arial"/>
          <w:sz w:val="16"/>
          <w:szCs w:val="16"/>
          <w:color w:val="auto"/>
        </w:rPr>
        <w:t>Certain financial information that is normally included in annual financial statements, including certain financial statement footnotes, prepared in accordance with GAAP, is not required for interim reporting purposes and has been condensed or omitted herein. These financial statements should be read in conjunction with the Company’s financial statements and notes related thereto included in the Company’s Annual Report on Form 10-K for the year ended September 30, 2008, which was filed with the Securities and Exchange Commission (“SEC”) on November 20, 2008.</w:t>
      </w:r>
    </w:p>
    <w:p>
      <w:pPr>
        <w:spacing w:after="0" w:line="112" w:lineRule="exact"/>
        <w:rPr>
          <w:sz w:val="20"/>
          <w:szCs w:val="20"/>
          <w:color w:val="auto"/>
        </w:rPr>
      </w:pPr>
    </w:p>
    <w:p>
      <w:pPr>
        <w:ind w:right="280" w:firstLine="449"/>
        <w:spacing w:after="0" w:line="256" w:lineRule="auto"/>
        <w:rPr>
          <w:sz w:val="20"/>
          <w:szCs w:val="20"/>
          <w:color w:val="auto"/>
        </w:rPr>
      </w:pPr>
      <w:r>
        <w:rPr>
          <w:rFonts w:ascii="Arial" w:cs="Arial" w:eastAsia="Arial" w:hAnsi="Arial"/>
          <w:sz w:val="18"/>
          <w:szCs w:val="18"/>
          <w:color w:val="auto"/>
        </w:rPr>
        <w:t>The preparation of financial statements in conformity with GAAP, which requires management to make estimates and assumptions that affect the reported amount of assets and liabilities at the date of the financial statements and the reported amounts of income and expenses during the reported period. Changes in the economic environment, financial markets and any other parameters used in determining these estimates could cause actual results to differ materially.</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The significant accounting policies consistently followed by PennantPark Investment are:</w:t>
      </w:r>
    </w:p>
    <w:p>
      <w:pPr>
        <w:spacing w:after="0" w:line="90" w:lineRule="exact"/>
        <w:rPr>
          <w:sz w:val="20"/>
          <w:szCs w:val="20"/>
          <w:color w:val="auto"/>
        </w:rPr>
      </w:pPr>
    </w:p>
    <w:p>
      <w:pPr>
        <w:ind w:left="900" w:right="80" w:hanging="447"/>
        <w:spacing w:after="0" w:line="286" w:lineRule="auto"/>
        <w:tabs>
          <w:tab w:leader="none" w:pos="900" w:val="left"/>
        </w:tabs>
        <w:numPr>
          <w:ilvl w:val="0"/>
          <w:numId w:val="6"/>
        </w:numPr>
        <w:rPr>
          <w:rFonts w:ascii="Arial" w:cs="Arial" w:eastAsia="Arial" w:hAnsi="Arial"/>
          <w:sz w:val="16"/>
          <w:szCs w:val="16"/>
          <w:color w:val="auto"/>
        </w:rPr>
      </w:pPr>
      <w:r>
        <w:rPr>
          <w:rFonts w:ascii="Arial" w:cs="Arial" w:eastAsia="Arial" w:hAnsi="Arial"/>
          <w:sz w:val="16"/>
          <w:szCs w:val="16"/>
          <w:color w:val="auto"/>
        </w:rPr>
        <w:t>Security transactions are recorded on a trade-date basis. Our board of directors generally uses market quotations to assess the value of our investments for which market quotations are readily available. We obtain these market values from independent pricing services or at the bid prices obtained from at least two broker/dealers if available, otherwise by a principal market maker or a primary market dealer. If the board of directors has a bona fide reason to believe any such market quote does not reflect the fair value of an investment, it may independently value such investments by using the valuation procedure that it uses with respect to assets for which market quotations are not readily available. We expect that there will not be readily available market values for most of the investments which are or will be in our portfolio, and we value such investments at fair value as determined in good faith by or under the direction of our board of directors using a documented valuation policy, described further below, and a consistently applied valuation process. With respect to investments for which there is no readily available market value, valuation methods include, but are not limited to, comparisons of financial ratios of the portfolio companies that issued such private securities to peer companies that are public. When an external event such as a purchase transaction, public offering or subsequent equity sale occurs, we consider the pricing indicated by the external event to corroborate or revise our valuation. Due to the inherent uncertainty</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220"/>
          </w:cols>
          <w:pgMar w:left="320" w:top="459" w:right="35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206375</wp:posOffset>
            </wp:positionH>
            <wp:positionV relativeFrom="page">
              <wp:posOffset>88900</wp:posOffset>
            </wp:positionV>
            <wp:extent cx="7153275" cy="279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32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5" w:lineRule="exact"/>
        <w:rPr>
          <w:sz w:val="20"/>
          <w:szCs w:val="20"/>
          <w:color w:val="auto"/>
        </w:rPr>
      </w:pPr>
    </w:p>
    <w:p>
      <w:pPr>
        <w:ind w:left="900" w:right="380"/>
        <w:spacing w:after="0" w:line="259" w:lineRule="auto"/>
        <w:rPr>
          <w:sz w:val="20"/>
          <w:szCs w:val="20"/>
          <w:color w:val="auto"/>
        </w:rPr>
      </w:pPr>
      <w:r>
        <w:rPr>
          <w:rFonts w:ascii="Arial" w:cs="Arial" w:eastAsia="Arial" w:hAnsi="Arial"/>
          <w:sz w:val="18"/>
          <w:szCs w:val="18"/>
          <w:color w:val="auto"/>
        </w:rPr>
        <w:t>of determining the fair value of investments that do not have a readily available market value, the fair value of our investments may differ significantly from the values that would have been used had a readily available market value existed for such investments, and the differences could be material.</w:t>
      </w:r>
    </w:p>
    <w:p>
      <w:pPr>
        <w:spacing w:after="0" w:line="72" w:lineRule="exact"/>
        <w:rPr>
          <w:sz w:val="20"/>
          <w:szCs w:val="20"/>
          <w:color w:val="auto"/>
        </w:rPr>
      </w:pPr>
    </w:p>
    <w:p>
      <w:pPr>
        <w:ind w:left="460" w:right="240"/>
        <w:spacing w:after="0" w:line="331" w:lineRule="auto"/>
        <w:rPr>
          <w:sz w:val="20"/>
          <w:szCs w:val="20"/>
          <w:color w:val="auto"/>
        </w:rPr>
      </w:pPr>
      <w:r>
        <w:rPr>
          <w:rFonts w:ascii="Arial" w:cs="Arial" w:eastAsia="Arial" w:hAnsi="Arial"/>
          <w:sz w:val="16"/>
          <w:szCs w:val="16"/>
          <w:color w:val="auto"/>
        </w:rPr>
        <w:t>With respect to investments for which market quotations are not readily available or are readily available but are deemed by our board of directors not reflective of the fair value of an investment, our board of directors undertakes a multi-step valuation process each quarter, as described below:</w:t>
      </w:r>
    </w:p>
    <w:p>
      <w:pPr>
        <w:spacing w:after="0" w:line="6" w:lineRule="exact"/>
        <w:rPr>
          <w:sz w:val="20"/>
          <w:szCs w:val="20"/>
          <w:color w:val="auto"/>
        </w:rPr>
      </w:pPr>
    </w:p>
    <w:p>
      <w:pPr>
        <w:ind w:left="1460" w:hanging="561"/>
        <w:spacing w:after="0" w:line="268" w:lineRule="auto"/>
        <w:tabs>
          <w:tab w:leader="none" w:pos="1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quarterly valuation process begins with each portfolio company or investment being initially valued by the investment professionals of the Investment Adviser responsible for the portfolio investment;</w:t>
      </w:r>
    </w:p>
    <w:p>
      <w:pPr>
        <w:spacing w:after="0" w:line="50" w:lineRule="exact"/>
        <w:rPr>
          <w:rFonts w:ascii="Arial" w:cs="Arial" w:eastAsia="Arial" w:hAnsi="Arial"/>
          <w:sz w:val="18"/>
          <w:szCs w:val="18"/>
          <w:color w:val="auto"/>
        </w:rPr>
      </w:pPr>
    </w:p>
    <w:p>
      <w:pPr>
        <w:ind w:left="1460" w:hanging="561"/>
        <w:spacing w:after="0"/>
        <w:tabs>
          <w:tab w:leader="none" w:pos="1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Preliminary valuation conclusions are then documented and discussed with the management of our Investment Adviser;</w:t>
      </w:r>
    </w:p>
    <w:p>
      <w:pPr>
        <w:spacing w:after="0" w:line="90" w:lineRule="exact"/>
        <w:rPr>
          <w:rFonts w:ascii="Arial" w:cs="Arial" w:eastAsia="Arial" w:hAnsi="Arial"/>
          <w:sz w:val="18"/>
          <w:szCs w:val="18"/>
          <w:color w:val="auto"/>
        </w:rPr>
      </w:pPr>
    </w:p>
    <w:p>
      <w:pPr>
        <w:ind w:left="1460" w:right="200" w:hanging="561"/>
        <w:spacing w:after="0" w:line="298" w:lineRule="auto"/>
        <w:tabs>
          <w:tab w:leader="none" w:pos="1460" w:val="left"/>
        </w:tabs>
        <w:numPr>
          <w:ilvl w:val="0"/>
          <w:numId w:val="7"/>
        </w:numPr>
        <w:rPr>
          <w:rFonts w:ascii="Arial" w:cs="Arial" w:eastAsia="Arial" w:hAnsi="Arial"/>
          <w:sz w:val="16"/>
          <w:szCs w:val="16"/>
          <w:color w:val="auto"/>
        </w:rPr>
      </w:pPr>
      <w:r>
        <w:rPr>
          <w:rFonts w:ascii="Arial" w:cs="Arial" w:eastAsia="Arial" w:hAnsi="Arial"/>
          <w:sz w:val="16"/>
          <w:szCs w:val="16"/>
          <w:color w:val="auto"/>
        </w:rPr>
        <w:t>Our board of directors also engages independent valuation firms to conduct independent appraisals of our investments for which market quotations are not readily available or are readily available but deemed not reflective of the fair value of an investment. The independent valuation firm reviews management’s preliminary valuations in light of its own independent assessment and also in light of any market quotations obtained from an independent pricing service, broker, dealer or market maker.</w:t>
      </w:r>
    </w:p>
    <w:p>
      <w:pPr>
        <w:spacing w:after="0" w:line="31" w:lineRule="exact"/>
        <w:rPr>
          <w:rFonts w:ascii="Arial" w:cs="Arial" w:eastAsia="Arial" w:hAnsi="Arial"/>
          <w:sz w:val="16"/>
          <w:szCs w:val="16"/>
          <w:color w:val="auto"/>
        </w:rPr>
      </w:pPr>
    </w:p>
    <w:p>
      <w:pPr>
        <w:ind w:left="1460" w:right="40" w:hanging="561"/>
        <w:spacing w:after="0" w:line="259" w:lineRule="auto"/>
        <w:tabs>
          <w:tab w:leader="none" w:pos="1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audit committee of our board of directors reviews the preliminary valuations of the Investment Adviser and that of the independent valuation firms and responds and supplements the valuation recommendations of the independent valuation firms to reflect any comments; and</w:t>
      </w:r>
    </w:p>
    <w:p>
      <w:pPr>
        <w:spacing w:after="0" w:line="58" w:lineRule="exact"/>
        <w:rPr>
          <w:rFonts w:ascii="Arial" w:cs="Arial" w:eastAsia="Arial" w:hAnsi="Arial"/>
          <w:sz w:val="18"/>
          <w:szCs w:val="18"/>
          <w:color w:val="auto"/>
        </w:rPr>
      </w:pPr>
    </w:p>
    <w:p>
      <w:pPr>
        <w:ind w:left="1460" w:right="180" w:hanging="561"/>
        <w:spacing w:after="0" w:line="331" w:lineRule="auto"/>
        <w:tabs>
          <w:tab w:leader="none" w:pos="1460"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board of directors discusses these valuations and determines the fair value of each investment in our portfolio in good faith based on the input of our Investment Adviser, the respective independent valuation firms and the audit committee.</w:t>
      </w:r>
    </w:p>
    <w:p>
      <w:pPr>
        <w:spacing w:after="0" w:line="6" w:lineRule="exact"/>
        <w:rPr>
          <w:sz w:val="20"/>
          <w:szCs w:val="20"/>
          <w:color w:val="auto"/>
        </w:rPr>
      </w:pPr>
    </w:p>
    <w:p>
      <w:pPr>
        <w:ind w:left="460" w:right="140"/>
        <w:spacing w:after="0" w:line="259" w:lineRule="auto"/>
        <w:rPr>
          <w:sz w:val="20"/>
          <w:szCs w:val="20"/>
          <w:color w:val="auto"/>
        </w:rPr>
      </w:pPr>
      <w:r>
        <w:rPr>
          <w:rFonts w:ascii="Arial" w:cs="Arial" w:eastAsia="Arial" w:hAnsi="Arial"/>
          <w:sz w:val="18"/>
          <w:szCs w:val="18"/>
          <w:color w:val="auto"/>
        </w:rPr>
        <w:t>The factors that the board of directors may take into account in pricing our investments at fair value include, as relevant, the nature and realizable value of any collateral, the portfolio company’s ability to make payments and its earnings and discounted cash flow, the markets in which the portfolio company does business, comparison to publicly traded securities and other relevant factors.</w:t>
      </w:r>
    </w:p>
    <w:p>
      <w:pPr>
        <w:spacing w:after="0" w:line="59" w:lineRule="exact"/>
        <w:rPr>
          <w:sz w:val="20"/>
          <w:szCs w:val="20"/>
          <w:color w:val="auto"/>
        </w:rPr>
      </w:pPr>
    </w:p>
    <w:p>
      <w:pPr>
        <w:ind w:left="900" w:right="600" w:hanging="447"/>
        <w:spacing w:after="0" w:line="268" w:lineRule="auto"/>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Investments of sufficient credit quality, purchased within 60 days of maturity are valued at cost plus accreted discount, or minus amortized premium, which approximates value.</w:t>
      </w:r>
    </w:p>
    <w:p>
      <w:pPr>
        <w:spacing w:after="0" w:line="50" w:lineRule="exact"/>
        <w:rPr>
          <w:rFonts w:ascii="Arial" w:cs="Arial" w:eastAsia="Arial" w:hAnsi="Arial"/>
          <w:sz w:val="18"/>
          <w:szCs w:val="18"/>
          <w:color w:val="auto"/>
        </w:rPr>
      </w:pPr>
    </w:p>
    <w:p>
      <w:pPr>
        <w:ind w:left="900" w:right="360" w:hanging="447"/>
        <w:spacing w:after="0" w:line="294" w:lineRule="auto"/>
        <w:tabs>
          <w:tab w:leader="none" w:pos="900" w:val="left"/>
        </w:tabs>
        <w:numPr>
          <w:ilvl w:val="0"/>
          <w:numId w:val="8"/>
        </w:numPr>
        <w:rPr>
          <w:rFonts w:ascii="Arial" w:cs="Arial" w:eastAsia="Arial" w:hAnsi="Arial"/>
          <w:sz w:val="16"/>
          <w:szCs w:val="16"/>
          <w:color w:val="auto"/>
        </w:rPr>
      </w:pPr>
      <w:r>
        <w:rPr>
          <w:rFonts w:ascii="Arial" w:cs="Arial" w:eastAsia="Arial" w:hAnsi="Arial"/>
          <w:sz w:val="16"/>
          <w:szCs w:val="16"/>
          <w:color w:val="auto"/>
        </w:rPr>
        <w:t>We measure realized gains or losses by the difference between the net proceeds from the repayment or sale and the amortized cost basis of the investment, using the specific identification method, without regard to unrealized appreciation or depreciation previously recognized, but considering unamortized upfront fees and prepayment penalties. Net change in unrealized appreciation or depreciation reflects the change in portfolio investment and credit facility (as defined below) payable values during the reporting period, including any reversal of previously recorded unrealized appreciation or depreciation, when gains or losses are realized.</w:t>
      </w:r>
    </w:p>
    <w:p>
      <w:pPr>
        <w:spacing w:after="0" w:line="34" w:lineRule="exact"/>
        <w:rPr>
          <w:rFonts w:ascii="Arial" w:cs="Arial" w:eastAsia="Arial" w:hAnsi="Arial"/>
          <w:sz w:val="16"/>
          <w:szCs w:val="16"/>
          <w:color w:val="auto"/>
        </w:rPr>
      </w:pPr>
    </w:p>
    <w:p>
      <w:pPr>
        <w:ind w:left="900" w:right="100" w:hanging="447"/>
        <w:spacing w:after="0" w:line="290" w:lineRule="auto"/>
        <w:tabs>
          <w:tab w:leader="none" w:pos="900" w:val="left"/>
        </w:tabs>
        <w:numPr>
          <w:ilvl w:val="0"/>
          <w:numId w:val="8"/>
        </w:numPr>
        <w:rPr>
          <w:rFonts w:ascii="Arial" w:cs="Arial" w:eastAsia="Arial" w:hAnsi="Arial"/>
          <w:sz w:val="16"/>
          <w:szCs w:val="16"/>
          <w:color w:val="auto"/>
        </w:rPr>
      </w:pPr>
      <w:r>
        <w:rPr>
          <w:rFonts w:ascii="Arial" w:cs="Arial" w:eastAsia="Arial" w:hAnsi="Arial"/>
          <w:sz w:val="16"/>
          <w:szCs w:val="16"/>
          <w:color w:val="auto"/>
        </w:rPr>
        <w:t>We record interest income on an accrual basis to the extent that we expect to collect such amounts. For loans and debt securities with contractual Payment-In-Kind (“PIK”) interest, which represents contractual interest accrued and added to the loan balance that generally becomes due at maturity, we will generally not accrue PIK interest if the portfolio company valuation indicates that such PIK interest is not collectible. We do not accrue as a receivable interest on loans and debt securities if we have reason to doubt our ability to collect such interest. Loan origination fees, original issue discount and market discount or premium are capitalized, and we then accrete or amortize such amounts using the effective interest method as interest income. We record prepayment premiums on loans and debt securities as interest income. Dividend income, if any, is recognized on an accrual basis to the extent that we expect to collect such amounts.</w:t>
      </w:r>
    </w:p>
    <w:p>
      <w:pPr>
        <w:spacing w:after="0" w:line="36" w:lineRule="exact"/>
        <w:rPr>
          <w:rFonts w:ascii="Arial" w:cs="Arial" w:eastAsia="Arial" w:hAnsi="Arial"/>
          <w:sz w:val="16"/>
          <w:szCs w:val="16"/>
          <w:color w:val="auto"/>
        </w:rPr>
      </w:pPr>
    </w:p>
    <w:p>
      <w:pPr>
        <w:ind w:left="900" w:right="200" w:hanging="447"/>
        <w:spacing w:after="0" w:line="254" w:lineRule="auto"/>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 xml:space="preserve">Since May 1, 2007, PennantPark Investment has complied with the requirements of Subchapter M of the Internal Revenue Code of 1986 as amended (the “Code”), and expects to be subject to tax as a regulated investment company, or “RIC”. As a corporation, PennantPark Investment accounted for income taxes using the asset liability method prescribed by FASB Statement No. 109, </w:t>
      </w:r>
      <w:r>
        <w:rPr>
          <w:rFonts w:ascii="Arial" w:cs="Arial" w:eastAsia="Arial" w:hAnsi="Arial"/>
          <w:sz w:val="18"/>
          <w:szCs w:val="18"/>
          <w:i w:val="1"/>
          <w:iCs w:val="1"/>
          <w:color w:val="auto"/>
        </w:rPr>
        <w:t>Accounting for Income Taxes</w:t>
      </w:r>
      <w:r>
        <w:rPr>
          <w:rFonts w:ascii="Arial" w:cs="Arial" w:eastAsia="Arial" w:hAnsi="Arial"/>
          <w:sz w:val="18"/>
          <w:szCs w:val="18"/>
          <w:color w:val="auto"/>
        </w:rPr>
        <w:t>. Under this method, income taxes were provided for amounts currently payable and for amounts deferred as tax assets and liabilities based on differences between the financial statement carrying amounts and the tax bases of existing assets and liabilities. Based upon PennantPark Investment’s qualification and</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240"/>
          </w:cols>
          <w:pgMar w:left="320" w:top="459" w:right="3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206375</wp:posOffset>
            </wp:positionH>
            <wp:positionV relativeFrom="page">
              <wp:posOffset>88900</wp:posOffset>
            </wp:positionV>
            <wp:extent cx="7153275" cy="279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32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5" w:lineRule="exact"/>
        <w:rPr>
          <w:sz w:val="20"/>
          <w:szCs w:val="20"/>
          <w:color w:val="auto"/>
        </w:rPr>
      </w:pPr>
    </w:p>
    <w:p>
      <w:pPr>
        <w:ind w:left="900" w:right="140"/>
        <w:spacing w:after="0" w:line="291" w:lineRule="auto"/>
        <w:rPr>
          <w:sz w:val="20"/>
          <w:szCs w:val="20"/>
          <w:color w:val="auto"/>
        </w:rPr>
      </w:pPr>
      <w:r>
        <w:rPr>
          <w:rFonts w:ascii="Arial" w:cs="Arial" w:eastAsia="Arial" w:hAnsi="Arial"/>
          <w:sz w:val="16"/>
          <w:szCs w:val="16"/>
          <w:color w:val="auto"/>
        </w:rPr>
        <w:t>election to be subject to tax as a RIC, we do not anticipate paying any material corporate-level taxes in the future. The Company recognizes in its financial statements the effect of a tax position when it is more likely than not, based on the technical merits, that the position will be sustained upon examination. We did not have any uncertain tax positions that met the recognition or measurement criteria of FASB Interpretation No. 48, Accounting for Uncertainty in Income Taxes—an interpretation of FASB Statement No. 109 (“FIN 48”) nor did we have any unrecognized tax benefits as of September 30, 2008. Although we file federal and state tax returns, our major tax jurisdiction is federal. Our 2008 and 2007 federal tax years remain subject to examination by the Internal Revenue Service.</w:t>
      </w:r>
    </w:p>
    <w:p>
      <w:pPr>
        <w:spacing w:after="0" w:line="52" w:lineRule="exact"/>
        <w:rPr>
          <w:sz w:val="20"/>
          <w:szCs w:val="20"/>
          <w:color w:val="auto"/>
        </w:rPr>
      </w:pPr>
    </w:p>
    <w:p>
      <w:pPr>
        <w:ind w:left="900" w:right="40" w:hanging="447"/>
        <w:spacing w:after="0" w:line="259" w:lineRule="auto"/>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Dividends and distributions to common stockholders are recorded on the ex-dividend date. The amount, if any, to be paid as a dividend is determined by the board of directors each quarter and is generally based upon the earnings estimated by management. Net realized capital gains, if any, are distributed at least annually.</w:t>
      </w:r>
    </w:p>
    <w:p>
      <w:pPr>
        <w:spacing w:after="0" w:line="58" w:lineRule="exact"/>
        <w:rPr>
          <w:rFonts w:ascii="Arial" w:cs="Arial" w:eastAsia="Arial" w:hAnsi="Arial"/>
          <w:sz w:val="18"/>
          <w:szCs w:val="18"/>
          <w:color w:val="auto"/>
        </w:rPr>
      </w:pPr>
    </w:p>
    <w:p>
      <w:pPr>
        <w:ind w:left="900" w:right="220" w:hanging="447"/>
        <w:spacing w:after="0" w:line="323" w:lineRule="auto"/>
        <w:tabs>
          <w:tab w:leader="none" w:pos="900" w:val="left"/>
        </w:tabs>
        <w:numPr>
          <w:ilvl w:val="0"/>
          <w:numId w:val="9"/>
        </w:numPr>
        <w:rPr>
          <w:rFonts w:ascii="Arial" w:cs="Arial" w:eastAsia="Arial" w:hAnsi="Arial"/>
          <w:sz w:val="15"/>
          <w:szCs w:val="15"/>
          <w:color w:val="auto"/>
        </w:rPr>
      </w:pPr>
      <w:r>
        <w:rPr>
          <w:rFonts w:ascii="Arial" w:cs="Arial" w:eastAsia="Arial" w:hAnsi="Arial"/>
          <w:sz w:val="15"/>
          <w:szCs w:val="15"/>
          <w:color w:val="auto"/>
        </w:rPr>
        <w:t>Loans are placed on non-accrual status when principal or interest payments are past due 30 days or more and/or when there is reasonable doubt that principal or interest will be collected. Accrued interest is generally reversed when a loan is placed on non-accrual status. Interest payments received on non-accrual loans may be recognized as income or applied to principal depending upon management’s judgment. Non-accrual loans are restored to accrual status when past due principal and interest is paid, and in management’s judgment, are likely to remain current.</w:t>
      </w:r>
    </w:p>
    <w:p>
      <w:pPr>
        <w:spacing w:after="0" w:line="16" w:lineRule="exact"/>
        <w:rPr>
          <w:rFonts w:ascii="Arial" w:cs="Arial" w:eastAsia="Arial" w:hAnsi="Arial"/>
          <w:sz w:val="15"/>
          <w:szCs w:val="15"/>
          <w:color w:val="auto"/>
        </w:rPr>
      </w:pPr>
    </w:p>
    <w:p>
      <w:pPr>
        <w:ind w:left="900" w:right="60" w:hanging="447"/>
        <w:spacing w:after="0" w:line="314" w:lineRule="auto"/>
        <w:tabs>
          <w:tab w:leader="none" w:pos="900" w:val="left"/>
        </w:tabs>
        <w:numPr>
          <w:ilvl w:val="0"/>
          <w:numId w:val="9"/>
        </w:numPr>
        <w:rPr>
          <w:rFonts w:ascii="Arial" w:cs="Arial" w:eastAsia="Arial" w:hAnsi="Arial"/>
          <w:sz w:val="15"/>
          <w:szCs w:val="15"/>
          <w:color w:val="auto"/>
        </w:rPr>
      </w:pPr>
      <w:r>
        <w:rPr>
          <w:rFonts w:ascii="Arial" w:cs="Arial" w:eastAsia="Arial" w:hAnsi="Arial"/>
          <w:sz w:val="15"/>
          <w:szCs w:val="15"/>
          <w:color w:val="auto"/>
        </w:rPr>
        <w:t xml:space="preserve">In September 2006, the Financial Accounting Standards Board issued Statement of Financial Accounting Standards (“SFAS”) 157, </w:t>
      </w:r>
      <w:r>
        <w:rPr>
          <w:rFonts w:ascii="Arial" w:cs="Arial" w:eastAsia="Arial" w:hAnsi="Arial"/>
          <w:sz w:val="15"/>
          <w:szCs w:val="15"/>
          <w:i w:val="1"/>
          <w:iCs w:val="1"/>
          <w:color w:val="auto"/>
        </w:rPr>
        <w:t>Fair Value</w:t>
      </w:r>
      <w:r>
        <w:rPr>
          <w:rFonts w:ascii="Arial" w:cs="Arial" w:eastAsia="Arial" w:hAnsi="Arial"/>
          <w:sz w:val="15"/>
          <w:szCs w:val="15"/>
          <w:color w:val="auto"/>
        </w:rPr>
        <w:t xml:space="preserve"> </w:t>
      </w:r>
      <w:r>
        <w:rPr>
          <w:rFonts w:ascii="Arial" w:cs="Arial" w:eastAsia="Arial" w:hAnsi="Arial"/>
          <w:sz w:val="15"/>
          <w:szCs w:val="15"/>
          <w:i w:val="1"/>
          <w:iCs w:val="1"/>
          <w:color w:val="auto"/>
        </w:rPr>
        <w:t>Measurements</w:t>
      </w:r>
      <w:r>
        <w:rPr>
          <w:rFonts w:ascii="Arial" w:cs="Arial" w:eastAsia="Arial" w:hAnsi="Arial"/>
          <w:sz w:val="15"/>
          <w:szCs w:val="15"/>
          <w:color w:val="auto"/>
        </w:rPr>
        <w:t>, which clarifies the definition of fair value and requires companies to expand their disclosure about the use of fair value to measure</w:t>
      </w:r>
      <w:r>
        <w:rPr>
          <w:rFonts w:ascii="Arial" w:cs="Arial" w:eastAsia="Arial" w:hAnsi="Arial"/>
          <w:sz w:val="15"/>
          <w:szCs w:val="15"/>
          <w:i w:val="1"/>
          <w:iCs w:val="1"/>
          <w:color w:val="auto"/>
        </w:rPr>
        <w:t xml:space="preserve"> </w:t>
      </w:r>
      <w:r>
        <w:rPr>
          <w:rFonts w:ascii="Arial" w:cs="Arial" w:eastAsia="Arial" w:hAnsi="Arial"/>
          <w:sz w:val="15"/>
          <w:szCs w:val="15"/>
          <w:color w:val="auto"/>
        </w:rPr>
        <w:t>assets and liabilities in interim and annual periods subsequent to initial recognition. Adoption of SFAS 157 requires the use of the price that would be received to sell an asset or paid to transfer a liability in an orderly transaction between market participants at the measurement date. SFAS 157 is effective for financial statements issued for fiscal years beginning after November 15, 2007, and interim periods within those fiscal years. We adopted this statement on October 1, 2008. This adoption did not affect the Company’s financial position or its results of operations.</w:t>
      </w:r>
    </w:p>
    <w:p>
      <w:pPr>
        <w:spacing w:after="0" w:line="23" w:lineRule="exact"/>
        <w:rPr>
          <w:rFonts w:ascii="Arial" w:cs="Arial" w:eastAsia="Arial" w:hAnsi="Arial"/>
          <w:sz w:val="15"/>
          <w:szCs w:val="15"/>
          <w:color w:val="auto"/>
        </w:rPr>
      </w:pPr>
    </w:p>
    <w:p>
      <w:pPr>
        <w:ind w:left="900" w:right="20" w:hanging="447"/>
        <w:spacing w:after="0" w:line="286" w:lineRule="auto"/>
        <w:tabs>
          <w:tab w:leader="none" w:pos="900" w:val="left"/>
        </w:tabs>
        <w:numPr>
          <w:ilvl w:val="0"/>
          <w:numId w:val="9"/>
        </w:numPr>
        <w:rPr>
          <w:rFonts w:ascii="Arial" w:cs="Arial" w:eastAsia="Arial" w:hAnsi="Arial"/>
          <w:sz w:val="16"/>
          <w:szCs w:val="16"/>
          <w:color w:val="auto"/>
        </w:rPr>
      </w:pPr>
      <w:r>
        <w:rPr>
          <w:rFonts w:ascii="Arial" w:cs="Arial" w:eastAsia="Arial" w:hAnsi="Arial"/>
          <w:sz w:val="16"/>
          <w:szCs w:val="16"/>
          <w:color w:val="auto"/>
        </w:rPr>
        <w:t xml:space="preserve">In February 2007, the FASB issued SFAS 159, </w:t>
      </w:r>
      <w:r>
        <w:rPr>
          <w:rFonts w:ascii="Arial" w:cs="Arial" w:eastAsia="Arial" w:hAnsi="Arial"/>
          <w:sz w:val="16"/>
          <w:szCs w:val="16"/>
          <w:i w:val="1"/>
          <w:iCs w:val="1"/>
          <w:color w:val="auto"/>
        </w:rPr>
        <w:t>The Fair Value Option for Financial Assets and Financial Liabilities</w:t>
      </w:r>
      <w:r>
        <w:rPr>
          <w:rFonts w:ascii="Arial" w:cs="Arial" w:eastAsia="Arial" w:hAnsi="Arial"/>
          <w:sz w:val="16"/>
          <w:szCs w:val="16"/>
          <w:color w:val="auto"/>
        </w:rPr>
        <w:t>—</w:t>
      </w:r>
      <w:r>
        <w:rPr>
          <w:rFonts w:ascii="Arial" w:cs="Arial" w:eastAsia="Arial" w:hAnsi="Arial"/>
          <w:sz w:val="16"/>
          <w:szCs w:val="16"/>
          <w:i w:val="1"/>
          <w:iCs w:val="1"/>
          <w:color w:val="auto"/>
        </w:rPr>
        <w:t>Including an Amendment of</w:t>
      </w:r>
      <w:r>
        <w:rPr>
          <w:rFonts w:ascii="Arial" w:cs="Arial" w:eastAsia="Arial" w:hAnsi="Arial"/>
          <w:sz w:val="16"/>
          <w:szCs w:val="16"/>
          <w:color w:val="auto"/>
        </w:rPr>
        <w:t xml:space="preserve"> </w:t>
      </w:r>
      <w:r>
        <w:rPr>
          <w:rFonts w:ascii="Arial" w:cs="Arial" w:eastAsia="Arial" w:hAnsi="Arial"/>
          <w:sz w:val="16"/>
          <w:szCs w:val="16"/>
          <w:i w:val="1"/>
          <w:iCs w:val="1"/>
          <w:color w:val="auto"/>
        </w:rPr>
        <w:t>FASB 115</w:t>
      </w:r>
      <w:r>
        <w:rPr>
          <w:rFonts w:ascii="Arial" w:cs="Arial" w:eastAsia="Arial" w:hAnsi="Arial"/>
          <w:sz w:val="16"/>
          <w:szCs w:val="16"/>
          <w:color w:val="auto"/>
        </w:rPr>
        <w:t>. This statement permits an entity to choose to measure many financial instruments and certain other items at fair value. This statement</w:t>
      </w:r>
      <w:r>
        <w:rPr>
          <w:rFonts w:ascii="Arial" w:cs="Arial" w:eastAsia="Arial" w:hAnsi="Arial"/>
          <w:sz w:val="16"/>
          <w:szCs w:val="16"/>
          <w:i w:val="1"/>
          <w:iCs w:val="1"/>
          <w:color w:val="auto"/>
        </w:rPr>
        <w:t xml:space="preserve"> </w:t>
      </w:r>
      <w:r>
        <w:rPr>
          <w:rFonts w:ascii="Arial" w:cs="Arial" w:eastAsia="Arial" w:hAnsi="Arial"/>
          <w:sz w:val="16"/>
          <w:szCs w:val="16"/>
          <w:color w:val="auto"/>
        </w:rPr>
        <w:t>applies to all reporting entities and contains financial statement presentation and disclosure requirements for assets and liabilities reported at fair value as a consequence of the election. This statement is effective for fiscal years beginning after November 15, 2007, and interim periods within those fiscal years. We adopted SFAS 159 on October 1, 2008 and have made an irrevocable election to apply the fair value option to our credit facility liability. The fair value option was elected for our credit facility to align the measurement attributes of both the assets and liabilities while mitigating volatility in earnings from using different measurement attributes. Upon our adoption of SFAS 159 our net asset value increased by $41.8 million, or $1.99 per share, due to the fair value adjustment related to our credit facility. We have used a nationally recognized independent valuation service to measure the fair value of our credit facility in a manner consistent with the valuation process that our board of directors uses to value our investments. After adoption, subsequent changes in the fair value of our credit facility will be recorded in the Statement of Operations. We have not elected to apply SFAS 159 to any other financial assets or liabilities.</w:t>
      </w:r>
    </w:p>
    <w:p>
      <w:pPr>
        <w:spacing w:after="0" w:line="45" w:lineRule="exact"/>
        <w:rPr>
          <w:rFonts w:ascii="Arial" w:cs="Arial" w:eastAsia="Arial" w:hAnsi="Arial"/>
          <w:sz w:val="16"/>
          <w:szCs w:val="16"/>
          <w:color w:val="auto"/>
        </w:rPr>
      </w:pPr>
    </w:p>
    <w:p>
      <w:pPr>
        <w:ind w:left="900" w:hanging="447"/>
        <w:spacing w:after="0" w:line="288" w:lineRule="auto"/>
        <w:tabs>
          <w:tab w:leader="none" w:pos="900" w:val="left"/>
        </w:tabs>
        <w:numPr>
          <w:ilvl w:val="0"/>
          <w:numId w:val="9"/>
        </w:numPr>
        <w:rPr>
          <w:rFonts w:ascii="Arial" w:cs="Arial" w:eastAsia="Arial" w:hAnsi="Arial"/>
          <w:sz w:val="16"/>
          <w:szCs w:val="16"/>
          <w:color w:val="auto"/>
        </w:rPr>
      </w:pPr>
      <w:r>
        <w:rPr>
          <w:rFonts w:ascii="Arial" w:cs="Arial" w:eastAsia="Arial" w:hAnsi="Arial"/>
          <w:sz w:val="16"/>
          <w:szCs w:val="16"/>
          <w:color w:val="auto"/>
        </w:rPr>
        <w:t xml:space="preserve">In April 2009, the FASB issued FASB Staff Position No. 157-4, </w:t>
      </w:r>
      <w:r>
        <w:rPr>
          <w:rFonts w:ascii="Arial" w:cs="Arial" w:eastAsia="Arial" w:hAnsi="Arial"/>
          <w:sz w:val="16"/>
          <w:szCs w:val="16"/>
          <w:i w:val="1"/>
          <w:iCs w:val="1"/>
          <w:color w:val="auto"/>
        </w:rPr>
        <w:t>Determining Fair Value When the Volume and Level of Activity for the Asset or</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Liability Have Significantly Decreased and Identifying Transactions That Are Not Orderly </w:t>
      </w:r>
      <w:r>
        <w:rPr>
          <w:rFonts w:ascii="Arial" w:cs="Arial" w:eastAsia="Arial" w:hAnsi="Arial"/>
          <w:sz w:val="16"/>
          <w:szCs w:val="16"/>
          <w:color w:val="auto"/>
        </w:rPr>
        <w:t>(“FSP 157-4”), which provides further clarification for</w:t>
      </w:r>
      <w:r>
        <w:rPr>
          <w:rFonts w:ascii="Arial" w:cs="Arial" w:eastAsia="Arial" w:hAnsi="Arial"/>
          <w:sz w:val="16"/>
          <w:szCs w:val="16"/>
          <w:i w:val="1"/>
          <w:iCs w:val="1"/>
          <w:color w:val="auto"/>
        </w:rPr>
        <w:t xml:space="preserve"> </w:t>
      </w:r>
      <w:r>
        <w:rPr>
          <w:rFonts w:ascii="Arial" w:cs="Arial" w:eastAsia="Arial" w:hAnsi="Arial"/>
          <w:sz w:val="16"/>
          <w:szCs w:val="16"/>
          <w:color w:val="auto"/>
        </w:rPr>
        <w:t>the application of SFAS 157 in markets that are not active. Previously issued FASB Staff Position No. 157-3, Determining Fair Value of a Financial Asset When the Market for That Asset Is Not Active, has been suspended. FSP 157-4 provides additional guidance for determining when the volume and trading level of activity for an asset or liability has significantly decreased and for identifying circumstances that indicate a transaction is not orderly. FSP 157-4 is effective for interim and annual reporting periods ending after June 15, 2009. Since FSP 157-4 does not change the fair value measurement principles set forth in SFAS 157, we are considering its adoption and estimate that it will not affect the company’s financial position or its results of operations.</w:t>
      </w:r>
    </w:p>
    <w:p>
      <w:pPr>
        <w:spacing w:after="0" w:line="42" w:lineRule="exact"/>
        <w:rPr>
          <w:rFonts w:ascii="Arial" w:cs="Arial" w:eastAsia="Arial" w:hAnsi="Arial"/>
          <w:sz w:val="16"/>
          <w:szCs w:val="16"/>
          <w:color w:val="auto"/>
        </w:rPr>
      </w:pPr>
    </w:p>
    <w:p>
      <w:pPr>
        <w:ind w:left="900" w:hanging="447"/>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Certain prior period amounts have been reclassified to conform to current period presentation.</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240"/>
          </w:cols>
          <w:pgMar w:left="320" w:top="459" w:right="3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206375</wp:posOffset>
            </wp:positionH>
            <wp:positionV relativeFrom="page">
              <wp:posOffset>88900</wp:posOffset>
            </wp:positionV>
            <wp:extent cx="7153275" cy="279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32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AGREEMENTS</w:t>
      </w:r>
    </w:p>
    <w:p>
      <w:pPr>
        <w:spacing w:after="0" w:line="96" w:lineRule="exact"/>
        <w:rPr>
          <w:sz w:val="20"/>
          <w:szCs w:val="20"/>
          <w:color w:val="auto"/>
        </w:rPr>
      </w:pPr>
    </w:p>
    <w:p>
      <w:pPr>
        <w:ind w:right="240" w:firstLine="449"/>
        <w:spacing w:after="0" w:line="298" w:lineRule="auto"/>
        <w:rPr>
          <w:sz w:val="20"/>
          <w:szCs w:val="20"/>
          <w:color w:val="auto"/>
        </w:rPr>
      </w:pPr>
      <w:r>
        <w:rPr>
          <w:rFonts w:ascii="Arial" w:cs="Arial" w:eastAsia="Arial" w:hAnsi="Arial"/>
          <w:sz w:val="16"/>
          <w:szCs w:val="16"/>
          <w:color w:val="auto"/>
        </w:rPr>
        <w:t>PennantPark Investment has entered into an Investment Management Agreement with PennantPark Investment Advisers. Under this agreement, the Investment Adviser, subject to the overall supervision of PennantPark Investment’s board of directors, manages the day-to-day operations of and provides investment advisory services to, PennantPark Investment. For providing these services, the Investment Adviser receives a fee from PennantPark Investment, consisting of two components—a base management fee and an incentive fee (collectively, “Management Fees”).</w:t>
      </w:r>
    </w:p>
    <w:p>
      <w:pPr>
        <w:spacing w:after="0" w:line="112" w:lineRule="exact"/>
        <w:rPr>
          <w:sz w:val="20"/>
          <w:szCs w:val="20"/>
          <w:color w:val="auto"/>
        </w:rPr>
      </w:pPr>
    </w:p>
    <w:p>
      <w:pPr>
        <w:ind w:right="20" w:firstLine="449"/>
        <w:spacing w:after="0" w:line="288" w:lineRule="auto"/>
        <w:rPr>
          <w:sz w:val="20"/>
          <w:szCs w:val="20"/>
          <w:color w:val="auto"/>
        </w:rPr>
      </w:pPr>
      <w:r>
        <w:rPr>
          <w:rFonts w:ascii="Arial" w:cs="Arial" w:eastAsia="Arial" w:hAnsi="Arial"/>
          <w:sz w:val="16"/>
          <w:szCs w:val="16"/>
          <w:color w:val="auto"/>
        </w:rPr>
        <w:t>The base management fee is calculated at an annual rate of 2.00% on PennantPark Investment’s gross assets (net of U.S. Treasury Bills and/or temporary draws on the Revolving Credit Facility (“adjusted gross assets”), if any) (see note 8). Although the base management fee is 2.00% of adjusted gross assets, the Investment Adviser agreed to waive a portion of the base management fee such that the base management fee equaled 1.50% from the consummation of the initial public offering through September 30, 2007 and 1.75% from October 1, 2007 through March 31, 2008. The base management fee has equaled 2.00% since March 31, 2008 and is payable quarterly in arrears. The base management fee is calculated based on the average value of adjusted gross assets at the end of the two most recently completed calendar quarters, and appropriately adjusted for any share issuances or repurchases during the current calendar quarter. For the three and six month periods ended March 31, 2009, the Investment Adviser received a base management fee of $1.8 million and $3.6 million, respectively, from the Company. For the three and six month periods ended March 31, 2008 the Investment Adviser received a net base management fee of $1.5 million and $2.9 million, respectively, from the Company.</w:t>
      </w:r>
    </w:p>
    <w:p>
      <w:pPr>
        <w:spacing w:after="0" w:line="11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incentive fee has two parts, as follows:</w:t>
      </w:r>
    </w:p>
    <w:p>
      <w:pPr>
        <w:spacing w:after="0" w:line="90" w:lineRule="exact"/>
        <w:rPr>
          <w:sz w:val="20"/>
          <w:szCs w:val="20"/>
          <w:color w:val="auto"/>
        </w:rPr>
      </w:pPr>
    </w:p>
    <w:p>
      <w:pPr>
        <w:ind w:firstLine="449"/>
        <w:spacing w:after="0" w:line="286" w:lineRule="auto"/>
        <w:rPr>
          <w:sz w:val="20"/>
          <w:szCs w:val="20"/>
          <w:color w:val="auto"/>
        </w:rPr>
      </w:pPr>
      <w:r>
        <w:rPr>
          <w:rFonts w:ascii="Arial" w:cs="Arial" w:eastAsia="Arial" w:hAnsi="Arial"/>
          <w:sz w:val="16"/>
          <w:szCs w:val="16"/>
          <w:color w:val="auto"/>
        </w:rPr>
        <w:t>One part is calculated and payable quarterly in arrears based on PennantPark Investment’s Pre-Incentive Fee Net Investment Income for the immediately preceding calendar quarter. For this purpose, Pre-Incentive Fee Net Investment Income means interest income, distribution income and any other income, including any other fees other than fees for providing managerial assistance, such as commitment, origination, structuring, diligence and consulting fees or other fees received from portfolio companies accrued during the calendar quarter, minus PennantPark Investment’s operating expenses for the quarter (including the base management fee, any expenses payable under the Administration Agreement, described below, and any interest expense and distribution paid on any issued and outstanding preferred stock, but excluding the incentive fee). Pre-Incentive Fee Net Investment Income includes, in the case of investments with deferred interest feature (such as original issue discount, debt instruments with pay-in-kind interest and zero coupon securities), accrued income not yet received in cash. Pre-Incentive Fee Net Investment Income does not include any realized capital gains, realized capital losses or unrealized capital appreciation or depreciation. Pre-Incentive Fee Net Investment Income, expressed as a rate of return on the value of PennantPark Investment’s net assets at the end of the immediately preceding calendar quarter, is compared to the hurdle rate of 1.75% per quarter (7.00% annualized). PennantPark Investment pays the Investment Adviser an incentive fee with respect to PennantPark Investment’s Pre-Incentive Fee Net Investment Income in each calendar quarter as follows:</w:t>
      </w:r>
    </w:p>
    <w:p>
      <w:pPr>
        <w:spacing w:after="0" w:line="42" w:lineRule="exact"/>
        <w:rPr>
          <w:sz w:val="20"/>
          <w:szCs w:val="20"/>
          <w:color w:val="auto"/>
        </w:rPr>
      </w:pPr>
    </w:p>
    <w:p>
      <w:pPr>
        <w:ind w:right="40" w:firstLine="457"/>
        <w:spacing w:after="0" w:line="294" w:lineRule="auto"/>
        <w:tabs>
          <w:tab w:leader="none" w:pos="698" w:val="left"/>
        </w:tabs>
        <w:numPr>
          <w:ilvl w:val="0"/>
          <w:numId w:val="10"/>
        </w:numPr>
        <w:rPr>
          <w:rFonts w:ascii="Arial" w:cs="Arial" w:eastAsia="Arial" w:hAnsi="Arial"/>
          <w:sz w:val="16"/>
          <w:szCs w:val="16"/>
          <w:color w:val="auto"/>
        </w:rPr>
      </w:pPr>
      <w:r>
        <w:rPr>
          <w:rFonts w:ascii="Arial" w:cs="Arial" w:eastAsia="Arial" w:hAnsi="Arial"/>
          <w:sz w:val="16"/>
          <w:szCs w:val="16"/>
          <w:color w:val="auto"/>
        </w:rPr>
        <w:t>no incentive fee in any calendar quarter in which PennantPark Investment’s Pre-Incentive Fee Net Investment Income does not exceed the hurdle rate of 1.75%; (2) 100% of PennantPark Investment’s Pre-Incentive Fee Net Investment Income with respect to that portion of such Pre-Incentive Fee Net Investment Income, if any, that exceeds the hurdle rate but is less than 2.1875% in any calendar quarter (8.75% annualized); and (3) 20% of the amount of PennantPark Investment’s Pre-Incentive Fee Net Investment Income, if any, that exceeds 2.1875% in any calendar quarter. These calculations are pro rated for any period of less than three months and adjusted for any share issuances or repurchases during the current quarter.</w:t>
      </w:r>
    </w:p>
    <w:p>
      <w:pPr>
        <w:spacing w:after="0" w:line="115" w:lineRule="exact"/>
        <w:rPr>
          <w:sz w:val="20"/>
          <w:szCs w:val="20"/>
          <w:color w:val="auto"/>
        </w:rPr>
      </w:pPr>
    </w:p>
    <w:p>
      <w:pPr>
        <w:ind w:right="80" w:firstLine="348"/>
        <w:spacing w:after="0" w:line="254" w:lineRule="auto"/>
        <w:rPr>
          <w:sz w:val="20"/>
          <w:szCs w:val="20"/>
          <w:color w:val="auto"/>
        </w:rPr>
      </w:pPr>
      <w:r>
        <w:rPr>
          <w:rFonts w:ascii="Arial" w:cs="Arial" w:eastAsia="Arial" w:hAnsi="Arial"/>
          <w:sz w:val="18"/>
          <w:szCs w:val="18"/>
          <w:color w:val="auto"/>
        </w:rPr>
        <w:t>The second part of the incentive fee is determined and payable in arrears as of the end of each calendar year (or upon termination of the Investment Management Agreement, as of the termination date), commencing on March 31, 2008, and equals 20.0% of PennantPark Investment’s realized capital gains, if any, on a cumulative basis from inception through the end of each calendar year, computed net of all realized capital losses and unrealized capital depreciation on a cumulative basis, less the aggregate amount of any previously paid capital gain incentive fees. However, the incentive fee determined as of December 31, 2007 was calculated for a</w:t>
      </w:r>
    </w:p>
    <w:p>
      <w:pPr>
        <w:spacing w:after="0" w:line="1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240"/>
          </w:cols>
          <w:pgMar w:left="320" w:top="459" w:right="3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206375</wp:posOffset>
            </wp:positionH>
            <wp:positionV relativeFrom="page">
              <wp:posOffset>88900</wp:posOffset>
            </wp:positionV>
            <wp:extent cx="7153275" cy="279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32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5" w:lineRule="exact"/>
        <w:rPr>
          <w:sz w:val="20"/>
          <w:szCs w:val="20"/>
          <w:color w:val="auto"/>
        </w:rPr>
      </w:pPr>
    </w:p>
    <w:p>
      <w:pPr>
        <w:jc w:val="both"/>
        <w:ind w:right="140"/>
        <w:spacing w:after="0" w:line="256" w:lineRule="auto"/>
        <w:rPr>
          <w:sz w:val="20"/>
          <w:szCs w:val="20"/>
          <w:color w:val="auto"/>
        </w:rPr>
      </w:pPr>
      <w:r>
        <w:rPr>
          <w:rFonts w:ascii="Arial" w:cs="Arial" w:eastAsia="Arial" w:hAnsi="Arial"/>
          <w:sz w:val="18"/>
          <w:szCs w:val="18"/>
          <w:color w:val="auto"/>
        </w:rPr>
        <w:t>period of shorter than twelve calendar months to take into account any realized capital gains computed net of all realized capital losses and unrealized capital depreciation from inception. For the three and six month periods ended March 31, 2009, the Investment Adviser received an incentive fee of $1.3 million and $2.8 million, respectively, from the Company. For the three and six month periods ended March 31, 2008, the Investment Adviser received an incentive fee of $1.0 million and $1.4 million, respectively, from the Company.</w:t>
      </w:r>
    </w:p>
    <w:p>
      <w:pPr>
        <w:spacing w:after="0" w:line="143" w:lineRule="exact"/>
        <w:rPr>
          <w:sz w:val="20"/>
          <w:szCs w:val="20"/>
          <w:color w:val="auto"/>
        </w:rPr>
      </w:pPr>
    </w:p>
    <w:p>
      <w:pPr>
        <w:ind w:right="60" w:firstLine="449"/>
        <w:spacing w:after="0" w:line="286" w:lineRule="auto"/>
        <w:rPr>
          <w:sz w:val="20"/>
          <w:szCs w:val="20"/>
          <w:color w:val="auto"/>
        </w:rPr>
      </w:pPr>
      <w:r>
        <w:rPr>
          <w:rFonts w:ascii="Arial" w:cs="Arial" w:eastAsia="Arial" w:hAnsi="Arial"/>
          <w:sz w:val="16"/>
          <w:szCs w:val="16"/>
          <w:color w:val="auto"/>
        </w:rPr>
        <w:t>PennantPark Investment has also entered into an Administration Agreement with PennantPark Investment Administration, LLC (the “Administrator” or “PennantPark Investment Administration”) under which PennantPark Investment Administration provides administrative services for PennantPark Investment. For providing these services, facilities and personnel, PennantPark Investment reimburses the Administrator for PennantPark Investment’s allocable portion of overhead and other expenses incurred by the Administrator in performing its obligations under the Administration Agreement, including rent, technology systems, insurance and PennantPark Investment’s allocable portion of the costs of the compensation and related expenses for its chief compliance officer, chief financial officer and their respective staffs. The Administrator also provides on PennantPark Investment’s behalf managerial assistance to portfolio companies to which PennantPark Investment is required to provide such assistance. Reimbursement for certain of these costs is included in administrative services expenses in the statement of operations. For the three and six month periods ended March 31, 2009, the Investment Adviser was reimbursed approximately $0.7 million and $1.1 million, respectively, from the Company, including expenses it incurred on behalf of the Administrator, for services described above. For the three and six month periods ended March 31, 2008 the Investment Adviser was reimbursed approximately $0.5 million and $1.0 million, respectively, from the Company for services described above.</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NET ASSET VALUE PER SHARE</w:t>
      </w:r>
    </w:p>
    <w:p>
      <w:pPr>
        <w:spacing w:after="0" w:line="96" w:lineRule="exact"/>
        <w:rPr>
          <w:sz w:val="20"/>
          <w:szCs w:val="20"/>
          <w:color w:val="auto"/>
        </w:rPr>
      </w:pPr>
    </w:p>
    <w:p>
      <w:pPr>
        <w:ind w:right="860" w:firstLine="449"/>
        <w:spacing w:after="0" w:line="331" w:lineRule="auto"/>
        <w:rPr>
          <w:sz w:val="20"/>
          <w:szCs w:val="20"/>
          <w:color w:val="auto"/>
        </w:rPr>
      </w:pPr>
      <w:r>
        <w:rPr>
          <w:rFonts w:ascii="Arial" w:cs="Arial" w:eastAsia="Arial" w:hAnsi="Arial"/>
          <w:sz w:val="16"/>
          <w:szCs w:val="16"/>
          <w:color w:val="auto"/>
        </w:rPr>
        <w:t>On March 31, 2009, PennantPark Investment’s total net assets and net asset value per share were $252.9 million and $12.00, respectively. On September 30, 2008, PennantPark Investment’s total net assets and net asset value per share were $210.7 million and $10.00, respectively.</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CHANGE IN NET ASSETS PER COMMON SHARE</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information sets forth the computation of basic and diluted per share net increase/(decrease) in net assets resulting from operations: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40" w:type="dxa"/>
            <w:vAlign w:val="bottom"/>
            <w:gridSpan w:val="5"/>
          </w:tcPr>
          <w:p>
            <w:pPr>
              <w:jc w:val="right"/>
              <w:ind w:right="720"/>
              <w:spacing w:after="0"/>
              <w:rPr>
                <w:sz w:val="20"/>
                <w:szCs w:val="20"/>
                <w:color w:val="auto"/>
              </w:rPr>
            </w:pPr>
            <w:r>
              <w:rPr>
                <w:rFonts w:ascii="Arial" w:cs="Arial" w:eastAsia="Arial" w:hAnsi="Arial"/>
                <w:sz w:val="13"/>
                <w:szCs w:val="13"/>
                <w:b w:val="1"/>
                <w:bCs w:val="1"/>
                <w:color w:val="auto"/>
              </w:rPr>
              <w:t>Three months ended</w:t>
            </w:r>
          </w:p>
        </w:tc>
        <w:tc>
          <w:tcPr>
            <w:tcW w:w="100" w:type="dxa"/>
            <w:vAlign w:val="bottom"/>
          </w:tcPr>
          <w:p>
            <w:pPr>
              <w:spacing w:after="0"/>
              <w:rPr>
                <w:sz w:val="14"/>
                <w:szCs w:val="14"/>
                <w:color w:val="auto"/>
              </w:rPr>
            </w:pPr>
          </w:p>
        </w:tc>
        <w:tc>
          <w:tcPr>
            <w:tcW w:w="2040" w:type="dxa"/>
            <w:vAlign w:val="bottom"/>
            <w:gridSpan w:val="5"/>
          </w:tcPr>
          <w:p>
            <w:pPr>
              <w:jc w:val="right"/>
              <w:ind w:right="600"/>
              <w:spacing w:after="0"/>
              <w:rPr>
                <w:sz w:val="20"/>
                <w:szCs w:val="20"/>
                <w:color w:val="auto"/>
              </w:rPr>
            </w:pPr>
            <w:r>
              <w:rPr>
                <w:rFonts w:ascii="Arial" w:cs="Arial" w:eastAsia="Arial" w:hAnsi="Arial"/>
                <w:sz w:val="13"/>
                <w:szCs w:val="13"/>
                <w:b w:val="1"/>
                <w:bCs w:val="1"/>
                <w:color w:val="auto"/>
              </w:rPr>
              <w:t>Six months ended</w:t>
            </w:r>
          </w:p>
        </w:tc>
      </w:tr>
      <w:tr>
        <w:trPr>
          <w:trHeight w:val="142"/>
        </w:trPr>
        <w:tc>
          <w:tcPr>
            <w:tcW w:w="6760" w:type="dxa"/>
            <w:vAlign w:val="bottom"/>
          </w:tcPr>
          <w:p>
            <w:pPr>
              <w:spacing w:after="0"/>
              <w:rPr>
                <w:sz w:val="12"/>
                <w:szCs w:val="12"/>
                <w:color w:val="auto"/>
              </w:rPr>
            </w:pPr>
          </w:p>
        </w:tc>
        <w:tc>
          <w:tcPr>
            <w:tcW w:w="900" w:type="dxa"/>
            <w:vAlign w:val="bottom"/>
            <w:tcBorders>
              <w:top w:val="single" w:sz="8" w:color="auto"/>
              <w:bottom w:val="single" w:sz="8" w:color="auto"/>
            </w:tcBorders>
            <w:gridSpan w:val="2"/>
          </w:tcPr>
          <w:p>
            <w:pPr>
              <w:spacing w:after="0" w:line="142" w:lineRule="exact"/>
              <w:rPr>
                <w:sz w:val="20"/>
                <w:szCs w:val="20"/>
                <w:color w:val="auto"/>
              </w:rPr>
            </w:pPr>
            <w:r>
              <w:rPr>
                <w:rFonts w:ascii="Arial" w:cs="Arial" w:eastAsia="Arial" w:hAnsi="Arial"/>
                <w:sz w:val="13"/>
                <w:szCs w:val="13"/>
                <w:b w:val="1"/>
                <w:bCs w:val="1"/>
                <w:color w:val="auto"/>
                <w:w w:val="95"/>
              </w:rPr>
              <w:t>March 31, 2009</w:t>
            </w:r>
          </w:p>
        </w:tc>
        <w:tc>
          <w:tcPr>
            <w:tcW w:w="220" w:type="dxa"/>
            <w:vAlign w:val="bottom"/>
            <w:tcBorders>
              <w:top w:val="single" w:sz="8" w:color="auto"/>
            </w:tcBorders>
          </w:tcPr>
          <w:p>
            <w:pPr>
              <w:spacing w:after="0"/>
              <w:rPr>
                <w:sz w:val="12"/>
                <w:szCs w:val="12"/>
                <w:color w:val="auto"/>
              </w:rPr>
            </w:pPr>
          </w:p>
        </w:tc>
        <w:tc>
          <w:tcPr>
            <w:tcW w:w="94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Arial" w:cs="Arial" w:eastAsia="Arial" w:hAnsi="Arial"/>
                <w:sz w:val="13"/>
                <w:szCs w:val="13"/>
                <w:b w:val="1"/>
                <w:bCs w:val="1"/>
                <w:color w:val="auto"/>
                <w:w w:val="97"/>
              </w:rPr>
              <w:t>March 31, 2008</w:t>
            </w:r>
          </w:p>
        </w:tc>
        <w:tc>
          <w:tcPr>
            <w:tcW w:w="280" w:type="dxa"/>
            <w:vAlign w:val="bottom"/>
          </w:tcPr>
          <w:p>
            <w:pPr>
              <w:spacing w:after="0"/>
              <w:rPr>
                <w:sz w:val="12"/>
                <w:szCs w:val="12"/>
                <w:color w:val="auto"/>
              </w:rPr>
            </w:pPr>
          </w:p>
        </w:tc>
        <w:tc>
          <w:tcPr>
            <w:tcW w:w="920" w:type="dxa"/>
            <w:vAlign w:val="bottom"/>
            <w:tcBorders>
              <w:top w:val="single" w:sz="8" w:color="auto"/>
              <w:bottom w:val="single" w:sz="8" w:color="auto"/>
            </w:tcBorders>
            <w:gridSpan w:val="2"/>
          </w:tcPr>
          <w:p>
            <w:pPr>
              <w:ind w:left="20"/>
              <w:spacing w:after="0" w:line="142" w:lineRule="exact"/>
              <w:rPr>
                <w:sz w:val="20"/>
                <w:szCs w:val="20"/>
                <w:color w:val="auto"/>
              </w:rPr>
            </w:pPr>
            <w:r>
              <w:rPr>
                <w:rFonts w:ascii="Arial" w:cs="Arial" w:eastAsia="Arial" w:hAnsi="Arial"/>
                <w:sz w:val="13"/>
                <w:szCs w:val="13"/>
                <w:b w:val="1"/>
                <w:bCs w:val="1"/>
                <w:color w:val="auto"/>
                <w:w w:val="95"/>
              </w:rPr>
              <w:t>March 31, 2009</w:t>
            </w:r>
          </w:p>
        </w:tc>
        <w:tc>
          <w:tcPr>
            <w:tcW w:w="200" w:type="dxa"/>
            <w:vAlign w:val="bottom"/>
            <w:tcBorders>
              <w:top w:val="single" w:sz="8" w:color="auto"/>
            </w:tcBorders>
          </w:tcPr>
          <w:p>
            <w:pPr>
              <w:spacing w:after="0"/>
              <w:rPr>
                <w:sz w:val="12"/>
                <w:szCs w:val="12"/>
                <w:color w:val="auto"/>
              </w:rPr>
            </w:pPr>
          </w:p>
        </w:tc>
        <w:tc>
          <w:tcPr>
            <w:tcW w:w="96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Arial" w:cs="Arial" w:eastAsia="Arial" w:hAnsi="Arial"/>
                <w:sz w:val="13"/>
                <w:szCs w:val="13"/>
                <w:b w:val="1"/>
                <w:bCs w:val="1"/>
                <w:color w:val="auto"/>
                <w:w w:val="97"/>
              </w:rPr>
              <w:t>March 31, 2008</w:t>
            </w:r>
          </w:p>
        </w:tc>
        <w:tc>
          <w:tcPr>
            <w:tcW w:w="60" w:type="dxa"/>
            <w:vAlign w:val="bottom"/>
          </w:tcPr>
          <w:p>
            <w:pPr>
              <w:spacing w:after="0"/>
              <w:rPr>
                <w:sz w:val="12"/>
                <w:szCs w:val="12"/>
                <w:color w:val="auto"/>
              </w:rPr>
            </w:pPr>
          </w:p>
        </w:tc>
      </w:tr>
      <w:tr>
        <w:trPr>
          <w:trHeight w:val="210"/>
        </w:trPr>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Numerator for net increase (decrease) in net assets resulting from operations:</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42,198,990</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6"/>
              </w:rPr>
              <w:t>(33,328,673)</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10,442,266</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8"/>
              </w:rPr>
              <w:t>(44,865,329)</w:t>
            </w:r>
          </w:p>
        </w:tc>
      </w:tr>
      <w:tr>
        <w:trPr>
          <w:trHeight w:val="216"/>
        </w:trPr>
        <w:tc>
          <w:tcPr>
            <w:tcW w:w="6760" w:type="dxa"/>
            <w:vAlign w:val="bottom"/>
          </w:tcPr>
          <w:p>
            <w:pPr>
              <w:spacing w:after="0"/>
              <w:rPr>
                <w:sz w:val="20"/>
                <w:szCs w:val="20"/>
                <w:color w:val="auto"/>
              </w:rPr>
            </w:pPr>
            <w:r>
              <w:rPr>
                <w:rFonts w:ascii="Arial" w:cs="Arial" w:eastAsia="Arial" w:hAnsi="Arial"/>
                <w:sz w:val="18"/>
                <w:szCs w:val="18"/>
                <w:color w:val="auto"/>
              </w:rPr>
              <w:t>Denominator for basic and diluted weighted average shares:</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86"/>
              </w:rPr>
              <w:t>21,068,772</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w w:val="90"/>
              </w:rPr>
              <w:t>21,068,772</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88"/>
              </w:rPr>
              <w:t>21,068,772</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w w:val="93"/>
              </w:rPr>
              <w:t>21,068,772</w:t>
            </w:r>
          </w:p>
        </w:tc>
        <w:tc>
          <w:tcPr>
            <w:tcW w:w="60" w:type="dxa"/>
            <w:vAlign w:val="bottom"/>
          </w:tcPr>
          <w:p>
            <w:pPr>
              <w:spacing w:after="0"/>
              <w:rPr>
                <w:sz w:val="18"/>
                <w:szCs w:val="18"/>
                <w:color w:val="auto"/>
              </w:rPr>
            </w:pPr>
          </w:p>
        </w:tc>
      </w:tr>
      <w:tr>
        <w:trPr>
          <w:trHeight w:val="216"/>
        </w:trPr>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w w:val="92"/>
              </w:rPr>
              <w:t>Basic and diluted net increase (decrease) in net assets per share resulting from operations:</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(1.58)</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0.49</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(2.13)</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INVESTMENTS</w:t>
      </w:r>
    </w:p>
    <w:p>
      <w:pPr>
        <w:spacing w:after="0" w:line="96" w:lineRule="exact"/>
        <w:rPr>
          <w:sz w:val="20"/>
          <w:szCs w:val="20"/>
          <w:color w:val="auto"/>
        </w:rPr>
      </w:pPr>
    </w:p>
    <w:p>
      <w:pPr>
        <w:ind w:right="120" w:firstLine="449"/>
        <w:spacing w:after="0" w:line="331" w:lineRule="auto"/>
        <w:rPr>
          <w:sz w:val="20"/>
          <w:szCs w:val="20"/>
          <w:color w:val="auto"/>
        </w:rPr>
      </w:pPr>
      <w:r>
        <w:rPr>
          <w:rFonts w:ascii="Arial" w:cs="Arial" w:eastAsia="Arial" w:hAnsi="Arial"/>
          <w:sz w:val="16"/>
          <w:szCs w:val="16"/>
          <w:color w:val="auto"/>
        </w:rPr>
        <w:t>Purchases/PIK of long-term investments for the three and six months ended March 31, 2009 totaled $15.4 million and $17.1 million, respectively. Sales and repayments of long-term investments for the three and six months ended March 31, 2009 totaled $3.3 million and $5.5 million, respectively.</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color w:val="auto"/>
        </w:rPr>
        <w:t>Investments and cash equivalents consisted of the following:</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2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2240" w:type="dxa"/>
            <w:vAlign w:val="bottom"/>
            <w:gridSpan w:val="4"/>
          </w:tcPr>
          <w:p>
            <w:pPr>
              <w:jc w:val="right"/>
              <w:ind w:right="595"/>
              <w:spacing w:after="0"/>
              <w:rPr>
                <w:sz w:val="20"/>
                <w:szCs w:val="20"/>
                <w:color w:val="auto"/>
              </w:rPr>
            </w:pPr>
            <w:r>
              <w:rPr>
                <w:rFonts w:ascii="Arial" w:cs="Arial" w:eastAsia="Arial" w:hAnsi="Arial"/>
                <w:sz w:val="13"/>
                <w:szCs w:val="13"/>
                <w:b w:val="1"/>
                <w:bCs w:val="1"/>
                <w:color w:val="auto"/>
              </w:rPr>
              <w:t>March 31, 2009</w:t>
            </w:r>
          </w:p>
        </w:tc>
        <w:tc>
          <w:tcPr>
            <w:tcW w:w="220" w:type="dxa"/>
            <w:vAlign w:val="bottom"/>
          </w:tcPr>
          <w:p>
            <w:pPr>
              <w:spacing w:after="0"/>
              <w:rPr>
                <w:sz w:val="14"/>
                <w:szCs w:val="14"/>
                <w:color w:val="auto"/>
              </w:rPr>
            </w:pPr>
          </w:p>
        </w:tc>
        <w:tc>
          <w:tcPr>
            <w:tcW w:w="2300" w:type="dxa"/>
            <w:vAlign w:val="bottom"/>
            <w:gridSpan w:val="5"/>
          </w:tcPr>
          <w:p>
            <w:pPr>
              <w:jc w:val="right"/>
              <w:ind w:right="600"/>
              <w:spacing w:after="0"/>
              <w:rPr>
                <w:sz w:val="20"/>
                <w:szCs w:val="20"/>
                <w:color w:val="auto"/>
              </w:rPr>
            </w:pPr>
            <w:r>
              <w:rPr>
                <w:rFonts w:ascii="Arial" w:cs="Arial" w:eastAsia="Arial" w:hAnsi="Arial"/>
                <w:sz w:val="13"/>
                <w:szCs w:val="13"/>
                <w:b w:val="1"/>
                <w:bCs w:val="1"/>
                <w:color w:val="auto"/>
              </w:rPr>
              <w:t>September 30, 2008</w:t>
            </w:r>
          </w:p>
        </w:tc>
        <w:tc>
          <w:tcPr>
            <w:tcW w:w="0" w:type="dxa"/>
            <w:vAlign w:val="bottom"/>
          </w:tcPr>
          <w:p>
            <w:pPr>
              <w:spacing w:after="0"/>
              <w:rPr>
                <w:sz w:val="1"/>
                <w:szCs w:val="1"/>
                <w:color w:val="auto"/>
              </w:rPr>
            </w:pPr>
          </w:p>
        </w:tc>
      </w:tr>
      <w:tr>
        <w:trPr>
          <w:trHeight w:val="142"/>
        </w:trPr>
        <w:tc>
          <w:tcPr>
            <w:tcW w:w="402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1020" w:type="dxa"/>
            <w:vAlign w:val="bottom"/>
            <w:tcBorders>
              <w:top w:val="single" w:sz="8" w:color="auto"/>
              <w:bottom w:val="single" w:sz="8" w:color="auto"/>
            </w:tcBorders>
          </w:tcPr>
          <w:p>
            <w:pPr>
              <w:jc w:val="right"/>
              <w:ind w:right="302"/>
              <w:spacing w:after="0" w:line="142" w:lineRule="exact"/>
              <w:rPr>
                <w:sz w:val="20"/>
                <w:szCs w:val="20"/>
                <w:color w:val="auto"/>
              </w:rPr>
            </w:pPr>
            <w:r>
              <w:rPr>
                <w:rFonts w:ascii="Arial" w:cs="Arial" w:eastAsia="Arial" w:hAnsi="Arial"/>
                <w:sz w:val="13"/>
                <w:szCs w:val="13"/>
                <w:b w:val="1"/>
                <w:bCs w:val="1"/>
                <w:color w:val="auto"/>
              </w:rPr>
              <w:t>Cost</w:t>
            </w:r>
          </w:p>
        </w:tc>
        <w:tc>
          <w:tcPr>
            <w:tcW w:w="200" w:type="dxa"/>
            <w:vAlign w:val="bottom"/>
            <w:tcBorders>
              <w:top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115"/>
              <w:spacing w:after="0" w:line="142" w:lineRule="exact"/>
              <w:rPr>
                <w:sz w:val="20"/>
                <w:szCs w:val="20"/>
                <w:color w:val="auto"/>
              </w:rPr>
            </w:pPr>
            <w:r>
              <w:rPr>
                <w:rFonts w:ascii="Arial" w:cs="Arial" w:eastAsia="Arial" w:hAnsi="Arial"/>
                <w:sz w:val="13"/>
                <w:szCs w:val="13"/>
                <w:b w:val="1"/>
                <w:bCs w:val="1"/>
                <w:color w:val="auto"/>
              </w:rPr>
              <w:t>Fair Value</w:t>
            </w:r>
          </w:p>
        </w:tc>
        <w:tc>
          <w:tcPr>
            <w:tcW w:w="220" w:type="dxa"/>
            <w:vAlign w:val="bottom"/>
          </w:tcPr>
          <w:p>
            <w:pPr>
              <w:spacing w:after="0"/>
              <w:rPr>
                <w:sz w:val="12"/>
                <w:szCs w:val="12"/>
                <w:color w:val="auto"/>
              </w:rPr>
            </w:pPr>
          </w:p>
        </w:tc>
        <w:tc>
          <w:tcPr>
            <w:tcW w:w="1020" w:type="dxa"/>
            <w:vAlign w:val="bottom"/>
            <w:tcBorders>
              <w:top w:val="single" w:sz="8" w:color="auto"/>
              <w:bottom w:val="single" w:sz="8" w:color="auto"/>
            </w:tcBorders>
          </w:tcPr>
          <w:p>
            <w:pPr>
              <w:jc w:val="right"/>
              <w:ind w:right="302"/>
              <w:spacing w:after="0" w:line="142" w:lineRule="exact"/>
              <w:rPr>
                <w:sz w:val="20"/>
                <w:szCs w:val="20"/>
                <w:color w:val="auto"/>
              </w:rPr>
            </w:pPr>
            <w:r>
              <w:rPr>
                <w:rFonts w:ascii="Arial" w:cs="Arial" w:eastAsia="Arial" w:hAnsi="Arial"/>
                <w:sz w:val="13"/>
                <w:szCs w:val="13"/>
                <w:b w:val="1"/>
                <w:bCs w:val="1"/>
                <w:color w:val="auto"/>
              </w:rPr>
              <w:t>Cost</w:t>
            </w:r>
          </w:p>
        </w:tc>
        <w:tc>
          <w:tcPr>
            <w:tcW w:w="220" w:type="dxa"/>
            <w:vAlign w:val="bottom"/>
            <w:tcBorders>
              <w:top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jc w:val="right"/>
              <w:ind w:right="135"/>
              <w:spacing w:after="0" w:line="142" w:lineRule="exact"/>
              <w:rPr>
                <w:sz w:val="20"/>
                <w:szCs w:val="20"/>
                <w:color w:val="auto"/>
              </w:rPr>
            </w:pPr>
            <w:r>
              <w:rPr>
                <w:rFonts w:ascii="Arial" w:cs="Arial" w:eastAsia="Arial" w:hAnsi="Arial"/>
                <w:sz w:val="13"/>
                <w:szCs w:val="13"/>
                <w:b w:val="1"/>
                <w:bCs w:val="1"/>
                <w:color w:val="auto"/>
              </w:rPr>
              <w:t>Fair Value</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First lien</w:t>
            </w:r>
          </w:p>
        </w:tc>
        <w:tc>
          <w:tcPr>
            <w:tcW w:w="37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$ 104,778,488</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77,184,935</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$ 105,222,862</w:t>
            </w:r>
          </w:p>
        </w:tc>
        <w:tc>
          <w:tcPr>
            <w:tcW w:w="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78,844,929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20" w:type="dxa"/>
            <w:vAlign w:val="bottom"/>
          </w:tcPr>
          <w:p>
            <w:pPr>
              <w:spacing w:after="0"/>
              <w:rPr>
                <w:sz w:val="20"/>
                <w:szCs w:val="20"/>
                <w:color w:val="auto"/>
              </w:rPr>
            </w:pPr>
            <w:r>
              <w:rPr>
                <w:rFonts w:ascii="Arial" w:cs="Arial" w:eastAsia="Arial" w:hAnsi="Arial"/>
                <w:sz w:val="18"/>
                <w:szCs w:val="18"/>
                <w:color w:val="auto"/>
              </w:rPr>
              <w:t>Second lien</w:t>
            </w:r>
          </w:p>
        </w:tc>
        <w:tc>
          <w:tcPr>
            <w:tcW w:w="3700" w:type="dxa"/>
            <w:vAlign w:val="bottom"/>
            <w:gridSpan w:val="3"/>
          </w:tcPr>
          <w:p>
            <w:pPr>
              <w:jc w:val="right"/>
              <w:ind w:right="200"/>
              <w:spacing w:after="0"/>
              <w:rPr>
                <w:sz w:val="20"/>
                <w:szCs w:val="20"/>
                <w:color w:val="auto"/>
              </w:rPr>
            </w:pPr>
            <w:r>
              <w:rPr>
                <w:rFonts w:ascii="Arial" w:cs="Arial" w:eastAsia="Arial" w:hAnsi="Arial"/>
                <w:sz w:val="18"/>
                <w:szCs w:val="18"/>
                <w:color w:val="auto"/>
              </w:rPr>
              <w:t>134,697,901</w:t>
            </w: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87"/>
              </w:rPr>
              <w:t>103,549,650</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132,155,221</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89"/>
              </w:rPr>
              <w:t>104,242,000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Subordinated debt / corporate notes</w:t>
            </w:r>
          </w:p>
        </w:tc>
        <w:tc>
          <w:tcPr>
            <w:tcW w:w="37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189,381,133</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158,401,910</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187,087,744</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166,173,175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20" w:type="dxa"/>
            <w:vAlign w:val="bottom"/>
          </w:tcPr>
          <w:p>
            <w:pPr>
              <w:spacing w:after="0"/>
              <w:rPr>
                <w:sz w:val="20"/>
                <w:szCs w:val="20"/>
                <w:color w:val="auto"/>
              </w:rPr>
            </w:pPr>
            <w:r>
              <w:rPr>
                <w:rFonts w:ascii="Arial" w:cs="Arial" w:eastAsia="Arial" w:hAnsi="Arial"/>
                <w:sz w:val="18"/>
                <w:szCs w:val="18"/>
                <w:color w:val="auto"/>
              </w:rPr>
              <w:t>Preferred equity</w:t>
            </w:r>
          </w:p>
        </w:tc>
        <w:tc>
          <w:tcPr>
            <w:tcW w:w="3700" w:type="dxa"/>
            <w:vAlign w:val="bottom"/>
            <w:gridSpan w:val="3"/>
          </w:tcPr>
          <w:p>
            <w:pPr>
              <w:jc w:val="right"/>
              <w:ind w:right="200"/>
              <w:spacing w:after="0"/>
              <w:rPr>
                <w:sz w:val="20"/>
                <w:szCs w:val="20"/>
                <w:color w:val="auto"/>
              </w:rPr>
            </w:pPr>
            <w:r>
              <w:rPr>
                <w:rFonts w:ascii="Arial" w:cs="Arial" w:eastAsia="Arial" w:hAnsi="Arial"/>
                <w:sz w:val="18"/>
                <w:szCs w:val="18"/>
                <w:color w:val="auto"/>
              </w:rPr>
              <w:t>9,573,076</w:t>
            </w: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7"/>
              </w:rPr>
              <w:t>10,051,468</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9,298,819</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9,298,819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Common equity</w:t>
            </w:r>
          </w:p>
        </w:tc>
        <w:tc>
          <w:tcPr>
            <w:tcW w:w="2480" w:type="dxa"/>
            <w:vAlign w:val="bottom"/>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12,188,815</w:t>
            </w:r>
          </w:p>
        </w:tc>
        <w:tc>
          <w:tcPr>
            <w:tcW w:w="2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14,309,243</w:t>
            </w:r>
          </w:p>
        </w:tc>
        <w:tc>
          <w:tcPr>
            <w:tcW w:w="220" w:type="dxa"/>
            <w:vAlign w:val="bottom"/>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10,409,360</w:t>
            </w:r>
          </w:p>
        </w:tc>
        <w:tc>
          <w:tcPr>
            <w:tcW w:w="2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13,588,897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4020" w:type="dxa"/>
            <w:vAlign w:val="bottom"/>
          </w:tcPr>
          <w:p>
            <w:pPr>
              <w:spacing w:after="0"/>
              <w:rPr>
                <w:sz w:val="20"/>
                <w:szCs w:val="20"/>
                <w:color w:val="auto"/>
              </w:rPr>
            </w:pPr>
            <w:r>
              <w:rPr>
                <w:rFonts w:ascii="Arial" w:cs="Arial" w:eastAsia="Arial" w:hAnsi="Arial"/>
                <w:sz w:val="18"/>
                <w:szCs w:val="18"/>
                <w:color w:val="auto"/>
              </w:rPr>
              <w:t>Total investments</w:t>
            </w:r>
          </w:p>
        </w:tc>
        <w:tc>
          <w:tcPr>
            <w:tcW w:w="3700" w:type="dxa"/>
            <w:vAlign w:val="bottom"/>
            <w:gridSpan w:val="3"/>
          </w:tcPr>
          <w:p>
            <w:pPr>
              <w:jc w:val="right"/>
              <w:ind w:right="200"/>
              <w:spacing w:after="0"/>
              <w:rPr>
                <w:sz w:val="20"/>
                <w:szCs w:val="20"/>
                <w:color w:val="auto"/>
              </w:rPr>
            </w:pPr>
            <w:r>
              <w:rPr>
                <w:rFonts w:ascii="Arial" w:cs="Arial" w:eastAsia="Arial" w:hAnsi="Arial"/>
                <w:sz w:val="18"/>
                <w:szCs w:val="18"/>
                <w:color w:val="auto"/>
              </w:rPr>
              <w:t>450,619,413</w:t>
            </w: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87"/>
              </w:rPr>
              <w:t>363,497,206</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444,174,006</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w w:val="89"/>
              </w:rPr>
              <w:t>372,147,820</w:t>
            </w:r>
          </w:p>
        </w:tc>
        <w:tc>
          <w:tcPr>
            <w:tcW w:w="0" w:type="dxa"/>
            <w:vAlign w:val="bottom"/>
          </w:tcPr>
          <w:p>
            <w:pPr>
              <w:spacing w:after="0"/>
              <w:rPr>
                <w:sz w:val="1"/>
                <w:szCs w:val="1"/>
                <w:color w:val="auto"/>
              </w:rPr>
            </w:pPr>
          </w:p>
        </w:tc>
      </w:tr>
      <w:tr>
        <w:trPr>
          <w:trHeight w:val="218"/>
        </w:trPr>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Cash equivalents</w:t>
            </w:r>
          </w:p>
        </w:tc>
        <w:tc>
          <w:tcPr>
            <w:tcW w:w="2480" w:type="dxa"/>
            <w:vAlign w:val="bottom"/>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29,906,268</w:t>
            </w:r>
          </w:p>
        </w:tc>
        <w:tc>
          <w:tcPr>
            <w:tcW w:w="2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29,906,268</w:t>
            </w:r>
          </w:p>
        </w:tc>
        <w:tc>
          <w:tcPr>
            <w:tcW w:w="220" w:type="dxa"/>
            <w:vAlign w:val="bottom"/>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40,249,201</w:t>
            </w:r>
          </w:p>
        </w:tc>
        <w:tc>
          <w:tcPr>
            <w:tcW w:w="2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40,249,201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4020" w:type="dxa"/>
            <w:vAlign w:val="bottom"/>
          </w:tcPr>
          <w:p>
            <w:pPr>
              <w:spacing w:after="0"/>
              <w:rPr>
                <w:sz w:val="20"/>
                <w:szCs w:val="20"/>
                <w:color w:val="auto"/>
              </w:rPr>
            </w:pPr>
            <w:r>
              <w:rPr>
                <w:rFonts w:ascii="Arial" w:cs="Arial" w:eastAsia="Arial" w:hAnsi="Arial"/>
                <w:sz w:val="18"/>
                <w:szCs w:val="18"/>
                <w:color w:val="auto"/>
              </w:rPr>
              <w:t>Total</w:t>
            </w:r>
          </w:p>
        </w:tc>
        <w:tc>
          <w:tcPr>
            <w:tcW w:w="3700" w:type="dxa"/>
            <w:vAlign w:val="bottom"/>
            <w:gridSpan w:val="3"/>
          </w:tcPr>
          <w:p>
            <w:pPr>
              <w:jc w:val="right"/>
              <w:ind w:right="200"/>
              <w:spacing w:after="0"/>
              <w:rPr>
                <w:sz w:val="20"/>
                <w:szCs w:val="20"/>
                <w:color w:val="auto"/>
              </w:rPr>
            </w:pPr>
            <w:r>
              <w:rPr>
                <w:rFonts w:ascii="Arial" w:cs="Arial" w:eastAsia="Arial" w:hAnsi="Arial"/>
                <w:sz w:val="18"/>
                <w:szCs w:val="18"/>
                <w:color w:val="auto"/>
              </w:rPr>
              <w:t>$ 480,525,681</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w w:val="87"/>
              </w:rPr>
              <w:t>393,403,474</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$ 484,423,207</w:t>
            </w:r>
          </w:p>
        </w:tc>
        <w:tc>
          <w:tcPr>
            <w:tcW w:w="3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w w:val="89"/>
              </w:rPr>
              <w:t>412,397,021</w:t>
            </w:r>
          </w:p>
        </w:tc>
        <w:tc>
          <w:tcPr>
            <w:tcW w:w="0" w:type="dxa"/>
            <w:vAlign w:val="bottom"/>
          </w:tcPr>
          <w:p>
            <w:pPr>
              <w:spacing w:after="0"/>
              <w:rPr>
                <w:sz w:val="1"/>
                <w:szCs w:val="1"/>
                <w:color w:val="auto"/>
              </w:rPr>
            </w:pPr>
          </w:p>
        </w:tc>
      </w:tr>
      <w:tr>
        <w:trPr>
          <w:trHeight w:val="20"/>
        </w:trPr>
        <w:tc>
          <w:tcPr>
            <w:tcW w:w="4020" w:type="dxa"/>
            <w:vAlign w:val="bottom"/>
          </w:tcPr>
          <w:p>
            <w:pPr>
              <w:spacing w:after="0" w:line="20" w:lineRule="exact"/>
              <w:rPr>
                <w:sz w:val="1"/>
                <w:szCs w:val="1"/>
                <w:color w:val="auto"/>
              </w:rPr>
            </w:pPr>
          </w:p>
        </w:tc>
        <w:tc>
          <w:tcPr>
            <w:tcW w:w="2480" w:type="dxa"/>
            <w:vAlign w:val="bottom"/>
            <w:vMerge w:val="restart"/>
          </w:tcPr>
          <w:p>
            <w:pPr>
              <w:jc w:val="right"/>
              <w:ind w:right="692"/>
              <w:spacing w:after="0"/>
              <w:rPr>
                <w:sz w:val="20"/>
                <w:szCs w:val="20"/>
                <w:color w:val="auto"/>
              </w:rPr>
            </w:pPr>
            <w:r>
              <w:rPr>
                <w:rFonts w:ascii="Arial" w:cs="Arial" w:eastAsia="Arial" w:hAnsi="Arial"/>
                <w:sz w:val="18"/>
                <w:szCs w:val="18"/>
                <w:color w:val="auto"/>
              </w:rPr>
              <w:t>17</w:t>
            </w: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4020" w:type="dxa"/>
            <w:vAlign w:val="bottom"/>
          </w:tcPr>
          <w:p>
            <w:pPr>
              <w:spacing w:after="0"/>
              <w:rPr>
                <w:sz w:val="24"/>
                <w:szCs w:val="24"/>
                <w:color w:val="auto"/>
              </w:rPr>
            </w:pPr>
          </w:p>
        </w:tc>
        <w:tc>
          <w:tcPr>
            <w:tcW w:w="2480" w:type="dxa"/>
            <w:vAlign w:val="bottom"/>
            <w:vMerge w:val="continue"/>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459" w:right="3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206375</wp:posOffset>
            </wp:positionH>
            <wp:positionV relativeFrom="page">
              <wp:posOffset>88900</wp:posOffset>
            </wp:positionV>
            <wp:extent cx="7153275" cy="279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32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Cost represents the original cost adjusted for the accretion of discounts and amortization of premiums on debt investments, if any.</w:t>
      </w:r>
    </w:p>
    <w:p>
      <w:pPr>
        <w:spacing w:after="0" w:line="171" w:lineRule="exact"/>
        <w:rPr>
          <w:sz w:val="20"/>
          <w:szCs w:val="20"/>
          <w:color w:val="auto"/>
        </w:rPr>
      </w:pPr>
    </w:p>
    <w:p>
      <w:pPr>
        <w:ind w:right="20" w:firstLine="449"/>
        <w:spacing w:after="0" w:line="268" w:lineRule="auto"/>
        <w:rPr>
          <w:sz w:val="20"/>
          <w:szCs w:val="20"/>
          <w:color w:val="auto"/>
        </w:rPr>
      </w:pPr>
      <w:r>
        <w:rPr>
          <w:rFonts w:ascii="Arial" w:cs="Arial" w:eastAsia="Arial" w:hAnsi="Arial"/>
          <w:sz w:val="18"/>
          <w:szCs w:val="18"/>
          <w:color w:val="auto"/>
        </w:rPr>
        <w:t>The table below describes investments by industry classification and enumerates the percentage, by market value, of the total portfolio assets (excluding cash equivalents) in such industries as of March 31, 2009 and September 30, 2008.</w:t>
      </w:r>
    </w:p>
    <w:p>
      <w:pPr>
        <w:spacing w:after="0" w:line="167" w:lineRule="exact"/>
        <w:rPr>
          <w:sz w:val="20"/>
          <w:szCs w:val="20"/>
          <w:color w:val="auto"/>
        </w:rPr>
      </w:pPr>
    </w:p>
    <w:tbl>
      <w:tblPr>
        <w:tblLayout w:type="fixed"/>
        <w:tblInd w:w="46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5240" w:type="dxa"/>
            <w:vAlign w:val="bottom"/>
          </w:tcPr>
          <w:p>
            <w:pPr>
              <w:spacing w:after="0"/>
              <w:rPr>
                <w:sz w:val="13"/>
                <w:szCs w:val="13"/>
                <w:color w:val="auto"/>
              </w:rPr>
            </w:pPr>
          </w:p>
        </w:tc>
        <w:tc>
          <w:tcPr>
            <w:tcW w:w="2360" w:type="dxa"/>
            <w:vAlign w:val="bottom"/>
            <w:gridSpan w:val="3"/>
          </w:tcPr>
          <w:p>
            <w:pPr>
              <w:jc w:val="right"/>
              <w:ind w:right="540"/>
              <w:spacing w:after="0"/>
              <w:rPr>
                <w:sz w:val="20"/>
                <w:szCs w:val="20"/>
                <w:color w:val="auto"/>
              </w:rPr>
            </w:pPr>
            <w:r>
              <w:rPr>
                <w:rFonts w:ascii="Arial" w:cs="Arial" w:eastAsia="Arial" w:hAnsi="Arial"/>
                <w:sz w:val="13"/>
                <w:szCs w:val="13"/>
                <w:b w:val="1"/>
                <w:bCs w:val="1"/>
                <w:color w:val="auto"/>
              </w:rPr>
              <w:t>March 31,</w:t>
            </w:r>
          </w:p>
        </w:tc>
        <w:tc>
          <w:tcPr>
            <w:tcW w:w="1360" w:type="dxa"/>
            <w:vAlign w:val="bottom"/>
            <w:gridSpan w:val="3"/>
          </w:tcPr>
          <w:p>
            <w:pPr>
              <w:jc w:val="right"/>
              <w:ind w:right="160"/>
              <w:spacing w:after="0"/>
              <w:rPr>
                <w:sz w:val="20"/>
                <w:szCs w:val="20"/>
                <w:color w:val="auto"/>
              </w:rPr>
            </w:pPr>
            <w:r>
              <w:rPr>
                <w:rFonts w:ascii="Arial" w:cs="Arial" w:eastAsia="Arial" w:hAnsi="Arial"/>
                <w:sz w:val="13"/>
                <w:szCs w:val="13"/>
                <w:b w:val="1"/>
                <w:bCs w:val="1"/>
                <w:color w:val="auto"/>
              </w:rPr>
              <w:t>September 30,</w:t>
            </w:r>
          </w:p>
        </w:tc>
        <w:tc>
          <w:tcPr>
            <w:tcW w:w="0" w:type="dxa"/>
            <w:vAlign w:val="bottom"/>
          </w:tcPr>
          <w:p>
            <w:pPr>
              <w:spacing w:after="0"/>
              <w:rPr>
                <w:sz w:val="1"/>
                <w:szCs w:val="1"/>
                <w:color w:val="auto"/>
              </w:rPr>
            </w:pPr>
          </w:p>
        </w:tc>
      </w:tr>
      <w:tr>
        <w:trPr>
          <w:trHeight w:val="161"/>
        </w:trPr>
        <w:tc>
          <w:tcPr>
            <w:tcW w:w="6620" w:type="dxa"/>
            <w:vAlign w:val="bottom"/>
            <w:gridSpan w:val="3"/>
          </w:tcPr>
          <w:p>
            <w:pPr>
              <w:spacing w:after="0"/>
              <w:rPr>
                <w:sz w:val="20"/>
                <w:szCs w:val="20"/>
                <w:color w:val="auto"/>
              </w:rPr>
            </w:pPr>
            <w:r>
              <w:rPr>
                <w:rFonts w:ascii="Arial" w:cs="Arial" w:eastAsia="Arial" w:hAnsi="Arial"/>
                <w:sz w:val="13"/>
                <w:szCs w:val="13"/>
                <w:b w:val="1"/>
                <w:bCs w:val="1"/>
                <w:color w:val="auto"/>
              </w:rPr>
              <w:t>Industry Classification</w:t>
            </w:r>
          </w:p>
        </w:tc>
        <w:tc>
          <w:tcPr>
            <w:tcW w:w="1820" w:type="dxa"/>
            <w:vAlign w:val="bottom"/>
            <w:gridSpan w:val="2"/>
          </w:tcPr>
          <w:p>
            <w:pPr>
              <w:jc w:val="right"/>
              <w:ind w:right="72"/>
              <w:spacing w:after="0"/>
              <w:rPr>
                <w:sz w:val="20"/>
                <w:szCs w:val="20"/>
                <w:color w:val="auto"/>
              </w:rPr>
            </w:pPr>
            <w:r>
              <w:rPr>
                <w:rFonts w:ascii="Arial" w:cs="Arial" w:eastAsia="Arial" w:hAnsi="Arial"/>
                <w:sz w:val="13"/>
                <w:szCs w:val="13"/>
                <w:b w:val="1"/>
                <w:bCs w:val="1"/>
                <w:color w:val="auto"/>
              </w:rPr>
              <w:t>2009</w:t>
            </w:r>
          </w:p>
        </w:tc>
        <w:tc>
          <w:tcPr>
            <w:tcW w:w="540" w:type="dxa"/>
            <w:vAlign w:val="bottom"/>
          </w:tcPr>
          <w:p>
            <w:pPr>
              <w:spacing w:after="0"/>
              <w:rPr>
                <w:sz w:val="14"/>
                <w:szCs w:val="14"/>
                <w:color w:val="auto"/>
              </w:rPr>
            </w:pPr>
          </w:p>
        </w:tc>
        <w:tc>
          <w:tcPr>
            <w:tcW w:w="1200" w:type="dxa"/>
            <w:vAlign w:val="bottom"/>
            <w:gridSpan w:val="2"/>
          </w:tcPr>
          <w:p>
            <w:pPr>
              <w:jc w:val="right"/>
              <w:ind w:right="192"/>
              <w:spacing w:after="0"/>
              <w:rPr>
                <w:sz w:val="20"/>
                <w:szCs w:val="20"/>
                <w:color w:val="auto"/>
              </w:rPr>
            </w:pPr>
            <w:r>
              <w:rPr>
                <w:rFonts w:ascii="Arial" w:cs="Arial" w:eastAsia="Arial" w:hAnsi="Arial"/>
                <w:sz w:val="13"/>
                <w:szCs w:val="13"/>
                <w:b w:val="1"/>
                <w:bCs w:val="1"/>
                <w:color w:val="auto"/>
              </w:rPr>
              <w:t>2008</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52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6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Aerospace and Defense</w:t>
            </w:r>
          </w:p>
        </w:tc>
        <w:tc>
          <w:tcPr>
            <w:tcW w:w="236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10%</w:t>
            </w:r>
          </w:p>
        </w:tc>
        <w:tc>
          <w:tcPr>
            <w:tcW w:w="13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gridSpan w:val="2"/>
          </w:tcPr>
          <w:p>
            <w:pPr>
              <w:spacing w:after="0"/>
              <w:rPr>
                <w:sz w:val="20"/>
                <w:szCs w:val="20"/>
                <w:color w:val="auto"/>
              </w:rPr>
            </w:pPr>
            <w:r>
              <w:rPr>
                <w:rFonts w:ascii="Arial" w:cs="Arial" w:eastAsia="Arial" w:hAnsi="Arial"/>
                <w:sz w:val="18"/>
                <w:szCs w:val="18"/>
                <w:color w:val="auto"/>
              </w:rPr>
              <w:t>Chemicals, Plastic and Rubber</w:t>
            </w:r>
          </w:p>
        </w:tc>
        <w:tc>
          <w:tcPr>
            <w:tcW w:w="1820" w:type="dxa"/>
            <w:vAlign w:val="bottom"/>
            <w:gridSpan w:val="2"/>
          </w:tcPr>
          <w:p>
            <w:pPr>
              <w:jc w:val="right"/>
              <w:spacing w:after="0"/>
              <w:rPr>
                <w:sz w:val="20"/>
                <w:szCs w:val="20"/>
                <w:color w:val="auto"/>
              </w:rPr>
            </w:pPr>
            <w:r>
              <w:rPr>
                <w:rFonts w:ascii="Arial" w:cs="Arial" w:eastAsia="Arial" w:hAnsi="Arial"/>
                <w:sz w:val="18"/>
                <w:szCs w:val="18"/>
                <w:color w:val="auto"/>
              </w:rPr>
              <w:t>10</w:t>
            </w:r>
          </w:p>
        </w:tc>
        <w:tc>
          <w:tcPr>
            <w:tcW w:w="540" w:type="dxa"/>
            <w:vAlign w:val="bottom"/>
          </w:tcPr>
          <w:p>
            <w:pPr>
              <w:spacing w:after="0"/>
              <w:rPr>
                <w:sz w:val="18"/>
                <w:szCs w:val="18"/>
                <w:color w:val="auto"/>
              </w:rPr>
            </w:pP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5</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Media</w:t>
            </w:r>
          </w:p>
        </w:tc>
        <w:tc>
          <w:tcPr>
            <w:tcW w:w="1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5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gridSpan w:val="2"/>
          </w:tcPr>
          <w:p>
            <w:pPr>
              <w:spacing w:after="0"/>
              <w:rPr>
                <w:sz w:val="20"/>
                <w:szCs w:val="20"/>
                <w:color w:val="auto"/>
              </w:rPr>
            </w:pPr>
            <w:r>
              <w:rPr>
                <w:rFonts w:ascii="Arial" w:cs="Arial" w:eastAsia="Arial" w:hAnsi="Arial"/>
                <w:sz w:val="18"/>
                <w:szCs w:val="18"/>
                <w:color w:val="auto"/>
              </w:rPr>
              <w:t>Business Services</w:t>
            </w:r>
          </w:p>
        </w:tc>
        <w:tc>
          <w:tcPr>
            <w:tcW w:w="1820" w:type="dxa"/>
            <w:vAlign w:val="bottom"/>
            <w:gridSpan w:val="2"/>
          </w:tcPr>
          <w:p>
            <w:pPr>
              <w:jc w:val="right"/>
              <w:spacing w:after="0"/>
              <w:rPr>
                <w:sz w:val="20"/>
                <w:szCs w:val="20"/>
                <w:color w:val="auto"/>
              </w:rPr>
            </w:pPr>
            <w:r>
              <w:rPr>
                <w:rFonts w:ascii="Arial" w:cs="Arial" w:eastAsia="Arial" w:hAnsi="Arial"/>
                <w:sz w:val="18"/>
                <w:szCs w:val="18"/>
                <w:color w:val="auto"/>
              </w:rPr>
              <w:t>8</w:t>
            </w:r>
          </w:p>
        </w:tc>
        <w:tc>
          <w:tcPr>
            <w:tcW w:w="540" w:type="dxa"/>
            <w:vAlign w:val="bottom"/>
          </w:tcPr>
          <w:p>
            <w:pPr>
              <w:spacing w:after="0"/>
              <w:rPr>
                <w:sz w:val="18"/>
                <w:szCs w:val="18"/>
                <w:color w:val="auto"/>
              </w:rPr>
            </w:pP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8</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Oil and Gas</w:t>
            </w:r>
          </w:p>
        </w:tc>
        <w:tc>
          <w:tcPr>
            <w:tcW w:w="1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5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gridSpan w:val="2"/>
          </w:tcPr>
          <w:p>
            <w:pPr>
              <w:spacing w:after="0"/>
              <w:rPr>
                <w:sz w:val="20"/>
                <w:szCs w:val="20"/>
                <w:color w:val="auto"/>
              </w:rPr>
            </w:pPr>
            <w:r>
              <w:rPr>
                <w:rFonts w:ascii="Arial" w:cs="Arial" w:eastAsia="Arial" w:hAnsi="Arial"/>
                <w:sz w:val="18"/>
                <w:szCs w:val="18"/>
                <w:color w:val="auto"/>
              </w:rPr>
              <w:t>Auto Sector</w:t>
            </w:r>
          </w:p>
        </w:tc>
        <w:tc>
          <w:tcPr>
            <w:tcW w:w="1820" w:type="dxa"/>
            <w:vAlign w:val="bottom"/>
            <w:gridSpan w:val="2"/>
          </w:tcPr>
          <w:p>
            <w:pPr>
              <w:jc w:val="right"/>
              <w:spacing w:after="0"/>
              <w:rPr>
                <w:sz w:val="20"/>
                <w:szCs w:val="20"/>
                <w:color w:val="auto"/>
              </w:rPr>
            </w:pPr>
            <w:r>
              <w:rPr>
                <w:rFonts w:ascii="Arial" w:cs="Arial" w:eastAsia="Arial" w:hAnsi="Arial"/>
                <w:sz w:val="18"/>
                <w:szCs w:val="18"/>
                <w:color w:val="auto"/>
              </w:rPr>
              <w:t>6</w:t>
            </w:r>
          </w:p>
        </w:tc>
        <w:tc>
          <w:tcPr>
            <w:tcW w:w="540" w:type="dxa"/>
            <w:vAlign w:val="bottom"/>
          </w:tcPr>
          <w:p>
            <w:pPr>
              <w:spacing w:after="0"/>
              <w:rPr>
                <w:sz w:val="18"/>
                <w:szCs w:val="18"/>
                <w:color w:val="auto"/>
              </w:rPr>
            </w:pP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5</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Consumer Products</w:t>
            </w:r>
          </w:p>
        </w:tc>
        <w:tc>
          <w:tcPr>
            <w:tcW w:w="1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5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gridSpan w:val="2"/>
          </w:tcPr>
          <w:p>
            <w:pPr>
              <w:spacing w:after="0"/>
              <w:rPr>
                <w:sz w:val="20"/>
                <w:szCs w:val="20"/>
                <w:color w:val="auto"/>
              </w:rPr>
            </w:pPr>
            <w:r>
              <w:rPr>
                <w:rFonts w:ascii="Arial" w:cs="Arial" w:eastAsia="Arial" w:hAnsi="Arial"/>
                <w:sz w:val="18"/>
                <w:szCs w:val="18"/>
                <w:color w:val="auto"/>
              </w:rPr>
              <w:t>Energy/Utilities</w:t>
            </w:r>
          </w:p>
        </w:tc>
        <w:tc>
          <w:tcPr>
            <w:tcW w:w="1820" w:type="dxa"/>
            <w:vAlign w:val="bottom"/>
            <w:gridSpan w:val="2"/>
          </w:tcPr>
          <w:p>
            <w:pPr>
              <w:jc w:val="right"/>
              <w:spacing w:after="0"/>
              <w:rPr>
                <w:sz w:val="20"/>
                <w:szCs w:val="20"/>
                <w:color w:val="auto"/>
              </w:rPr>
            </w:pPr>
            <w:r>
              <w:rPr>
                <w:rFonts w:ascii="Arial" w:cs="Arial" w:eastAsia="Arial" w:hAnsi="Arial"/>
                <w:sz w:val="18"/>
                <w:szCs w:val="18"/>
                <w:color w:val="auto"/>
              </w:rPr>
              <w:t>6</w:t>
            </w:r>
          </w:p>
        </w:tc>
        <w:tc>
          <w:tcPr>
            <w:tcW w:w="540" w:type="dxa"/>
            <w:vAlign w:val="bottom"/>
          </w:tcPr>
          <w:p>
            <w:pPr>
              <w:spacing w:after="0"/>
              <w:rPr>
                <w:sz w:val="18"/>
                <w:szCs w:val="18"/>
                <w:color w:val="auto"/>
              </w:rPr>
            </w:pP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6</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Healthcare, Education and Childcare</w:t>
            </w:r>
          </w:p>
        </w:tc>
        <w:tc>
          <w:tcPr>
            <w:tcW w:w="1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5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gridSpan w:val="2"/>
          </w:tcPr>
          <w:p>
            <w:pPr>
              <w:spacing w:after="0"/>
              <w:rPr>
                <w:sz w:val="20"/>
                <w:szCs w:val="20"/>
                <w:color w:val="auto"/>
              </w:rPr>
            </w:pPr>
            <w:r>
              <w:rPr>
                <w:rFonts w:ascii="Arial" w:cs="Arial" w:eastAsia="Arial" w:hAnsi="Arial"/>
                <w:sz w:val="18"/>
                <w:szCs w:val="18"/>
                <w:color w:val="auto"/>
              </w:rPr>
              <w:t>Insurance</w:t>
            </w:r>
          </w:p>
        </w:tc>
        <w:tc>
          <w:tcPr>
            <w:tcW w:w="1820" w:type="dxa"/>
            <w:vAlign w:val="bottom"/>
            <w:gridSpan w:val="2"/>
          </w:tcPr>
          <w:p>
            <w:pPr>
              <w:jc w:val="right"/>
              <w:spacing w:after="0"/>
              <w:rPr>
                <w:sz w:val="20"/>
                <w:szCs w:val="20"/>
                <w:color w:val="auto"/>
              </w:rPr>
            </w:pPr>
            <w:r>
              <w:rPr>
                <w:rFonts w:ascii="Arial" w:cs="Arial" w:eastAsia="Arial" w:hAnsi="Arial"/>
                <w:sz w:val="18"/>
                <w:szCs w:val="18"/>
                <w:color w:val="auto"/>
              </w:rPr>
              <w:t>6</w:t>
            </w:r>
          </w:p>
        </w:tc>
        <w:tc>
          <w:tcPr>
            <w:tcW w:w="540" w:type="dxa"/>
            <w:vAlign w:val="bottom"/>
          </w:tcPr>
          <w:p>
            <w:pPr>
              <w:spacing w:after="0"/>
              <w:rPr>
                <w:sz w:val="18"/>
                <w:szCs w:val="18"/>
                <w:color w:val="auto"/>
              </w:rPr>
            </w:pP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6</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Environmental Services</w:t>
            </w:r>
          </w:p>
        </w:tc>
        <w:tc>
          <w:tcPr>
            <w:tcW w:w="1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5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gridSpan w:val="2"/>
          </w:tcPr>
          <w:p>
            <w:pPr>
              <w:spacing w:after="0"/>
              <w:rPr>
                <w:sz w:val="20"/>
                <w:szCs w:val="20"/>
                <w:color w:val="auto"/>
              </w:rPr>
            </w:pPr>
            <w:r>
              <w:rPr>
                <w:rFonts w:ascii="Arial" w:cs="Arial" w:eastAsia="Arial" w:hAnsi="Arial"/>
                <w:sz w:val="18"/>
                <w:szCs w:val="18"/>
                <w:color w:val="auto"/>
              </w:rPr>
              <w:t>Financial Services</w:t>
            </w:r>
          </w:p>
        </w:tc>
        <w:tc>
          <w:tcPr>
            <w:tcW w:w="1820" w:type="dxa"/>
            <w:vAlign w:val="bottom"/>
            <w:gridSpan w:val="2"/>
          </w:tcPr>
          <w:p>
            <w:pPr>
              <w:jc w:val="right"/>
              <w:spacing w:after="0"/>
              <w:rPr>
                <w:sz w:val="20"/>
                <w:szCs w:val="20"/>
                <w:color w:val="auto"/>
              </w:rPr>
            </w:pPr>
            <w:r>
              <w:rPr>
                <w:rFonts w:ascii="Arial" w:cs="Arial" w:eastAsia="Arial" w:hAnsi="Arial"/>
                <w:sz w:val="18"/>
                <w:szCs w:val="18"/>
                <w:color w:val="auto"/>
              </w:rPr>
              <w:t>4</w:t>
            </w:r>
          </w:p>
        </w:tc>
        <w:tc>
          <w:tcPr>
            <w:tcW w:w="540" w:type="dxa"/>
            <w:vAlign w:val="bottom"/>
          </w:tcPr>
          <w:p>
            <w:pPr>
              <w:spacing w:after="0"/>
              <w:rPr>
                <w:sz w:val="18"/>
                <w:szCs w:val="18"/>
                <w:color w:val="auto"/>
              </w:rPr>
            </w:pP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4</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Home and Office Furnishings, Housewares, and Durable Consumer Products</w:t>
            </w:r>
          </w:p>
        </w:tc>
        <w:tc>
          <w:tcPr>
            <w:tcW w:w="1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5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gridSpan w:val="2"/>
          </w:tcPr>
          <w:p>
            <w:pPr>
              <w:spacing w:after="0"/>
              <w:rPr>
                <w:sz w:val="20"/>
                <w:szCs w:val="20"/>
                <w:color w:val="auto"/>
              </w:rPr>
            </w:pPr>
            <w:r>
              <w:rPr>
                <w:rFonts w:ascii="Arial" w:cs="Arial" w:eastAsia="Arial" w:hAnsi="Arial"/>
                <w:sz w:val="18"/>
                <w:szCs w:val="18"/>
                <w:color w:val="auto"/>
              </w:rPr>
              <w:t>Leisure, Amusement, Motion Picture, Entertainment</w:t>
            </w:r>
          </w:p>
        </w:tc>
        <w:tc>
          <w:tcPr>
            <w:tcW w:w="1820" w:type="dxa"/>
            <w:vAlign w:val="bottom"/>
            <w:gridSpan w:val="2"/>
          </w:tcPr>
          <w:p>
            <w:pPr>
              <w:jc w:val="right"/>
              <w:spacing w:after="0"/>
              <w:rPr>
                <w:sz w:val="20"/>
                <w:szCs w:val="20"/>
                <w:color w:val="auto"/>
              </w:rPr>
            </w:pPr>
            <w:r>
              <w:rPr>
                <w:rFonts w:ascii="Arial" w:cs="Arial" w:eastAsia="Arial" w:hAnsi="Arial"/>
                <w:sz w:val="18"/>
                <w:szCs w:val="18"/>
                <w:color w:val="auto"/>
              </w:rPr>
              <w:t>4</w:t>
            </w:r>
          </w:p>
        </w:tc>
        <w:tc>
          <w:tcPr>
            <w:tcW w:w="540" w:type="dxa"/>
            <w:vAlign w:val="bottom"/>
          </w:tcPr>
          <w:p>
            <w:pPr>
              <w:spacing w:after="0"/>
              <w:rPr>
                <w:sz w:val="18"/>
                <w:szCs w:val="18"/>
                <w:color w:val="auto"/>
              </w:rPr>
            </w:pP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5</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Education</w:t>
            </w:r>
          </w:p>
        </w:tc>
        <w:tc>
          <w:tcPr>
            <w:tcW w:w="1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5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gridSpan w:val="2"/>
          </w:tcPr>
          <w:p>
            <w:pPr>
              <w:spacing w:after="0"/>
              <w:rPr>
                <w:sz w:val="20"/>
                <w:szCs w:val="20"/>
                <w:color w:val="auto"/>
              </w:rPr>
            </w:pPr>
            <w:r>
              <w:rPr>
                <w:rFonts w:ascii="Arial" w:cs="Arial" w:eastAsia="Arial" w:hAnsi="Arial"/>
                <w:sz w:val="18"/>
                <w:szCs w:val="18"/>
                <w:color w:val="auto"/>
              </w:rPr>
              <w:t>Transportation</w:t>
            </w:r>
          </w:p>
        </w:tc>
        <w:tc>
          <w:tcPr>
            <w:tcW w:w="182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540" w:type="dxa"/>
            <w:vAlign w:val="bottom"/>
          </w:tcPr>
          <w:p>
            <w:pPr>
              <w:spacing w:after="0"/>
              <w:rPr>
                <w:sz w:val="18"/>
                <w:szCs w:val="18"/>
                <w:color w:val="auto"/>
              </w:rPr>
            </w:pP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Buildings and Real Estate</w:t>
            </w:r>
          </w:p>
        </w:tc>
        <w:tc>
          <w:tcPr>
            <w:tcW w:w="1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5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gridSpan w:val="2"/>
          </w:tcPr>
          <w:p>
            <w:pPr>
              <w:spacing w:after="0"/>
              <w:rPr>
                <w:sz w:val="20"/>
                <w:szCs w:val="20"/>
                <w:color w:val="auto"/>
              </w:rPr>
            </w:pPr>
            <w:r>
              <w:rPr>
                <w:rFonts w:ascii="Arial" w:cs="Arial" w:eastAsia="Arial" w:hAnsi="Arial"/>
                <w:sz w:val="18"/>
                <w:szCs w:val="18"/>
                <w:color w:val="auto"/>
              </w:rPr>
              <w:t>Cargo Transport</w:t>
            </w:r>
          </w:p>
        </w:tc>
        <w:tc>
          <w:tcPr>
            <w:tcW w:w="182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540" w:type="dxa"/>
            <w:vAlign w:val="bottom"/>
          </w:tcPr>
          <w:p>
            <w:pPr>
              <w:spacing w:after="0"/>
              <w:rPr>
                <w:sz w:val="18"/>
                <w:szCs w:val="18"/>
                <w:color w:val="auto"/>
              </w:rPr>
            </w:pP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Manufacturing / Basic Industry</w:t>
            </w:r>
          </w:p>
        </w:tc>
        <w:tc>
          <w:tcPr>
            <w:tcW w:w="1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5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gridSpan w:val="2"/>
          </w:tcPr>
          <w:p>
            <w:pPr>
              <w:spacing w:after="0"/>
              <w:rPr>
                <w:sz w:val="20"/>
                <w:szCs w:val="20"/>
                <w:color w:val="auto"/>
              </w:rPr>
            </w:pPr>
            <w:r>
              <w:rPr>
                <w:rFonts w:ascii="Arial" w:cs="Arial" w:eastAsia="Arial" w:hAnsi="Arial"/>
                <w:sz w:val="18"/>
                <w:szCs w:val="18"/>
                <w:color w:val="auto"/>
              </w:rPr>
              <w:t>Retail Store</w:t>
            </w:r>
          </w:p>
        </w:tc>
        <w:tc>
          <w:tcPr>
            <w:tcW w:w="182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540" w:type="dxa"/>
            <w:vAlign w:val="bottom"/>
          </w:tcPr>
          <w:p>
            <w:pPr>
              <w:spacing w:after="0"/>
              <w:rPr>
                <w:sz w:val="18"/>
                <w:szCs w:val="18"/>
                <w:color w:val="auto"/>
              </w:rPr>
            </w:pP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Telecommunications</w:t>
            </w:r>
          </w:p>
        </w:tc>
        <w:tc>
          <w:tcPr>
            <w:tcW w:w="1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5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gridSpan w:val="2"/>
          </w:tcPr>
          <w:p>
            <w:pPr>
              <w:spacing w:after="0"/>
              <w:rPr>
                <w:sz w:val="20"/>
                <w:szCs w:val="20"/>
                <w:color w:val="auto"/>
              </w:rPr>
            </w:pPr>
            <w:r>
              <w:rPr>
                <w:rFonts w:ascii="Arial" w:cs="Arial" w:eastAsia="Arial" w:hAnsi="Arial"/>
                <w:sz w:val="18"/>
                <w:szCs w:val="18"/>
                <w:color w:val="auto"/>
              </w:rPr>
              <w:t>Media</w:t>
            </w:r>
          </w:p>
        </w:tc>
        <w:tc>
          <w:tcPr>
            <w:tcW w:w="1820" w:type="dxa"/>
            <w:vAlign w:val="bottom"/>
            <w:gridSpan w:val="2"/>
          </w:tcPr>
          <w:p>
            <w:pPr>
              <w:jc w:val="right"/>
              <w:spacing w:after="0"/>
              <w:rPr>
                <w:sz w:val="20"/>
                <w:szCs w:val="20"/>
                <w:color w:val="auto"/>
              </w:rPr>
            </w:pPr>
            <w:r>
              <w:rPr>
                <w:rFonts w:ascii="Arial" w:cs="Arial" w:eastAsia="Arial" w:hAnsi="Arial"/>
                <w:sz w:val="18"/>
                <w:szCs w:val="18"/>
                <w:color w:val="auto"/>
              </w:rPr>
              <w:t>0</w:t>
            </w:r>
          </w:p>
        </w:tc>
        <w:tc>
          <w:tcPr>
            <w:tcW w:w="540" w:type="dxa"/>
            <w:vAlign w:val="bottom"/>
          </w:tcPr>
          <w:p>
            <w:pPr>
              <w:spacing w:after="0"/>
              <w:rPr>
                <w:sz w:val="18"/>
                <w:szCs w:val="18"/>
                <w:color w:val="auto"/>
              </w:rPr>
            </w:pP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Utilities</w:t>
            </w:r>
          </w:p>
        </w:tc>
        <w:tc>
          <w:tcPr>
            <w:tcW w:w="124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5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6620" w:type="dxa"/>
            <w:vAlign w:val="bottom"/>
            <w:gridSpan w:val="3"/>
          </w:tcPr>
          <w:p>
            <w:pPr>
              <w:spacing w:after="0"/>
              <w:rPr>
                <w:sz w:val="20"/>
                <w:szCs w:val="20"/>
                <w:color w:val="auto"/>
              </w:rPr>
            </w:pPr>
            <w:r>
              <w:rPr>
                <w:rFonts w:ascii="Arial" w:cs="Arial" w:eastAsia="Arial" w:hAnsi="Arial"/>
                <w:sz w:val="18"/>
                <w:szCs w:val="18"/>
                <w:color w:val="auto"/>
              </w:rPr>
              <w:t>Total</w:t>
            </w:r>
          </w:p>
        </w:tc>
        <w:tc>
          <w:tcPr>
            <w:tcW w:w="2360" w:type="dxa"/>
            <w:vAlign w:val="bottom"/>
            <w:gridSpan w:val="3"/>
          </w:tcPr>
          <w:p>
            <w:pPr>
              <w:jc w:val="right"/>
              <w:ind w:right="400"/>
              <w:spacing w:after="0"/>
              <w:rPr>
                <w:sz w:val="20"/>
                <w:szCs w:val="20"/>
                <w:color w:val="auto"/>
              </w:rPr>
            </w:pPr>
            <w:r>
              <w:rPr>
                <w:rFonts w:ascii="Arial" w:cs="Arial" w:eastAsia="Arial" w:hAnsi="Arial"/>
                <w:sz w:val="18"/>
                <w:szCs w:val="18"/>
                <w:color w:val="auto"/>
              </w:rPr>
              <w:t>100%</w:t>
            </w:r>
          </w:p>
        </w:tc>
        <w:tc>
          <w:tcPr>
            <w:tcW w:w="1360" w:type="dxa"/>
            <w:vAlign w:val="bottom"/>
            <w:gridSpan w:val="3"/>
          </w:tcPr>
          <w:p>
            <w:pPr>
              <w:jc w:val="right"/>
              <w:ind w:right="2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bl>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FAIR VALUE OF FINANCIAL INSTRUMENTS</w:t>
      </w:r>
    </w:p>
    <w:p>
      <w:pPr>
        <w:spacing w:after="0" w:line="96" w:lineRule="exact"/>
        <w:rPr>
          <w:sz w:val="20"/>
          <w:szCs w:val="20"/>
          <w:color w:val="auto"/>
        </w:rPr>
      </w:pPr>
    </w:p>
    <w:p>
      <w:pPr>
        <w:ind w:firstLine="449"/>
        <w:spacing w:after="0" w:line="288" w:lineRule="auto"/>
        <w:rPr>
          <w:sz w:val="20"/>
          <w:szCs w:val="20"/>
          <w:color w:val="auto"/>
        </w:rPr>
      </w:pPr>
      <w:r>
        <w:rPr>
          <w:rFonts w:ascii="Arial" w:cs="Arial" w:eastAsia="Arial" w:hAnsi="Arial"/>
          <w:sz w:val="16"/>
          <w:szCs w:val="16"/>
          <w:color w:val="auto"/>
        </w:rPr>
        <w:t>Effective October 1, 2008, the Company adopted SFAS 157 for cash and cash equivalents, investments and our long term credit facility. SFAS 157 defines fair value as the price that the Company would receive upon selling an investment or pay to transfer a liability in an orderly transaction to a market participant in the principal or most advantageous market for the investment. SFAS 157 emphasizes that valuation techniques maximize the use of observable market inputs and minimize the use of unobservable inputs. Inputs refer broadly to the assumptions that market participants would use in pricing an asset or liability, including assumptions about risk. Inputs may be observable or unobservable. Observable inputs are inputs that reflect the assumptions market participants would use in pricing an asset or liability developed based on market data obtained from sources independent of the Company. Unobservable inputs are inputs that reflect the assumptions market participants would use in pricing an asset or liability developed based on the best information available in the circumstances.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SFAS No. 157 classifies the inputs used to measure these fair values into the following hierarchy:</w:t>
      </w:r>
    </w:p>
    <w:p>
      <w:pPr>
        <w:spacing w:after="0" w:line="90" w:lineRule="exact"/>
        <w:rPr>
          <w:sz w:val="20"/>
          <w:szCs w:val="20"/>
          <w:color w:val="auto"/>
        </w:rPr>
      </w:pPr>
    </w:p>
    <w:p>
      <w:pPr>
        <w:ind w:left="460" w:right="320"/>
        <w:spacing w:after="0" w:line="268" w:lineRule="auto"/>
        <w:rPr>
          <w:sz w:val="20"/>
          <w:szCs w:val="20"/>
          <w:color w:val="auto"/>
        </w:rPr>
      </w:pPr>
      <w:r>
        <w:rPr>
          <w:rFonts w:ascii="Arial" w:cs="Arial" w:eastAsia="Arial" w:hAnsi="Arial"/>
          <w:sz w:val="18"/>
          <w:szCs w:val="18"/>
          <w:i w:val="1"/>
          <w:iCs w:val="1"/>
          <w:color w:val="auto"/>
        </w:rPr>
        <w:t>Level 1</w:t>
      </w:r>
      <w:r>
        <w:rPr>
          <w:rFonts w:ascii="Arial" w:cs="Arial" w:eastAsia="Arial" w:hAnsi="Arial"/>
          <w:sz w:val="18"/>
          <w:szCs w:val="18"/>
          <w:color w:val="auto"/>
        </w:rPr>
        <w:t>: Inputs that are quoted prices (unadjusted) in active markets for identical assets or liabilities, accessible by the Company at the measurement</w:t>
      </w:r>
      <w:r>
        <w:rPr>
          <w:rFonts w:ascii="Arial" w:cs="Arial" w:eastAsia="Arial" w:hAnsi="Arial"/>
          <w:sz w:val="18"/>
          <w:szCs w:val="18"/>
          <w:i w:val="1"/>
          <w:iCs w:val="1"/>
          <w:color w:val="auto"/>
        </w:rPr>
        <w:t xml:space="preserve"> </w:t>
      </w:r>
      <w:r>
        <w:rPr>
          <w:rFonts w:ascii="Arial" w:cs="Arial" w:eastAsia="Arial" w:hAnsi="Arial"/>
          <w:sz w:val="18"/>
          <w:szCs w:val="18"/>
          <w:color w:val="auto"/>
        </w:rPr>
        <w:t>date.</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180"/>
          </w:cols>
          <w:pgMar w:left="320" w:top="459" w:right="39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206375</wp:posOffset>
            </wp:positionH>
            <wp:positionV relativeFrom="page">
              <wp:posOffset>88900</wp:posOffset>
            </wp:positionV>
            <wp:extent cx="7153275" cy="279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32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5" w:lineRule="exact"/>
        <w:rPr>
          <w:sz w:val="20"/>
          <w:szCs w:val="20"/>
          <w:color w:val="auto"/>
        </w:rPr>
      </w:pPr>
    </w:p>
    <w:p>
      <w:pPr>
        <w:ind w:left="460" w:right="80"/>
        <w:spacing w:after="0" w:line="259" w:lineRule="auto"/>
        <w:rPr>
          <w:sz w:val="20"/>
          <w:szCs w:val="20"/>
          <w:color w:val="auto"/>
        </w:rPr>
      </w:pPr>
      <w:r>
        <w:rPr>
          <w:rFonts w:ascii="Arial" w:cs="Arial" w:eastAsia="Arial" w:hAnsi="Arial"/>
          <w:sz w:val="18"/>
          <w:szCs w:val="18"/>
          <w:i w:val="1"/>
          <w:iCs w:val="1"/>
          <w:color w:val="auto"/>
        </w:rPr>
        <w:t>Level 2</w:t>
      </w:r>
      <w:r>
        <w:rPr>
          <w:rFonts w:ascii="Arial" w:cs="Arial" w:eastAsia="Arial" w:hAnsi="Arial"/>
          <w:sz w:val="18"/>
          <w:szCs w:val="18"/>
          <w:color w:val="auto"/>
        </w:rPr>
        <w:t>: Inputs that are quoted prices for similar assets or liabilities in active markets, or that are quoted prices for identical or similar assets or liabilities</w:t>
      </w:r>
      <w:r>
        <w:rPr>
          <w:rFonts w:ascii="Arial" w:cs="Arial" w:eastAsia="Arial" w:hAnsi="Arial"/>
          <w:sz w:val="18"/>
          <w:szCs w:val="18"/>
          <w:i w:val="1"/>
          <w:iCs w:val="1"/>
          <w:color w:val="auto"/>
        </w:rPr>
        <w:t xml:space="preserve"> </w:t>
      </w:r>
      <w:r>
        <w:rPr>
          <w:rFonts w:ascii="Arial" w:cs="Arial" w:eastAsia="Arial" w:hAnsi="Arial"/>
          <w:sz w:val="18"/>
          <w:szCs w:val="18"/>
          <w:color w:val="auto"/>
        </w:rPr>
        <w:t>in markets that are not active and inputs that are observable for the asset or liability, either directly or indirectly, for substantially the full term, if applicable, of the financial instrument.</w:t>
      </w:r>
    </w:p>
    <w:p>
      <w:pPr>
        <w:spacing w:after="0" w:line="59" w:lineRule="exact"/>
        <w:rPr>
          <w:sz w:val="20"/>
          <w:szCs w:val="20"/>
          <w:color w:val="auto"/>
        </w:rPr>
      </w:pPr>
    </w:p>
    <w:p>
      <w:pPr>
        <w:ind w:left="460" w:right="180"/>
        <w:spacing w:after="0" w:line="268" w:lineRule="auto"/>
        <w:rPr>
          <w:sz w:val="20"/>
          <w:szCs w:val="20"/>
          <w:color w:val="auto"/>
        </w:rPr>
      </w:pPr>
      <w:r>
        <w:rPr>
          <w:rFonts w:ascii="Arial" w:cs="Arial" w:eastAsia="Arial" w:hAnsi="Arial"/>
          <w:sz w:val="18"/>
          <w:szCs w:val="18"/>
          <w:i w:val="1"/>
          <w:iCs w:val="1"/>
          <w:color w:val="auto"/>
        </w:rPr>
        <w:t>Level 3</w:t>
      </w:r>
      <w:r>
        <w:rPr>
          <w:rFonts w:ascii="Arial" w:cs="Arial" w:eastAsia="Arial" w:hAnsi="Arial"/>
          <w:sz w:val="18"/>
          <w:szCs w:val="18"/>
          <w:color w:val="auto"/>
        </w:rPr>
        <w:t>: Inputs that are unobservable for an asset or liability because they are based on the Company’s own assumptions about how market participants</w:t>
      </w:r>
      <w:r>
        <w:rPr>
          <w:rFonts w:ascii="Arial" w:cs="Arial" w:eastAsia="Arial" w:hAnsi="Arial"/>
          <w:sz w:val="18"/>
          <w:szCs w:val="18"/>
          <w:i w:val="1"/>
          <w:iCs w:val="1"/>
          <w:color w:val="auto"/>
        </w:rPr>
        <w:t xml:space="preserve"> </w:t>
      </w:r>
      <w:r>
        <w:rPr>
          <w:rFonts w:ascii="Arial" w:cs="Arial" w:eastAsia="Arial" w:hAnsi="Arial"/>
          <w:sz w:val="18"/>
          <w:szCs w:val="18"/>
          <w:color w:val="auto"/>
        </w:rPr>
        <w:t>would price the asset or liability.</w:t>
      </w:r>
    </w:p>
    <w:p>
      <w:pPr>
        <w:spacing w:after="0" w:line="132" w:lineRule="exact"/>
        <w:rPr>
          <w:sz w:val="20"/>
          <w:szCs w:val="20"/>
          <w:color w:val="auto"/>
        </w:rPr>
      </w:pPr>
    </w:p>
    <w:p>
      <w:pPr>
        <w:ind w:right="760" w:firstLine="449"/>
        <w:spacing w:after="0" w:line="331" w:lineRule="auto"/>
        <w:rPr>
          <w:sz w:val="20"/>
          <w:szCs w:val="20"/>
          <w:color w:val="auto"/>
        </w:rPr>
      </w:pPr>
      <w:r>
        <w:rPr>
          <w:rFonts w:ascii="Arial" w:cs="Arial" w:eastAsia="Arial" w:hAnsi="Arial"/>
          <w:sz w:val="16"/>
          <w:szCs w:val="16"/>
          <w:color w:val="auto"/>
        </w:rPr>
        <w:t>A financial instrument’s categorization within the valuation hierarchy is based upon the lowest level of input that is significant to the fair value measurement. All of the Company’s investments (other than cash and cash equivalents) and long term credit facility are classified as Level 3.</w:t>
      </w:r>
    </w:p>
    <w:p>
      <w:pPr>
        <w:spacing w:after="0" w:line="87" w:lineRule="exact"/>
        <w:rPr>
          <w:sz w:val="20"/>
          <w:szCs w:val="20"/>
          <w:color w:val="auto"/>
        </w:rPr>
      </w:pPr>
    </w:p>
    <w:p>
      <w:pPr>
        <w:ind w:right="100" w:firstLine="449"/>
        <w:spacing w:after="0" w:line="256" w:lineRule="auto"/>
        <w:rPr>
          <w:sz w:val="20"/>
          <w:szCs w:val="20"/>
          <w:color w:val="auto"/>
        </w:rPr>
      </w:pPr>
      <w:r>
        <w:rPr>
          <w:rFonts w:ascii="Arial" w:cs="Arial" w:eastAsia="Arial" w:hAnsi="Arial"/>
          <w:sz w:val="18"/>
          <w:szCs w:val="18"/>
          <w:color w:val="auto"/>
        </w:rPr>
        <w:t>The inputs into the determination of fair value may require significant management judgment or estimation. Even if observable market data is available, such information may be the result of consensus pricing information or broker quotes which include a disclaimer that the broker would not be held to such a price in an actual transaction. The non-binding nature of consensus pricing and/or quotes accompanied by disclaimer would result in classification as Level 3 information, assuming no additional corroborating evidence.</w:t>
      </w:r>
    </w:p>
    <w:p>
      <w:pPr>
        <w:spacing w:after="0" w:line="143" w:lineRule="exact"/>
        <w:rPr>
          <w:sz w:val="20"/>
          <w:szCs w:val="20"/>
          <w:color w:val="auto"/>
        </w:rPr>
      </w:pPr>
    </w:p>
    <w:p>
      <w:pPr>
        <w:ind w:right="80" w:firstLine="449"/>
        <w:spacing w:after="0" w:line="259" w:lineRule="auto"/>
        <w:rPr>
          <w:sz w:val="20"/>
          <w:szCs w:val="20"/>
          <w:color w:val="auto"/>
        </w:rPr>
      </w:pPr>
      <w:r>
        <w:rPr>
          <w:rFonts w:ascii="Arial" w:cs="Arial" w:eastAsia="Arial" w:hAnsi="Arial"/>
          <w:sz w:val="18"/>
          <w:szCs w:val="18"/>
          <w:color w:val="auto"/>
        </w:rPr>
        <w:t>In addition to using the above inputs in cash and cash equivalents, investments and long term credit facility valuations, the Company employs the valuation policy approved by its board of directors that is consistent with SFAS 157 (see Note 2). Consistent with this valuation policy, the Company evaluates the source of inputs, including any markets in which its investments are trading, in determining fair value.</w:t>
      </w:r>
    </w:p>
    <w:p>
      <w:pPr>
        <w:spacing w:after="0" w:line="140" w:lineRule="exact"/>
        <w:rPr>
          <w:sz w:val="20"/>
          <w:szCs w:val="20"/>
          <w:color w:val="auto"/>
        </w:rPr>
      </w:pPr>
    </w:p>
    <w:p>
      <w:pPr>
        <w:ind w:right="220" w:firstLine="449"/>
        <w:spacing w:after="0" w:line="268" w:lineRule="auto"/>
        <w:rPr>
          <w:sz w:val="20"/>
          <w:szCs w:val="20"/>
          <w:color w:val="auto"/>
        </w:rPr>
      </w:pPr>
      <w:r>
        <w:rPr>
          <w:rFonts w:ascii="Arial" w:cs="Arial" w:eastAsia="Arial" w:hAnsi="Arial"/>
          <w:sz w:val="18"/>
          <w:szCs w:val="18"/>
          <w:color w:val="auto"/>
        </w:rPr>
        <w:t>At March 31, 2009, our cash and cash equivalents, investments and our long term credit facility were categorized as follows in the fair value hierarchy for SFAS No. 157 purposes: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0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180" w:type="dxa"/>
            <w:vAlign w:val="bottom"/>
            <w:gridSpan w:val="9"/>
          </w:tcPr>
          <w:p>
            <w:pPr>
              <w:ind w:left="580"/>
              <w:spacing w:after="0"/>
              <w:rPr>
                <w:sz w:val="20"/>
                <w:szCs w:val="20"/>
                <w:color w:val="auto"/>
              </w:rPr>
            </w:pPr>
            <w:r>
              <w:rPr>
                <w:rFonts w:ascii="Arial" w:cs="Arial" w:eastAsia="Arial" w:hAnsi="Arial"/>
                <w:sz w:val="13"/>
                <w:szCs w:val="13"/>
                <w:b w:val="1"/>
                <w:bCs w:val="1"/>
                <w:color w:val="auto"/>
              </w:rPr>
              <w:t>Fair Value Measurement Using:</w:t>
            </w:r>
          </w:p>
        </w:tc>
      </w:tr>
      <w:tr>
        <w:trPr>
          <w:trHeight w:val="129"/>
        </w:trPr>
        <w:tc>
          <w:tcPr>
            <w:tcW w:w="700" w:type="dxa"/>
            <w:vAlign w:val="bottom"/>
          </w:tcPr>
          <w:p>
            <w:pPr>
              <w:spacing w:after="0"/>
              <w:rPr>
                <w:sz w:val="11"/>
                <w:szCs w:val="11"/>
                <w:color w:val="auto"/>
              </w:rPr>
            </w:pPr>
          </w:p>
        </w:tc>
        <w:tc>
          <w:tcPr>
            <w:tcW w:w="3500" w:type="dxa"/>
            <w:vAlign w:val="bottom"/>
          </w:tcPr>
          <w:p>
            <w:pPr>
              <w:spacing w:after="0"/>
              <w:rPr>
                <w:sz w:val="11"/>
                <w:szCs w:val="11"/>
                <w:color w:val="auto"/>
              </w:rPr>
            </w:pPr>
          </w:p>
        </w:tc>
        <w:tc>
          <w:tcPr>
            <w:tcW w:w="2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60" w:type="dxa"/>
            <w:vAlign w:val="bottom"/>
            <w:tcBorders>
              <w:top w:val="single" w:sz="8" w:color="auto"/>
            </w:tcBorders>
            <w:gridSpan w:val="3"/>
          </w:tcPr>
          <w:p>
            <w:pPr>
              <w:jc w:val="center"/>
              <w:ind w:right="160"/>
              <w:spacing w:after="0" w:line="129" w:lineRule="exact"/>
              <w:rPr>
                <w:sz w:val="20"/>
                <w:szCs w:val="20"/>
                <w:color w:val="auto"/>
              </w:rPr>
            </w:pPr>
            <w:r>
              <w:rPr>
                <w:rFonts w:ascii="Arial" w:cs="Arial" w:eastAsia="Arial" w:hAnsi="Arial"/>
                <w:sz w:val="13"/>
                <w:szCs w:val="13"/>
                <w:b w:val="1"/>
                <w:bCs w:val="1"/>
                <w:color w:val="auto"/>
                <w:w w:val="92"/>
              </w:rPr>
              <w:t>Quoted Prices</w:t>
            </w:r>
          </w:p>
        </w:tc>
        <w:tc>
          <w:tcPr>
            <w:tcW w:w="16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gridSpan w:val="2"/>
          </w:tcPr>
          <w:p>
            <w:pPr>
              <w:ind w:left="20"/>
              <w:spacing w:after="0" w:line="129" w:lineRule="exact"/>
              <w:rPr>
                <w:sz w:val="20"/>
                <w:szCs w:val="20"/>
                <w:color w:val="auto"/>
              </w:rPr>
            </w:pPr>
            <w:r>
              <w:rPr>
                <w:rFonts w:ascii="Arial" w:cs="Arial" w:eastAsia="Arial" w:hAnsi="Arial"/>
                <w:sz w:val="13"/>
                <w:szCs w:val="13"/>
                <w:b w:val="1"/>
                <w:bCs w:val="1"/>
                <w:color w:val="auto"/>
                <w:w w:val="93"/>
              </w:rPr>
              <w:t>Significant</w:t>
            </w:r>
          </w:p>
        </w:tc>
        <w:tc>
          <w:tcPr>
            <w:tcW w:w="30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r>
      <w:tr>
        <w:trPr>
          <w:trHeight w:val="148"/>
        </w:trPr>
        <w:tc>
          <w:tcPr>
            <w:tcW w:w="700" w:type="dxa"/>
            <w:vAlign w:val="bottom"/>
          </w:tcPr>
          <w:p>
            <w:pPr>
              <w:spacing w:after="0"/>
              <w:rPr>
                <w:sz w:val="12"/>
                <w:szCs w:val="12"/>
                <w:color w:val="auto"/>
              </w:rPr>
            </w:pPr>
          </w:p>
        </w:tc>
        <w:tc>
          <w:tcPr>
            <w:tcW w:w="350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2"/>
              </w:rPr>
              <w:t>in Active</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center"/>
              <w:ind w:right="20"/>
              <w:spacing w:after="0"/>
              <w:rPr>
                <w:sz w:val="20"/>
                <w:szCs w:val="20"/>
                <w:color w:val="auto"/>
              </w:rPr>
            </w:pPr>
            <w:r>
              <w:rPr>
                <w:rFonts w:ascii="Arial" w:cs="Arial" w:eastAsia="Arial" w:hAnsi="Arial"/>
                <w:sz w:val="13"/>
                <w:szCs w:val="13"/>
                <w:b w:val="1"/>
                <w:bCs w:val="1"/>
                <w:color w:val="auto"/>
                <w:w w:val="97"/>
              </w:rPr>
              <w:t>Other</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6"/>
              </w:rPr>
              <w:t>Significant</w:t>
            </w:r>
          </w:p>
        </w:tc>
      </w:tr>
      <w:tr>
        <w:trPr>
          <w:trHeight w:val="148"/>
        </w:trPr>
        <w:tc>
          <w:tcPr>
            <w:tcW w:w="700" w:type="dxa"/>
            <w:vAlign w:val="bottom"/>
          </w:tcPr>
          <w:p>
            <w:pPr>
              <w:spacing w:after="0"/>
              <w:rPr>
                <w:sz w:val="12"/>
                <w:szCs w:val="12"/>
                <w:color w:val="auto"/>
              </w:rPr>
            </w:pPr>
          </w:p>
        </w:tc>
        <w:tc>
          <w:tcPr>
            <w:tcW w:w="350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9"/>
              </w:rPr>
              <w:t>Markets for</w:t>
            </w:r>
          </w:p>
        </w:tc>
        <w:tc>
          <w:tcPr>
            <w:tcW w:w="160" w:type="dxa"/>
            <w:vAlign w:val="bottom"/>
          </w:tcPr>
          <w:p>
            <w:pPr>
              <w:spacing w:after="0"/>
              <w:rPr>
                <w:sz w:val="12"/>
                <w:szCs w:val="12"/>
                <w:color w:val="auto"/>
              </w:rPr>
            </w:pPr>
          </w:p>
        </w:tc>
        <w:tc>
          <w:tcPr>
            <w:tcW w:w="660" w:type="dxa"/>
            <w:vAlign w:val="bottom"/>
            <w:gridSpan w:val="2"/>
          </w:tcPr>
          <w:p>
            <w:pPr>
              <w:spacing w:after="0"/>
              <w:rPr>
                <w:sz w:val="20"/>
                <w:szCs w:val="20"/>
                <w:color w:val="auto"/>
              </w:rPr>
            </w:pPr>
            <w:r>
              <w:rPr>
                <w:rFonts w:ascii="Arial" w:cs="Arial" w:eastAsia="Arial" w:hAnsi="Arial"/>
                <w:sz w:val="13"/>
                <w:szCs w:val="13"/>
                <w:b w:val="1"/>
                <w:bCs w:val="1"/>
                <w:color w:val="auto"/>
                <w:w w:val="90"/>
              </w:rPr>
              <w:t>Observable</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3"/>
              </w:rPr>
              <w:t>Unobservable</w:t>
            </w:r>
          </w:p>
        </w:tc>
      </w:tr>
      <w:tr>
        <w:trPr>
          <w:trHeight w:val="148"/>
        </w:trPr>
        <w:tc>
          <w:tcPr>
            <w:tcW w:w="700" w:type="dxa"/>
            <w:vAlign w:val="bottom"/>
          </w:tcPr>
          <w:p>
            <w:pPr>
              <w:spacing w:after="0"/>
              <w:rPr>
                <w:sz w:val="12"/>
                <w:szCs w:val="12"/>
                <w:color w:val="auto"/>
              </w:rPr>
            </w:pPr>
          </w:p>
        </w:tc>
        <w:tc>
          <w:tcPr>
            <w:tcW w:w="350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gridSpan w:val="3"/>
          </w:tcPr>
          <w:p>
            <w:pPr>
              <w:jc w:val="center"/>
              <w:ind w:right="160"/>
              <w:spacing w:after="0"/>
              <w:rPr>
                <w:sz w:val="20"/>
                <w:szCs w:val="20"/>
                <w:color w:val="auto"/>
              </w:rPr>
            </w:pPr>
            <w:r>
              <w:rPr>
                <w:rFonts w:ascii="Arial" w:cs="Arial" w:eastAsia="Arial" w:hAnsi="Arial"/>
                <w:sz w:val="13"/>
                <w:szCs w:val="13"/>
                <w:b w:val="1"/>
                <w:bCs w:val="1"/>
                <w:color w:val="auto"/>
                <w:w w:val="90"/>
              </w:rPr>
              <w:t>Identical Assets</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center"/>
              <w:ind w:right="20"/>
              <w:spacing w:after="0"/>
              <w:rPr>
                <w:sz w:val="20"/>
                <w:szCs w:val="20"/>
                <w:color w:val="auto"/>
              </w:rPr>
            </w:pPr>
            <w:r>
              <w:rPr>
                <w:rFonts w:ascii="Arial" w:cs="Arial" w:eastAsia="Arial" w:hAnsi="Arial"/>
                <w:sz w:val="13"/>
                <w:szCs w:val="13"/>
                <w:b w:val="1"/>
                <w:bCs w:val="1"/>
                <w:color w:val="auto"/>
                <w:w w:val="97"/>
              </w:rPr>
              <w:t>Inputs</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2"/>
              </w:rPr>
              <w:t>Inputs</w:t>
            </w:r>
          </w:p>
        </w:tc>
      </w:tr>
      <w:tr>
        <w:trPr>
          <w:trHeight w:val="161"/>
        </w:trPr>
        <w:tc>
          <w:tcPr>
            <w:tcW w:w="70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w w:val="95"/>
              </w:rPr>
              <w:t>Description</w:t>
            </w:r>
          </w:p>
        </w:tc>
        <w:tc>
          <w:tcPr>
            <w:tcW w:w="350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117"/>
              <w:spacing w:after="0"/>
              <w:rPr>
                <w:sz w:val="20"/>
                <w:szCs w:val="20"/>
                <w:color w:val="auto"/>
              </w:rPr>
            </w:pPr>
            <w:r>
              <w:rPr>
                <w:rFonts w:ascii="Arial" w:cs="Arial" w:eastAsia="Arial" w:hAnsi="Arial"/>
                <w:sz w:val="13"/>
                <w:szCs w:val="13"/>
                <w:b w:val="1"/>
                <w:bCs w:val="1"/>
                <w:color w:val="auto"/>
              </w:rPr>
              <w:t>Fair Value</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center"/>
              <w:ind w:right="24"/>
              <w:spacing w:after="0"/>
              <w:rPr>
                <w:sz w:val="20"/>
                <w:szCs w:val="20"/>
                <w:color w:val="auto"/>
              </w:rPr>
            </w:pPr>
            <w:r>
              <w:rPr>
                <w:rFonts w:ascii="Arial" w:cs="Arial" w:eastAsia="Arial" w:hAnsi="Arial"/>
                <w:sz w:val="13"/>
                <w:szCs w:val="13"/>
                <w:b w:val="1"/>
                <w:bCs w:val="1"/>
                <w:color w:val="auto"/>
                <w:w w:val="94"/>
              </w:rPr>
              <w:t>(Level 1)</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Borders>
              <w:bottom w:val="single" w:sz="8" w:color="auto"/>
            </w:tcBorders>
            <w:gridSpan w:val="2"/>
          </w:tcPr>
          <w:p>
            <w:pPr>
              <w:jc w:val="center"/>
              <w:spacing w:after="0"/>
              <w:rPr>
                <w:sz w:val="20"/>
                <w:szCs w:val="20"/>
                <w:color w:val="auto"/>
              </w:rPr>
            </w:pPr>
            <w:r>
              <w:rPr>
                <w:rFonts w:ascii="Arial" w:cs="Arial" w:eastAsia="Arial" w:hAnsi="Arial"/>
                <w:sz w:val="13"/>
                <w:szCs w:val="13"/>
                <w:b w:val="1"/>
                <w:bCs w:val="1"/>
                <w:color w:val="auto"/>
                <w:w w:val="94"/>
              </w:rPr>
              <w:t>(Level 2)</w:t>
            </w:r>
          </w:p>
        </w:tc>
        <w:tc>
          <w:tcPr>
            <w:tcW w:w="3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center"/>
              <w:ind w:right="24"/>
              <w:spacing w:after="0"/>
              <w:rPr>
                <w:sz w:val="20"/>
                <w:szCs w:val="20"/>
                <w:color w:val="auto"/>
              </w:rPr>
            </w:pPr>
            <w:r>
              <w:rPr>
                <w:rFonts w:ascii="Arial" w:cs="Arial" w:eastAsia="Arial" w:hAnsi="Arial"/>
                <w:sz w:val="13"/>
                <w:szCs w:val="13"/>
                <w:b w:val="1"/>
                <w:bCs w:val="1"/>
                <w:color w:val="auto"/>
                <w:w w:val="98"/>
              </w:rPr>
              <w:t>(Level 3)</w:t>
            </w:r>
          </w:p>
        </w:tc>
        <w:tc>
          <w:tcPr>
            <w:tcW w:w="60" w:type="dxa"/>
            <w:vAlign w:val="bottom"/>
          </w:tcPr>
          <w:p>
            <w:pPr>
              <w:spacing w:after="0"/>
              <w:rPr>
                <w:sz w:val="14"/>
                <w:szCs w:val="14"/>
                <w:color w:val="auto"/>
              </w:rPr>
            </w:pPr>
          </w:p>
        </w:tc>
      </w:tr>
      <w:tr>
        <w:trPr>
          <w:trHeight w:val="210"/>
        </w:trPr>
        <w:tc>
          <w:tcPr>
            <w:tcW w:w="4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2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29,906,268</w:t>
            </w:r>
          </w:p>
        </w:tc>
        <w:tc>
          <w:tcPr>
            <w:tcW w:w="22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6"/>
              </w:rPr>
              <w:t>29,906,268</w:t>
            </w:r>
          </w:p>
        </w:tc>
        <w:tc>
          <w:tcPr>
            <w:tcW w:w="2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4200" w:type="dxa"/>
            <w:vAlign w:val="bottom"/>
            <w:gridSpan w:val="2"/>
          </w:tcPr>
          <w:p>
            <w:pPr>
              <w:spacing w:after="0"/>
              <w:rPr>
                <w:sz w:val="20"/>
                <w:szCs w:val="20"/>
                <w:color w:val="auto"/>
              </w:rPr>
            </w:pPr>
            <w:r>
              <w:rPr>
                <w:rFonts w:ascii="Arial" w:cs="Arial" w:eastAsia="Arial" w:hAnsi="Arial"/>
                <w:sz w:val="18"/>
                <w:szCs w:val="18"/>
                <w:color w:val="auto"/>
              </w:rPr>
              <w:t>Investments</w:t>
            </w:r>
          </w:p>
        </w:tc>
        <w:tc>
          <w:tcPr>
            <w:tcW w:w="2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w w:val="91"/>
              </w:rPr>
              <w:t>363,497,206</w:t>
            </w:r>
          </w:p>
        </w:tc>
        <w:tc>
          <w:tcPr>
            <w:tcW w:w="22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260" w:type="dxa"/>
            <w:vAlign w:val="bottom"/>
            <w:gridSpan w:val="2"/>
          </w:tcPr>
          <w:p>
            <w:pPr>
              <w:ind w:left="160"/>
              <w:spacing w:after="0"/>
              <w:rPr>
                <w:sz w:val="20"/>
                <w:szCs w:val="20"/>
                <w:color w:val="auto"/>
              </w:rPr>
            </w:pPr>
            <w:r>
              <w:rPr>
                <w:rFonts w:ascii="Arial" w:cs="Arial" w:eastAsia="Arial" w:hAnsi="Arial"/>
                <w:sz w:val="18"/>
                <w:szCs w:val="18"/>
                <w:color w:val="auto"/>
                <w:w w:val="79"/>
              </w:rPr>
              <w:t>$</w:t>
            </w:r>
          </w:p>
        </w:tc>
        <w:tc>
          <w:tcPr>
            <w:tcW w:w="560" w:type="dxa"/>
            <w:vAlign w:val="bottom"/>
          </w:tcPr>
          <w:p>
            <w:pPr>
              <w:ind w:left="300"/>
              <w:spacing w:after="0"/>
              <w:rPr>
                <w:sz w:val="20"/>
                <w:szCs w:val="20"/>
                <w:color w:val="auto"/>
              </w:rPr>
            </w:pPr>
            <w:r>
              <w:rPr>
                <w:rFonts w:ascii="Arial" w:cs="Arial" w:eastAsia="Arial" w:hAnsi="Arial"/>
                <w:sz w:val="18"/>
                <w:szCs w:val="18"/>
                <w:color w:val="auto"/>
              </w:rPr>
              <w:t>—</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w w:val="91"/>
              </w:rPr>
              <w:t>363,497,206</w:t>
            </w:r>
          </w:p>
        </w:tc>
        <w:tc>
          <w:tcPr>
            <w:tcW w:w="60" w:type="dxa"/>
            <w:vAlign w:val="bottom"/>
          </w:tcPr>
          <w:p>
            <w:pPr>
              <w:spacing w:after="0"/>
              <w:rPr>
                <w:sz w:val="18"/>
                <w:szCs w:val="18"/>
                <w:color w:val="auto"/>
              </w:rPr>
            </w:pPr>
          </w:p>
        </w:tc>
      </w:tr>
      <w:tr>
        <w:trPr>
          <w:trHeight w:val="216"/>
        </w:trPr>
        <w:tc>
          <w:tcPr>
            <w:tcW w:w="4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Long term credit facility</w:t>
            </w:r>
          </w:p>
        </w:tc>
        <w:tc>
          <w:tcPr>
            <w:tcW w:w="2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7"/>
              </w:rPr>
              <w:t>(125,254,911)</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7"/>
              </w:rPr>
              <w:t>(125,254,911)</w:t>
            </w:r>
          </w:p>
        </w:tc>
      </w:tr>
    </w:tbl>
    <w:p>
      <w:pPr>
        <w:spacing w:after="0" w:line="15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 realized no gain or loss as a result of the adoption of SFAS No. 157.</w:t>
      </w:r>
    </w:p>
    <w:p>
      <w:pPr>
        <w:spacing w:after="0" w:line="171" w:lineRule="exact"/>
        <w:rPr>
          <w:sz w:val="20"/>
          <w:szCs w:val="20"/>
          <w:color w:val="auto"/>
        </w:rPr>
      </w:pPr>
    </w:p>
    <w:p>
      <w:pPr>
        <w:ind w:right="240" w:firstLine="449"/>
        <w:spacing w:after="0" w:line="268" w:lineRule="auto"/>
        <w:rPr>
          <w:sz w:val="20"/>
          <w:szCs w:val="20"/>
          <w:color w:val="auto"/>
        </w:rPr>
      </w:pPr>
      <w:r>
        <w:rPr>
          <w:rFonts w:ascii="Arial" w:cs="Arial" w:eastAsia="Arial" w:hAnsi="Arial"/>
          <w:sz w:val="18"/>
          <w:szCs w:val="18"/>
          <w:color w:val="auto"/>
        </w:rPr>
        <w:t>The following tables show a reconciliation of the beginning and ending balances for fair valued assets measured using significant unobservable inputs (Level 3):</w:t>
      </w:r>
    </w:p>
    <w:p>
      <w:pPr>
        <w:sectPr>
          <w:pgSz w:w="11900" w:h="16838" w:orient="portrait"/>
          <w:cols w:equalWidth="0" w:num="1">
            <w:col w:w="11240"/>
          </w:cols>
          <w:pgMar w:left="320" w:top="459" w:right="339" w:bottom="1440" w:gutter="0" w:footer="0" w:header="0"/>
        </w:sectPr>
      </w:pPr>
    </w:p>
    <w:p>
      <w:pPr>
        <w:spacing w:after="0" w:line="334" w:lineRule="exact"/>
        <w:rPr>
          <w:sz w:val="20"/>
          <w:szCs w:val="20"/>
          <w:color w:val="auto"/>
        </w:rPr>
      </w:pPr>
    </w:p>
    <w:p>
      <w:pPr>
        <w:spacing w:after="0"/>
        <w:rPr>
          <w:sz w:val="20"/>
          <w:szCs w:val="20"/>
          <w:color w:val="auto"/>
        </w:rPr>
      </w:pPr>
      <w:r>
        <w:rPr>
          <w:rFonts w:ascii="Arial" w:cs="Arial" w:eastAsia="Arial" w:hAnsi="Arial"/>
          <w:sz w:val="18"/>
          <w:szCs w:val="18"/>
          <w:color w:val="auto"/>
        </w:rPr>
        <w:t>Beginning balance, September 30, 2008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132320" cy="13716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440"/>
        <w:spacing w:after="0"/>
        <w:rPr>
          <w:sz w:val="20"/>
          <w:szCs w:val="20"/>
          <w:color w:val="auto"/>
        </w:rPr>
      </w:pPr>
      <w:r>
        <w:rPr>
          <w:rFonts w:ascii="Arial" w:cs="Arial" w:eastAsia="Arial" w:hAnsi="Arial"/>
          <w:sz w:val="18"/>
          <w:szCs w:val="18"/>
          <w:color w:val="auto"/>
        </w:rPr>
        <w:t>Total realized loss included in earnings</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Total unrealized loss included in earnings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132320" cy="13716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440"/>
        <w:spacing w:after="0"/>
        <w:rPr>
          <w:sz w:val="20"/>
          <w:szCs w:val="20"/>
          <w:color w:val="auto"/>
        </w:rPr>
      </w:pPr>
      <w:r>
        <w:rPr>
          <w:rFonts w:ascii="Arial" w:cs="Arial" w:eastAsia="Arial" w:hAnsi="Arial"/>
          <w:sz w:val="18"/>
          <w:szCs w:val="18"/>
          <w:color w:val="auto"/>
        </w:rPr>
        <w:t>Purchases, PIK and discount/amortization</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Sales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132320" cy="13716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440"/>
        <w:spacing w:after="0"/>
        <w:rPr>
          <w:sz w:val="20"/>
          <w:szCs w:val="20"/>
          <w:color w:val="auto"/>
        </w:rPr>
      </w:pPr>
      <w:r>
        <w:rPr>
          <w:rFonts w:ascii="Arial" w:cs="Arial" w:eastAsia="Arial" w:hAnsi="Arial"/>
          <w:sz w:val="18"/>
          <w:szCs w:val="18"/>
          <w:color w:val="auto"/>
        </w:rPr>
        <w:t>Transfers in and/or out of Level 3</w:t>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color w:val="auto"/>
        </w:rPr>
        <w:t>Ending Balance, March 31, 2009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132320" cy="13716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5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Amount of total gains or losses for the period included in earnings attributable to the change in unrealized gains or losses relating to our Level 3 assets still held at the reporting date and reported within the net change in unrealized gains or losses on investments in our Statement of Operations</w:t>
      </w:r>
    </w:p>
    <w:p>
      <w:pPr>
        <w:spacing w:after="0" w:line="153"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br w:type="column"/>
      </w:r>
    </w:p>
    <w:p>
      <w:pPr>
        <w:spacing w:after="0" w:line="148" w:lineRule="exact"/>
        <w:rPr>
          <w:sz w:val="20"/>
          <w:szCs w:val="20"/>
          <w:color w:val="auto"/>
        </w:rPr>
      </w:pPr>
    </w:p>
    <w:p>
      <w:pPr>
        <w:jc w:val="center"/>
        <w:ind w:right="60"/>
        <w:spacing w:after="0"/>
        <w:rPr>
          <w:sz w:val="20"/>
          <w:szCs w:val="20"/>
          <w:color w:val="auto"/>
        </w:rPr>
      </w:pPr>
      <w:r>
        <w:rPr>
          <w:rFonts w:ascii="Arial" w:cs="Arial" w:eastAsia="Arial" w:hAnsi="Arial"/>
          <w:sz w:val="13"/>
          <w:szCs w:val="13"/>
          <w:b w:val="1"/>
          <w:bCs w:val="1"/>
          <w:color w:val="auto"/>
        </w:rPr>
        <w:t>Investments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7620</wp:posOffset>
            </wp:positionV>
            <wp:extent cx="61722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17220" cy="8255"/>
                    </a:xfrm>
                    <a:prstGeom prst="rect">
                      <a:avLst/>
                    </a:prstGeom>
                    <a:noFill/>
                  </pic:spPr>
                </pic:pic>
              </a:graphicData>
            </a:graphic>
          </wp:anchor>
        </w:drawing>
      </w:r>
    </w:p>
    <w:p>
      <w:pPr>
        <w:spacing w:after="0" w:line="5" w:lineRule="exact"/>
        <w:rPr>
          <w:sz w:val="20"/>
          <w:szCs w:val="20"/>
          <w:color w:val="auto"/>
        </w:rPr>
      </w:pPr>
    </w:p>
    <w:p>
      <w:pPr>
        <w:jc w:val="both"/>
        <w:ind w:left="120" w:hanging="123"/>
        <w:spacing w:after="0" w:line="281" w:lineRule="auto"/>
        <w:rPr>
          <w:sz w:val="20"/>
          <w:szCs w:val="20"/>
          <w:color w:val="auto"/>
        </w:rPr>
      </w:pPr>
      <w:r>
        <w:rPr>
          <w:rFonts w:ascii="Arial" w:cs="Arial" w:eastAsia="Arial" w:hAnsi="Arial"/>
          <w:sz w:val="16"/>
          <w:szCs w:val="16"/>
          <w:color w:val="auto"/>
        </w:rPr>
        <w:t>$372,147,820 (6,145,264) (15,096,021) 18,127,245 (5,536,574)</w:t>
      </w:r>
    </w:p>
    <w:p>
      <w:pPr>
        <w:spacing w:after="0" w:line="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6985</wp:posOffset>
            </wp:positionV>
            <wp:extent cx="6172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17220" cy="8890"/>
                    </a:xfrm>
                    <a:prstGeom prst="rect">
                      <a:avLst/>
                    </a:prstGeom>
                    <a:noFill/>
                  </pic:spPr>
                </pic:pic>
              </a:graphicData>
            </a:graphic>
          </wp:anchor>
        </w:drawing>
      </w:r>
    </w:p>
    <w:p>
      <w:pPr>
        <w:spacing w:after="0" w:line="10"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$363,497,206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42545</wp:posOffset>
            </wp:positionV>
            <wp:extent cx="6172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172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5"/>
          <w:szCs w:val="15"/>
          <w:u w:val="single" w:color="auto"/>
          <w:color w:val="auto"/>
        </w:rPr>
        <w:t>$ (18,104,396</w:t>
      </w:r>
      <w:r>
        <w:rPr>
          <w:rFonts w:ascii="Arial" w:cs="Arial" w:eastAsia="Arial" w:hAnsi="Arial"/>
          <w:sz w:val="15"/>
          <w:szCs w:val="15"/>
          <w:color w:val="auto"/>
        </w:rPr>
        <w:t>)</w:t>
      </w:r>
    </w:p>
    <w:p>
      <w:pPr>
        <w:sectPr>
          <w:pgSz w:w="11900" w:h="16838" w:orient="portrait"/>
          <w:cols w:equalWidth="0" w:num="2">
            <w:col w:w="9540" w:space="660"/>
            <w:col w:w="1040"/>
          </w:cols>
          <w:pgMar w:left="320" w:top="459" w:right="339" w:bottom="1440" w:gutter="0" w:footer="0" w:header="0"/>
          <w:type w:val="continuous"/>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206375</wp:posOffset>
            </wp:positionH>
            <wp:positionV relativeFrom="page">
              <wp:posOffset>88900</wp:posOffset>
            </wp:positionV>
            <wp:extent cx="7153275" cy="2794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32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7040" w:type="dxa"/>
            <w:vAlign w:val="bottom"/>
          </w:tcPr>
          <w:p>
            <w:pPr>
              <w:spacing w:after="0"/>
              <w:rPr>
                <w:sz w:val="13"/>
                <w:szCs w:val="13"/>
                <w:color w:val="auto"/>
              </w:rPr>
            </w:pPr>
          </w:p>
        </w:tc>
        <w:tc>
          <w:tcPr>
            <w:tcW w:w="3080" w:type="dxa"/>
            <w:vAlign w:val="bottom"/>
          </w:tcPr>
          <w:p>
            <w:pPr>
              <w:spacing w:after="0"/>
              <w:rPr>
                <w:sz w:val="13"/>
                <w:szCs w:val="13"/>
                <w:color w:val="auto"/>
              </w:rPr>
            </w:pPr>
          </w:p>
        </w:tc>
        <w:tc>
          <w:tcPr>
            <w:tcW w:w="1120" w:type="dxa"/>
            <w:vAlign w:val="bottom"/>
            <w:gridSpan w:val="3"/>
          </w:tcPr>
          <w:p>
            <w:pPr>
              <w:spacing w:after="0"/>
              <w:rPr>
                <w:sz w:val="20"/>
                <w:szCs w:val="20"/>
                <w:color w:val="auto"/>
              </w:rPr>
            </w:pPr>
            <w:r>
              <w:rPr>
                <w:rFonts w:ascii="Arial" w:cs="Arial" w:eastAsia="Arial" w:hAnsi="Arial"/>
                <w:sz w:val="13"/>
                <w:szCs w:val="13"/>
                <w:b w:val="1"/>
                <w:bCs w:val="1"/>
                <w:color w:val="auto"/>
              </w:rPr>
              <w:t>Long Term Credit</w:t>
            </w:r>
          </w:p>
        </w:tc>
      </w:tr>
      <w:tr>
        <w:trPr>
          <w:trHeight w:val="161"/>
        </w:trPr>
        <w:tc>
          <w:tcPr>
            <w:tcW w:w="704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235"/>
              <w:spacing w:after="0"/>
              <w:rPr>
                <w:sz w:val="20"/>
                <w:szCs w:val="20"/>
                <w:color w:val="auto"/>
              </w:rPr>
            </w:pPr>
            <w:r>
              <w:rPr>
                <w:rFonts w:ascii="Arial" w:cs="Arial" w:eastAsia="Arial" w:hAnsi="Arial"/>
                <w:sz w:val="13"/>
                <w:szCs w:val="13"/>
                <w:b w:val="1"/>
                <w:bCs w:val="1"/>
                <w:color w:val="auto"/>
              </w:rPr>
              <w:t>Facility</w:t>
            </w:r>
          </w:p>
        </w:tc>
        <w:tc>
          <w:tcPr>
            <w:tcW w:w="60" w:type="dxa"/>
            <w:vAlign w:val="bottom"/>
          </w:tcPr>
          <w:p>
            <w:pPr>
              <w:spacing w:after="0"/>
              <w:rPr>
                <w:sz w:val="14"/>
                <w:szCs w:val="14"/>
                <w:color w:val="auto"/>
              </w:rPr>
            </w:pPr>
          </w:p>
        </w:tc>
      </w:tr>
      <w:tr>
        <w:trPr>
          <w:trHeight w:val="209"/>
        </w:trPr>
        <w:tc>
          <w:tcPr>
            <w:tcW w:w="7040" w:type="dxa"/>
            <w:vAlign w:val="bottom"/>
            <w:shd w:val="clear" w:color="auto" w:fill="CCEEFF"/>
          </w:tcPr>
          <w:p>
            <w:pPr>
              <w:spacing w:after="0"/>
              <w:rPr>
                <w:sz w:val="20"/>
                <w:szCs w:val="20"/>
                <w:color w:val="auto"/>
              </w:rPr>
            </w:pPr>
            <w:r>
              <w:rPr>
                <w:rFonts w:ascii="Arial" w:cs="Arial" w:eastAsia="Arial" w:hAnsi="Arial"/>
                <w:sz w:val="18"/>
                <w:szCs w:val="18"/>
                <w:color w:val="auto"/>
              </w:rPr>
              <w:t>Beginning balance, September 30, 2008</w:t>
            </w:r>
          </w:p>
        </w:tc>
        <w:tc>
          <w:tcPr>
            <w:tcW w:w="3220" w:type="dxa"/>
            <w:vAlign w:val="bottom"/>
            <w:gridSpan w:val="2"/>
            <w:shd w:val="clear" w:color="auto" w:fill="CCEEFF"/>
          </w:tcPr>
          <w:p>
            <w:pPr>
              <w:ind w:left="308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162,000,000</w:t>
            </w:r>
          </w:p>
        </w:tc>
        <w:tc>
          <w:tcPr>
            <w:tcW w:w="60" w:type="dxa"/>
            <w:vAlign w:val="bottom"/>
            <w:shd w:val="clear" w:color="auto" w:fill="CCEEFF"/>
          </w:tcPr>
          <w:p>
            <w:pPr>
              <w:spacing w:after="0"/>
              <w:rPr>
                <w:sz w:val="18"/>
                <w:szCs w:val="18"/>
                <w:color w:val="auto"/>
              </w:rPr>
            </w:pPr>
          </w:p>
        </w:tc>
      </w:tr>
      <w:tr>
        <w:trPr>
          <w:trHeight w:val="216"/>
        </w:trPr>
        <w:tc>
          <w:tcPr>
            <w:tcW w:w="7040" w:type="dxa"/>
            <w:vAlign w:val="bottom"/>
          </w:tcPr>
          <w:p>
            <w:pPr>
              <w:ind w:left="440"/>
              <w:spacing w:after="0"/>
              <w:rPr>
                <w:sz w:val="20"/>
                <w:szCs w:val="20"/>
                <w:color w:val="auto"/>
              </w:rPr>
            </w:pPr>
            <w:r>
              <w:rPr>
                <w:rFonts w:ascii="Arial" w:cs="Arial" w:eastAsia="Arial" w:hAnsi="Arial"/>
                <w:sz w:val="18"/>
                <w:szCs w:val="18"/>
                <w:color w:val="auto"/>
              </w:rPr>
              <w:t>Cumulative effect of adoption of fair value option</w:t>
            </w:r>
          </w:p>
        </w:tc>
        <w:tc>
          <w:tcPr>
            <w:tcW w:w="3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w w:val="94"/>
              </w:rPr>
              <w:t>(41,796,000)</w:t>
            </w:r>
          </w:p>
        </w:tc>
      </w:tr>
      <w:tr>
        <w:trPr>
          <w:trHeight w:val="216"/>
        </w:trPr>
        <w:tc>
          <w:tcPr>
            <w:tcW w:w="70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unrealized gain included in earnings</w:t>
            </w:r>
          </w:p>
        </w:tc>
        <w:tc>
          <w:tcPr>
            <w:tcW w:w="3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4"/>
              </w:rPr>
              <w:t>(20,649,089)</w:t>
            </w:r>
          </w:p>
        </w:tc>
      </w:tr>
      <w:tr>
        <w:trPr>
          <w:trHeight w:val="216"/>
        </w:trPr>
        <w:tc>
          <w:tcPr>
            <w:tcW w:w="7040" w:type="dxa"/>
            <w:vAlign w:val="bottom"/>
          </w:tcPr>
          <w:p>
            <w:pPr>
              <w:ind w:left="440"/>
              <w:spacing w:after="0"/>
              <w:rPr>
                <w:sz w:val="20"/>
                <w:szCs w:val="20"/>
                <w:color w:val="auto"/>
              </w:rPr>
            </w:pPr>
            <w:r>
              <w:rPr>
                <w:rFonts w:ascii="Arial" w:cs="Arial" w:eastAsia="Arial" w:hAnsi="Arial"/>
                <w:sz w:val="18"/>
                <w:szCs w:val="18"/>
                <w:color w:val="auto"/>
              </w:rPr>
              <w:t>Borrowings</w:t>
            </w:r>
          </w:p>
        </w:tc>
        <w:tc>
          <w:tcPr>
            <w:tcW w:w="3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9"/>
              </w:rPr>
              <w:t>35,700,000</w:t>
            </w:r>
          </w:p>
        </w:tc>
        <w:tc>
          <w:tcPr>
            <w:tcW w:w="60" w:type="dxa"/>
            <w:vAlign w:val="bottom"/>
          </w:tcPr>
          <w:p>
            <w:pPr>
              <w:spacing w:after="0"/>
              <w:rPr>
                <w:sz w:val="18"/>
                <w:szCs w:val="18"/>
                <w:color w:val="auto"/>
              </w:rPr>
            </w:pPr>
          </w:p>
        </w:tc>
      </w:tr>
      <w:tr>
        <w:trPr>
          <w:trHeight w:val="216"/>
        </w:trPr>
        <w:tc>
          <w:tcPr>
            <w:tcW w:w="70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Repayments</w:t>
            </w:r>
          </w:p>
        </w:tc>
        <w:tc>
          <w:tcPr>
            <w:tcW w:w="3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4"/>
              </w:rPr>
              <w:t>(10,000,000)</w:t>
            </w:r>
          </w:p>
        </w:tc>
      </w:tr>
      <w:tr>
        <w:trPr>
          <w:trHeight w:val="223"/>
        </w:trPr>
        <w:tc>
          <w:tcPr>
            <w:tcW w:w="7040" w:type="dxa"/>
            <w:vAlign w:val="bottom"/>
          </w:tcPr>
          <w:p>
            <w:pPr>
              <w:ind w:left="440"/>
              <w:spacing w:after="0"/>
              <w:rPr>
                <w:sz w:val="20"/>
                <w:szCs w:val="20"/>
                <w:color w:val="auto"/>
              </w:rPr>
            </w:pPr>
            <w:r>
              <w:rPr>
                <w:rFonts w:ascii="Arial" w:cs="Arial" w:eastAsia="Arial" w:hAnsi="Arial"/>
                <w:sz w:val="18"/>
                <w:szCs w:val="18"/>
                <w:color w:val="auto"/>
              </w:rPr>
              <w:t>Transfers in and/or out of Level 3</w:t>
            </w:r>
          </w:p>
        </w:tc>
        <w:tc>
          <w:tcPr>
            <w:tcW w:w="30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r>
      <w:tr>
        <w:trPr>
          <w:trHeight w:val="216"/>
        </w:trPr>
        <w:tc>
          <w:tcPr>
            <w:tcW w:w="7040" w:type="dxa"/>
            <w:vAlign w:val="bottom"/>
            <w:shd w:val="clear" w:color="auto" w:fill="CCEEFF"/>
          </w:tcPr>
          <w:p>
            <w:pPr>
              <w:spacing w:after="0"/>
              <w:rPr>
                <w:sz w:val="20"/>
                <w:szCs w:val="20"/>
                <w:color w:val="auto"/>
              </w:rPr>
            </w:pPr>
            <w:r>
              <w:rPr>
                <w:rFonts w:ascii="Arial" w:cs="Arial" w:eastAsia="Arial" w:hAnsi="Arial"/>
                <w:sz w:val="18"/>
                <w:szCs w:val="18"/>
                <w:color w:val="auto"/>
              </w:rPr>
              <w:t>Ending Balance, March 31, 2009</w:t>
            </w:r>
          </w:p>
        </w:tc>
        <w:tc>
          <w:tcPr>
            <w:tcW w:w="3220" w:type="dxa"/>
            <w:vAlign w:val="bottom"/>
            <w:gridSpan w:val="2"/>
            <w:shd w:val="clear" w:color="auto" w:fill="CCEEFF"/>
          </w:tcPr>
          <w:p>
            <w:pPr>
              <w:ind w:left="308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9"/>
              </w:rPr>
              <w:t>125,254,911</w:t>
            </w:r>
          </w:p>
        </w:tc>
      </w:tr>
    </w:tbl>
    <w:p>
      <w:pPr>
        <w:spacing w:after="0" w:line="154" w:lineRule="exact"/>
        <w:rPr>
          <w:sz w:val="20"/>
          <w:szCs w:val="20"/>
          <w:color w:val="auto"/>
        </w:rPr>
      </w:pPr>
    </w:p>
    <w:p>
      <w:pPr>
        <w:ind w:right="60" w:firstLine="449"/>
        <w:spacing w:after="0" w:line="286" w:lineRule="auto"/>
        <w:rPr>
          <w:sz w:val="20"/>
          <w:szCs w:val="20"/>
          <w:color w:val="auto"/>
        </w:rPr>
      </w:pPr>
      <w:r>
        <w:rPr>
          <w:rFonts w:ascii="Arial" w:cs="Arial" w:eastAsia="Arial" w:hAnsi="Arial"/>
          <w:sz w:val="16"/>
          <w:szCs w:val="16"/>
          <w:color w:val="auto"/>
        </w:rPr>
        <w:t xml:space="preserve">The carrying value of the Company’s financial instruments approximates fair value. Effective October 1, 2008, the Company adopted Statement of Financial Accounting Standards No. 159, </w:t>
      </w:r>
      <w:r>
        <w:rPr>
          <w:rFonts w:ascii="Arial" w:cs="Arial" w:eastAsia="Arial" w:hAnsi="Arial"/>
          <w:sz w:val="16"/>
          <w:szCs w:val="16"/>
          <w:i w:val="1"/>
          <w:iCs w:val="1"/>
          <w:color w:val="auto"/>
        </w:rPr>
        <w:t>The Fair Value Option for Financial Assets and Liabilities</w:t>
      </w:r>
      <w:r>
        <w:rPr>
          <w:rFonts w:ascii="Arial" w:cs="Arial" w:eastAsia="Arial" w:hAnsi="Arial"/>
          <w:sz w:val="16"/>
          <w:szCs w:val="16"/>
          <w:color w:val="auto"/>
        </w:rPr>
        <w:t>, which provides companies with an option to report selected financial assets and liabilities at fair value, and made an irrevocable election to apply SFAS 159 to its credit facility. The fair value option was elected for the credit facility to align the measurement attributes of both the assets and liabilities while mitigating volatility in earnings from using different measurement attributes. SFAS 159 establishes presentation and disclosure requirements designed to facilitate comparisons between companies that choose different measurement attributes for similar types of assets and liabilities and to more easily understand the effect of the company’s choice to use fair value on its earnings. SFAS 159 also requires entities to display the fair value of the selected assets and liabilities on the face of the balance sheet and changes in fair value of the credit facility are recorded in the Statement of Operations. The Company has elected not to apply SFAS 159 to any other financial assets or liabilities. For the three months and six months ended March 31, 2009, approximately $14.9 million and $20.6 million was recorded as a change in unrealized depreciation on the Credit facility in the Statement of Operations. The Company has used a nationally recognized independent valuation service to measure the fair value of our credit facility in a manner consistent with the valuation process that our board of directors uses to value our investments.</w:t>
      </w:r>
    </w:p>
    <w:p>
      <w:pPr>
        <w:spacing w:after="0" w:line="12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presents information about the eligible instrument(s) for which the Company elected the fair value option under SFAS 159 as of</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March 31, 2009 and for which a transition adjustment was recorded as of October 1, 2008:</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80" w:type="dxa"/>
            <w:vAlign w:val="bottom"/>
          </w:tcPr>
          <w:p>
            <w:pPr>
              <w:spacing w:after="0"/>
              <w:rPr>
                <w:sz w:val="14"/>
                <w:szCs w:val="14"/>
                <w:color w:val="auto"/>
              </w:rPr>
            </w:pPr>
          </w:p>
        </w:tc>
        <w:tc>
          <w:tcPr>
            <w:tcW w:w="2380" w:type="dxa"/>
            <w:vAlign w:val="bottom"/>
            <w:gridSpan w:val="4"/>
          </w:tcPr>
          <w:p>
            <w:pPr>
              <w:ind w:left="640"/>
              <w:spacing w:after="0"/>
              <w:rPr>
                <w:sz w:val="20"/>
                <w:szCs w:val="20"/>
                <w:color w:val="auto"/>
              </w:rPr>
            </w:pPr>
            <w:r>
              <w:rPr>
                <w:rFonts w:ascii="Arial" w:cs="Arial" w:eastAsia="Arial" w:hAnsi="Arial"/>
                <w:sz w:val="13"/>
                <w:szCs w:val="13"/>
                <w:b w:val="1"/>
                <w:bCs w:val="1"/>
                <w:color w:val="auto"/>
              </w:rPr>
              <w:t>March 31, 2009</w:t>
            </w:r>
          </w:p>
        </w:tc>
        <w:tc>
          <w:tcPr>
            <w:tcW w:w="1060" w:type="dxa"/>
            <w:vAlign w:val="bottom"/>
            <w:gridSpan w:val="2"/>
            <w:vMerge w:val="restart"/>
          </w:tcPr>
          <w:p>
            <w:pPr>
              <w:spacing w:after="0"/>
              <w:rPr>
                <w:sz w:val="20"/>
                <w:szCs w:val="20"/>
                <w:color w:val="auto"/>
              </w:rPr>
            </w:pPr>
            <w:r>
              <w:rPr>
                <w:rFonts w:ascii="Arial" w:cs="Arial" w:eastAsia="Arial" w:hAnsi="Arial"/>
                <w:sz w:val="13"/>
                <w:szCs w:val="13"/>
                <w:b w:val="1"/>
                <w:bCs w:val="1"/>
                <w:color w:val="auto"/>
                <w:w w:val="93"/>
              </w:rPr>
              <w:t>Carrying Value on</w:t>
            </w:r>
          </w:p>
        </w:tc>
        <w:tc>
          <w:tcPr>
            <w:tcW w:w="220" w:type="dxa"/>
            <w:vAlign w:val="bottom"/>
          </w:tcPr>
          <w:p>
            <w:pPr>
              <w:spacing w:after="0"/>
              <w:rPr>
                <w:sz w:val="14"/>
                <w:szCs w:val="14"/>
                <w:color w:val="auto"/>
              </w:rPr>
            </w:pPr>
          </w:p>
        </w:tc>
        <w:tc>
          <w:tcPr>
            <w:tcW w:w="90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5"/>
              </w:rPr>
              <w:t>Transition</w:t>
            </w:r>
          </w:p>
        </w:tc>
        <w:tc>
          <w:tcPr>
            <w:tcW w:w="200" w:type="dxa"/>
            <w:vAlign w:val="bottom"/>
          </w:tcPr>
          <w:p>
            <w:pPr>
              <w:spacing w:after="0"/>
              <w:rPr>
                <w:sz w:val="14"/>
                <w:szCs w:val="14"/>
                <w:color w:val="auto"/>
              </w:rPr>
            </w:pPr>
          </w:p>
        </w:tc>
        <w:tc>
          <w:tcPr>
            <w:tcW w:w="1120" w:type="dxa"/>
            <w:vAlign w:val="bottom"/>
            <w:gridSpan w:val="3"/>
            <w:vMerge w:val="restart"/>
          </w:tcPr>
          <w:p>
            <w:pPr>
              <w:jc w:val="center"/>
              <w:ind w:right="20"/>
              <w:spacing w:after="0"/>
              <w:rPr>
                <w:sz w:val="20"/>
                <w:szCs w:val="20"/>
                <w:color w:val="auto"/>
              </w:rPr>
            </w:pPr>
            <w:r>
              <w:rPr>
                <w:rFonts w:ascii="Arial" w:cs="Arial" w:eastAsia="Arial" w:hAnsi="Arial"/>
                <w:sz w:val="13"/>
                <w:szCs w:val="13"/>
                <w:b w:val="1"/>
                <w:bCs w:val="1"/>
                <w:color w:val="auto"/>
                <w:w w:val="95"/>
              </w:rPr>
              <w:t>Carrying Value on</w:t>
            </w:r>
          </w:p>
        </w:tc>
        <w:tc>
          <w:tcPr>
            <w:tcW w:w="0" w:type="dxa"/>
            <w:vAlign w:val="bottom"/>
          </w:tcPr>
          <w:p>
            <w:pPr>
              <w:spacing w:after="0"/>
              <w:rPr>
                <w:sz w:val="1"/>
                <w:szCs w:val="1"/>
                <w:color w:val="auto"/>
              </w:rPr>
            </w:pPr>
          </w:p>
        </w:tc>
      </w:tr>
      <w:tr>
        <w:trPr>
          <w:trHeight w:val="129"/>
        </w:trPr>
        <w:tc>
          <w:tcPr>
            <w:tcW w:w="5380" w:type="dxa"/>
            <w:vAlign w:val="bottom"/>
          </w:tcPr>
          <w:p>
            <w:pPr>
              <w:spacing w:after="0"/>
              <w:rPr>
                <w:sz w:val="11"/>
                <w:szCs w:val="11"/>
                <w:color w:val="auto"/>
              </w:rPr>
            </w:pPr>
          </w:p>
        </w:tc>
        <w:tc>
          <w:tcPr>
            <w:tcW w:w="98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98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1060" w:type="dxa"/>
            <w:vAlign w:val="bottom"/>
            <w:gridSpan w:val="2"/>
            <w:vMerge w:val="continue"/>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vMerge w:val="continue"/>
          </w:tcPr>
          <w:p>
            <w:pPr>
              <w:spacing w:after="0"/>
              <w:rPr>
                <w:sz w:val="11"/>
                <w:szCs w:val="11"/>
                <w:color w:val="auto"/>
              </w:rPr>
            </w:pPr>
          </w:p>
        </w:tc>
        <w:tc>
          <w:tcPr>
            <w:tcW w:w="200" w:type="dxa"/>
            <w:vAlign w:val="bottom"/>
          </w:tcPr>
          <w:p>
            <w:pPr>
              <w:spacing w:after="0"/>
              <w:rPr>
                <w:sz w:val="11"/>
                <w:szCs w:val="11"/>
                <w:color w:val="auto"/>
              </w:rPr>
            </w:pPr>
          </w:p>
        </w:tc>
        <w:tc>
          <w:tcPr>
            <w:tcW w:w="1120" w:type="dxa"/>
            <w:vAlign w:val="bottom"/>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53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60" w:type="dxa"/>
            <w:vAlign w:val="bottom"/>
            <w:gridSpan w:val="2"/>
          </w:tcPr>
          <w:p>
            <w:pPr>
              <w:ind w:left="80"/>
              <w:spacing w:after="0"/>
              <w:rPr>
                <w:sz w:val="20"/>
                <w:szCs w:val="20"/>
                <w:color w:val="auto"/>
              </w:rPr>
            </w:pPr>
            <w:r>
              <w:rPr>
                <w:rFonts w:ascii="Arial" w:cs="Arial" w:eastAsia="Arial" w:hAnsi="Arial"/>
                <w:sz w:val="13"/>
                <w:szCs w:val="13"/>
                <w:b w:val="1"/>
                <w:bCs w:val="1"/>
                <w:color w:val="auto"/>
                <w:w w:val="99"/>
              </w:rPr>
              <w:t>October 1, 2008</w:t>
            </w:r>
          </w:p>
        </w:tc>
        <w:tc>
          <w:tcPr>
            <w:tcW w:w="220" w:type="dxa"/>
            <w:vAlign w:val="bottom"/>
          </w:tcPr>
          <w:p>
            <w:pPr>
              <w:spacing w:after="0"/>
              <w:rPr>
                <w:sz w:val="12"/>
                <w:szCs w:val="12"/>
                <w:color w:val="auto"/>
              </w:rPr>
            </w:pPr>
          </w:p>
        </w:tc>
        <w:tc>
          <w:tcPr>
            <w:tcW w:w="900" w:type="dxa"/>
            <w:vAlign w:val="bottom"/>
          </w:tcPr>
          <w:p>
            <w:pPr>
              <w:jc w:val="center"/>
              <w:spacing w:after="0"/>
              <w:rPr>
                <w:sz w:val="20"/>
                <w:szCs w:val="20"/>
                <w:color w:val="auto"/>
              </w:rPr>
            </w:pPr>
            <w:r>
              <w:rPr>
                <w:rFonts w:ascii="Arial" w:cs="Arial" w:eastAsia="Arial" w:hAnsi="Arial"/>
                <w:sz w:val="13"/>
                <w:szCs w:val="13"/>
                <w:b w:val="1"/>
                <w:bCs w:val="1"/>
                <w:color w:val="auto"/>
                <w:w w:val="93"/>
              </w:rPr>
              <w:t>Adjustment to</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92"/>
              </w:rPr>
              <w:t>October 1, 2008</w:t>
            </w:r>
          </w:p>
        </w:tc>
        <w:tc>
          <w:tcPr>
            <w:tcW w:w="0" w:type="dxa"/>
            <w:vAlign w:val="bottom"/>
          </w:tcPr>
          <w:p>
            <w:pPr>
              <w:spacing w:after="0"/>
              <w:rPr>
                <w:sz w:val="1"/>
                <w:szCs w:val="1"/>
                <w:color w:val="auto"/>
              </w:rPr>
            </w:pPr>
          </w:p>
        </w:tc>
      </w:tr>
      <w:tr>
        <w:trPr>
          <w:trHeight w:val="149"/>
        </w:trPr>
        <w:tc>
          <w:tcPr>
            <w:tcW w:w="53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60" w:type="dxa"/>
            <w:vAlign w:val="bottom"/>
            <w:gridSpan w:val="2"/>
          </w:tcPr>
          <w:p>
            <w:pPr>
              <w:spacing w:after="0"/>
              <w:rPr>
                <w:sz w:val="20"/>
                <w:szCs w:val="20"/>
                <w:color w:val="auto"/>
              </w:rPr>
            </w:pPr>
            <w:r>
              <w:rPr>
                <w:rFonts w:ascii="Arial" w:cs="Arial" w:eastAsia="Arial" w:hAnsi="Arial"/>
                <w:sz w:val="13"/>
                <w:szCs w:val="13"/>
                <w:b w:val="1"/>
                <w:bCs w:val="1"/>
                <w:color w:val="auto"/>
                <w:w w:val="91"/>
              </w:rPr>
              <w:t>before adoption of</w:t>
            </w:r>
          </w:p>
        </w:tc>
        <w:tc>
          <w:tcPr>
            <w:tcW w:w="220" w:type="dxa"/>
            <w:vAlign w:val="bottom"/>
          </w:tcPr>
          <w:p>
            <w:pPr>
              <w:spacing w:after="0"/>
              <w:rPr>
                <w:sz w:val="12"/>
                <w:szCs w:val="12"/>
                <w:color w:val="auto"/>
              </w:rPr>
            </w:pPr>
          </w:p>
        </w:tc>
        <w:tc>
          <w:tcPr>
            <w:tcW w:w="900" w:type="dxa"/>
            <w:vAlign w:val="bottom"/>
          </w:tcPr>
          <w:p>
            <w:pPr>
              <w:jc w:val="center"/>
              <w:spacing w:after="0"/>
              <w:rPr>
                <w:sz w:val="20"/>
                <w:szCs w:val="20"/>
                <w:color w:val="auto"/>
              </w:rPr>
            </w:pPr>
            <w:r>
              <w:rPr>
                <w:rFonts w:ascii="Arial" w:cs="Arial" w:eastAsia="Arial" w:hAnsi="Arial"/>
                <w:sz w:val="13"/>
                <w:szCs w:val="13"/>
                <w:b w:val="1"/>
                <w:bCs w:val="1"/>
                <w:color w:val="auto"/>
                <w:w w:val="94"/>
              </w:rPr>
              <w:t>Retained</w:t>
            </w:r>
          </w:p>
        </w:tc>
        <w:tc>
          <w:tcPr>
            <w:tcW w:w="200" w:type="dxa"/>
            <w:vAlign w:val="bottom"/>
          </w:tcPr>
          <w:p>
            <w:pPr>
              <w:spacing w:after="0"/>
              <w:rPr>
                <w:sz w:val="12"/>
                <w:szCs w:val="12"/>
                <w:color w:val="auto"/>
              </w:rPr>
            </w:pPr>
          </w:p>
        </w:tc>
        <w:tc>
          <w:tcPr>
            <w:tcW w:w="1120" w:type="dxa"/>
            <w:vAlign w:val="bottom"/>
            <w:gridSpan w:val="3"/>
          </w:tcPr>
          <w:p>
            <w:pPr>
              <w:jc w:val="center"/>
              <w:ind w:right="20"/>
              <w:spacing w:after="0"/>
              <w:rPr>
                <w:sz w:val="20"/>
                <w:szCs w:val="20"/>
                <w:color w:val="auto"/>
              </w:rPr>
            </w:pPr>
            <w:r>
              <w:rPr>
                <w:rFonts w:ascii="Arial" w:cs="Arial" w:eastAsia="Arial" w:hAnsi="Arial"/>
                <w:sz w:val="13"/>
                <w:szCs w:val="13"/>
                <w:b w:val="1"/>
                <w:bCs w:val="1"/>
                <w:color w:val="auto"/>
                <w:w w:val="95"/>
              </w:rPr>
              <w:t>after adoption of</w:t>
            </w:r>
          </w:p>
        </w:tc>
        <w:tc>
          <w:tcPr>
            <w:tcW w:w="0" w:type="dxa"/>
            <w:vAlign w:val="bottom"/>
          </w:tcPr>
          <w:p>
            <w:pPr>
              <w:spacing w:after="0"/>
              <w:rPr>
                <w:sz w:val="1"/>
                <w:szCs w:val="1"/>
                <w:color w:val="auto"/>
              </w:rPr>
            </w:pPr>
          </w:p>
        </w:tc>
      </w:tr>
      <w:tr>
        <w:trPr>
          <w:trHeight w:val="161"/>
        </w:trPr>
        <w:tc>
          <w:tcPr>
            <w:tcW w:w="5380" w:type="dxa"/>
            <w:vAlign w:val="bottom"/>
          </w:tcPr>
          <w:p>
            <w:pPr>
              <w:spacing w:after="0"/>
              <w:rPr>
                <w:sz w:val="14"/>
                <w:szCs w:val="14"/>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8"/>
              </w:rPr>
              <w:t>Carrying Value</w:t>
            </w:r>
          </w:p>
        </w:tc>
        <w:tc>
          <w:tcPr>
            <w:tcW w:w="200" w:type="dxa"/>
            <w:vAlign w:val="bottom"/>
          </w:tcPr>
          <w:p>
            <w:pPr>
              <w:spacing w:after="0"/>
              <w:rPr>
                <w:sz w:val="14"/>
                <w:szCs w:val="14"/>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Fair Value</w:t>
            </w:r>
          </w:p>
        </w:tc>
        <w:tc>
          <w:tcPr>
            <w:tcW w:w="2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177"/>
              <w:spacing w:after="0"/>
              <w:rPr>
                <w:sz w:val="20"/>
                <w:szCs w:val="20"/>
                <w:color w:val="auto"/>
              </w:rPr>
            </w:pPr>
            <w:r>
              <w:rPr>
                <w:rFonts w:ascii="Arial" w:cs="Arial" w:eastAsia="Arial" w:hAnsi="Arial"/>
                <w:sz w:val="13"/>
                <w:szCs w:val="13"/>
                <w:b w:val="1"/>
                <w:bCs w:val="1"/>
                <w:color w:val="auto"/>
              </w:rPr>
              <w:t>SFAS 159</w:t>
            </w:r>
          </w:p>
        </w:tc>
        <w:tc>
          <w:tcPr>
            <w:tcW w:w="220" w:type="dxa"/>
            <w:vAlign w:val="bottom"/>
          </w:tcPr>
          <w:p>
            <w:pPr>
              <w:spacing w:after="0"/>
              <w:rPr>
                <w:sz w:val="14"/>
                <w:szCs w:val="14"/>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3"/>
              </w:rPr>
              <w:t>Earnings</w:t>
            </w:r>
          </w:p>
        </w:tc>
        <w:tc>
          <w:tcPr>
            <w:tcW w:w="2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3"/>
              </w:rPr>
              <w:t>SFAS 159</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Revolving Credit Facility (long term)</w:t>
            </w:r>
          </w:p>
        </w:tc>
        <w:tc>
          <w:tcPr>
            <w:tcW w:w="118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88"/>
              </w:rPr>
              <w:t>$125,254,911</w:t>
            </w:r>
          </w:p>
        </w:tc>
        <w:tc>
          <w:tcPr>
            <w:tcW w:w="120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88"/>
              </w:rPr>
              <w:t>$125,254,911</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162,000,000</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41,796,000</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120,204,000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380" w:type="dxa"/>
            <w:vAlign w:val="bottom"/>
          </w:tcPr>
          <w:p>
            <w:pPr>
              <w:spacing w:after="0" w:line="216" w:lineRule="exact"/>
              <w:rPr>
                <w:sz w:val="20"/>
                <w:szCs w:val="20"/>
                <w:color w:val="auto"/>
              </w:rPr>
            </w:pPr>
            <w:r>
              <w:rPr>
                <w:rFonts w:ascii="Arial" w:cs="Arial" w:eastAsia="Arial" w:hAnsi="Arial"/>
                <w:sz w:val="18"/>
                <w:szCs w:val="18"/>
                <w:color w:val="auto"/>
              </w:rPr>
              <w:t>Revolving Credit Facility (temporary draw)</w:t>
            </w:r>
            <w:r>
              <w:rPr>
                <w:rFonts w:ascii="Arial" w:cs="Arial" w:eastAsia="Arial" w:hAnsi="Arial"/>
                <w:sz w:val="22"/>
                <w:szCs w:val="22"/>
                <w:color w:val="auto"/>
                <w:vertAlign w:val="superscript"/>
              </w:rPr>
              <w:t>(1)</w:t>
            </w:r>
          </w:p>
        </w:tc>
        <w:tc>
          <w:tcPr>
            <w:tcW w:w="980" w:type="dxa"/>
            <w:vAlign w:val="bottom"/>
            <w:tcBorders>
              <w:bottom w:val="single" w:sz="8" w:color="auto"/>
            </w:tcBorders>
          </w:tcPr>
          <w:p>
            <w:pPr>
              <w:ind w:left="7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980" w:type="dxa"/>
            <w:vAlign w:val="bottom"/>
            <w:tcBorders>
              <w:bottom w:val="single" w:sz="8" w:color="auto"/>
            </w:tcBorders>
          </w:tcPr>
          <w:p>
            <w:pPr>
              <w:ind w:left="7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40,000,000</w:t>
            </w:r>
          </w:p>
        </w:tc>
        <w:tc>
          <w:tcPr>
            <w:tcW w:w="220" w:type="dxa"/>
            <w:vAlign w:val="bottom"/>
          </w:tcPr>
          <w:p>
            <w:pPr>
              <w:spacing w:after="0"/>
              <w:rPr>
                <w:sz w:val="19"/>
                <w:szCs w:val="19"/>
                <w:color w:val="auto"/>
              </w:rPr>
            </w:pPr>
          </w:p>
        </w:tc>
        <w:tc>
          <w:tcPr>
            <w:tcW w:w="900" w:type="dxa"/>
            <w:vAlign w:val="bottom"/>
            <w:tcBorders>
              <w:bottom w:val="single" w:sz="8" w:color="auto"/>
            </w:tcBorders>
          </w:tcPr>
          <w:p>
            <w:pPr>
              <w:jc w:val="right"/>
              <w:ind w:right="28"/>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40,000,000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380" w:type="dxa"/>
            <w:vAlign w:val="bottom"/>
            <w:shd w:val="clear" w:color="auto" w:fill="CCEEFF"/>
          </w:tcPr>
          <w:p>
            <w:pPr>
              <w:spacing w:after="0"/>
              <w:rPr>
                <w:sz w:val="18"/>
                <w:szCs w:val="18"/>
                <w:color w:val="auto"/>
              </w:rPr>
            </w:pPr>
          </w:p>
        </w:tc>
        <w:tc>
          <w:tcPr>
            <w:tcW w:w="980" w:type="dxa"/>
            <w:vAlign w:val="bottom"/>
            <w:shd w:val="clear" w:color="auto" w:fill="CCEEFF"/>
          </w:tcPr>
          <w:p>
            <w:pPr>
              <w:jc w:val="center"/>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125,254,911</w:t>
            </w: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125,254,911</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202,000,000</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41,796,000</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160,204,000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38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120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1200" cy="8255"/>
                    </a:xfrm>
                    <a:prstGeom prst="rect">
                      <a:avLst/>
                    </a:prstGeom>
                    <a:noFill/>
                  </pic:spPr>
                </pic:pic>
              </a:graphicData>
            </a:graphic>
          </wp:anchor>
        </w:drawing>
      </w:r>
    </w:p>
    <w:p>
      <w:pPr>
        <w:spacing w:after="0" w:line="134" w:lineRule="exact"/>
        <w:rPr>
          <w:sz w:val="20"/>
          <w:szCs w:val="20"/>
          <w:color w:val="auto"/>
        </w:rPr>
      </w:pPr>
    </w:p>
    <w:p>
      <w:pPr>
        <w:ind w:left="460" w:hanging="452"/>
        <w:spacing w:after="0"/>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Temporary draw includes credit facility borrowings at the end of each quarter to maximize investment flexibility (See note 8).</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CASH EQUIVALENTS</w:t>
      </w:r>
    </w:p>
    <w:p>
      <w:pPr>
        <w:spacing w:after="0" w:line="96" w:lineRule="exact"/>
        <w:rPr>
          <w:sz w:val="20"/>
          <w:szCs w:val="20"/>
          <w:color w:val="auto"/>
        </w:rPr>
      </w:pPr>
    </w:p>
    <w:p>
      <w:pPr>
        <w:ind w:right="280" w:firstLine="449"/>
        <w:spacing w:after="0" w:line="288" w:lineRule="auto"/>
        <w:rPr>
          <w:sz w:val="20"/>
          <w:szCs w:val="20"/>
          <w:color w:val="auto"/>
        </w:rPr>
      </w:pPr>
      <w:r>
        <w:rPr>
          <w:rFonts w:ascii="Arial" w:cs="Arial" w:eastAsia="Arial" w:hAnsi="Arial"/>
          <w:sz w:val="16"/>
          <w:szCs w:val="16"/>
          <w:color w:val="auto"/>
        </w:rPr>
        <w:t>Pending investment in longer-term portfolio holdings, PennantPark Investment may invest temporarily in U.S. Treasury Bills (of varying maturities), repurchase agreements, money markets or repo-like treasury securities. These temporary investments with maturities of 90 days or less are deemed cash equivalents and are included in the Schedule of Investments. At the end of each fiscal quarter, PennantPark Investment typically takes proactive steps to preserve investment flexibility for the next quarter, which is dependent upon the composition of its total assets at quarter end. PennantPark Investment may accomplish this in several ways, including purchasing U.S. Treasury Bills and closing out its positions on a net cash basis after quarter-end, temporarily drawing down on its Revolving Credit Facility, or utilizing repurchase agreements or other balance sheet transactions as are deemed appropriate for this purpose. These amounts are excluded from adjusted gross assets for purposes of computing the management fee. U.S. Treasury Bills with maturities greater than 60 days from the time of purchase are marked-to-market consistent with PennantPark Investment’s valuation policy.</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240"/>
          </w:cols>
          <w:pgMar w:left="320" w:top="459" w:right="3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206375</wp:posOffset>
            </wp:positionH>
            <wp:positionV relativeFrom="page">
              <wp:posOffset>88900</wp:posOffset>
            </wp:positionV>
            <wp:extent cx="7153275" cy="2794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32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REPURCHASE AGREEMENTS</w:t>
      </w:r>
    </w:p>
    <w:p>
      <w:pPr>
        <w:spacing w:after="0" w:line="96" w:lineRule="exact"/>
        <w:rPr>
          <w:sz w:val="20"/>
          <w:szCs w:val="20"/>
          <w:color w:val="auto"/>
        </w:rPr>
      </w:pPr>
    </w:p>
    <w:p>
      <w:pPr>
        <w:ind w:right="60" w:firstLine="449"/>
        <w:spacing w:after="0" w:line="291" w:lineRule="auto"/>
        <w:rPr>
          <w:sz w:val="20"/>
          <w:szCs w:val="20"/>
          <w:color w:val="auto"/>
        </w:rPr>
      </w:pPr>
      <w:r>
        <w:rPr>
          <w:rFonts w:ascii="Arial" w:cs="Arial" w:eastAsia="Arial" w:hAnsi="Arial"/>
          <w:sz w:val="16"/>
          <w:szCs w:val="16"/>
          <w:color w:val="auto"/>
        </w:rPr>
        <w:t>PennantPark Investment may enter into repurchase agreements as part of its investment program. In these transactions, PennantPark Investment’s custodian takes possession of collateral pledged by the counterparty. The collateral is marked-to-market daily to ensure that the value, plus accrued interest, is at least equal to the repurchase price. In the event of default of the obligor to repurchase, PennantPark Investment will have the right to liquidate the collateral and apply the proceeds in satisfaction of the obligation. Under certain circumstances, including the event of default or bankruptcy by the counterparty to the agreement, realization and/or retention of the collateral or proceeds may be subject to legal proceedings. There were no repurchase agreements outstanding on March 31, 2009 or September 30, 2008.</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FINANCIAL HIGHLIGHTS</w:t>
      </w:r>
    </w:p>
    <w:p>
      <w:pPr>
        <w:spacing w:after="0" w:line="212" w:lineRule="exact"/>
        <w:rPr>
          <w:sz w:val="20"/>
          <w:szCs w:val="20"/>
          <w:color w:val="auto"/>
        </w:rPr>
      </w:pPr>
    </w:p>
    <w:tbl>
      <w:tblPr>
        <w:tblLayout w:type="fixed"/>
        <w:tblInd w:w="46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62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20" w:type="dxa"/>
            <w:vAlign w:val="bottom"/>
            <w:gridSpan w:val="2"/>
          </w:tcPr>
          <w:p>
            <w:pPr>
              <w:jc w:val="center"/>
              <w:ind w:right="740"/>
              <w:spacing w:after="0"/>
              <w:rPr>
                <w:sz w:val="20"/>
                <w:szCs w:val="20"/>
                <w:color w:val="auto"/>
              </w:rPr>
            </w:pPr>
            <w:r>
              <w:rPr>
                <w:rFonts w:ascii="Arial" w:cs="Arial" w:eastAsia="Arial" w:hAnsi="Arial"/>
                <w:sz w:val="13"/>
                <w:szCs w:val="13"/>
                <w:b w:val="1"/>
                <w:bCs w:val="1"/>
                <w:color w:val="auto"/>
                <w:w w:val="95"/>
              </w:rPr>
              <w:t>Six Months</w:t>
            </w: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2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20" w:type="dxa"/>
            <w:vAlign w:val="bottom"/>
            <w:gridSpan w:val="2"/>
          </w:tcPr>
          <w:p>
            <w:pPr>
              <w:jc w:val="center"/>
              <w:ind w:right="740"/>
              <w:spacing w:after="0"/>
              <w:rPr>
                <w:sz w:val="20"/>
                <w:szCs w:val="20"/>
                <w:color w:val="auto"/>
              </w:rPr>
            </w:pPr>
            <w:r>
              <w:rPr>
                <w:rFonts w:ascii="Arial" w:cs="Arial" w:eastAsia="Arial" w:hAnsi="Arial"/>
                <w:sz w:val="13"/>
                <w:szCs w:val="13"/>
                <w:b w:val="1"/>
                <w:bCs w:val="1"/>
                <w:color w:val="auto"/>
                <w:w w:val="88"/>
              </w:rPr>
              <w:t>ended</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2"/>
          </w:tcPr>
          <w:p>
            <w:pPr>
              <w:jc w:val="center"/>
              <w:ind w:right="320"/>
              <w:spacing w:after="0"/>
              <w:rPr>
                <w:sz w:val="20"/>
                <w:szCs w:val="20"/>
                <w:color w:val="auto"/>
              </w:rPr>
            </w:pPr>
            <w:r>
              <w:rPr>
                <w:rFonts w:ascii="Arial" w:cs="Arial" w:eastAsia="Arial" w:hAnsi="Arial"/>
                <w:sz w:val="13"/>
                <w:szCs w:val="13"/>
                <w:b w:val="1"/>
                <w:bCs w:val="1"/>
                <w:color w:val="auto"/>
                <w:w w:val="94"/>
              </w:rPr>
              <w:t>Year ended</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2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20" w:type="dxa"/>
            <w:vAlign w:val="bottom"/>
            <w:gridSpan w:val="2"/>
          </w:tcPr>
          <w:p>
            <w:pPr>
              <w:jc w:val="center"/>
              <w:ind w:right="740"/>
              <w:spacing w:after="0"/>
              <w:rPr>
                <w:sz w:val="20"/>
                <w:szCs w:val="20"/>
                <w:color w:val="auto"/>
              </w:rPr>
            </w:pPr>
            <w:r>
              <w:rPr>
                <w:rFonts w:ascii="Arial" w:cs="Arial" w:eastAsia="Arial" w:hAnsi="Arial"/>
                <w:sz w:val="13"/>
                <w:szCs w:val="13"/>
                <w:b w:val="1"/>
                <w:bCs w:val="1"/>
                <w:color w:val="auto"/>
                <w:w w:val="96"/>
              </w:rPr>
              <w:t>March 31,</w:t>
            </w:r>
          </w:p>
        </w:tc>
        <w:tc>
          <w:tcPr>
            <w:tcW w:w="260" w:type="dxa"/>
            <w:vAlign w:val="bottom"/>
          </w:tcPr>
          <w:p>
            <w:pPr>
              <w:spacing w:after="0"/>
              <w:rPr>
                <w:sz w:val="12"/>
                <w:szCs w:val="12"/>
                <w:color w:val="auto"/>
              </w:rPr>
            </w:pPr>
          </w:p>
        </w:tc>
        <w:tc>
          <w:tcPr>
            <w:tcW w:w="1200" w:type="dxa"/>
            <w:vAlign w:val="bottom"/>
            <w:gridSpan w:val="3"/>
          </w:tcPr>
          <w:p>
            <w:pPr>
              <w:jc w:val="center"/>
              <w:ind w:right="220"/>
              <w:spacing w:after="0"/>
              <w:rPr>
                <w:sz w:val="20"/>
                <w:szCs w:val="20"/>
                <w:color w:val="auto"/>
              </w:rPr>
            </w:pPr>
            <w:r>
              <w:rPr>
                <w:rFonts w:ascii="Arial" w:cs="Arial" w:eastAsia="Arial" w:hAnsi="Arial"/>
                <w:sz w:val="13"/>
                <w:szCs w:val="13"/>
                <w:b w:val="1"/>
                <w:bCs w:val="1"/>
                <w:color w:val="auto"/>
                <w:w w:val="92"/>
              </w:rPr>
              <w:t>September 30,</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2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center"/>
              <w:ind w:right="16"/>
              <w:spacing w:after="0"/>
              <w:rPr>
                <w:sz w:val="20"/>
                <w:szCs w:val="20"/>
                <w:color w:val="auto"/>
              </w:rPr>
            </w:pPr>
            <w:r>
              <w:rPr>
                <w:rFonts w:ascii="Arial" w:cs="Arial" w:eastAsia="Arial" w:hAnsi="Arial"/>
                <w:sz w:val="13"/>
                <w:szCs w:val="13"/>
                <w:b w:val="1"/>
                <w:bCs w:val="1"/>
                <w:color w:val="auto"/>
                <w:w w:val="89"/>
              </w:rPr>
              <w:t>2009</w:t>
            </w:r>
          </w:p>
        </w:tc>
        <w:tc>
          <w:tcPr>
            <w:tcW w:w="6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center"/>
              <w:ind w:right="14"/>
              <w:spacing w:after="0"/>
              <w:rPr>
                <w:sz w:val="20"/>
                <w:szCs w:val="20"/>
                <w:color w:val="auto"/>
              </w:rPr>
            </w:pPr>
            <w:r>
              <w:rPr>
                <w:rFonts w:ascii="Arial" w:cs="Arial" w:eastAsia="Arial" w:hAnsi="Arial"/>
                <w:sz w:val="13"/>
                <w:szCs w:val="13"/>
                <w:b w:val="1"/>
                <w:bCs w:val="1"/>
                <w:color w:val="auto"/>
                <w:w w:val="89"/>
              </w:rPr>
              <w:t>2008</w:t>
            </w: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Per Share Data:</w:t>
            </w: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tcPr>
          <w:p>
            <w:pPr>
              <w:spacing w:after="0"/>
              <w:rPr>
                <w:sz w:val="20"/>
                <w:szCs w:val="20"/>
                <w:color w:val="auto"/>
              </w:rPr>
            </w:pPr>
            <w:r>
              <w:rPr>
                <w:rFonts w:ascii="Arial" w:cs="Arial" w:eastAsia="Arial" w:hAnsi="Arial"/>
                <w:sz w:val="18"/>
                <w:szCs w:val="18"/>
                <w:color w:val="auto"/>
              </w:rPr>
              <w:t>Net asset value, beginning of period</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10.00</w:t>
            </w:r>
          </w:p>
        </w:tc>
        <w:tc>
          <w:tcPr>
            <w:tcW w:w="640" w:type="dxa"/>
            <w:vAlign w:val="bottom"/>
          </w:tcPr>
          <w:p>
            <w:pPr>
              <w:spacing w:after="0"/>
              <w:rPr>
                <w:sz w:val="18"/>
                <w:szCs w:val="18"/>
                <w:color w:val="auto"/>
              </w:rPr>
            </w:pP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12.83</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Net investment income</w:t>
            </w: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0.52</w:t>
            </w: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0.88</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tcPr>
          <w:p>
            <w:pPr>
              <w:spacing w:after="0"/>
              <w:rPr>
                <w:sz w:val="20"/>
                <w:szCs w:val="20"/>
                <w:color w:val="auto"/>
              </w:rPr>
            </w:pPr>
            <w:r>
              <w:rPr>
                <w:rFonts w:ascii="Arial" w:cs="Arial" w:eastAsia="Arial" w:hAnsi="Arial"/>
                <w:sz w:val="18"/>
                <w:szCs w:val="18"/>
                <w:color w:val="auto"/>
              </w:rPr>
              <w:t>Net change in realized and unrealized loss</w:t>
            </w: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gridSpan w:val="2"/>
          </w:tcPr>
          <w:p>
            <w:pPr>
              <w:jc w:val="right"/>
              <w:ind w:right="580"/>
              <w:spacing w:after="0"/>
              <w:rPr>
                <w:sz w:val="20"/>
                <w:szCs w:val="20"/>
                <w:color w:val="auto"/>
              </w:rPr>
            </w:pPr>
            <w:r>
              <w:rPr>
                <w:rFonts w:ascii="Arial" w:cs="Arial" w:eastAsia="Arial" w:hAnsi="Arial"/>
                <w:sz w:val="18"/>
                <w:szCs w:val="18"/>
                <w:color w:val="auto"/>
              </w:rPr>
              <w:t>(0.03)</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(2.81)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Net increase (decrease) in net assets resulting from operations</w:t>
            </w: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0.49</w:t>
            </w: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tcPr>
          <w:p>
            <w:pPr>
              <w:ind w:left="420"/>
              <w:spacing w:after="0" w:line="216" w:lineRule="exact"/>
              <w:rPr>
                <w:sz w:val="20"/>
                <w:szCs w:val="20"/>
                <w:color w:val="auto"/>
              </w:rPr>
            </w:pPr>
            <w:r>
              <w:rPr>
                <w:rFonts w:ascii="Arial" w:cs="Arial" w:eastAsia="Arial" w:hAnsi="Arial"/>
                <w:sz w:val="18"/>
                <w:szCs w:val="18"/>
                <w:color w:val="auto"/>
              </w:rPr>
              <w:t>Dividends and distributions to stockholders</w:t>
            </w:r>
            <w:r>
              <w:rPr>
                <w:rFonts w:ascii="Arial" w:cs="Arial" w:eastAsia="Arial" w:hAnsi="Arial"/>
                <w:sz w:val="22"/>
                <w:szCs w:val="22"/>
                <w:color w:val="auto"/>
                <w:vertAlign w:val="superscript"/>
              </w:rPr>
              <w:t>(1)</w:t>
            </w: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gridSpan w:val="2"/>
          </w:tcPr>
          <w:p>
            <w:pPr>
              <w:jc w:val="right"/>
              <w:ind w:right="580"/>
              <w:spacing w:after="0"/>
              <w:rPr>
                <w:sz w:val="20"/>
                <w:szCs w:val="20"/>
                <w:color w:val="auto"/>
              </w:rPr>
            </w:pPr>
            <w:r>
              <w:rPr>
                <w:rFonts w:ascii="Arial" w:cs="Arial" w:eastAsia="Arial" w:hAnsi="Arial"/>
                <w:sz w:val="18"/>
                <w:szCs w:val="18"/>
                <w:color w:val="auto"/>
              </w:rPr>
              <w:t>(0.48)</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(0.90)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shd w:val="clear" w:color="auto" w:fill="CCEEFF"/>
          </w:tcPr>
          <w:p>
            <w:pPr>
              <w:ind w:left="420"/>
              <w:spacing w:after="0" w:line="216" w:lineRule="exact"/>
              <w:rPr>
                <w:sz w:val="20"/>
                <w:szCs w:val="20"/>
                <w:color w:val="auto"/>
              </w:rPr>
            </w:pPr>
            <w:r>
              <w:rPr>
                <w:rFonts w:ascii="Arial" w:cs="Arial" w:eastAsia="Arial" w:hAnsi="Arial"/>
                <w:sz w:val="18"/>
                <w:szCs w:val="18"/>
                <w:color w:val="auto"/>
              </w:rPr>
              <w:t>Cumulative effect of adoption of fair value option (credit facility)</w:t>
            </w:r>
            <w:r>
              <w:rPr>
                <w:rFonts w:ascii="Arial" w:cs="Arial" w:eastAsia="Arial" w:hAnsi="Arial"/>
                <w:sz w:val="22"/>
                <w:szCs w:val="22"/>
                <w:color w:val="auto"/>
                <w:vertAlign w:val="superscript"/>
              </w:rPr>
              <w:t>(4)</w:t>
            </w:r>
          </w:p>
        </w:tc>
        <w:tc>
          <w:tcPr>
            <w:tcW w:w="10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1.99</w:t>
            </w: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6220" w:type="dxa"/>
            <w:vAlign w:val="bottom"/>
            <w:gridSpan w:val="2"/>
          </w:tcPr>
          <w:p>
            <w:pPr>
              <w:spacing w:after="0"/>
              <w:rPr>
                <w:sz w:val="20"/>
                <w:szCs w:val="20"/>
                <w:color w:val="auto"/>
              </w:rPr>
            </w:pPr>
            <w:r>
              <w:rPr>
                <w:rFonts w:ascii="Arial" w:cs="Arial" w:eastAsia="Arial" w:hAnsi="Arial"/>
                <w:sz w:val="18"/>
                <w:szCs w:val="18"/>
                <w:color w:val="auto"/>
              </w:rPr>
              <w:t>Net asset value, end of period</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12.00</w:t>
            </w:r>
          </w:p>
        </w:tc>
        <w:tc>
          <w:tcPr>
            <w:tcW w:w="640" w:type="dxa"/>
            <w:vAlign w:val="bottom"/>
          </w:tcPr>
          <w:p>
            <w:pPr>
              <w:spacing w:after="0"/>
              <w:rPr>
                <w:sz w:val="19"/>
                <w:szCs w:val="19"/>
                <w:color w:val="auto"/>
              </w:rPr>
            </w:pP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10.00</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Per share market value, end of period</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w:t>
            </w:r>
          </w:p>
        </w:tc>
        <w:tc>
          <w:tcPr>
            <w:tcW w:w="64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7.41</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tcPr>
          <w:p>
            <w:pPr>
              <w:spacing w:after="0" w:line="216" w:lineRule="exact"/>
              <w:rPr>
                <w:sz w:val="20"/>
                <w:szCs w:val="20"/>
                <w:color w:val="auto"/>
              </w:rPr>
            </w:pPr>
            <w:r>
              <w:rPr>
                <w:rFonts w:ascii="Arial" w:cs="Arial" w:eastAsia="Arial" w:hAnsi="Arial"/>
                <w:sz w:val="18"/>
                <w:szCs w:val="18"/>
                <w:color w:val="auto"/>
              </w:rPr>
              <w:t>Total return</w:t>
            </w:r>
            <w:r>
              <w:rPr>
                <w:rFonts w:ascii="Arial" w:cs="Arial" w:eastAsia="Arial" w:hAnsi="Arial"/>
                <w:sz w:val="22"/>
                <w:szCs w:val="22"/>
                <w:color w:val="auto"/>
                <w:vertAlign w:val="superscript"/>
              </w:rPr>
              <w:t>(2)</w:t>
            </w: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gridSpan w:val="2"/>
          </w:tcPr>
          <w:p>
            <w:pPr>
              <w:jc w:val="right"/>
              <w:ind w:right="360"/>
              <w:spacing w:after="0"/>
              <w:rPr>
                <w:sz w:val="20"/>
                <w:szCs w:val="20"/>
                <w:color w:val="auto"/>
              </w:rPr>
            </w:pPr>
            <w:r>
              <w:rPr>
                <w:rFonts w:ascii="Arial" w:cs="Arial" w:eastAsia="Arial" w:hAnsi="Arial"/>
                <w:sz w:val="18"/>
                <w:szCs w:val="18"/>
                <w:color w:val="auto"/>
              </w:rPr>
              <w:t>(43.40)%*</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(38.58)%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Shares outstanding at end of period</w:t>
            </w: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21,068,772</w:t>
            </w: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21,068,772</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6220" w:type="dxa"/>
            <w:vAlign w:val="bottom"/>
            <w:gridSpan w:val="2"/>
          </w:tcPr>
          <w:p>
            <w:pPr>
              <w:spacing w:after="0"/>
              <w:rPr>
                <w:sz w:val="20"/>
                <w:szCs w:val="20"/>
                <w:color w:val="auto"/>
              </w:rPr>
            </w:pPr>
            <w:r>
              <w:rPr>
                <w:rFonts w:ascii="Arial" w:cs="Arial" w:eastAsia="Arial" w:hAnsi="Arial"/>
                <w:sz w:val="18"/>
                <w:szCs w:val="18"/>
                <w:b w:val="1"/>
                <w:bCs w:val="1"/>
                <w:color w:val="auto"/>
              </w:rPr>
              <w:t>Ratio/Supplemental Data:</w:t>
            </w: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200" w:type="dxa"/>
            <w:vAlign w:val="bottom"/>
            <w:shd w:val="clear" w:color="auto" w:fill="CCEEFF"/>
          </w:tcPr>
          <w:p>
            <w:pPr>
              <w:spacing w:after="0" w:line="218" w:lineRule="exact"/>
              <w:rPr>
                <w:sz w:val="20"/>
                <w:szCs w:val="20"/>
                <w:color w:val="auto"/>
              </w:rPr>
            </w:pPr>
            <w:r>
              <w:rPr>
                <w:rFonts w:ascii="Arial" w:cs="Arial" w:eastAsia="Arial" w:hAnsi="Arial"/>
                <w:sz w:val="18"/>
                <w:szCs w:val="18"/>
                <w:color w:val="auto"/>
              </w:rPr>
              <w:t>Ratio of operating expenses to average net assets</w:t>
            </w:r>
            <w:r>
              <w:rPr>
                <w:rFonts w:ascii="Arial" w:cs="Arial" w:eastAsia="Arial" w:hAnsi="Arial"/>
                <w:sz w:val="22"/>
                <w:szCs w:val="22"/>
                <w:color w:val="auto"/>
                <w:vertAlign w:val="superscript"/>
              </w:rPr>
              <w:t>(3)</w:t>
            </w: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7.82% **</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tcPr>
          <w:p>
            <w:pPr>
              <w:spacing w:after="0"/>
              <w:rPr>
                <w:sz w:val="20"/>
                <w:szCs w:val="20"/>
                <w:color w:val="auto"/>
              </w:rPr>
            </w:pPr>
            <w:r>
              <w:rPr>
                <w:rFonts w:ascii="Arial" w:cs="Arial" w:eastAsia="Arial" w:hAnsi="Arial"/>
                <w:sz w:val="18"/>
                <w:szCs w:val="18"/>
                <w:color w:val="auto"/>
              </w:rPr>
              <w:t>Ratio of credit facility related expenses to average net assets</w:t>
            </w: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gridSpan w:val="2"/>
          </w:tcPr>
          <w:p>
            <w:pPr>
              <w:jc w:val="right"/>
              <w:ind w:right="280"/>
              <w:spacing w:after="0"/>
              <w:rPr>
                <w:sz w:val="20"/>
                <w:szCs w:val="20"/>
                <w:color w:val="auto"/>
              </w:rPr>
            </w:pPr>
            <w:r>
              <w:rPr>
                <w:rFonts w:ascii="Arial" w:cs="Arial" w:eastAsia="Arial" w:hAnsi="Arial"/>
                <w:sz w:val="18"/>
                <w:szCs w:val="18"/>
                <w:color w:val="auto"/>
              </w:rPr>
              <w:t>2.80% **</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2.66%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shd w:val="clear" w:color="auto" w:fill="CCEEFF"/>
          </w:tcPr>
          <w:p>
            <w:pPr>
              <w:spacing w:after="0" w:line="216" w:lineRule="exact"/>
              <w:rPr>
                <w:sz w:val="20"/>
                <w:szCs w:val="20"/>
                <w:color w:val="auto"/>
              </w:rPr>
            </w:pPr>
            <w:r>
              <w:rPr>
                <w:rFonts w:ascii="Arial" w:cs="Arial" w:eastAsia="Arial" w:hAnsi="Arial"/>
                <w:sz w:val="18"/>
                <w:szCs w:val="18"/>
                <w:color w:val="auto"/>
              </w:rPr>
              <w:t>Total expenses to average net assets</w:t>
            </w:r>
            <w:r>
              <w:rPr>
                <w:rFonts w:ascii="Arial" w:cs="Arial" w:eastAsia="Arial" w:hAnsi="Arial"/>
                <w:sz w:val="22"/>
                <w:szCs w:val="22"/>
                <w:color w:val="auto"/>
                <w:vertAlign w:val="superscript"/>
              </w:rPr>
              <w:t>(3)</w:t>
            </w: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10.62% **</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tcPr>
          <w:p>
            <w:pPr>
              <w:spacing w:after="0"/>
              <w:rPr>
                <w:sz w:val="20"/>
                <w:szCs w:val="20"/>
                <w:color w:val="auto"/>
              </w:rPr>
            </w:pPr>
            <w:r>
              <w:rPr>
                <w:rFonts w:ascii="Arial" w:cs="Arial" w:eastAsia="Arial" w:hAnsi="Arial"/>
                <w:sz w:val="18"/>
                <w:szCs w:val="18"/>
                <w:color w:val="auto"/>
              </w:rPr>
              <w:t>Ratio of net investment income to average net assets</w:t>
            </w: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gridSpan w:val="2"/>
          </w:tcPr>
          <w:p>
            <w:pPr>
              <w:jc w:val="right"/>
              <w:ind w:right="280"/>
              <w:spacing w:after="0"/>
              <w:rPr>
                <w:sz w:val="20"/>
                <w:szCs w:val="20"/>
                <w:color w:val="auto"/>
              </w:rPr>
            </w:pPr>
            <w:r>
              <w:rPr>
                <w:rFonts w:ascii="Arial" w:cs="Arial" w:eastAsia="Arial" w:hAnsi="Arial"/>
                <w:sz w:val="18"/>
                <w:szCs w:val="18"/>
                <w:color w:val="auto"/>
              </w:rPr>
              <w:t>10.22% **</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7.82%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Net assets at end of period</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252,853,515</w:t>
            </w:r>
          </w:p>
        </w:tc>
        <w:tc>
          <w:tcPr>
            <w:tcW w:w="64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210,728,260</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tcPr>
          <w:p>
            <w:pPr>
              <w:spacing w:after="0"/>
              <w:rPr>
                <w:sz w:val="20"/>
                <w:szCs w:val="20"/>
                <w:color w:val="auto"/>
              </w:rPr>
            </w:pPr>
            <w:r>
              <w:rPr>
                <w:rFonts w:ascii="Arial" w:cs="Arial" w:eastAsia="Arial" w:hAnsi="Arial"/>
                <w:sz w:val="18"/>
                <w:szCs w:val="18"/>
                <w:color w:val="auto"/>
              </w:rPr>
              <w:t>Average cost of debt outstanding</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w w:val="85"/>
              </w:rPr>
              <w:t>167,012,637</w:t>
            </w:r>
          </w:p>
        </w:tc>
        <w:tc>
          <w:tcPr>
            <w:tcW w:w="640" w:type="dxa"/>
            <w:vAlign w:val="bottom"/>
          </w:tcPr>
          <w:p>
            <w:pPr>
              <w:spacing w:after="0"/>
              <w:rPr>
                <w:sz w:val="18"/>
                <w:szCs w:val="18"/>
                <w:color w:val="auto"/>
              </w:rPr>
            </w:pP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w w:val="85"/>
              </w:rPr>
              <w:t>119,472,732</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Average cost of debt per share</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7.93</w:t>
            </w:r>
          </w:p>
        </w:tc>
        <w:tc>
          <w:tcPr>
            <w:tcW w:w="64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5.67</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200" w:type="dxa"/>
            <w:vAlign w:val="bottom"/>
          </w:tcPr>
          <w:p>
            <w:pPr>
              <w:spacing w:after="0"/>
              <w:rPr>
                <w:sz w:val="20"/>
                <w:szCs w:val="20"/>
                <w:color w:val="auto"/>
              </w:rPr>
            </w:pPr>
            <w:r>
              <w:rPr>
                <w:rFonts w:ascii="Arial" w:cs="Arial" w:eastAsia="Arial" w:hAnsi="Arial"/>
                <w:sz w:val="18"/>
                <w:szCs w:val="18"/>
                <w:color w:val="auto"/>
              </w:rPr>
              <w:t>Portfolio turnover ratio</w:t>
            </w: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20" w:type="dxa"/>
            <w:vAlign w:val="bottom"/>
            <w:gridSpan w:val="2"/>
          </w:tcPr>
          <w:p>
            <w:pPr>
              <w:jc w:val="right"/>
              <w:ind w:right="500"/>
              <w:spacing w:after="0"/>
              <w:rPr>
                <w:sz w:val="20"/>
                <w:szCs w:val="20"/>
                <w:color w:val="auto"/>
              </w:rPr>
            </w:pPr>
            <w:r>
              <w:rPr>
                <w:rFonts w:ascii="Arial" w:cs="Arial" w:eastAsia="Arial" w:hAnsi="Arial"/>
                <w:sz w:val="18"/>
                <w:szCs w:val="18"/>
                <w:color w:val="auto"/>
              </w:rPr>
              <w:t>2.73%</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20.10%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1120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1200" cy="8255"/>
                    </a:xfrm>
                    <a:prstGeom prst="rect">
                      <a:avLst/>
                    </a:prstGeom>
                    <a:noFill/>
                  </pic:spPr>
                </pic:pic>
              </a:graphicData>
            </a:graphic>
          </wp:anchor>
        </w:drawing>
      </w:r>
    </w:p>
    <w:p>
      <w:pPr>
        <w:spacing w:after="0" w:line="114" w:lineRule="exact"/>
        <w:rPr>
          <w:sz w:val="20"/>
          <w:szCs w:val="20"/>
          <w:color w:val="auto"/>
        </w:rPr>
      </w:pPr>
    </w:p>
    <w:p>
      <w:pPr>
        <w:ind w:left="460" w:hanging="452"/>
        <w:spacing w:after="0"/>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Not annualized</w:t>
      </w:r>
    </w:p>
    <w:p>
      <w:pPr>
        <w:spacing w:after="0" w:line="15"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   Annualized</w:t>
      </w:r>
    </w:p>
    <w:p>
      <w:pPr>
        <w:spacing w:after="0" w:line="9" w:lineRule="exact"/>
        <w:rPr>
          <w:sz w:val="20"/>
          <w:szCs w:val="20"/>
          <w:color w:val="auto"/>
        </w:rPr>
      </w:pPr>
    </w:p>
    <w:p>
      <w:pPr>
        <w:ind w:left="460" w:right="520" w:hanging="452"/>
        <w:spacing w:after="0" w:line="250" w:lineRule="auto"/>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Dividends and distributions are determined based on taxable income calculated in accordance with income tax regulations which may differ from amounts determined under accounting principles generally accepted in the United States of America.</w:t>
      </w:r>
    </w:p>
    <w:p>
      <w:pPr>
        <w:ind w:left="460" w:right="220" w:hanging="452"/>
        <w:spacing w:after="0" w:line="250" w:lineRule="auto"/>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Total return is based on the change in market price per share during the period and takes into account dividends and distributions, if any, reinvested in accordance with the Company’s dividend reinvestment plan.</w:t>
      </w:r>
    </w:p>
    <w:p>
      <w:pPr>
        <w:ind w:left="460" w:right="180" w:hanging="452"/>
        <w:spacing w:after="0" w:line="250" w:lineRule="auto"/>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For the fiscal year ended September 30, 2008, the ratio of operating expenses before management fee waiver to average net assets was 6.47%, and the ratio of total expenses before management fee waiver to average net assets was 9.13%.</w:t>
      </w:r>
    </w:p>
    <w:p>
      <w:pPr>
        <w:ind w:left="460" w:hanging="452"/>
        <w:spacing w:after="0" w:line="323" w:lineRule="auto"/>
        <w:tabs>
          <w:tab w:leader="none" w:pos="4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On October 1, 2008, the Company adopted SFAS 159 and made an irrevocable election to apply the fair value option to our credit facility liability. Upon our adoption our Net Asset Value increased by $41.8 million, or $1.99 per share, due to the fair value adjustment related to our credit facility.</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CREDIT FACILITY</w:t>
      </w:r>
    </w:p>
    <w:p>
      <w:pPr>
        <w:spacing w:after="0" w:line="96" w:lineRule="exact"/>
        <w:rPr>
          <w:sz w:val="20"/>
          <w:szCs w:val="20"/>
          <w:color w:val="auto"/>
        </w:rPr>
      </w:pPr>
    </w:p>
    <w:p>
      <w:pPr>
        <w:ind w:right="60" w:firstLine="449"/>
        <w:spacing w:after="0" w:line="256" w:lineRule="auto"/>
        <w:rPr>
          <w:sz w:val="20"/>
          <w:szCs w:val="20"/>
          <w:color w:val="auto"/>
        </w:rPr>
      </w:pPr>
      <w:r>
        <w:rPr>
          <w:rFonts w:ascii="Arial" w:cs="Arial" w:eastAsia="Arial" w:hAnsi="Arial"/>
          <w:sz w:val="18"/>
          <w:szCs w:val="18"/>
          <w:color w:val="auto"/>
        </w:rPr>
        <w:t>On June 25, 2007, PennantPark Investment entered into a Senior Secured Revolving Credit Agreement (the “Credit Agreement”, “Revolving Credit Facility”, or “credit facility”) among PennantPark Investment, various lenders and SunTrust Bank, as administrative agent for the lenders. SunTrust Robinson Humphrey Capital Markets acted as the joint lead arranger and book-runner. As of March 31, 2009, there was $187.7 million in outstanding borrowings under the Credit Agreement, with an average interest rate of 1.52%.</w:t>
      </w:r>
    </w:p>
    <w:p>
      <w:pPr>
        <w:spacing w:after="0" w:line="12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180"/>
          </w:cols>
          <w:pgMar w:left="320" w:top="459" w:right="39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206375</wp:posOffset>
            </wp:positionH>
            <wp:positionV relativeFrom="page">
              <wp:posOffset>88900</wp:posOffset>
            </wp:positionV>
            <wp:extent cx="7153275" cy="2794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32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5" w:lineRule="exact"/>
        <w:rPr>
          <w:sz w:val="20"/>
          <w:szCs w:val="20"/>
          <w:color w:val="auto"/>
        </w:rPr>
      </w:pPr>
    </w:p>
    <w:p>
      <w:pPr>
        <w:ind w:firstLine="449"/>
        <w:spacing w:after="0" w:line="306" w:lineRule="auto"/>
        <w:rPr>
          <w:sz w:val="20"/>
          <w:szCs w:val="20"/>
          <w:color w:val="auto"/>
        </w:rPr>
      </w:pPr>
      <w:r>
        <w:rPr>
          <w:rFonts w:ascii="Arial" w:cs="Arial" w:eastAsia="Arial" w:hAnsi="Arial"/>
          <w:sz w:val="16"/>
          <w:szCs w:val="16"/>
          <w:color w:val="auto"/>
        </w:rPr>
        <w:t>Under the Credit Agreement, the lenders agreed to extend credit to PennantPark Investment in an initial aggregate principal or face amount not exceeding $300,000,000 at any one time outstanding. The Credit Agreement is a five-year revolving facility (with a stated maturity date of June 25, 2012) and is secured by substantially all of the assets in PennantPark Investment’s portfolio. Pricing is set at 100 basis points over London Inter Bank Offer Rate.</w:t>
      </w:r>
    </w:p>
    <w:p>
      <w:pPr>
        <w:spacing w:after="0" w:line="106" w:lineRule="exact"/>
        <w:rPr>
          <w:sz w:val="20"/>
          <w:szCs w:val="20"/>
          <w:color w:val="auto"/>
        </w:rPr>
      </w:pPr>
    </w:p>
    <w:p>
      <w:pPr>
        <w:ind w:right="80" w:firstLine="449"/>
        <w:spacing w:after="0" w:line="298" w:lineRule="auto"/>
        <w:rPr>
          <w:sz w:val="20"/>
          <w:szCs w:val="20"/>
          <w:color w:val="auto"/>
        </w:rPr>
      </w:pPr>
      <w:r>
        <w:rPr>
          <w:rFonts w:ascii="Arial" w:cs="Arial" w:eastAsia="Arial" w:hAnsi="Arial"/>
          <w:sz w:val="16"/>
          <w:szCs w:val="16"/>
          <w:color w:val="auto"/>
        </w:rPr>
        <w:t>The Credit Agreement contains customary affirmative and negative covenants, including the maintenance of a minimum stockholders’ equity, the maintenance of a ratio not less than 200% of our total assets less liabilities other than indebtedness to our total outstanding indebtedness, maintenance of a blended percentage of the values of our portfolio companies, and restrictions on certain payments and issuance of debt. For a complete list of such covenants, see our current report on Form 8-K, filed with the SEC on June 28, 2007.</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COMMITMENTS AND CONTINGENCIES</w:t>
      </w:r>
    </w:p>
    <w:p>
      <w:pPr>
        <w:spacing w:after="0" w:line="96" w:lineRule="exact"/>
        <w:rPr>
          <w:sz w:val="20"/>
          <w:szCs w:val="20"/>
          <w:color w:val="auto"/>
        </w:rPr>
      </w:pPr>
    </w:p>
    <w:p>
      <w:pPr>
        <w:ind w:right="100" w:firstLine="449"/>
        <w:spacing w:after="0" w:line="254" w:lineRule="auto"/>
        <w:rPr>
          <w:sz w:val="20"/>
          <w:szCs w:val="20"/>
          <w:color w:val="auto"/>
        </w:rPr>
      </w:pPr>
      <w:r>
        <w:rPr>
          <w:rFonts w:ascii="Arial" w:cs="Arial" w:eastAsia="Arial" w:hAnsi="Arial"/>
          <w:sz w:val="18"/>
          <w:szCs w:val="18"/>
          <w:color w:val="auto"/>
        </w:rPr>
        <w:t>From time to time, PennantPark Investment, the Investment Adviser or the Administrator may be a party to legal proceedings in the ordinary course of business, including proceedings relating to the enforcement of our rights under contracts with our portfolio companies. While the outcome of these legal proceedings cannot be predicted with certainty, we do not expect that these proceedings will have a material effect upon our financial condition or results of operations or cash flows. Unfunded debt investments described in the statement of assets and liabilities represent unfunded delayed draws on investments in first lien secured debt.</w:t>
      </w:r>
    </w:p>
    <w:p>
      <w:pPr>
        <w:spacing w:after="0" w:line="13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140"/>
          </w:cols>
          <w:pgMar w:left="320" w:top="459" w:right="4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206375</wp:posOffset>
            </wp:positionH>
            <wp:positionV relativeFrom="page">
              <wp:posOffset>88900</wp:posOffset>
            </wp:positionV>
            <wp:extent cx="7153275" cy="2794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32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Stockholders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PennantPark Investment Corporation</w:t>
      </w:r>
    </w:p>
    <w:p>
      <w:pPr>
        <w:spacing w:after="0" w:line="165"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We have reviewed the accompanying statement of assets and liabilities of PennantPark Investment Corporation (the “Company”), including the schedule of investments, as of March 31, 2009, the statements of operations for the three and six month periods ended March 31, 2009 and 2008, and the statements of changes in net assets, and cash flows for the six months ended March 31, 2009 and 2008. These interim financial statements are the responsibility of the Company’s management.</w:t>
      </w:r>
    </w:p>
    <w:p>
      <w:pPr>
        <w:spacing w:after="0" w:line="143" w:lineRule="exact"/>
        <w:rPr>
          <w:sz w:val="20"/>
          <w:szCs w:val="20"/>
          <w:color w:val="auto"/>
        </w:rPr>
      </w:pPr>
    </w:p>
    <w:p>
      <w:pPr>
        <w:ind w:right="80"/>
        <w:spacing w:after="0" w:line="298" w:lineRule="auto"/>
        <w:rPr>
          <w:sz w:val="20"/>
          <w:szCs w:val="20"/>
          <w:color w:val="auto"/>
        </w:rPr>
      </w:pPr>
      <w:r>
        <w:rPr>
          <w:rFonts w:ascii="Arial" w:cs="Arial" w:eastAsia="Arial" w:hAnsi="Arial"/>
          <w:sz w:val="16"/>
          <w:szCs w:val="16"/>
          <w:color w:val="auto"/>
        </w:rPr>
        <w:t>We conducted our review in accordance with standards of the Public Company Accounting Oversight Board (United States). A review of interim financial information consists principally of applying analytical procedures and making inquires of persons responsible for financial and accounting matters. It is substantially less in scope than an audit conducted in accordance with standards of the Public Company Accounting Oversight Board (United States), the objective of which is the expression of an opinion regarding the financial statements taken as a whole. Accordingly, we do not express such an opinion.</w:t>
      </w:r>
    </w:p>
    <w:p>
      <w:pPr>
        <w:spacing w:after="0" w:line="112"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color w:val="auto"/>
        </w:rPr>
        <w:t>Based on our review, we are not aware of any material modifications that should be made to the financial statements referred to above for them to be in conformity with U.S. generally accepted accounting principles.</w:t>
      </w:r>
    </w:p>
    <w:p>
      <w:pPr>
        <w:spacing w:after="0" w:line="132" w:lineRule="exact"/>
        <w:rPr>
          <w:sz w:val="20"/>
          <w:szCs w:val="20"/>
          <w:color w:val="auto"/>
        </w:rPr>
      </w:pPr>
    </w:p>
    <w:p>
      <w:pPr>
        <w:jc w:val="both"/>
        <w:ind w:right="60"/>
        <w:spacing w:after="0" w:line="259" w:lineRule="auto"/>
        <w:rPr>
          <w:sz w:val="20"/>
          <w:szCs w:val="20"/>
          <w:color w:val="auto"/>
        </w:rPr>
      </w:pPr>
      <w:r>
        <w:rPr>
          <w:rFonts w:ascii="Arial" w:cs="Arial" w:eastAsia="Arial" w:hAnsi="Arial"/>
          <w:sz w:val="18"/>
          <w:szCs w:val="18"/>
          <w:color w:val="auto"/>
        </w:rPr>
        <w:t>We have previously audited, in accordance with standards of the Public Company Accounting Oversight Board (United States), the statement of assets and liabilities of PennantPark Investment Corporation, including the schedule of investments, as of September 30, 2008; and in our report dated November 20, 2008, we expressed an unqualified opinion on that financial statement and schedule.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93980</wp:posOffset>
            </wp:positionV>
            <wp:extent cx="814070" cy="16256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814070" cy="162560"/>
                    </a:xfrm>
                    <a:prstGeom prst="rect">
                      <a:avLst/>
                    </a:prstGeom>
                    <a:noFill/>
                  </pic:spPr>
                </pic:pic>
              </a:graphicData>
            </a:graphic>
          </wp:anchor>
        </w:drawing>
      </w: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May 6, 2009</w:t>
      </w:r>
    </w:p>
    <w:p>
      <w:pPr>
        <w:spacing w:after="0" w:line="151"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0940"/>
          </w:cols>
          <w:pgMar w:left="320" w:top="459" w:right="6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206375</wp:posOffset>
            </wp:positionH>
            <wp:positionV relativeFrom="page">
              <wp:posOffset>88900</wp:posOffset>
            </wp:positionV>
            <wp:extent cx="7153275" cy="2794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32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960"/>
        <w:spacing w:after="0" w:line="347" w:lineRule="auto"/>
        <w:rPr>
          <w:sz w:val="20"/>
          <w:szCs w:val="20"/>
          <w:color w:val="auto"/>
        </w:rPr>
      </w:pPr>
      <w:r>
        <w:rPr>
          <w:rFonts w:ascii="Arial" w:cs="Arial" w:eastAsia="Arial" w:hAnsi="Arial"/>
          <w:sz w:val="18"/>
          <w:szCs w:val="18"/>
          <w:b w:val="1"/>
          <w:bCs w:val="1"/>
          <w:color w:val="auto"/>
        </w:rPr>
        <w:t>Item 2. MANAGEMENT’S DISCUSSION AND ANALYSIS OF FINANCIAL CONDITION AND RESULTS OF OPERATIONS FORWARD-LOOKING STATEMENTS</w:t>
      </w:r>
    </w:p>
    <w:p>
      <w:pPr>
        <w:spacing w:after="0" w:line="1" w:lineRule="exact"/>
        <w:rPr>
          <w:sz w:val="20"/>
          <w:szCs w:val="20"/>
          <w:color w:val="auto"/>
        </w:rPr>
      </w:pPr>
    </w:p>
    <w:p>
      <w:pPr>
        <w:ind w:firstLine="449"/>
        <w:spacing w:after="0" w:line="298" w:lineRule="auto"/>
        <w:rPr>
          <w:sz w:val="20"/>
          <w:szCs w:val="20"/>
          <w:color w:val="auto"/>
        </w:rPr>
      </w:pPr>
      <w:r>
        <w:rPr>
          <w:rFonts w:ascii="Arial" w:cs="Arial" w:eastAsia="Arial" w:hAnsi="Arial"/>
          <w:sz w:val="16"/>
          <w:szCs w:val="16"/>
          <w:color w:val="auto"/>
        </w:rPr>
        <w:t>This Report, including the Management’s Discussion and Analysis of Financial Condition and Results of Operations, contains statements that constitute forward-looking statements, which relate to future events or our future performance or financial condition. These forward-looking statements are not historical facts, but rather are based on current expectations, estimates and projections about our industry, our beliefs and our assumptions. The forward-looking statements contained in this Report involve risks and uncertainties, including statements as to:</w:t>
      </w:r>
    </w:p>
    <w:p>
      <w:pPr>
        <w:spacing w:after="0" w:line="31" w:lineRule="exact"/>
        <w:rPr>
          <w:sz w:val="20"/>
          <w:szCs w:val="20"/>
          <w:color w:val="auto"/>
        </w:rPr>
      </w:pPr>
    </w:p>
    <w:p>
      <w:pPr>
        <w:ind w:left="880" w:hanging="319"/>
        <w:spacing w:after="0"/>
        <w:tabs>
          <w:tab w:leader="none" w:pos="8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future operating results;</w:t>
      </w:r>
    </w:p>
    <w:p>
      <w:pPr>
        <w:spacing w:after="0" w:line="90" w:lineRule="exact"/>
        <w:rPr>
          <w:rFonts w:ascii="Arial" w:cs="Arial" w:eastAsia="Arial" w:hAnsi="Arial"/>
          <w:sz w:val="18"/>
          <w:szCs w:val="18"/>
          <w:color w:val="auto"/>
        </w:rPr>
      </w:pPr>
    </w:p>
    <w:p>
      <w:pPr>
        <w:ind w:left="880" w:hanging="319"/>
        <w:spacing w:after="0"/>
        <w:tabs>
          <w:tab w:leader="none" w:pos="8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business prospects and the prospects of our prospective portfolio companies;</w:t>
      </w:r>
    </w:p>
    <w:p>
      <w:pPr>
        <w:spacing w:after="0" w:line="90" w:lineRule="exact"/>
        <w:rPr>
          <w:rFonts w:ascii="Arial" w:cs="Arial" w:eastAsia="Arial" w:hAnsi="Arial"/>
          <w:sz w:val="18"/>
          <w:szCs w:val="18"/>
          <w:color w:val="auto"/>
        </w:rPr>
      </w:pPr>
    </w:p>
    <w:p>
      <w:pPr>
        <w:ind w:left="880" w:hanging="319"/>
        <w:spacing w:after="0"/>
        <w:tabs>
          <w:tab w:leader="none" w:pos="8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dependence of our future success on the general economy and its impact on the industries in which we invest;</w:t>
      </w:r>
    </w:p>
    <w:p>
      <w:pPr>
        <w:spacing w:after="0" w:line="90" w:lineRule="exact"/>
        <w:rPr>
          <w:rFonts w:ascii="Arial" w:cs="Arial" w:eastAsia="Arial" w:hAnsi="Arial"/>
          <w:sz w:val="18"/>
          <w:szCs w:val="18"/>
          <w:color w:val="auto"/>
        </w:rPr>
      </w:pPr>
    </w:p>
    <w:p>
      <w:pPr>
        <w:ind w:left="880" w:hanging="319"/>
        <w:spacing w:after="0"/>
        <w:tabs>
          <w:tab w:leader="none" w:pos="8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impact of a protracted decline in the liquidity of credit markets on our business;</w:t>
      </w:r>
    </w:p>
    <w:p>
      <w:pPr>
        <w:spacing w:after="0" w:line="90" w:lineRule="exact"/>
        <w:rPr>
          <w:rFonts w:ascii="Arial" w:cs="Arial" w:eastAsia="Arial" w:hAnsi="Arial"/>
          <w:sz w:val="18"/>
          <w:szCs w:val="18"/>
          <w:color w:val="auto"/>
        </w:rPr>
      </w:pPr>
    </w:p>
    <w:p>
      <w:pPr>
        <w:ind w:left="880" w:hanging="319"/>
        <w:spacing w:after="0"/>
        <w:tabs>
          <w:tab w:leader="none" w:pos="8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impact of investments that we expect to make;</w:t>
      </w:r>
    </w:p>
    <w:p>
      <w:pPr>
        <w:spacing w:after="0" w:line="90" w:lineRule="exact"/>
        <w:rPr>
          <w:rFonts w:ascii="Arial" w:cs="Arial" w:eastAsia="Arial" w:hAnsi="Arial"/>
          <w:sz w:val="18"/>
          <w:szCs w:val="18"/>
          <w:color w:val="auto"/>
        </w:rPr>
      </w:pPr>
    </w:p>
    <w:p>
      <w:pPr>
        <w:ind w:left="880" w:hanging="319"/>
        <w:spacing w:after="0"/>
        <w:tabs>
          <w:tab w:leader="none" w:pos="8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impact of fluctuations in interest rates on our business;</w:t>
      </w:r>
    </w:p>
    <w:p>
      <w:pPr>
        <w:spacing w:after="0" w:line="90" w:lineRule="exact"/>
        <w:rPr>
          <w:rFonts w:ascii="Arial" w:cs="Arial" w:eastAsia="Arial" w:hAnsi="Arial"/>
          <w:sz w:val="18"/>
          <w:szCs w:val="18"/>
          <w:color w:val="auto"/>
        </w:rPr>
      </w:pPr>
    </w:p>
    <w:p>
      <w:pPr>
        <w:ind w:left="880" w:hanging="319"/>
        <w:spacing w:after="0"/>
        <w:tabs>
          <w:tab w:leader="none" w:pos="8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contractual arrangements and relationships with third parties;</w:t>
      </w:r>
    </w:p>
    <w:p>
      <w:pPr>
        <w:spacing w:after="0" w:line="90" w:lineRule="exact"/>
        <w:rPr>
          <w:rFonts w:ascii="Arial" w:cs="Arial" w:eastAsia="Arial" w:hAnsi="Arial"/>
          <w:sz w:val="18"/>
          <w:szCs w:val="18"/>
          <w:color w:val="auto"/>
        </w:rPr>
      </w:pPr>
    </w:p>
    <w:p>
      <w:pPr>
        <w:ind w:left="880" w:hanging="319"/>
        <w:spacing w:after="0"/>
        <w:tabs>
          <w:tab w:leader="none" w:pos="8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valuation of our investments in portfolio companies, particularly those having no liquid trading market;</w:t>
      </w:r>
    </w:p>
    <w:p>
      <w:pPr>
        <w:spacing w:after="0" w:line="90" w:lineRule="exact"/>
        <w:rPr>
          <w:rFonts w:ascii="Arial" w:cs="Arial" w:eastAsia="Arial" w:hAnsi="Arial"/>
          <w:sz w:val="18"/>
          <w:szCs w:val="18"/>
          <w:color w:val="auto"/>
        </w:rPr>
      </w:pPr>
    </w:p>
    <w:p>
      <w:pPr>
        <w:ind w:left="880" w:hanging="319"/>
        <w:spacing w:after="0"/>
        <w:tabs>
          <w:tab w:leader="none" w:pos="8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ability of our prospective portfolio companies to achieve their objectives;</w:t>
      </w:r>
    </w:p>
    <w:p>
      <w:pPr>
        <w:spacing w:after="0" w:line="90" w:lineRule="exact"/>
        <w:rPr>
          <w:rFonts w:ascii="Arial" w:cs="Arial" w:eastAsia="Arial" w:hAnsi="Arial"/>
          <w:sz w:val="18"/>
          <w:szCs w:val="18"/>
          <w:color w:val="auto"/>
        </w:rPr>
      </w:pPr>
    </w:p>
    <w:p>
      <w:pPr>
        <w:ind w:left="880" w:hanging="319"/>
        <w:spacing w:after="0"/>
        <w:tabs>
          <w:tab w:leader="none" w:pos="8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expected financings and investments;</w:t>
      </w:r>
    </w:p>
    <w:p>
      <w:pPr>
        <w:spacing w:after="0" w:line="90" w:lineRule="exact"/>
        <w:rPr>
          <w:rFonts w:ascii="Arial" w:cs="Arial" w:eastAsia="Arial" w:hAnsi="Arial"/>
          <w:sz w:val="18"/>
          <w:szCs w:val="18"/>
          <w:color w:val="auto"/>
        </w:rPr>
      </w:pPr>
    </w:p>
    <w:p>
      <w:pPr>
        <w:ind w:left="880" w:hanging="319"/>
        <w:spacing w:after="0"/>
        <w:tabs>
          <w:tab w:leader="none" w:pos="8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adequacy of our cash resources and working capital;</w:t>
      </w:r>
    </w:p>
    <w:p>
      <w:pPr>
        <w:spacing w:after="0" w:line="90" w:lineRule="exact"/>
        <w:rPr>
          <w:rFonts w:ascii="Arial" w:cs="Arial" w:eastAsia="Arial" w:hAnsi="Arial"/>
          <w:sz w:val="18"/>
          <w:szCs w:val="18"/>
          <w:color w:val="auto"/>
        </w:rPr>
      </w:pPr>
    </w:p>
    <w:p>
      <w:pPr>
        <w:ind w:left="880" w:hanging="319"/>
        <w:spacing w:after="0"/>
        <w:tabs>
          <w:tab w:leader="none" w:pos="8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timing of cash flows, if any, from the operations of our prospective portfolio companies; and</w:t>
      </w:r>
    </w:p>
    <w:p>
      <w:pPr>
        <w:spacing w:after="0" w:line="90" w:lineRule="exact"/>
        <w:rPr>
          <w:rFonts w:ascii="Arial" w:cs="Arial" w:eastAsia="Arial" w:hAnsi="Arial"/>
          <w:sz w:val="18"/>
          <w:szCs w:val="18"/>
          <w:color w:val="auto"/>
        </w:rPr>
      </w:pPr>
    </w:p>
    <w:p>
      <w:pPr>
        <w:ind w:left="880" w:hanging="319"/>
        <w:spacing w:after="0"/>
        <w:tabs>
          <w:tab w:leader="none" w:pos="8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ability of the Investment Adviser to locate suitable investments for us and to monitor and administer our investments.</w:t>
      </w:r>
    </w:p>
    <w:p>
      <w:pPr>
        <w:spacing w:after="0" w:line="171" w:lineRule="exact"/>
        <w:rPr>
          <w:sz w:val="20"/>
          <w:szCs w:val="20"/>
          <w:color w:val="auto"/>
        </w:rPr>
      </w:pPr>
    </w:p>
    <w:p>
      <w:pPr>
        <w:ind w:right="260" w:firstLine="449"/>
        <w:spacing w:after="0" w:line="259" w:lineRule="auto"/>
        <w:rPr>
          <w:sz w:val="20"/>
          <w:szCs w:val="20"/>
          <w:color w:val="auto"/>
        </w:rPr>
      </w:pPr>
      <w:r>
        <w:rPr>
          <w:rFonts w:ascii="Arial" w:cs="Arial" w:eastAsia="Arial" w:hAnsi="Arial"/>
          <w:sz w:val="18"/>
          <w:szCs w:val="18"/>
          <w:color w:val="auto"/>
        </w:rPr>
        <w:t>We use words such as “anticipates,” “believes,” “expects,” “intends,” “seeks” and similar expressions to identify forward-looking statements. Undue influence should not be placed on the forward looking statements as our actual results could differ materially from those projected in the forward-looking statements for any reason, including the factors in “Risk Factors” and elsewhere in this report.</w:t>
      </w:r>
    </w:p>
    <w:p>
      <w:pPr>
        <w:spacing w:after="0" w:line="140" w:lineRule="exact"/>
        <w:rPr>
          <w:sz w:val="20"/>
          <w:szCs w:val="20"/>
          <w:color w:val="auto"/>
        </w:rPr>
      </w:pPr>
    </w:p>
    <w:p>
      <w:pPr>
        <w:ind w:firstLine="449"/>
        <w:spacing w:after="0" w:line="254" w:lineRule="auto"/>
        <w:rPr>
          <w:sz w:val="20"/>
          <w:szCs w:val="20"/>
          <w:color w:val="auto"/>
        </w:rPr>
      </w:pPr>
      <w:r>
        <w:rPr>
          <w:rFonts w:ascii="Arial" w:cs="Arial" w:eastAsia="Arial" w:hAnsi="Arial"/>
          <w:sz w:val="18"/>
          <w:szCs w:val="18"/>
          <w:color w:val="auto"/>
        </w:rPr>
        <w:t>We have based the forward-looking statements included in this report on information available to us on the date of this report, and we assume no obligation to update any such forward-looking statements. Although we undertake no obligation to revise or update any forward-looking statements in this report, whether as a result of new information, future events or otherwise, you are advised to consult any additional disclosures that we may make directly to you or through reports that we in the future may file with the SEC, including annual reports on Form 10-K, quarterly reports on Form 10-Q and current reports on Form 8-K.</w:t>
      </w:r>
    </w:p>
    <w:p>
      <w:pPr>
        <w:spacing w:after="0" w:line="147" w:lineRule="exact"/>
        <w:rPr>
          <w:sz w:val="20"/>
          <w:szCs w:val="20"/>
          <w:color w:val="auto"/>
        </w:rPr>
      </w:pPr>
    </w:p>
    <w:p>
      <w:pPr>
        <w:ind w:right="220" w:firstLine="449"/>
        <w:spacing w:after="0" w:line="268" w:lineRule="auto"/>
        <w:rPr>
          <w:sz w:val="20"/>
          <w:szCs w:val="20"/>
          <w:color w:val="auto"/>
        </w:rPr>
      </w:pPr>
      <w:r>
        <w:rPr>
          <w:rFonts w:ascii="Arial" w:cs="Arial" w:eastAsia="Arial" w:hAnsi="Arial"/>
          <w:sz w:val="18"/>
          <w:szCs w:val="18"/>
          <w:color w:val="auto"/>
        </w:rPr>
        <w:t>The following analysis of our financial condition and results of operations should be read in conjunction with our financial statements and the related notes thereto contained elsewhere in this report.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96" w:lineRule="exact"/>
        <w:rPr>
          <w:sz w:val="20"/>
          <w:szCs w:val="20"/>
          <w:color w:val="auto"/>
        </w:rPr>
      </w:pPr>
    </w:p>
    <w:p>
      <w:pPr>
        <w:ind w:right="20" w:firstLine="449"/>
        <w:spacing w:after="0" w:line="294" w:lineRule="auto"/>
        <w:rPr>
          <w:sz w:val="20"/>
          <w:szCs w:val="20"/>
          <w:color w:val="auto"/>
        </w:rPr>
      </w:pPr>
      <w:r>
        <w:rPr>
          <w:rFonts w:ascii="Arial" w:cs="Arial" w:eastAsia="Arial" w:hAnsi="Arial"/>
          <w:sz w:val="16"/>
          <w:szCs w:val="16"/>
          <w:color w:val="auto"/>
        </w:rPr>
        <w:t>PennantPark Investment was organized under the Maryland General Corporation Law in January 2007. We are an externally managed, closed-end, non-diversified investment company that has elected to be treated as a business development company under the Investment Company Act of 1940, as amended (the “1940 Act”). As such, we are required to comply with certain regulatory requirements. For instance, we generally have to invest at least 70% of our total assets in “qualifying assets,” including securities of U.S. private or thinly traded public companies with a market capitalization of less than $250 million, cash, cash equivalents, U.S. government securities and high-quality debt investments that mature in one year or less.</w:t>
      </w:r>
    </w:p>
    <w:p>
      <w:pPr>
        <w:spacing w:after="0" w:line="10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160"/>
          </w:cols>
          <w:pgMar w:left="320" w:top="459" w:right="41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206375</wp:posOffset>
            </wp:positionH>
            <wp:positionV relativeFrom="page">
              <wp:posOffset>88900</wp:posOffset>
            </wp:positionV>
            <wp:extent cx="7153275" cy="2794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32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5" w:lineRule="exact"/>
        <w:rPr>
          <w:sz w:val="20"/>
          <w:szCs w:val="20"/>
          <w:color w:val="auto"/>
        </w:rPr>
      </w:pPr>
    </w:p>
    <w:p>
      <w:pPr>
        <w:ind w:right="40" w:firstLine="449"/>
        <w:spacing w:after="0" w:line="290" w:lineRule="auto"/>
        <w:rPr>
          <w:sz w:val="20"/>
          <w:szCs w:val="20"/>
          <w:color w:val="auto"/>
        </w:rPr>
      </w:pPr>
      <w:r>
        <w:rPr>
          <w:rFonts w:ascii="Arial" w:cs="Arial" w:eastAsia="Arial" w:hAnsi="Arial"/>
          <w:sz w:val="16"/>
          <w:szCs w:val="16"/>
          <w:color w:val="auto"/>
        </w:rPr>
        <w:t>Our investment activities are managed by PennantPark Investment Advisers and supervised by our board of directors, a majority of whom are independent of us and the Investment Advisers. Under our Investment Management Agreement with the Investment Adviser, we have agreed to pay our Investment Adviser an annual base management fee based on our average adjusted gross total assets as well as an incentive fee based on our investment performance. We have also entered into an Administration Agreement with PennantPark Investment Administration. Under our Administration Agreement, we have agreed to reimburse the Administrator for our allocable portion of overhead and other expenses incurred by the Administrator in performing its obligations under our Administration Agreement, including rent and our allocable portion of the costs of compensation and related expenses of our chief compliance officer, chief financial officer and their respective staffs.</w:t>
      </w:r>
    </w:p>
    <w:p>
      <w:pPr>
        <w:spacing w:after="0" w:line="118" w:lineRule="exact"/>
        <w:rPr>
          <w:sz w:val="20"/>
          <w:szCs w:val="20"/>
          <w:color w:val="auto"/>
        </w:rPr>
      </w:pPr>
    </w:p>
    <w:p>
      <w:pPr>
        <w:ind w:firstLine="449"/>
        <w:spacing w:after="0" w:line="298" w:lineRule="auto"/>
        <w:rPr>
          <w:sz w:val="20"/>
          <w:szCs w:val="20"/>
          <w:color w:val="auto"/>
        </w:rPr>
      </w:pPr>
      <w:r>
        <w:rPr>
          <w:rFonts w:ascii="Arial" w:cs="Arial" w:eastAsia="Arial" w:hAnsi="Arial"/>
          <w:sz w:val="16"/>
          <w:szCs w:val="16"/>
          <w:color w:val="auto"/>
        </w:rPr>
        <w:t>Our investment objectives are to generate both current income and capital appreciation through debt and equity investments primarily in U.S. middle-market private companies in the form of mezzanine debt, senior secured loans and equity investments. We consider our core assets, by value and investment focus, to consist of subordinated debt, second lien secured debt and, to a lesser extent, equity investments. For the foreseeable future, we also intend to focus on senior secured investments, which we believe, offer attractive risk adjusted returns at the present time.</w:t>
      </w:r>
    </w:p>
    <w:p>
      <w:pPr>
        <w:spacing w:after="0" w:line="112" w:lineRule="exact"/>
        <w:rPr>
          <w:sz w:val="20"/>
          <w:szCs w:val="20"/>
          <w:color w:val="auto"/>
        </w:rPr>
      </w:pPr>
    </w:p>
    <w:p>
      <w:pPr>
        <w:ind w:right="260" w:firstLine="449"/>
        <w:spacing w:after="0" w:line="306" w:lineRule="auto"/>
        <w:rPr>
          <w:sz w:val="20"/>
          <w:szCs w:val="20"/>
          <w:color w:val="auto"/>
        </w:rPr>
      </w:pPr>
      <w:r>
        <w:rPr>
          <w:rFonts w:ascii="Arial" w:cs="Arial" w:eastAsia="Arial" w:hAnsi="Arial"/>
          <w:sz w:val="16"/>
          <w:szCs w:val="16"/>
          <w:color w:val="auto"/>
        </w:rPr>
        <w:t>The companies in which we invest are typically highly leveraged, often as a result of leveraged buy-outs or other recapitalization transactions, and, in most cases, are not rated by national rating agencies. If such companies were rated, we believe that they would typically receive a rating below investment grade (between BB and CCC under the Standard &amp; Poor’s system) from the national rating agencies.</w:t>
      </w:r>
    </w:p>
    <w:p>
      <w:pPr>
        <w:spacing w:after="0" w:line="106" w:lineRule="exact"/>
        <w:rPr>
          <w:sz w:val="20"/>
          <w:szCs w:val="20"/>
          <w:color w:val="auto"/>
        </w:rPr>
      </w:pPr>
    </w:p>
    <w:p>
      <w:pPr>
        <w:ind w:right="80" w:firstLine="449"/>
        <w:spacing w:after="0" w:line="268" w:lineRule="auto"/>
        <w:rPr>
          <w:sz w:val="20"/>
          <w:szCs w:val="20"/>
          <w:color w:val="auto"/>
        </w:rPr>
      </w:pPr>
      <w:r>
        <w:rPr>
          <w:rFonts w:ascii="Arial" w:cs="Arial" w:eastAsia="Arial" w:hAnsi="Arial"/>
          <w:sz w:val="18"/>
          <w:szCs w:val="18"/>
          <w:color w:val="auto"/>
        </w:rPr>
        <w:t>We expect that our investments in mezzanine debt, senior secured loans and other investments will range between $10 million and $50 million each. We expect this investment size to vary proportionately with the size of our capital base.</w:t>
      </w:r>
    </w:p>
    <w:p>
      <w:pPr>
        <w:spacing w:after="0" w:line="132" w:lineRule="exact"/>
        <w:rPr>
          <w:sz w:val="20"/>
          <w:szCs w:val="20"/>
          <w:color w:val="auto"/>
        </w:rPr>
      </w:pPr>
    </w:p>
    <w:p>
      <w:pPr>
        <w:ind w:right="120" w:firstLine="449"/>
        <w:spacing w:after="0" w:line="253" w:lineRule="auto"/>
        <w:rPr>
          <w:sz w:val="20"/>
          <w:szCs w:val="20"/>
          <w:color w:val="auto"/>
        </w:rPr>
      </w:pPr>
      <w:r>
        <w:rPr>
          <w:rFonts w:ascii="Arial" w:cs="Arial" w:eastAsia="Arial" w:hAnsi="Arial"/>
          <w:sz w:val="18"/>
          <w:szCs w:val="18"/>
          <w:color w:val="auto"/>
        </w:rPr>
        <w:t>We are currently operating in a severely constrained credit market. Our investment activity depends on many factors, including the amount of debt and equity capital available to middle-market companies, the level of merger and acquisition activity for such companies, the general economic environment and the competitive environment for the types of investments we make. The turmoil in the credit markets is adversely affecting each of these factors and has resulted in broad-based reduction in the demand for, and valuation of, high-risk debt instruments. These conditions may present us with attractive investment opportunities, as we believe that there are many middle-market companies that need senior secured and mezzanine debt financing. However, these market conditions are also adversely affecting our portfolio valuations and increase the risk of default among our portfolio companies, which could negatively impact our performance.</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Revenues</w:t>
      </w:r>
    </w:p>
    <w:p>
      <w:pPr>
        <w:spacing w:after="0" w:line="96" w:lineRule="exact"/>
        <w:rPr>
          <w:sz w:val="20"/>
          <w:szCs w:val="20"/>
          <w:color w:val="auto"/>
        </w:rPr>
      </w:pPr>
    </w:p>
    <w:p>
      <w:pPr>
        <w:ind w:firstLine="449"/>
        <w:spacing w:after="0" w:line="288" w:lineRule="auto"/>
        <w:rPr>
          <w:sz w:val="20"/>
          <w:szCs w:val="20"/>
          <w:color w:val="auto"/>
        </w:rPr>
      </w:pPr>
      <w:r>
        <w:rPr>
          <w:rFonts w:ascii="Arial" w:cs="Arial" w:eastAsia="Arial" w:hAnsi="Arial"/>
          <w:sz w:val="16"/>
          <w:szCs w:val="16"/>
          <w:color w:val="auto"/>
        </w:rPr>
        <w:t>We generate revenue in the form of interest income on the debt securities we hold and capital gains and distributions, if any, on investment securities that we may acquire in portfolio companies. Our debt investments, whether in the form of mezzanine debt or senior secured loans, typically have a term of three to ten years and bear interest at a fixed or floating rate. Interest on debt securities is generally payable quarterly or semiannually. In some cases, some of our investments provide for deferred interest payments or PIK. The principal amount of the debt securities and any accrued but unpaid interest generally becomes due at the maturity date. In addition, we may generate revenue in the form of commitment, origination, structuring or diligence fees, fees for providing managerial assistance and possibly consulting fees. Loan origination fees, original issue discount and market discount or premium are capitalized, and we accrete or amortize such amounts as interest income. We record prepayment premiums on loans and debt securities as interest income. Dividend income, if any, is recognized on an accrual basis to the extent that we expect to collect such amounts.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Expenses</w:t>
      </w:r>
    </w:p>
    <w:p>
      <w:pPr>
        <w:spacing w:after="0" w:line="96" w:lineRule="exact"/>
        <w:rPr>
          <w:sz w:val="20"/>
          <w:szCs w:val="20"/>
          <w:color w:val="auto"/>
        </w:rPr>
      </w:pPr>
    </w:p>
    <w:p>
      <w:pPr>
        <w:ind w:right="160" w:firstLine="449"/>
        <w:spacing w:after="0" w:line="298" w:lineRule="auto"/>
        <w:rPr>
          <w:sz w:val="20"/>
          <w:szCs w:val="20"/>
          <w:color w:val="auto"/>
        </w:rPr>
      </w:pPr>
      <w:r>
        <w:rPr>
          <w:rFonts w:ascii="Arial" w:cs="Arial" w:eastAsia="Arial" w:hAnsi="Arial"/>
          <w:sz w:val="16"/>
          <w:szCs w:val="16"/>
          <w:color w:val="auto"/>
        </w:rPr>
        <w:t>Our primary operating expenses include the payment of management fees to our Investment Adviser, our allocable portion of overhead under our Administration Agreement and other operating costs as detailed below. Our management fee compensates our Investment Adviser for its work in identifying, evaluating, negotiating, consummating and monitoring our investments. Additionally, we pay interest expense on the outstanding debt we accrue under our credit facility. We bear all other costs and expenses of our operations and transactions, including:</w:t>
      </w:r>
    </w:p>
    <w:p>
      <w:pPr>
        <w:spacing w:after="0" w:line="31" w:lineRule="exact"/>
        <w:rPr>
          <w:sz w:val="20"/>
          <w:szCs w:val="20"/>
          <w:color w:val="auto"/>
        </w:rPr>
      </w:pPr>
    </w:p>
    <w:p>
      <w:pPr>
        <w:ind w:left="5540" w:right="3480" w:hanging="4979"/>
        <w:spacing w:after="0" w:line="440" w:lineRule="auto"/>
        <w:tabs>
          <w:tab w:leader="none" w:pos="889"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cost of calculating our net asset value, including the cost of any third-party valuation services; 25</w:t>
      </w:r>
    </w:p>
    <w:p>
      <w:pPr>
        <w:sectPr>
          <w:pgSz w:w="11900" w:h="16838" w:orient="portrait"/>
          <w:cols w:equalWidth="0" w:num="1">
            <w:col w:w="11220"/>
          </w:cols>
          <w:pgMar w:left="320" w:top="459" w:right="35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206375</wp:posOffset>
            </wp:positionH>
            <wp:positionV relativeFrom="page">
              <wp:posOffset>88900</wp:posOffset>
            </wp:positionV>
            <wp:extent cx="7153275" cy="2794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32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5" w:lineRule="exact"/>
        <w:rPr>
          <w:sz w:val="20"/>
          <w:szCs w:val="20"/>
          <w:color w:val="auto"/>
        </w:rPr>
      </w:pPr>
    </w:p>
    <w:p>
      <w:pPr>
        <w:ind w:left="880" w:hanging="319"/>
        <w:spacing w:after="0"/>
        <w:tabs>
          <w:tab w:leader="none" w:pos="8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cost of effecting sales and repurchases of shares of our common stock and other securities;</w:t>
      </w:r>
    </w:p>
    <w:p>
      <w:pPr>
        <w:spacing w:after="0" w:line="90" w:lineRule="exact"/>
        <w:rPr>
          <w:rFonts w:ascii="Arial" w:cs="Arial" w:eastAsia="Arial" w:hAnsi="Arial"/>
          <w:sz w:val="18"/>
          <w:szCs w:val="18"/>
          <w:color w:val="auto"/>
        </w:rPr>
      </w:pPr>
    </w:p>
    <w:p>
      <w:pPr>
        <w:ind w:left="880" w:right="460" w:hanging="319"/>
        <w:spacing w:after="0" w:line="268" w:lineRule="auto"/>
        <w:tabs>
          <w:tab w:leader="none" w:pos="8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fees payable to third parties relating to, or associated with, making investments, including fees and expenses associated with performing due diligence and reviews of prospective investments;</w:t>
      </w:r>
    </w:p>
    <w:p>
      <w:pPr>
        <w:spacing w:after="0" w:line="50" w:lineRule="exact"/>
        <w:rPr>
          <w:rFonts w:ascii="Arial" w:cs="Arial" w:eastAsia="Arial" w:hAnsi="Arial"/>
          <w:sz w:val="18"/>
          <w:szCs w:val="18"/>
          <w:color w:val="auto"/>
        </w:rPr>
      </w:pPr>
    </w:p>
    <w:p>
      <w:pPr>
        <w:ind w:left="880" w:hanging="319"/>
        <w:spacing w:after="0"/>
        <w:tabs>
          <w:tab w:leader="none" w:pos="8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expenses incurred by the Investment Adviser in performing due diligence and reviews of investments;</w:t>
      </w:r>
    </w:p>
    <w:p>
      <w:pPr>
        <w:spacing w:after="0" w:line="90" w:lineRule="exact"/>
        <w:rPr>
          <w:rFonts w:ascii="Arial" w:cs="Arial" w:eastAsia="Arial" w:hAnsi="Arial"/>
          <w:sz w:val="18"/>
          <w:szCs w:val="18"/>
          <w:color w:val="auto"/>
        </w:rPr>
      </w:pPr>
    </w:p>
    <w:p>
      <w:pPr>
        <w:ind w:left="880" w:hanging="319"/>
        <w:spacing w:after="0"/>
        <w:tabs>
          <w:tab w:leader="none" w:pos="8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transfer agent and custodial fees;</w:t>
      </w:r>
    </w:p>
    <w:p>
      <w:pPr>
        <w:spacing w:after="0" w:line="90" w:lineRule="exact"/>
        <w:rPr>
          <w:rFonts w:ascii="Arial" w:cs="Arial" w:eastAsia="Arial" w:hAnsi="Arial"/>
          <w:sz w:val="18"/>
          <w:szCs w:val="18"/>
          <w:color w:val="auto"/>
        </w:rPr>
      </w:pPr>
    </w:p>
    <w:p>
      <w:pPr>
        <w:ind w:left="880" w:hanging="319"/>
        <w:spacing w:after="0"/>
        <w:tabs>
          <w:tab w:leader="none" w:pos="8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fees and expenses associated with marketing efforts;</w:t>
      </w:r>
    </w:p>
    <w:p>
      <w:pPr>
        <w:spacing w:after="0" w:line="90" w:lineRule="exact"/>
        <w:rPr>
          <w:rFonts w:ascii="Arial" w:cs="Arial" w:eastAsia="Arial" w:hAnsi="Arial"/>
          <w:sz w:val="18"/>
          <w:szCs w:val="18"/>
          <w:color w:val="auto"/>
        </w:rPr>
      </w:pPr>
    </w:p>
    <w:p>
      <w:pPr>
        <w:ind w:left="880" w:hanging="319"/>
        <w:spacing w:after="0"/>
        <w:tabs>
          <w:tab w:leader="none" w:pos="8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federal and state registration fees and any stock exchange listing fees;</w:t>
      </w:r>
    </w:p>
    <w:p>
      <w:pPr>
        <w:spacing w:after="0" w:line="90" w:lineRule="exact"/>
        <w:rPr>
          <w:rFonts w:ascii="Arial" w:cs="Arial" w:eastAsia="Arial" w:hAnsi="Arial"/>
          <w:sz w:val="18"/>
          <w:szCs w:val="18"/>
          <w:color w:val="auto"/>
        </w:rPr>
      </w:pPr>
    </w:p>
    <w:p>
      <w:pPr>
        <w:ind w:left="880" w:hanging="319"/>
        <w:spacing w:after="0"/>
        <w:tabs>
          <w:tab w:leader="none" w:pos="8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federal, state and local taxes;</w:t>
      </w:r>
    </w:p>
    <w:p>
      <w:pPr>
        <w:spacing w:after="0" w:line="90" w:lineRule="exact"/>
        <w:rPr>
          <w:rFonts w:ascii="Arial" w:cs="Arial" w:eastAsia="Arial" w:hAnsi="Arial"/>
          <w:sz w:val="18"/>
          <w:szCs w:val="18"/>
          <w:color w:val="auto"/>
        </w:rPr>
      </w:pPr>
    </w:p>
    <w:p>
      <w:pPr>
        <w:ind w:left="880" w:hanging="319"/>
        <w:spacing w:after="0"/>
        <w:tabs>
          <w:tab w:leader="none" w:pos="8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independent directors’ fees and expenses;</w:t>
      </w:r>
    </w:p>
    <w:p>
      <w:pPr>
        <w:spacing w:after="0" w:line="90" w:lineRule="exact"/>
        <w:rPr>
          <w:rFonts w:ascii="Arial" w:cs="Arial" w:eastAsia="Arial" w:hAnsi="Arial"/>
          <w:sz w:val="18"/>
          <w:szCs w:val="18"/>
          <w:color w:val="auto"/>
        </w:rPr>
      </w:pPr>
    </w:p>
    <w:p>
      <w:pPr>
        <w:ind w:left="880" w:hanging="319"/>
        <w:spacing w:after="0"/>
        <w:tabs>
          <w:tab w:leader="none" w:pos="8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brokerage commissions;</w:t>
      </w:r>
    </w:p>
    <w:p>
      <w:pPr>
        <w:spacing w:after="0" w:line="90" w:lineRule="exact"/>
        <w:rPr>
          <w:rFonts w:ascii="Arial" w:cs="Arial" w:eastAsia="Arial" w:hAnsi="Arial"/>
          <w:sz w:val="18"/>
          <w:szCs w:val="18"/>
          <w:color w:val="auto"/>
        </w:rPr>
      </w:pPr>
    </w:p>
    <w:p>
      <w:pPr>
        <w:ind w:left="880" w:hanging="319"/>
        <w:spacing w:after="0"/>
        <w:tabs>
          <w:tab w:leader="none" w:pos="8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fidelity bond, directors and officers/errors and omissions liability insurance and other insurance premiums;</w:t>
      </w:r>
    </w:p>
    <w:p>
      <w:pPr>
        <w:spacing w:after="0" w:line="90" w:lineRule="exact"/>
        <w:rPr>
          <w:rFonts w:ascii="Arial" w:cs="Arial" w:eastAsia="Arial" w:hAnsi="Arial"/>
          <w:sz w:val="18"/>
          <w:szCs w:val="18"/>
          <w:color w:val="auto"/>
        </w:rPr>
      </w:pPr>
    </w:p>
    <w:p>
      <w:pPr>
        <w:ind w:left="880" w:hanging="319"/>
        <w:spacing w:after="0"/>
        <w:tabs>
          <w:tab w:leader="none" w:pos="8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direct costs such as printing, mailing, long distance telephone and staff;</w:t>
      </w:r>
    </w:p>
    <w:p>
      <w:pPr>
        <w:spacing w:after="0" w:line="90" w:lineRule="exact"/>
        <w:rPr>
          <w:rFonts w:ascii="Arial" w:cs="Arial" w:eastAsia="Arial" w:hAnsi="Arial"/>
          <w:sz w:val="18"/>
          <w:szCs w:val="18"/>
          <w:color w:val="auto"/>
        </w:rPr>
      </w:pPr>
    </w:p>
    <w:p>
      <w:pPr>
        <w:ind w:left="880" w:hanging="319"/>
        <w:spacing w:after="0"/>
        <w:tabs>
          <w:tab w:leader="none" w:pos="8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fees and expenses associated with independent audits and outside legal costs;</w:t>
      </w:r>
    </w:p>
    <w:p>
      <w:pPr>
        <w:spacing w:after="0" w:line="90" w:lineRule="exact"/>
        <w:rPr>
          <w:rFonts w:ascii="Arial" w:cs="Arial" w:eastAsia="Arial" w:hAnsi="Arial"/>
          <w:sz w:val="18"/>
          <w:szCs w:val="18"/>
          <w:color w:val="auto"/>
        </w:rPr>
      </w:pPr>
    </w:p>
    <w:p>
      <w:pPr>
        <w:ind w:left="880" w:hanging="319"/>
        <w:spacing w:after="0"/>
        <w:tabs>
          <w:tab w:leader="none" w:pos="880" w:val="left"/>
        </w:tabs>
        <w:numPr>
          <w:ilvl w:val="0"/>
          <w:numId w:val="16"/>
        </w:numPr>
        <w:rPr>
          <w:rFonts w:ascii="Arial" w:cs="Arial" w:eastAsia="Arial" w:hAnsi="Arial"/>
          <w:sz w:val="16"/>
          <w:szCs w:val="16"/>
          <w:color w:val="auto"/>
        </w:rPr>
      </w:pPr>
      <w:r>
        <w:rPr>
          <w:rFonts w:ascii="Arial" w:cs="Arial" w:eastAsia="Arial" w:hAnsi="Arial"/>
          <w:sz w:val="16"/>
          <w:szCs w:val="16"/>
          <w:color w:val="auto"/>
        </w:rPr>
        <w:t>costs associated with our reporting and compliance obligations under the 1940 Act and applicable federal and state securities laws; and</w:t>
      </w:r>
    </w:p>
    <w:p>
      <w:pPr>
        <w:spacing w:after="0" w:line="113" w:lineRule="exact"/>
        <w:rPr>
          <w:rFonts w:ascii="Arial" w:cs="Arial" w:eastAsia="Arial" w:hAnsi="Arial"/>
          <w:sz w:val="16"/>
          <w:szCs w:val="16"/>
          <w:color w:val="auto"/>
        </w:rPr>
      </w:pPr>
    </w:p>
    <w:p>
      <w:pPr>
        <w:ind w:left="880" w:right="100" w:hanging="319"/>
        <w:spacing w:after="0" w:line="256" w:lineRule="auto"/>
        <w:tabs>
          <w:tab w:leader="none" w:pos="8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all other expenses incurred by either the Administrator or us in connection with administering our business, including payments under our Administration Agreement that will be based upon our allocable portion of overhead, and other expenses incurred by the Administrator in performing its obligations under our Administration Agreement, including rent and our allocable portion of the costs of compensation and related expenses of our chief compliance officer, chief financial officer and their respective staffs.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PORTFOLIO AND INVESTMENT ACTIVITY</w:t>
      </w:r>
    </w:p>
    <w:p>
      <w:pPr>
        <w:spacing w:after="0" w:line="96" w:lineRule="exact"/>
        <w:rPr>
          <w:sz w:val="20"/>
          <w:szCs w:val="20"/>
          <w:color w:val="auto"/>
        </w:rPr>
      </w:pPr>
    </w:p>
    <w:p>
      <w:pPr>
        <w:ind w:firstLine="449"/>
        <w:spacing w:after="0" w:line="288" w:lineRule="auto"/>
        <w:rPr>
          <w:sz w:val="20"/>
          <w:szCs w:val="20"/>
          <w:color w:val="auto"/>
        </w:rPr>
      </w:pPr>
      <w:r>
        <w:rPr>
          <w:rFonts w:ascii="Arial" w:cs="Arial" w:eastAsia="Arial" w:hAnsi="Arial"/>
          <w:sz w:val="16"/>
          <w:szCs w:val="16"/>
          <w:color w:val="auto"/>
        </w:rPr>
        <w:t>As of March 31, 2009, our portfolio totaled $363.5 million and consisted of $77.2 million of senior secured loans, $158.4 million of subordinated debt, $103.5 million of second lien secured debt, $10.1 million of preferred equity and $14.3 million of common equity investments. Our core assets totaled $313.7 million and consisted of investments in twenty-one different companies with an average investment size of $14.9 million per company and a weighted average yield of 11.6% on debt investments. Our non-core senior secured loan portfolio totaled $49.8 million and consisted of fifteen different companies (including one company also in our core portfolio) with an average investment size of $3.3 million and a weighted average yield of 3.1% on debt investments. Of our debt portfolio, 49% was in fixed-rate investments (or contained a London Inter Bank Offer Rate (“LIBOR”) floor) and 51% in variable-rate investments. Overall, the portfolio had an unrealized depreciation of $87.1 million as of March 31, 2009. Our overall portfolio consisted of thirty-five companies with an average investment size of $10.4 million and a weighted average yield on debt investments of 10.1%, and was invested 21% in senior secured loans, 44% in subordinated debt, 28% in second lien secured debt, 3% in preferred equity and 4% in common equity investments.</w:t>
      </w:r>
    </w:p>
    <w:p>
      <w:pPr>
        <w:spacing w:after="0" w:line="119" w:lineRule="exact"/>
        <w:rPr>
          <w:sz w:val="20"/>
          <w:szCs w:val="20"/>
          <w:color w:val="auto"/>
        </w:rPr>
      </w:pPr>
    </w:p>
    <w:p>
      <w:pPr>
        <w:ind w:firstLine="449"/>
        <w:spacing w:after="0" w:line="256" w:lineRule="auto"/>
        <w:rPr>
          <w:sz w:val="20"/>
          <w:szCs w:val="20"/>
          <w:color w:val="auto"/>
        </w:rPr>
      </w:pPr>
      <w:r>
        <w:rPr>
          <w:rFonts w:ascii="Arial" w:cs="Arial" w:eastAsia="Arial" w:hAnsi="Arial"/>
          <w:sz w:val="18"/>
          <w:szCs w:val="18"/>
          <w:color w:val="auto"/>
        </w:rPr>
        <w:t>For the three months ended March 31, 2009, we invested $14.5 million in one new and one existing portfolio companies, with an average yield of 21.5% on debt investments. Sales and repayments of long-term investments totaled $3.3 million for the same period. For the six months ended March 31, 2009, we invested approximately $15.3 million, in one new and three existing portfolio companies with an average yield of 21.4% on debt investments. Sales and repayments of long term investments totaled $5.5 million, for the same period.</w:t>
      </w:r>
    </w:p>
    <w:p>
      <w:pPr>
        <w:spacing w:after="0" w:line="143" w:lineRule="exact"/>
        <w:rPr>
          <w:sz w:val="20"/>
          <w:szCs w:val="20"/>
          <w:color w:val="auto"/>
        </w:rPr>
      </w:pPr>
    </w:p>
    <w:p>
      <w:pPr>
        <w:ind w:firstLine="449"/>
        <w:spacing w:after="0" w:line="291" w:lineRule="auto"/>
        <w:rPr>
          <w:sz w:val="20"/>
          <w:szCs w:val="20"/>
          <w:color w:val="auto"/>
        </w:rPr>
      </w:pPr>
      <w:r>
        <w:rPr>
          <w:rFonts w:ascii="Arial" w:cs="Arial" w:eastAsia="Arial" w:hAnsi="Arial"/>
          <w:sz w:val="16"/>
          <w:szCs w:val="16"/>
          <w:color w:val="auto"/>
        </w:rPr>
        <w:t>As of September 30, 2008, our portfolio totaled $372.1 million and consisted of $78.8 million of senior secured loans, $166.2 million of subordinated debt, $104.2 million of second lien secured debt, $9.3 million of preferred equity and $13.6 common equity investments. Our core assets totaled $305.5 million and consisted of investments in nineteen different companies with an average investment size of $16.1 million per company and a weighted average yield of 12.5% on debt investments. Our non-core senior secured loan portfolio totaled $66.6 million and consisted of nineteen different companies (including one company also in our core portfolio) with an average investment size of $3.5 million and a weighted average yield of 5.2% on debt investments. Of our debt portfolio, 45% was in fixed-rate investments and 55% in variable-rate investments. Overall, the portfolio had an unrealized</w:t>
      </w:r>
    </w:p>
    <w:p>
      <w:pPr>
        <w:spacing w:after="0" w:line="10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200"/>
          </w:cols>
          <w:pgMar w:left="320" w:top="459" w:right="37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206375</wp:posOffset>
            </wp:positionH>
            <wp:positionV relativeFrom="page">
              <wp:posOffset>88900</wp:posOffset>
            </wp:positionV>
            <wp:extent cx="7153275" cy="2794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32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5"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depreciation of $72.0 million as of September 30, 2008. Our overall portfolio consisted of thirty-seven companies with an average investment size of $10.1 million and a weighted average yield on debt investments of 11.1%, and was invested 21% in senior secured loans, 45% in subordinated debt, 28% in second lien secured debt, 2% in preferred equity and 4% in common equity investments.</w:t>
      </w:r>
    </w:p>
    <w:p>
      <w:pPr>
        <w:spacing w:after="0" w:line="140" w:lineRule="exact"/>
        <w:rPr>
          <w:sz w:val="20"/>
          <w:szCs w:val="20"/>
          <w:color w:val="auto"/>
        </w:rPr>
      </w:pPr>
    </w:p>
    <w:p>
      <w:pPr>
        <w:ind w:right="40" w:firstLine="449"/>
        <w:spacing w:after="0" w:line="256" w:lineRule="auto"/>
        <w:rPr>
          <w:sz w:val="20"/>
          <w:szCs w:val="20"/>
          <w:color w:val="auto"/>
        </w:rPr>
      </w:pPr>
      <w:r>
        <w:rPr>
          <w:rFonts w:ascii="Arial" w:cs="Arial" w:eastAsia="Arial" w:hAnsi="Arial"/>
          <w:sz w:val="18"/>
          <w:szCs w:val="18"/>
          <w:color w:val="auto"/>
        </w:rPr>
        <w:t>For the three months ended March 31, 2008, we invested $31.5 million in two new companies with an average yield of 14.4% on the debt investments. Sales and repayments of long-term investments for the three months ended March 31, 2008 totaled $0.9 million. For the six months ended March 31, 2008, we invested $102.5 million in new and existing portfolio companies with an average yield of 13.3% on the debt investments. Sales and repayments of long-term investments for the six months ended March 31, 2008 totaled $5.2 million.</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96" w:lineRule="exact"/>
        <w:rPr>
          <w:sz w:val="20"/>
          <w:szCs w:val="20"/>
          <w:color w:val="auto"/>
        </w:rPr>
      </w:pPr>
    </w:p>
    <w:p>
      <w:pPr>
        <w:ind w:right="20" w:firstLine="449"/>
        <w:spacing w:after="0" w:line="323" w:lineRule="auto"/>
        <w:rPr>
          <w:sz w:val="20"/>
          <w:szCs w:val="20"/>
          <w:color w:val="auto"/>
        </w:rPr>
      </w:pPr>
      <w:r>
        <w:rPr>
          <w:rFonts w:ascii="Arial" w:cs="Arial" w:eastAsia="Arial" w:hAnsi="Arial"/>
          <w:sz w:val="15"/>
          <w:szCs w:val="15"/>
          <w:color w:val="auto"/>
        </w:rPr>
        <w:t>Our discussion of our financial condition and results of operations is based upon our financial statements, which have been prepared in accordance with GAAP. The preparation of these financial statements requires management to make estimates and assumptions that affect the reported amounts of assets, liabilities, revenues and expenses. Changes in the economic environment, financial markets and any other parameters used in determining such estimates could cause actual results to differ. In addition to the discussion below, we describe our critical accounting policies in the notes to our financial statements.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Valuation of Portfolio Investments</w:t>
      </w:r>
    </w:p>
    <w:p>
      <w:pPr>
        <w:spacing w:after="0" w:line="96" w:lineRule="exact"/>
        <w:rPr>
          <w:sz w:val="20"/>
          <w:szCs w:val="20"/>
          <w:color w:val="auto"/>
        </w:rPr>
      </w:pPr>
    </w:p>
    <w:p>
      <w:pPr>
        <w:ind w:firstLine="449"/>
        <w:spacing w:after="0" w:line="286" w:lineRule="auto"/>
        <w:rPr>
          <w:sz w:val="20"/>
          <w:szCs w:val="20"/>
          <w:color w:val="auto"/>
        </w:rPr>
      </w:pPr>
      <w:r>
        <w:rPr>
          <w:rFonts w:ascii="Arial" w:cs="Arial" w:eastAsia="Arial" w:hAnsi="Arial"/>
          <w:sz w:val="16"/>
          <w:szCs w:val="16"/>
          <w:color w:val="auto"/>
        </w:rPr>
        <w:t>As a business development company, we generally invest in illiquid securities including debt and equity investments of middle-market companies. All of our investments are recorded using broker/dealers quotes or at fair value as determined in good faith by our board of directors. Our board of directors generally uses market quotations to assess the value of our investments for which market quotations are readily available. We obtain these market values from an independent pricing service or at the bid prices, if available, obtained from at least two broker/dealers or by a principal market maker or a primary market dealer. If the board of directors has a bona fide reason to believe any such market quote does not reflect the fair value of an investment, it may independently value such investments by using the valuation procedure that it uses with respect to assets for which market quotations are not readily available. Debt and equity investments that are not publicly traded or whose market prices are not readily available are valued at fair value as determined in good faith by or under the direction of our board of directors. Such determination of fair values involves subjective judgments and estimates. Investments purchased within 60 days of maturity are valued at cost plus accreted discount, or minus amortized premium, which approximates value. With respect to unquoted securities, our board of directors, together with our independent third party valuation firms, values each investment considering, among other measures, discounted cash flow models, comparisons of financial ratios of peer companies that are public and other factors.</w:t>
      </w:r>
    </w:p>
    <w:p>
      <w:pPr>
        <w:spacing w:after="0" w:line="126" w:lineRule="exact"/>
        <w:rPr>
          <w:sz w:val="20"/>
          <w:szCs w:val="20"/>
          <w:color w:val="auto"/>
        </w:rPr>
      </w:pPr>
    </w:p>
    <w:p>
      <w:pPr>
        <w:ind w:right="60" w:firstLine="449"/>
        <w:spacing w:after="0" w:line="253" w:lineRule="auto"/>
        <w:rPr>
          <w:sz w:val="20"/>
          <w:szCs w:val="20"/>
          <w:color w:val="auto"/>
        </w:rPr>
      </w:pPr>
      <w:r>
        <w:rPr>
          <w:rFonts w:ascii="Arial" w:cs="Arial" w:eastAsia="Arial" w:hAnsi="Arial"/>
          <w:sz w:val="18"/>
          <w:szCs w:val="18"/>
          <w:color w:val="auto"/>
        </w:rPr>
        <w:t>When an external event such as a purchase transaction, public offering or subsequent equity sale occurs in connection with one of our portfolio companies, our board uses the pricing indicated by the external event to corroborate and/or assist us in our valuation of our investment in such portfolio company. Because there are not always readily available markets for most of the investments in our portfolio, we value certain of our portfolio investments at fair value as determined in good faith by our board of directors using a documented valuation policy and a consistently applied valuation process. Due to the inherent uncertainty of determining the fair value of investments that do not have a readily available market value, the fair value of our investments may differ significantly from the values that would have been used had a readily available market value existed for such investments, and the differences could be material.</w:t>
      </w:r>
    </w:p>
    <w:p>
      <w:pPr>
        <w:spacing w:after="0" w:line="147" w:lineRule="exact"/>
        <w:rPr>
          <w:sz w:val="20"/>
          <w:szCs w:val="20"/>
          <w:color w:val="auto"/>
        </w:rPr>
      </w:pPr>
    </w:p>
    <w:p>
      <w:pPr>
        <w:ind w:right="160" w:firstLine="449"/>
        <w:spacing w:after="0" w:line="268" w:lineRule="auto"/>
        <w:rPr>
          <w:sz w:val="20"/>
          <w:szCs w:val="20"/>
          <w:color w:val="auto"/>
        </w:rPr>
      </w:pPr>
      <w:r>
        <w:rPr>
          <w:rFonts w:ascii="Arial" w:cs="Arial" w:eastAsia="Arial" w:hAnsi="Arial"/>
          <w:sz w:val="18"/>
          <w:szCs w:val="18"/>
          <w:color w:val="auto"/>
        </w:rPr>
        <w:t>With respect to investments for which market quotations are not readily available or are readily available but believed not to reflect the fair value of an investment, our board of directors undertakes a multi-step valuation process each quarter, as described below:</w:t>
      </w:r>
    </w:p>
    <w:p>
      <w:pPr>
        <w:spacing w:after="0" w:line="51" w:lineRule="exact"/>
        <w:rPr>
          <w:sz w:val="20"/>
          <w:szCs w:val="20"/>
          <w:color w:val="auto"/>
        </w:rPr>
      </w:pPr>
    </w:p>
    <w:p>
      <w:pPr>
        <w:ind w:left="900" w:right="260" w:hanging="447"/>
        <w:spacing w:after="0" w:line="268" w:lineRule="auto"/>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quarterly valuation process begins with each portfolio company or investment being initially valued by the investment professionals of the Investment Adviser responsible for the portfolio investment;</w:t>
      </w:r>
    </w:p>
    <w:p>
      <w:pPr>
        <w:spacing w:after="0" w:line="50" w:lineRule="exact"/>
        <w:rPr>
          <w:rFonts w:ascii="Arial" w:cs="Arial" w:eastAsia="Arial" w:hAnsi="Arial"/>
          <w:sz w:val="18"/>
          <w:szCs w:val="18"/>
          <w:color w:val="auto"/>
        </w:rPr>
      </w:pPr>
    </w:p>
    <w:p>
      <w:pPr>
        <w:ind w:left="900" w:hanging="447"/>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Preliminary valuation conclusions are then documented and discussed with the management of our Investment Adviser;</w:t>
      </w:r>
    </w:p>
    <w:p>
      <w:pPr>
        <w:spacing w:after="0" w:line="90" w:lineRule="exact"/>
        <w:rPr>
          <w:rFonts w:ascii="Arial" w:cs="Arial" w:eastAsia="Arial" w:hAnsi="Arial"/>
          <w:sz w:val="18"/>
          <w:szCs w:val="18"/>
          <w:color w:val="auto"/>
        </w:rPr>
      </w:pPr>
    </w:p>
    <w:p>
      <w:pPr>
        <w:ind w:left="900" w:hanging="447"/>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board of directors also engages one or more independent valuation firms to conduct independent</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200"/>
          </w:cols>
          <w:pgMar w:left="320" w:top="459" w:right="37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206375</wp:posOffset>
            </wp:positionH>
            <wp:positionV relativeFrom="page">
              <wp:posOffset>88900</wp:posOffset>
            </wp:positionV>
            <wp:extent cx="7153275" cy="2794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32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5" w:lineRule="exact"/>
        <w:rPr>
          <w:sz w:val="20"/>
          <w:szCs w:val="20"/>
          <w:color w:val="auto"/>
        </w:rPr>
      </w:pPr>
    </w:p>
    <w:p>
      <w:pPr>
        <w:ind w:left="900" w:right="100"/>
        <w:spacing w:after="0" w:line="259" w:lineRule="auto"/>
        <w:rPr>
          <w:sz w:val="20"/>
          <w:szCs w:val="20"/>
          <w:color w:val="auto"/>
        </w:rPr>
      </w:pPr>
      <w:r>
        <w:rPr>
          <w:rFonts w:ascii="Arial" w:cs="Arial" w:eastAsia="Arial" w:hAnsi="Arial"/>
          <w:sz w:val="18"/>
          <w:szCs w:val="18"/>
          <w:color w:val="auto"/>
        </w:rPr>
        <w:t>appraisals of our investments for which market quotations are not readily available or are readily available but are deemed that such market quote does not reflect the fair value of an investment. The independent valuation firm reviews management’s preliminary valuations and its own independent assessment;</w:t>
      </w:r>
    </w:p>
    <w:p>
      <w:pPr>
        <w:spacing w:after="0" w:line="59" w:lineRule="exact"/>
        <w:rPr>
          <w:sz w:val="20"/>
          <w:szCs w:val="20"/>
          <w:color w:val="auto"/>
        </w:rPr>
      </w:pPr>
    </w:p>
    <w:p>
      <w:pPr>
        <w:ind w:left="900" w:right="100" w:hanging="447"/>
        <w:spacing w:after="0" w:line="331" w:lineRule="auto"/>
        <w:tabs>
          <w:tab w:leader="none" w:pos="900"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audit committee of our board of directors reviews the preliminary valuations of the Investment Adviser and that of the independent valuation firms and responds and supplements the valuation recommendations of the independent valuation firms to reflect any comments; and</w:t>
      </w:r>
    </w:p>
    <w:p>
      <w:pPr>
        <w:spacing w:after="0" w:line="5" w:lineRule="exact"/>
        <w:rPr>
          <w:rFonts w:ascii="Arial" w:cs="Arial" w:eastAsia="Arial" w:hAnsi="Arial"/>
          <w:sz w:val="16"/>
          <w:szCs w:val="16"/>
          <w:color w:val="auto"/>
        </w:rPr>
      </w:pPr>
    </w:p>
    <w:p>
      <w:pPr>
        <w:ind w:left="900" w:right="160" w:hanging="447"/>
        <w:spacing w:after="0" w:line="268" w:lineRule="auto"/>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board of directors discusses the valuations and determines the fair value of each investment in our portfolio in good faith, based on the input of our Investment Adviser, the independent valuation firms and the audit committee.</w:t>
      </w:r>
    </w:p>
    <w:p>
      <w:pPr>
        <w:spacing w:after="0" w:line="132" w:lineRule="exact"/>
        <w:rPr>
          <w:sz w:val="20"/>
          <w:szCs w:val="20"/>
          <w:color w:val="auto"/>
        </w:rPr>
      </w:pPr>
    </w:p>
    <w:p>
      <w:pPr>
        <w:ind w:right="20" w:firstLine="449"/>
        <w:spacing w:after="0" w:line="254" w:lineRule="auto"/>
        <w:rPr>
          <w:sz w:val="20"/>
          <w:szCs w:val="20"/>
          <w:color w:val="auto"/>
        </w:rPr>
      </w:pPr>
      <w:r>
        <w:rPr>
          <w:rFonts w:ascii="Arial" w:cs="Arial" w:eastAsia="Arial" w:hAnsi="Arial"/>
          <w:sz w:val="18"/>
          <w:szCs w:val="18"/>
          <w:color w:val="auto"/>
        </w:rPr>
        <w:t>In September 2006, the Financial Accounting Standards Board issued SFAS 157, Fair Value Measurements, which clarifies the definition of fair value and requires companies to expand their disclosure about the use of fair value to measure assets and liabilities in interim and annual periods subsequent to initial recognition. Adoption of SFAS 157 requires the use of the price that would be received to sell an asset or paid to transfer a liability in an orderly transaction between market participants at the measurement date. SFAS 157 is effective for financial statements issued for fiscal years beginning after November 15, 2007 and interim periods within those fiscal years. We adopted this statement on October 1, 2008. This adoption did not affect the Company’s financial position or its results of operations.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SFAS No. 157 classifies the inputs used to measure these fair values into the following hierarchy:</w:t>
      </w:r>
    </w:p>
    <w:p>
      <w:pPr>
        <w:spacing w:after="0" w:line="90" w:lineRule="exact"/>
        <w:rPr>
          <w:sz w:val="20"/>
          <w:szCs w:val="20"/>
          <w:color w:val="auto"/>
        </w:rPr>
      </w:pPr>
    </w:p>
    <w:p>
      <w:pPr>
        <w:ind w:left="460" w:right="360"/>
        <w:spacing w:after="0" w:line="268" w:lineRule="auto"/>
        <w:rPr>
          <w:sz w:val="20"/>
          <w:szCs w:val="20"/>
          <w:color w:val="auto"/>
        </w:rPr>
      </w:pPr>
      <w:r>
        <w:rPr>
          <w:rFonts w:ascii="Arial" w:cs="Arial" w:eastAsia="Arial" w:hAnsi="Arial"/>
          <w:sz w:val="18"/>
          <w:szCs w:val="18"/>
          <w:i w:val="1"/>
          <w:iCs w:val="1"/>
          <w:color w:val="auto"/>
        </w:rPr>
        <w:t>Level 1</w:t>
      </w:r>
      <w:r>
        <w:rPr>
          <w:rFonts w:ascii="Arial" w:cs="Arial" w:eastAsia="Arial" w:hAnsi="Arial"/>
          <w:sz w:val="18"/>
          <w:szCs w:val="18"/>
          <w:color w:val="auto"/>
        </w:rPr>
        <w:t>: Inputs that are quoted prices (unadjusted) in active markets for identical assets or liabilities, accessible by the Company at the measurement</w:t>
      </w:r>
      <w:r>
        <w:rPr>
          <w:rFonts w:ascii="Arial" w:cs="Arial" w:eastAsia="Arial" w:hAnsi="Arial"/>
          <w:sz w:val="18"/>
          <w:szCs w:val="18"/>
          <w:i w:val="1"/>
          <w:iCs w:val="1"/>
          <w:color w:val="auto"/>
        </w:rPr>
        <w:t xml:space="preserve"> </w:t>
      </w:r>
      <w:r>
        <w:rPr>
          <w:rFonts w:ascii="Arial" w:cs="Arial" w:eastAsia="Arial" w:hAnsi="Arial"/>
          <w:sz w:val="18"/>
          <w:szCs w:val="18"/>
          <w:color w:val="auto"/>
        </w:rPr>
        <w:t>date.</w:t>
      </w:r>
    </w:p>
    <w:p>
      <w:pPr>
        <w:spacing w:after="0" w:line="51" w:lineRule="exact"/>
        <w:rPr>
          <w:sz w:val="20"/>
          <w:szCs w:val="20"/>
          <w:color w:val="auto"/>
        </w:rPr>
      </w:pPr>
    </w:p>
    <w:p>
      <w:pPr>
        <w:ind w:left="460" w:right="60"/>
        <w:spacing w:after="0" w:line="259" w:lineRule="auto"/>
        <w:rPr>
          <w:sz w:val="20"/>
          <w:szCs w:val="20"/>
          <w:color w:val="auto"/>
        </w:rPr>
      </w:pPr>
      <w:r>
        <w:rPr>
          <w:rFonts w:ascii="Arial" w:cs="Arial" w:eastAsia="Arial" w:hAnsi="Arial"/>
          <w:sz w:val="18"/>
          <w:szCs w:val="18"/>
          <w:i w:val="1"/>
          <w:iCs w:val="1"/>
          <w:color w:val="auto"/>
        </w:rPr>
        <w:t>Level 2</w:t>
      </w:r>
      <w:r>
        <w:rPr>
          <w:rFonts w:ascii="Arial" w:cs="Arial" w:eastAsia="Arial" w:hAnsi="Arial"/>
          <w:sz w:val="18"/>
          <w:szCs w:val="18"/>
          <w:color w:val="auto"/>
        </w:rPr>
        <w:t>: Inputs that are quoted prices for similar assets or liabilities in active markets, or that are quoted prices for identical or similar assets or liabilities</w:t>
      </w:r>
      <w:r>
        <w:rPr>
          <w:rFonts w:ascii="Arial" w:cs="Arial" w:eastAsia="Arial" w:hAnsi="Arial"/>
          <w:sz w:val="18"/>
          <w:szCs w:val="18"/>
          <w:i w:val="1"/>
          <w:iCs w:val="1"/>
          <w:color w:val="auto"/>
        </w:rPr>
        <w:t xml:space="preserve"> </w:t>
      </w:r>
      <w:r>
        <w:rPr>
          <w:rFonts w:ascii="Arial" w:cs="Arial" w:eastAsia="Arial" w:hAnsi="Arial"/>
          <w:sz w:val="18"/>
          <w:szCs w:val="18"/>
          <w:color w:val="auto"/>
        </w:rPr>
        <w:t>in markets that are not active, and inputs that are observable for the asset or liability, either directly or indirectly, for substantially the full term, if applicable, of the financial instrument.</w:t>
      </w:r>
    </w:p>
    <w:p>
      <w:pPr>
        <w:spacing w:after="0" w:line="59" w:lineRule="exact"/>
        <w:rPr>
          <w:sz w:val="20"/>
          <w:szCs w:val="20"/>
          <w:color w:val="auto"/>
        </w:rPr>
      </w:pPr>
    </w:p>
    <w:p>
      <w:pPr>
        <w:ind w:left="460" w:right="160"/>
        <w:spacing w:after="0" w:line="268" w:lineRule="auto"/>
        <w:rPr>
          <w:sz w:val="20"/>
          <w:szCs w:val="20"/>
          <w:color w:val="auto"/>
        </w:rPr>
      </w:pPr>
      <w:r>
        <w:rPr>
          <w:rFonts w:ascii="Arial" w:cs="Arial" w:eastAsia="Arial" w:hAnsi="Arial"/>
          <w:sz w:val="18"/>
          <w:szCs w:val="18"/>
          <w:i w:val="1"/>
          <w:iCs w:val="1"/>
          <w:color w:val="auto"/>
        </w:rPr>
        <w:t>Level 3</w:t>
      </w:r>
      <w:r>
        <w:rPr>
          <w:rFonts w:ascii="Arial" w:cs="Arial" w:eastAsia="Arial" w:hAnsi="Arial"/>
          <w:sz w:val="18"/>
          <w:szCs w:val="18"/>
          <w:color w:val="auto"/>
        </w:rPr>
        <w:t>: Inputs that are unobservable for an asset or liability because they are based on the Company’s own assumptions about how market participants</w:t>
      </w:r>
      <w:r>
        <w:rPr>
          <w:rFonts w:ascii="Arial" w:cs="Arial" w:eastAsia="Arial" w:hAnsi="Arial"/>
          <w:sz w:val="18"/>
          <w:szCs w:val="18"/>
          <w:i w:val="1"/>
          <w:iCs w:val="1"/>
          <w:color w:val="auto"/>
        </w:rPr>
        <w:t xml:space="preserve"> </w:t>
      </w:r>
      <w:r>
        <w:rPr>
          <w:rFonts w:ascii="Arial" w:cs="Arial" w:eastAsia="Arial" w:hAnsi="Arial"/>
          <w:sz w:val="18"/>
          <w:szCs w:val="18"/>
          <w:color w:val="auto"/>
        </w:rPr>
        <w:t>would price the asset or liability.</w:t>
      </w:r>
    </w:p>
    <w:p>
      <w:pPr>
        <w:spacing w:after="0" w:line="132" w:lineRule="exact"/>
        <w:rPr>
          <w:sz w:val="20"/>
          <w:szCs w:val="20"/>
          <w:color w:val="auto"/>
        </w:rPr>
      </w:pPr>
    </w:p>
    <w:p>
      <w:pPr>
        <w:ind w:right="740" w:firstLine="449"/>
        <w:spacing w:after="0" w:line="331" w:lineRule="auto"/>
        <w:rPr>
          <w:sz w:val="20"/>
          <w:szCs w:val="20"/>
          <w:color w:val="auto"/>
        </w:rPr>
      </w:pPr>
      <w:r>
        <w:rPr>
          <w:rFonts w:ascii="Arial" w:cs="Arial" w:eastAsia="Arial" w:hAnsi="Arial"/>
          <w:sz w:val="16"/>
          <w:szCs w:val="16"/>
          <w:color w:val="auto"/>
        </w:rPr>
        <w:t>A financial instrument’s categorization within the valuation hierarchy is based upon the lowest level of input that is significant to the fair value measurement. All of the Company’s investments (other than cash and cash equivalents) and long term credit facility are classified as Level 3.</w:t>
      </w:r>
    </w:p>
    <w:p>
      <w:pPr>
        <w:spacing w:after="0" w:line="87" w:lineRule="exact"/>
        <w:rPr>
          <w:sz w:val="20"/>
          <w:szCs w:val="20"/>
          <w:color w:val="auto"/>
        </w:rPr>
      </w:pPr>
    </w:p>
    <w:p>
      <w:pPr>
        <w:ind w:right="80" w:firstLine="449"/>
        <w:spacing w:after="0" w:line="256" w:lineRule="auto"/>
        <w:rPr>
          <w:sz w:val="20"/>
          <w:szCs w:val="20"/>
          <w:color w:val="auto"/>
        </w:rPr>
      </w:pPr>
      <w:r>
        <w:rPr>
          <w:rFonts w:ascii="Arial" w:cs="Arial" w:eastAsia="Arial" w:hAnsi="Arial"/>
          <w:sz w:val="18"/>
          <w:szCs w:val="18"/>
          <w:color w:val="auto"/>
        </w:rPr>
        <w:t>The inputs into the determination of fair value may require significant management judgment or estimation. Even if observable market data is available, such information may be the result of consensus pricing information or broker quotes which include a disclaimer that the broker would not be held to such a price in an actual transaction. The non-binding nature of consensus pricing and/or quotes accompanied by disclaimer would result in classification as Level 3 information, assuming no additional corroborating evidence.</w:t>
      </w:r>
    </w:p>
    <w:p>
      <w:pPr>
        <w:spacing w:after="0" w:line="143" w:lineRule="exact"/>
        <w:rPr>
          <w:sz w:val="20"/>
          <w:szCs w:val="20"/>
          <w:color w:val="auto"/>
        </w:rPr>
      </w:pPr>
    </w:p>
    <w:p>
      <w:pPr>
        <w:ind w:firstLine="449"/>
        <w:spacing w:after="0" w:line="286" w:lineRule="auto"/>
        <w:rPr>
          <w:sz w:val="20"/>
          <w:szCs w:val="20"/>
          <w:color w:val="auto"/>
        </w:rPr>
      </w:pPr>
      <w:r>
        <w:rPr>
          <w:rFonts w:ascii="Arial" w:cs="Arial" w:eastAsia="Arial" w:hAnsi="Arial"/>
          <w:sz w:val="16"/>
          <w:szCs w:val="16"/>
          <w:color w:val="auto"/>
        </w:rPr>
        <w:t xml:space="preserve">In February 2007, the FASB issued SFAS 159, </w:t>
      </w:r>
      <w:r>
        <w:rPr>
          <w:rFonts w:ascii="Arial" w:cs="Arial" w:eastAsia="Arial" w:hAnsi="Arial"/>
          <w:sz w:val="16"/>
          <w:szCs w:val="16"/>
          <w:i w:val="1"/>
          <w:iCs w:val="1"/>
          <w:color w:val="auto"/>
        </w:rPr>
        <w:t>The Fair Value Option for Financial Assets and Financial Liabilities—Including an Amendment of</w:t>
      </w:r>
      <w:r>
        <w:rPr>
          <w:rFonts w:ascii="Arial" w:cs="Arial" w:eastAsia="Arial" w:hAnsi="Arial"/>
          <w:sz w:val="16"/>
          <w:szCs w:val="16"/>
          <w:color w:val="auto"/>
        </w:rPr>
        <w:t xml:space="preserve"> </w:t>
      </w:r>
      <w:r>
        <w:rPr>
          <w:rFonts w:ascii="Arial" w:cs="Arial" w:eastAsia="Arial" w:hAnsi="Arial"/>
          <w:sz w:val="16"/>
          <w:szCs w:val="16"/>
          <w:i w:val="1"/>
          <w:iCs w:val="1"/>
          <w:color w:val="auto"/>
        </w:rPr>
        <w:t>FASB 115</w:t>
      </w:r>
      <w:r>
        <w:rPr>
          <w:rFonts w:ascii="Arial" w:cs="Arial" w:eastAsia="Arial" w:hAnsi="Arial"/>
          <w:sz w:val="16"/>
          <w:szCs w:val="16"/>
          <w:color w:val="auto"/>
        </w:rPr>
        <w:t>. This statement permits an entity to choose to measure many financial instruments and certain other items at fair value. This statement applies to all</w:t>
      </w:r>
      <w:r>
        <w:rPr>
          <w:rFonts w:ascii="Arial" w:cs="Arial" w:eastAsia="Arial" w:hAnsi="Arial"/>
          <w:sz w:val="16"/>
          <w:szCs w:val="16"/>
          <w:i w:val="1"/>
          <w:iCs w:val="1"/>
          <w:color w:val="auto"/>
        </w:rPr>
        <w:t xml:space="preserve"> </w:t>
      </w:r>
      <w:r>
        <w:rPr>
          <w:rFonts w:ascii="Arial" w:cs="Arial" w:eastAsia="Arial" w:hAnsi="Arial"/>
          <w:sz w:val="16"/>
          <w:szCs w:val="16"/>
          <w:color w:val="auto"/>
        </w:rPr>
        <w:t>reporting entities and contains financial statement presentation and disclosure requirements for assets and liabilities reported at fair value as a consequence of the election. This statement is effective for fiscal years beginning after November 15, 2007 and interim periods within those fiscal years. We adopted SFAS 159 on October 1, 2008 and have made an irrevocable election to apply the fair value option to our credit facility liability. The fair value option was elected for our credit facility to align the measurement attributes of both the assets and liabilities while mitigating volatility in earnings from using different measurement attributes. Upon our adoption our net asset value increased by $41.8 million, or $1.99 per share, due to the fair value adjustment related to our credit facility. We have used a nationally recognized independent valuation service to measure the fair value of our credit facility in a manner consistent with the valuation process that our board of directors uses to value our investments. After adoption, subsequent changes in the fair value of our credit facility will be recorded in the Statement of Operations. We have not elected to apply SFAS 159 to any other financial assets or liabilities. For the three months and six months ended March 31, 2009, approximately $14.9 million and $20.6 million was recorded as a change in unrealized depreciation on credit facility in the Statement of Operations.</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220"/>
          </w:cols>
          <w:pgMar w:left="320" w:top="459" w:right="35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206375</wp:posOffset>
            </wp:positionH>
            <wp:positionV relativeFrom="page">
              <wp:posOffset>88900</wp:posOffset>
            </wp:positionV>
            <wp:extent cx="7153275" cy="2794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32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5" w:lineRule="exact"/>
        <w:rPr>
          <w:sz w:val="20"/>
          <w:szCs w:val="20"/>
          <w:color w:val="auto"/>
        </w:rPr>
      </w:pPr>
    </w:p>
    <w:p>
      <w:pPr>
        <w:ind w:firstLine="449"/>
        <w:spacing w:after="0" w:line="290" w:lineRule="auto"/>
        <w:rPr>
          <w:sz w:val="20"/>
          <w:szCs w:val="20"/>
          <w:color w:val="auto"/>
        </w:rPr>
      </w:pPr>
      <w:r>
        <w:rPr>
          <w:rFonts w:ascii="Arial" w:cs="Arial" w:eastAsia="Arial" w:hAnsi="Arial"/>
          <w:sz w:val="16"/>
          <w:szCs w:val="16"/>
          <w:color w:val="auto"/>
        </w:rPr>
        <w:t>In April 2009, the FASB issued FASB Staff Position No. 157-4, Determining Fair Value When the Volume and Level of Activity for the Asset or Liability Have Significantly Decreased and Identifying Transactions That Are Not Orderly (“FSP 157-4”), which provides further clarification for the application of SFAS 157 in markets that are not active. Previously issued FASB Staff Position No. 157-3, Determining Fair Value of a Financial Asset When the Market for That Asset Is Not Active, has been suspended. FSP 157-4 provides additional guidance for determining when the volume and trading level of activity for an asset or liability has significantly decreased and for identifying circumstances that indicate a transaction is not orderly. FSP 157-4 is effective for interim and annual reporting periods ending after June 15, 2009. Since FSP 157-4 does not change the fair value measurement principles set forth in SFAS 157, we are considering its adoption and estimate that it will not affect the company’s financial position or its results of operations.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96" w:lineRule="exact"/>
        <w:rPr>
          <w:sz w:val="20"/>
          <w:szCs w:val="20"/>
          <w:color w:val="auto"/>
        </w:rPr>
      </w:pPr>
    </w:p>
    <w:p>
      <w:pPr>
        <w:ind w:right="100" w:firstLine="449"/>
        <w:spacing w:after="0" w:line="291" w:lineRule="auto"/>
        <w:rPr>
          <w:sz w:val="20"/>
          <w:szCs w:val="20"/>
          <w:color w:val="auto"/>
        </w:rPr>
      </w:pPr>
      <w:r>
        <w:rPr>
          <w:rFonts w:ascii="Arial" w:cs="Arial" w:eastAsia="Arial" w:hAnsi="Arial"/>
          <w:sz w:val="16"/>
          <w:szCs w:val="16"/>
          <w:color w:val="auto"/>
        </w:rPr>
        <w:t>We record interest income on an accrual basis to the extent that we expect to collect such amounts. For loans and debt securities with contractual PIK interest which represents contractual interest accrued and added to the loan balance that generally becomes due at maturity, we will generally not accrue PIK interest if the portfolio company valuation indicates that such PIK interest is not collectible. We do not accrue as a receivable interest on loans and debt securities if we determine that it is probable that we will not be able to collect such interest. Loan origination fees, original issue discount and market discount or premium are capitalized, and we then amortize such amounts as interest income. We record prepayment premiums on loans and debt securities as interest income. Dividend income, if any, is recognized on an accrual basis to the extent that we expect to collect such amounts.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Realized Gains or Losses and Net Change in Unrealized Appreciation or Depreciation</w:t>
      </w:r>
    </w:p>
    <w:p>
      <w:pPr>
        <w:spacing w:after="0" w:line="96" w:lineRule="exact"/>
        <w:rPr>
          <w:sz w:val="20"/>
          <w:szCs w:val="20"/>
          <w:color w:val="auto"/>
        </w:rPr>
      </w:pPr>
    </w:p>
    <w:p>
      <w:pPr>
        <w:ind w:right="260" w:firstLine="449"/>
        <w:spacing w:after="0" w:line="298" w:lineRule="auto"/>
        <w:rPr>
          <w:sz w:val="20"/>
          <w:szCs w:val="20"/>
          <w:color w:val="auto"/>
        </w:rPr>
      </w:pPr>
      <w:r>
        <w:rPr>
          <w:rFonts w:ascii="Arial" w:cs="Arial" w:eastAsia="Arial" w:hAnsi="Arial"/>
          <w:sz w:val="16"/>
          <w:szCs w:val="16"/>
          <w:color w:val="auto"/>
        </w:rPr>
        <w:t>We measure realized gains or losses by the difference between the net proceeds from the repayment or sale and the amortized cost basis of the investment, using the specific identification method, without regard to unrealized appreciation or depreciation previously recognized, but considering unamortized upfront fees and prepayment penalties. Net change in unrealized appreciation or depreciation reflects the change in portfolio investment values during the reporting period, including any reversal of previously recorded unrealized appreciation or depreciation, when gains or losses are realized.</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Payment-in-Kind Interest</w:t>
      </w:r>
    </w:p>
    <w:p>
      <w:pPr>
        <w:spacing w:after="0" w:line="96" w:lineRule="exact"/>
        <w:rPr>
          <w:sz w:val="20"/>
          <w:szCs w:val="20"/>
          <w:color w:val="auto"/>
        </w:rPr>
      </w:pPr>
    </w:p>
    <w:p>
      <w:pPr>
        <w:ind w:right="240" w:firstLine="449"/>
        <w:spacing w:after="0" w:line="259" w:lineRule="auto"/>
        <w:rPr>
          <w:sz w:val="20"/>
          <w:szCs w:val="20"/>
          <w:color w:val="auto"/>
        </w:rPr>
      </w:pPr>
      <w:r>
        <w:rPr>
          <w:rFonts w:ascii="Arial" w:cs="Arial" w:eastAsia="Arial" w:hAnsi="Arial"/>
          <w:sz w:val="18"/>
          <w:szCs w:val="18"/>
          <w:color w:val="auto"/>
        </w:rPr>
        <w:t>We have investments in our portfolio which contain a PIK interest provision. PIK interest is added to the principal balance of the investment and is recorded as income. For PennantPark Investment to maintain its status as a RIC, this income must be paid out to stockholders in the form of dividends, even though PennantPark Investment has not collected any cash with respect to PIK securities.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Federal Income Taxes</w:t>
      </w:r>
    </w:p>
    <w:p>
      <w:pPr>
        <w:spacing w:after="0" w:line="96" w:lineRule="exact"/>
        <w:rPr>
          <w:sz w:val="20"/>
          <w:szCs w:val="20"/>
          <w:color w:val="auto"/>
        </w:rPr>
      </w:pPr>
    </w:p>
    <w:p>
      <w:pPr>
        <w:ind w:right="60" w:firstLine="449"/>
        <w:spacing w:after="0" w:line="259" w:lineRule="auto"/>
        <w:rPr>
          <w:sz w:val="20"/>
          <w:szCs w:val="20"/>
          <w:color w:val="auto"/>
        </w:rPr>
      </w:pPr>
      <w:r>
        <w:rPr>
          <w:rFonts w:ascii="Arial" w:cs="Arial" w:eastAsia="Arial" w:hAnsi="Arial"/>
          <w:sz w:val="18"/>
          <w:szCs w:val="18"/>
          <w:color w:val="auto"/>
        </w:rPr>
        <w:t>We operate so as to qualify to be taxed as a RIC under Subchapter M of the Code and intend to continue to do so. Accordingly, we are not subject to federal income tax on the portion of our taxable income and gains distributed to stockholders. To qualify as a RIC, we are required to distribute at least 90% of our investment company taxable income as defined by the Code.</w:t>
      </w:r>
    </w:p>
    <w:p>
      <w:pPr>
        <w:spacing w:after="0" w:line="140" w:lineRule="exact"/>
        <w:rPr>
          <w:sz w:val="20"/>
          <w:szCs w:val="20"/>
          <w:color w:val="auto"/>
        </w:rPr>
      </w:pPr>
    </w:p>
    <w:p>
      <w:pPr>
        <w:ind w:right="100" w:firstLine="449"/>
        <w:spacing w:after="0" w:line="323" w:lineRule="auto"/>
        <w:rPr>
          <w:sz w:val="20"/>
          <w:szCs w:val="20"/>
          <w:color w:val="auto"/>
        </w:rPr>
      </w:pPr>
      <w:r>
        <w:rPr>
          <w:rFonts w:ascii="Arial" w:cs="Arial" w:eastAsia="Arial" w:hAnsi="Arial"/>
          <w:sz w:val="15"/>
          <w:szCs w:val="15"/>
          <w:color w:val="auto"/>
        </w:rPr>
        <w:t>Because federal income tax regulations differ from GAAP, distributions in accordance with tax regulations may differ from net investment income and realized gains recognized for financial reporting purposes. Differences may be permanent or temporary. Permanent differences are reclassified among capital accounts in the financial statements to reflect their tax character. Temporary differences arise when certain items of income, expense, gain or loss are recognized at some time in the future. Differences in classification may also result from the treatment of short-term gains as ordinary income for tax purposes.</w:t>
      </w:r>
    </w:p>
    <w:p>
      <w:pPr>
        <w:spacing w:after="0" w:line="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220"/>
          </w:cols>
          <w:pgMar w:left="320" w:top="459" w:right="35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206375</wp:posOffset>
            </wp:positionH>
            <wp:positionV relativeFrom="page">
              <wp:posOffset>88900</wp:posOffset>
            </wp:positionV>
            <wp:extent cx="7153275" cy="2794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32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Set forth below are the results of operations for the three and six months ended March 31, 2009 and March 31, 2008.</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Income</w:t>
      </w:r>
    </w:p>
    <w:p>
      <w:pPr>
        <w:spacing w:after="0" w:line="96" w:lineRule="exact"/>
        <w:rPr>
          <w:sz w:val="20"/>
          <w:szCs w:val="20"/>
          <w:color w:val="auto"/>
        </w:rPr>
      </w:pPr>
    </w:p>
    <w:p>
      <w:pPr>
        <w:ind w:right="220" w:firstLine="449"/>
        <w:spacing w:after="0" w:line="254" w:lineRule="auto"/>
        <w:rPr>
          <w:sz w:val="20"/>
          <w:szCs w:val="20"/>
          <w:color w:val="auto"/>
        </w:rPr>
      </w:pPr>
      <w:r>
        <w:rPr>
          <w:rFonts w:ascii="Arial" w:cs="Arial" w:eastAsia="Arial" w:hAnsi="Arial"/>
          <w:sz w:val="18"/>
          <w:szCs w:val="18"/>
          <w:color w:val="auto"/>
        </w:rPr>
        <w:t>Investment income for the three and six months ended March 31, 2009, was $10.4 million and $22.5 million, respectively, of which $4.3 million and $9.3 million was attributable to senior secured loan investments, $3.4 million and $7.3 million was attributable to second lien secured debt investments, and $2.5 million and $5.0 million was attributable to subordinated debt investments, respectively. The remaining investment income was primarily attributed to interest income from short-term investments and to net accretion of discount and amortization of premium. The change in investment income compared with the same periods in the prior year is due to the growth of our portfolio, the transition of the portfolio from temporary to long-term core investments offset by lower interest rates.</w:t>
      </w:r>
    </w:p>
    <w:p>
      <w:pPr>
        <w:spacing w:after="0" w:line="144" w:lineRule="exact"/>
        <w:rPr>
          <w:sz w:val="20"/>
          <w:szCs w:val="20"/>
          <w:color w:val="auto"/>
        </w:rPr>
      </w:pPr>
    </w:p>
    <w:p>
      <w:pPr>
        <w:ind w:firstLine="449"/>
        <w:spacing w:after="0" w:line="254" w:lineRule="auto"/>
        <w:rPr>
          <w:sz w:val="20"/>
          <w:szCs w:val="20"/>
          <w:color w:val="auto"/>
        </w:rPr>
      </w:pPr>
      <w:r>
        <w:rPr>
          <w:rFonts w:ascii="Arial" w:cs="Arial" w:eastAsia="Arial" w:hAnsi="Arial"/>
          <w:sz w:val="18"/>
          <w:szCs w:val="18"/>
          <w:color w:val="auto"/>
        </w:rPr>
        <w:t>Investment income for the three and six months ended March 31, 2008, was $9.7 million and $18.7 million, respectively. Investment income for the three and six months ended March 31, 2008 was primarily attributed to $3.7 million and $7.9 million of interest income from senior secured loan investments, $3.9 million and $6.8 million from our second lien secured debt investments, and $1.8 million and $3.5 million from our subordinated debt investments, respectively. The remaining investment income was primarily attributed to interest income from short-term investments, to accretion of discount and the amortization of premium.</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Expenses</w:t>
      </w:r>
    </w:p>
    <w:p>
      <w:pPr>
        <w:spacing w:after="0" w:line="96" w:lineRule="exact"/>
        <w:rPr>
          <w:sz w:val="20"/>
          <w:szCs w:val="20"/>
          <w:color w:val="auto"/>
        </w:rPr>
      </w:pPr>
    </w:p>
    <w:p>
      <w:pPr>
        <w:ind w:right="60" w:firstLine="449"/>
        <w:spacing w:after="0" w:line="256" w:lineRule="auto"/>
        <w:rPr>
          <w:sz w:val="20"/>
          <w:szCs w:val="20"/>
          <w:color w:val="auto"/>
        </w:rPr>
      </w:pPr>
      <w:r>
        <w:rPr>
          <w:rFonts w:ascii="Arial" w:cs="Arial" w:eastAsia="Arial" w:hAnsi="Arial"/>
          <w:sz w:val="18"/>
          <w:szCs w:val="18"/>
          <w:color w:val="auto"/>
        </w:rPr>
        <w:t>Net expenses for the three and six months ended March 31, 2009, totaled $5.2 million and $11.5 million, respectively, which consisted of a base management fee which totaled $1.8 million and $3.6 million, performance-based incentive fees which totaled $1.3 million and $2.8 million, credit facility related expenses which totaled $1.2 million and $3.0 million, and general and administrative expenses which totaled $0.9 million and $2.1 million for the three and six months, respectively.</w:t>
      </w:r>
    </w:p>
    <w:p>
      <w:pPr>
        <w:spacing w:after="0" w:line="143" w:lineRule="exact"/>
        <w:rPr>
          <w:sz w:val="20"/>
          <w:szCs w:val="20"/>
          <w:color w:val="auto"/>
        </w:rPr>
      </w:pPr>
    </w:p>
    <w:p>
      <w:pPr>
        <w:ind w:right="20" w:firstLine="449"/>
        <w:spacing w:after="0" w:line="256" w:lineRule="auto"/>
        <w:rPr>
          <w:sz w:val="20"/>
          <w:szCs w:val="20"/>
          <w:color w:val="auto"/>
        </w:rPr>
      </w:pPr>
      <w:r>
        <w:rPr>
          <w:rFonts w:ascii="Arial" w:cs="Arial" w:eastAsia="Arial" w:hAnsi="Arial"/>
          <w:sz w:val="18"/>
          <w:szCs w:val="18"/>
          <w:color w:val="auto"/>
        </w:rPr>
        <w:t>Net expenses for the three and six months ended March 31, 2008, totaled $5.3 million and $9.5 million, respectively, which consisted of $1.7 million and $2.8 million attributable to credit facility related expenses, and $1.1 million and $2.4 million to general and administrative expenses, respectively. Net base management fees for the same periods totaled $1.5 million and $2.9 million, respectively, and performance-based incentive fees totaled $1.0 million and $1.4 million, respectively.</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Investment Income</w:t>
      </w:r>
    </w:p>
    <w:p>
      <w:pPr>
        <w:spacing w:after="0" w:line="96" w:lineRule="exact"/>
        <w:rPr>
          <w:sz w:val="20"/>
          <w:szCs w:val="20"/>
          <w:color w:val="auto"/>
        </w:rPr>
      </w:pPr>
    </w:p>
    <w:p>
      <w:pPr>
        <w:ind w:right="640" w:firstLine="449"/>
        <w:spacing w:after="0" w:line="268" w:lineRule="auto"/>
        <w:rPr>
          <w:sz w:val="20"/>
          <w:szCs w:val="20"/>
          <w:color w:val="auto"/>
        </w:rPr>
      </w:pPr>
      <w:r>
        <w:rPr>
          <w:rFonts w:ascii="Arial" w:cs="Arial" w:eastAsia="Arial" w:hAnsi="Arial"/>
          <w:sz w:val="18"/>
          <w:szCs w:val="18"/>
          <w:color w:val="auto"/>
        </w:rPr>
        <w:t>Net investment income totaled $5.3 million and $11.0 million, or $0.25 and $0.52 per share, for the three and six months ended March 31, 2009, respectively.</w:t>
      </w:r>
    </w:p>
    <w:p>
      <w:pPr>
        <w:spacing w:after="0" w:line="132" w:lineRule="exact"/>
        <w:rPr>
          <w:sz w:val="20"/>
          <w:szCs w:val="20"/>
          <w:color w:val="auto"/>
        </w:rPr>
      </w:pPr>
    </w:p>
    <w:p>
      <w:pPr>
        <w:ind w:right="240" w:firstLine="449"/>
        <w:spacing w:after="0" w:line="268" w:lineRule="auto"/>
        <w:rPr>
          <w:sz w:val="20"/>
          <w:szCs w:val="20"/>
          <w:color w:val="auto"/>
        </w:rPr>
      </w:pPr>
      <w:r>
        <w:rPr>
          <w:rFonts w:ascii="Arial" w:cs="Arial" w:eastAsia="Arial" w:hAnsi="Arial"/>
          <w:sz w:val="18"/>
          <w:szCs w:val="18"/>
          <w:color w:val="auto"/>
        </w:rPr>
        <w:t>Net investment income totaled $4.4 million and $9.2 million, or $0.21 and $0.44 per share, respectively, for the three and six months ended March 31, 2008, respectively.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Realized Loss</w:t>
      </w:r>
    </w:p>
    <w:p>
      <w:pPr>
        <w:spacing w:after="0" w:line="96" w:lineRule="exact"/>
        <w:rPr>
          <w:sz w:val="20"/>
          <w:szCs w:val="20"/>
          <w:color w:val="auto"/>
        </w:rPr>
      </w:pPr>
    </w:p>
    <w:p>
      <w:pPr>
        <w:ind w:right="240" w:firstLine="449"/>
        <w:spacing w:after="0" w:line="268" w:lineRule="auto"/>
        <w:rPr>
          <w:sz w:val="20"/>
          <w:szCs w:val="20"/>
          <w:color w:val="auto"/>
        </w:rPr>
      </w:pPr>
      <w:r>
        <w:rPr>
          <w:rFonts w:ascii="Arial" w:cs="Arial" w:eastAsia="Arial" w:hAnsi="Arial"/>
          <w:sz w:val="18"/>
          <w:szCs w:val="18"/>
          <w:color w:val="auto"/>
        </w:rPr>
        <w:t>Sales and repayments of long-term investments for the three and six months ended March 31, 2009 totaled $3.3 million and $5.5 million, respectively, and realized losses totaled approximately $5.3 million and $6.1 million, respectively.</w:t>
      </w:r>
    </w:p>
    <w:p>
      <w:pPr>
        <w:spacing w:after="0" w:line="132" w:lineRule="exact"/>
        <w:rPr>
          <w:sz w:val="20"/>
          <w:szCs w:val="20"/>
          <w:color w:val="auto"/>
        </w:rPr>
      </w:pPr>
    </w:p>
    <w:p>
      <w:pPr>
        <w:ind w:right="240" w:firstLine="449"/>
        <w:spacing w:after="0" w:line="268" w:lineRule="auto"/>
        <w:rPr>
          <w:sz w:val="20"/>
          <w:szCs w:val="20"/>
          <w:color w:val="auto"/>
        </w:rPr>
      </w:pPr>
      <w:r>
        <w:rPr>
          <w:rFonts w:ascii="Arial" w:cs="Arial" w:eastAsia="Arial" w:hAnsi="Arial"/>
          <w:sz w:val="18"/>
          <w:szCs w:val="18"/>
          <w:color w:val="auto"/>
        </w:rPr>
        <w:t>Sales and repayments of long-term investments for the three and six months ended March 31, 2008 totaled $0.9 million and $5.2 million, respectively, and net realized losses totaled approximately $8,500 and $219,000, respectively.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Unrealized Appreciation/(Depreciation) on Investments, cash equivalents and credit facility</w:t>
      </w:r>
    </w:p>
    <w:p>
      <w:pPr>
        <w:spacing w:after="0" w:line="96" w:lineRule="exact"/>
        <w:rPr>
          <w:sz w:val="20"/>
          <w:szCs w:val="20"/>
          <w:color w:val="auto"/>
        </w:rPr>
      </w:pPr>
    </w:p>
    <w:p>
      <w:pPr>
        <w:ind w:right="140" w:firstLine="449"/>
        <w:spacing w:after="0" w:line="259" w:lineRule="auto"/>
        <w:rPr>
          <w:sz w:val="20"/>
          <w:szCs w:val="20"/>
          <w:color w:val="auto"/>
        </w:rPr>
      </w:pPr>
      <w:r>
        <w:rPr>
          <w:rFonts w:ascii="Arial" w:cs="Arial" w:eastAsia="Arial" w:hAnsi="Arial"/>
          <w:sz w:val="18"/>
          <w:szCs w:val="18"/>
          <w:color w:val="auto"/>
        </w:rPr>
        <w:t>For the three and six months ended March 31, 2009, the Company’s investments had a net unrealized appreciation of $27.3 million and a net unrealized depreciation of $15.1 million, respectively. For the three and six months ended March 31, 2009, the Company’s credit facility experienced a net unrealized depreciation of $14.9 million and $20.6 million, respectively. On March 31, 2009 and</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240"/>
          </w:cols>
          <w:pgMar w:left="320" w:top="459" w:right="3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206375</wp:posOffset>
            </wp:positionH>
            <wp:positionV relativeFrom="page">
              <wp:posOffset>88900</wp:posOffset>
            </wp:positionV>
            <wp:extent cx="7153275" cy="2794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32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5"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September 30, 2008, net unrealized depreciation on investments and cash equivalents totaled $87.1 million and $72.0 million, respectively, primarily due to the continued downturn in the leveraged finance credit market.</w:t>
      </w:r>
    </w:p>
    <w:p>
      <w:pPr>
        <w:spacing w:after="0" w:line="132" w:lineRule="exact"/>
        <w:rPr>
          <w:sz w:val="20"/>
          <w:szCs w:val="20"/>
          <w:color w:val="auto"/>
        </w:rPr>
      </w:pPr>
    </w:p>
    <w:p>
      <w:pPr>
        <w:ind w:right="260" w:firstLine="449"/>
        <w:spacing w:after="0" w:line="259" w:lineRule="auto"/>
        <w:rPr>
          <w:sz w:val="20"/>
          <w:szCs w:val="20"/>
          <w:color w:val="auto"/>
        </w:rPr>
      </w:pPr>
      <w:r>
        <w:rPr>
          <w:rFonts w:ascii="Arial" w:cs="Arial" w:eastAsia="Arial" w:hAnsi="Arial"/>
          <w:sz w:val="18"/>
          <w:szCs w:val="18"/>
          <w:color w:val="auto"/>
        </w:rPr>
        <w:t>For the three and six months ended March 31, 2008, the Company’s investments and cash equivalents had a net increase in unrealized depreciation of $37.8 million and $53.8 million, respectively. On March 31, 2008, net unrealized depreciation on investments and cash equivalents totaled $77.7 million, primarily due to the continued downturn in the leveraged finance credit market.</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Increase/(Decrease) in Net Assets from Operations</w:t>
      </w:r>
    </w:p>
    <w:p>
      <w:pPr>
        <w:spacing w:after="0" w:line="96" w:lineRule="exact"/>
        <w:rPr>
          <w:sz w:val="20"/>
          <w:szCs w:val="20"/>
          <w:color w:val="auto"/>
        </w:rPr>
      </w:pPr>
    </w:p>
    <w:p>
      <w:pPr>
        <w:ind w:right="140" w:firstLine="449"/>
        <w:spacing w:after="0" w:line="259" w:lineRule="auto"/>
        <w:rPr>
          <w:sz w:val="20"/>
          <w:szCs w:val="20"/>
          <w:color w:val="auto"/>
        </w:rPr>
      </w:pPr>
      <w:r>
        <w:rPr>
          <w:rFonts w:ascii="Arial" w:cs="Arial" w:eastAsia="Arial" w:hAnsi="Arial"/>
          <w:sz w:val="18"/>
          <w:szCs w:val="18"/>
          <w:color w:val="auto"/>
        </w:rPr>
        <w:t>Net increase in net assets resulting from operations totaled $42.2 million and $10.4 million, respectively, or $2.00 per share and $0.49 per share, respectively, for the three and six months ended March 31, 2009, primarily due to an increase in investment values and a decline in market value of our credit facility.</w:t>
      </w:r>
    </w:p>
    <w:p>
      <w:pPr>
        <w:spacing w:after="0" w:line="140" w:lineRule="exact"/>
        <w:rPr>
          <w:sz w:val="20"/>
          <w:szCs w:val="20"/>
          <w:color w:val="auto"/>
        </w:rPr>
      </w:pPr>
    </w:p>
    <w:p>
      <w:pPr>
        <w:ind w:right="100" w:firstLine="449"/>
        <w:spacing w:after="0" w:line="331" w:lineRule="auto"/>
        <w:rPr>
          <w:sz w:val="20"/>
          <w:szCs w:val="20"/>
          <w:color w:val="auto"/>
        </w:rPr>
      </w:pPr>
      <w:r>
        <w:rPr>
          <w:rFonts w:ascii="Arial" w:cs="Arial" w:eastAsia="Arial" w:hAnsi="Arial"/>
          <w:sz w:val="16"/>
          <w:szCs w:val="16"/>
          <w:color w:val="auto"/>
        </w:rPr>
        <w:t>Net decrease in net assets resulting from operations totaled $33.3 million and $44.9 million, or $1.58 and $2.13 per share, respectively, for the three and six months ended March 31, 2008, primarily due to the overall decline in market values for investments held in our portfolio.</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96" w:lineRule="exact"/>
        <w:rPr>
          <w:sz w:val="20"/>
          <w:szCs w:val="20"/>
          <w:color w:val="auto"/>
        </w:rPr>
      </w:pPr>
    </w:p>
    <w:p>
      <w:pPr>
        <w:ind w:right="200" w:firstLine="449"/>
        <w:spacing w:after="0" w:line="298" w:lineRule="auto"/>
        <w:rPr>
          <w:sz w:val="20"/>
          <w:szCs w:val="20"/>
          <w:color w:val="auto"/>
        </w:rPr>
      </w:pPr>
      <w:r>
        <w:rPr>
          <w:rFonts w:ascii="Arial" w:cs="Arial" w:eastAsia="Arial" w:hAnsi="Arial"/>
          <w:sz w:val="16"/>
          <w:szCs w:val="16"/>
          <w:color w:val="auto"/>
        </w:rPr>
        <w:t>On June 25, 2007, PennantPark Investment entered into a Senior Secured Revolving Credit Agreement (the “Credit Agreement”) among us, various lenders and SunTrust Bank, as administrative agent for the lenders. SunTrust Robinson Humphrey Capital Markets acted as the joint lead arranger and book-runner, and Bear Stearns Corporate Lending Inc. acted as joint lead arranger and syndication agent. As of March 31, 2009, PennantPark Investment had outstanding borrowings of $187.7 million under the Credit Agreement, with an average interest rate of 1.52%.</w:t>
      </w:r>
    </w:p>
    <w:p>
      <w:pPr>
        <w:spacing w:after="0" w:line="112" w:lineRule="exact"/>
        <w:rPr>
          <w:sz w:val="20"/>
          <w:szCs w:val="20"/>
          <w:color w:val="auto"/>
        </w:rPr>
      </w:pPr>
    </w:p>
    <w:p>
      <w:pPr>
        <w:jc w:val="both"/>
        <w:ind w:firstLine="449"/>
        <w:spacing w:after="0" w:line="259" w:lineRule="auto"/>
        <w:rPr>
          <w:sz w:val="20"/>
          <w:szCs w:val="20"/>
          <w:color w:val="auto"/>
        </w:rPr>
      </w:pPr>
      <w:r>
        <w:rPr>
          <w:rFonts w:ascii="Arial" w:cs="Arial" w:eastAsia="Arial" w:hAnsi="Arial"/>
          <w:sz w:val="18"/>
          <w:szCs w:val="18"/>
          <w:color w:val="auto"/>
        </w:rPr>
        <w:t>Under the Credit Agreement, the lenders agreed to extend us credit in an initial aggregate principal or face amount not exceeding $300 million at any one time outstanding. The Credit Agreement is a five-year revolving facility (with a stated maturity date of June 25, 2012) and is secured by substantially all of our investment portfolio assets. Pricing is set at 100 basis points over LIBOR.</w:t>
      </w:r>
    </w:p>
    <w:p>
      <w:pPr>
        <w:spacing w:after="0" w:line="140" w:lineRule="exact"/>
        <w:rPr>
          <w:sz w:val="20"/>
          <w:szCs w:val="20"/>
          <w:color w:val="auto"/>
        </w:rPr>
      </w:pPr>
    </w:p>
    <w:p>
      <w:pPr>
        <w:ind w:right="220" w:firstLine="449"/>
        <w:spacing w:after="0" w:line="268" w:lineRule="auto"/>
        <w:rPr>
          <w:sz w:val="20"/>
          <w:szCs w:val="20"/>
          <w:color w:val="auto"/>
        </w:rPr>
      </w:pPr>
      <w:r>
        <w:rPr>
          <w:rFonts w:ascii="Arial" w:cs="Arial" w:eastAsia="Arial" w:hAnsi="Arial"/>
          <w:sz w:val="18"/>
          <w:szCs w:val="18"/>
          <w:color w:val="auto"/>
        </w:rPr>
        <w:t>PennantPark Investment’s liquidity and capital resources are also generated and available from cash flows from operations, including investment sales and repayments of senior and subordinated loans, and net investment income.</w:t>
      </w:r>
    </w:p>
    <w:p>
      <w:pPr>
        <w:spacing w:after="0" w:line="132" w:lineRule="exact"/>
        <w:rPr>
          <w:sz w:val="20"/>
          <w:szCs w:val="20"/>
          <w:color w:val="auto"/>
        </w:rPr>
      </w:pPr>
    </w:p>
    <w:p>
      <w:pPr>
        <w:ind w:firstLine="449"/>
        <w:spacing w:after="0" w:line="285" w:lineRule="auto"/>
        <w:rPr>
          <w:sz w:val="20"/>
          <w:szCs w:val="20"/>
          <w:color w:val="auto"/>
        </w:rPr>
      </w:pPr>
      <w:r>
        <w:rPr>
          <w:rFonts w:ascii="Arial" w:cs="Arial" w:eastAsia="Arial" w:hAnsi="Arial"/>
          <w:sz w:val="16"/>
          <w:szCs w:val="16"/>
          <w:color w:val="auto"/>
        </w:rPr>
        <w:t>On March 31, 2009, PennantPark Investment had $187.7 million borrowings under our senior secured revolving credit facility, and $112.3 million remained available subject to maintenance of at least a 200% ratio of our total assets less liabilities other than indebtedness to our indebtedness, maintenance of a blended percentage of the values of our portfolio companies, and restrictions on certain payments and issuance of debt. In the future, PennantPark Investment may raise additional equity or debt capital through a registered offering off a shelf registration or may securitize a portion of its investments among other considerations. However, we face and expect to continue to face liquidity constraints under current market conditions, and, if such conditions worsen substantially, we may be unable to raise capital at all. Equity capital may be difficult to raise because, subject to some limited exceptions, we are not generally able to issue and sell our common stock at a price below net asset value per share. In addition, debt capital, to the extent it is available under stressed credit market conditions, may be issued at a higher cost and on less favorable terms and conditions. Furthermore, if the valuations of our portfolio companies continue to fall significantly from their present values, we may suffer reduced availability under our credit facility because such availability depends on (i) our asset coverage, which generally requires that the valuation of our total assets less liabilities other than indebtedness be at least equal to 200% of our indebtedness, (ii) our maintenance of a blended percentage of the values of our portfolio companies, and (iii) restrictions on certain payments and issuance of debt. The primary use of existing funds and any funds raised in the future is expected to be for repayment of indebtedness, investments in portfolio companies, cash distributions to our shareholders or for other general corporate purposes.</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220"/>
          </w:cols>
          <w:pgMar w:left="320" w:top="459" w:right="35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206375</wp:posOffset>
            </wp:positionH>
            <wp:positionV relativeFrom="page">
              <wp:posOffset>88900</wp:posOffset>
            </wp:positionV>
            <wp:extent cx="7153275" cy="2794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32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5" w:lineRule="exact"/>
        <w:rPr>
          <w:sz w:val="20"/>
          <w:szCs w:val="20"/>
          <w:color w:val="auto"/>
        </w:rPr>
      </w:pPr>
    </w:p>
    <w:p>
      <w:pPr>
        <w:ind w:right="220" w:firstLine="449"/>
        <w:spacing w:after="0" w:line="291" w:lineRule="auto"/>
        <w:rPr>
          <w:sz w:val="20"/>
          <w:szCs w:val="20"/>
          <w:color w:val="auto"/>
        </w:rPr>
      </w:pPr>
      <w:r>
        <w:rPr>
          <w:rFonts w:ascii="Arial" w:cs="Arial" w:eastAsia="Arial" w:hAnsi="Arial"/>
          <w:sz w:val="16"/>
          <w:szCs w:val="16"/>
          <w:color w:val="auto"/>
        </w:rPr>
        <w:t>Subsequent to March 31, 2009 and through the date of this report, conditions in the public debt and equity markets have continued to be volatile. As a result our net asset value may decline. The Credit Agreement requires the Company to maintain a minimum amount of shareholder’s equity and requires that the Company’s outstanding borrowings under the Credit Agreement not to exceed a blended percentage of the values of its portfolio companies. The Company’s continued compliance with these covenants depends on many factors, some of which are beyond the Company’s control. Material net asset devaluation could have a material adverse effect on the Company’s operations and could require the Company to reduce its borrowings under the Credit Agreement in order to comply with certain of the Credit Agreement’s covenants, including the ratio of total assets to total indebtedness.</w:t>
      </w:r>
    </w:p>
    <w:p>
      <w:pPr>
        <w:spacing w:after="0" w:line="120" w:lineRule="exact"/>
        <w:rPr>
          <w:sz w:val="20"/>
          <w:szCs w:val="20"/>
          <w:color w:val="auto"/>
        </w:rPr>
      </w:pPr>
    </w:p>
    <w:p>
      <w:pPr>
        <w:ind w:right="60" w:firstLine="449"/>
        <w:spacing w:after="0" w:line="294" w:lineRule="auto"/>
        <w:rPr>
          <w:sz w:val="20"/>
          <w:szCs w:val="20"/>
          <w:color w:val="auto"/>
        </w:rPr>
      </w:pPr>
      <w:r>
        <w:rPr>
          <w:rFonts w:ascii="Arial" w:cs="Arial" w:eastAsia="Arial" w:hAnsi="Arial"/>
          <w:sz w:val="16"/>
          <w:szCs w:val="16"/>
          <w:color w:val="auto"/>
        </w:rPr>
        <w:t>On March 31, 2009, we had $29.9 million in cash equivalents. During the six months ended March 31, 2009, we generated operating cash flows primarily from interest earned on debt investments, and our primary use of funds for operations during the same period consisted of investments in portfolio companies, payments of fees and other operating expenses we incurred. Our operating activities resulted in a net cash inflow of $4.1 million and $14.1 million, respectively, for the three and six months ended March 31, 2009, and our financing activities resulted in a net cash outflow of cash of $25.3 million and $24.4 million for the same periods, primarily from repayments under our credit facility.</w:t>
      </w:r>
    </w:p>
    <w:p>
      <w:pPr>
        <w:spacing w:after="0" w:line="115" w:lineRule="exact"/>
        <w:rPr>
          <w:sz w:val="20"/>
          <w:szCs w:val="20"/>
          <w:color w:val="auto"/>
        </w:rPr>
      </w:pPr>
    </w:p>
    <w:p>
      <w:pPr>
        <w:ind w:right="100" w:firstLine="449"/>
        <w:spacing w:after="0" w:line="294" w:lineRule="auto"/>
        <w:rPr>
          <w:sz w:val="20"/>
          <w:szCs w:val="20"/>
          <w:color w:val="auto"/>
        </w:rPr>
      </w:pPr>
      <w:r>
        <w:rPr>
          <w:rFonts w:ascii="Arial" w:cs="Arial" w:eastAsia="Arial" w:hAnsi="Arial"/>
          <w:sz w:val="16"/>
          <w:szCs w:val="16"/>
          <w:color w:val="auto"/>
        </w:rPr>
        <w:t>On March 31, 2008, we had $81.2 million in cash equivalents. During the six months ended March 31, 2008, we generated operating cash flows primarily from interest earned on debt investments, and our primary use of funds for operations during the same period consisted of investments in portfolio companies, payments of fees and other operating expenses we incurred. Our operating activities resulted in a net cash outflow of $98.9 million and $351.9 million, respectively, for the three and six months ended March 31, 2008, and our financing activities resulted in a net cash inflow of $98.3 million and $175.2 million for the same periods, primarily from borrowings under our credit facility</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96" w:lineRule="exact"/>
        <w:rPr>
          <w:sz w:val="20"/>
          <w:szCs w:val="20"/>
          <w:color w:val="auto"/>
        </w:rPr>
      </w:pPr>
    </w:p>
    <w:p>
      <w:pPr>
        <w:ind w:right="140" w:firstLine="449"/>
        <w:spacing w:after="0" w:line="268" w:lineRule="auto"/>
        <w:rPr>
          <w:sz w:val="20"/>
          <w:szCs w:val="20"/>
          <w:color w:val="auto"/>
        </w:rPr>
      </w:pPr>
      <w:r>
        <w:rPr>
          <w:rFonts w:ascii="Arial" w:cs="Arial" w:eastAsia="Arial" w:hAnsi="Arial"/>
          <w:sz w:val="18"/>
          <w:szCs w:val="18"/>
          <w:color w:val="auto"/>
        </w:rPr>
        <w:t>A summary of our significant contractual payment obligations for the repayment of outstanding borrowing under the multi-currency $300 million, five-year, revolving credit facility maturing in June 2012 is as follows:</w:t>
      </w: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8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300" w:type="dxa"/>
            <w:vAlign w:val="bottom"/>
            <w:tcBorders>
              <w:bottom w:val="single" w:sz="8" w:color="auto"/>
            </w:tcBorders>
            <w:gridSpan w:val="6"/>
          </w:tcPr>
          <w:p>
            <w:pPr>
              <w:ind w:left="80"/>
              <w:spacing w:after="0"/>
              <w:rPr>
                <w:sz w:val="20"/>
                <w:szCs w:val="20"/>
                <w:color w:val="auto"/>
              </w:rPr>
            </w:pPr>
            <w:r>
              <w:rPr>
                <w:rFonts w:ascii="Arial" w:cs="Arial" w:eastAsia="Arial" w:hAnsi="Arial"/>
                <w:sz w:val="13"/>
                <w:szCs w:val="13"/>
                <w:b w:val="1"/>
                <w:bCs w:val="1"/>
                <w:color w:val="auto"/>
              </w:rPr>
              <w:t>Payments due by period (millions)</w:t>
            </w:r>
          </w:p>
        </w:tc>
        <w:tc>
          <w:tcPr>
            <w:tcW w:w="620" w:type="dxa"/>
            <w:vAlign w:val="bottom"/>
            <w:tcBorders>
              <w:bottom w:val="single" w:sz="8" w:color="auto"/>
            </w:tcBorders>
          </w:tcPr>
          <w:p>
            <w:pPr>
              <w:spacing w:after="0"/>
              <w:rPr>
                <w:sz w:val="14"/>
                <w:szCs w:val="14"/>
                <w:color w:val="auto"/>
              </w:rPr>
            </w:pPr>
          </w:p>
        </w:tc>
      </w:tr>
      <w:tr>
        <w:trPr>
          <w:trHeight w:val="129"/>
        </w:trPr>
        <w:tc>
          <w:tcPr>
            <w:tcW w:w="5280" w:type="dxa"/>
            <w:vAlign w:val="bottom"/>
          </w:tcPr>
          <w:p>
            <w:pPr>
              <w:spacing w:after="0"/>
              <w:rPr>
                <w:sz w:val="11"/>
                <w:szCs w:val="11"/>
                <w:color w:val="auto"/>
              </w:rPr>
            </w:pPr>
          </w:p>
        </w:tc>
        <w:tc>
          <w:tcPr>
            <w:tcW w:w="2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jc w:val="center"/>
              <w:spacing w:after="0" w:line="129" w:lineRule="exact"/>
              <w:rPr>
                <w:sz w:val="20"/>
                <w:szCs w:val="20"/>
                <w:color w:val="auto"/>
              </w:rPr>
            </w:pPr>
            <w:r>
              <w:rPr>
                <w:rFonts w:ascii="Arial" w:cs="Arial" w:eastAsia="Arial" w:hAnsi="Arial"/>
                <w:sz w:val="13"/>
                <w:szCs w:val="13"/>
                <w:b w:val="1"/>
                <w:bCs w:val="1"/>
                <w:color w:val="auto"/>
                <w:w w:val="92"/>
              </w:rPr>
              <w:t>Less than</w:t>
            </w:r>
          </w:p>
        </w:tc>
        <w:tc>
          <w:tcPr>
            <w:tcW w:w="620" w:type="dxa"/>
            <w:vAlign w:val="bottom"/>
            <w:gridSpan w:val="2"/>
          </w:tcPr>
          <w:p>
            <w:pPr>
              <w:jc w:val="center"/>
              <w:ind w:left="253"/>
              <w:spacing w:after="0" w:line="129" w:lineRule="exact"/>
              <w:rPr>
                <w:sz w:val="20"/>
                <w:szCs w:val="20"/>
                <w:color w:val="auto"/>
              </w:rPr>
            </w:pPr>
            <w:r>
              <w:rPr>
                <w:rFonts w:ascii="Arial" w:cs="Arial" w:eastAsia="Arial" w:hAnsi="Arial"/>
                <w:sz w:val="13"/>
                <w:szCs w:val="13"/>
                <w:b w:val="1"/>
                <w:bCs w:val="1"/>
                <w:color w:val="auto"/>
                <w:w w:val="95"/>
              </w:rPr>
              <w:t>1-3</w:t>
            </w:r>
          </w:p>
        </w:tc>
        <w:tc>
          <w:tcPr>
            <w:tcW w:w="800" w:type="dxa"/>
            <w:vAlign w:val="bottom"/>
            <w:gridSpan w:val="2"/>
          </w:tcPr>
          <w:p>
            <w:pPr>
              <w:jc w:val="center"/>
              <w:ind w:left="222"/>
              <w:spacing w:after="0" w:line="129" w:lineRule="exact"/>
              <w:rPr>
                <w:sz w:val="20"/>
                <w:szCs w:val="20"/>
                <w:color w:val="auto"/>
              </w:rPr>
            </w:pPr>
            <w:r>
              <w:rPr>
                <w:rFonts w:ascii="Arial" w:cs="Arial" w:eastAsia="Arial" w:hAnsi="Arial"/>
                <w:sz w:val="13"/>
                <w:szCs w:val="13"/>
                <w:b w:val="1"/>
                <w:bCs w:val="1"/>
                <w:color w:val="auto"/>
                <w:w w:val="95"/>
              </w:rPr>
              <w:t>3-5</w:t>
            </w:r>
          </w:p>
        </w:tc>
        <w:tc>
          <w:tcPr>
            <w:tcW w:w="320" w:type="dxa"/>
            <w:vAlign w:val="bottom"/>
          </w:tcPr>
          <w:p>
            <w:pPr>
              <w:spacing w:after="0"/>
              <w:rPr>
                <w:sz w:val="11"/>
                <w:szCs w:val="11"/>
                <w:color w:val="auto"/>
              </w:rPr>
            </w:pPr>
          </w:p>
        </w:tc>
        <w:tc>
          <w:tcPr>
            <w:tcW w:w="620" w:type="dxa"/>
            <w:vAlign w:val="bottom"/>
          </w:tcPr>
          <w:p>
            <w:pPr>
              <w:jc w:val="center"/>
              <w:spacing w:after="0" w:line="129" w:lineRule="exact"/>
              <w:rPr>
                <w:sz w:val="20"/>
                <w:szCs w:val="20"/>
                <w:color w:val="auto"/>
              </w:rPr>
            </w:pPr>
            <w:r>
              <w:rPr>
                <w:rFonts w:ascii="Arial" w:cs="Arial" w:eastAsia="Arial" w:hAnsi="Arial"/>
                <w:sz w:val="13"/>
                <w:szCs w:val="13"/>
                <w:b w:val="1"/>
                <w:bCs w:val="1"/>
                <w:color w:val="auto"/>
                <w:w w:val="99"/>
              </w:rPr>
              <w:t>More than</w:t>
            </w:r>
          </w:p>
        </w:tc>
      </w:tr>
      <w:tr>
        <w:trPr>
          <w:trHeight w:val="161"/>
        </w:trPr>
        <w:tc>
          <w:tcPr>
            <w:tcW w:w="528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5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Total</w:t>
            </w:r>
          </w:p>
        </w:tc>
        <w:tc>
          <w:tcPr>
            <w:tcW w:w="300" w:type="dxa"/>
            <w:vAlign w:val="bottom"/>
          </w:tcPr>
          <w:p>
            <w:pPr>
              <w:spacing w:after="0"/>
              <w:rPr>
                <w:sz w:val="14"/>
                <w:szCs w:val="14"/>
                <w:color w:val="auto"/>
              </w:rPr>
            </w:pPr>
          </w:p>
        </w:tc>
        <w:tc>
          <w:tcPr>
            <w:tcW w:w="5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5"/>
              </w:rPr>
              <w:t>1 year</w:t>
            </w:r>
          </w:p>
        </w:tc>
        <w:tc>
          <w:tcPr>
            <w:tcW w:w="300" w:type="dxa"/>
            <w:vAlign w:val="bottom"/>
          </w:tcPr>
          <w:p>
            <w:pPr>
              <w:spacing w:after="0"/>
              <w:rPr>
                <w:sz w:val="14"/>
                <w:szCs w:val="14"/>
                <w:color w:val="auto"/>
              </w:rPr>
            </w:pPr>
          </w:p>
        </w:tc>
        <w:tc>
          <w:tcPr>
            <w:tcW w:w="3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4"/>
              </w:rPr>
              <w:t>years</w:t>
            </w:r>
          </w:p>
        </w:tc>
        <w:tc>
          <w:tcPr>
            <w:tcW w:w="300" w:type="dxa"/>
            <w:vAlign w:val="bottom"/>
          </w:tcPr>
          <w:p>
            <w:pPr>
              <w:spacing w:after="0"/>
              <w:rPr>
                <w:sz w:val="14"/>
                <w:szCs w:val="14"/>
                <w:color w:val="auto"/>
              </w:rPr>
            </w:pPr>
          </w:p>
        </w:tc>
        <w:tc>
          <w:tcPr>
            <w:tcW w:w="5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4"/>
              </w:rPr>
              <w:t>years</w:t>
            </w:r>
          </w:p>
        </w:tc>
        <w:tc>
          <w:tcPr>
            <w:tcW w:w="320" w:type="dxa"/>
            <w:vAlign w:val="bottom"/>
          </w:tcPr>
          <w:p>
            <w:pPr>
              <w:spacing w:after="0"/>
              <w:rPr>
                <w:sz w:val="14"/>
                <w:szCs w:val="14"/>
                <w:color w:val="auto"/>
              </w:rPr>
            </w:pP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3"/>
              </w:rPr>
              <w:t>5 years</w:t>
            </w:r>
          </w:p>
        </w:tc>
      </w:tr>
      <w:tr>
        <w:trPr>
          <w:trHeight w:val="209"/>
        </w:trPr>
        <w:tc>
          <w:tcPr>
            <w:tcW w:w="5280" w:type="dxa"/>
            <w:vAlign w:val="bottom"/>
            <w:shd w:val="clear" w:color="auto" w:fill="CCEEFF"/>
          </w:tcPr>
          <w:p>
            <w:pPr>
              <w:spacing w:after="0" w:line="209" w:lineRule="exact"/>
              <w:rPr>
                <w:sz w:val="20"/>
                <w:szCs w:val="20"/>
                <w:color w:val="auto"/>
              </w:rPr>
            </w:pPr>
            <w:r>
              <w:rPr>
                <w:rFonts w:ascii="Arial" w:cs="Arial" w:eastAsia="Arial" w:hAnsi="Arial"/>
                <w:sz w:val="18"/>
                <w:szCs w:val="18"/>
                <w:color w:val="auto"/>
              </w:rPr>
              <w:t>Senior secured Revolving Credit Facility</w:t>
            </w:r>
            <w:r>
              <w:rPr>
                <w:rFonts w:ascii="Arial" w:cs="Arial" w:eastAsia="Arial" w:hAnsi="Arial"/>
                <w:sz w:val="22"/>
                <w:szCs w:val="22"/>
                <w:color w:val="auto"/>
                <w:vertAlign w:val="superscript"/>
              </w:rPr>
              <w:t>(1)</w:t>
            </w:r>
          </w:p>
        </w:tc>
        <w:tc>
          <w:tcPr>
            <w:tcW w:w="304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$187.7</w:t>
            </w:r>
          </w:p>
        </w:tc>
        <w:tc>
          <w:tcPr>
            <w:tcW w:w="5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800" w:type="dxa"/>
            <w:vAlign w:val="bottom"/>
            <w:gridSpan w:val="2"/>
            <w:shd w:val="clear" w:color="auto" w:fill="CCEEFF"/>
          </w:tcPr>
          <w:p>
            <w:pPr>
              <w:jc w:val="center"/>
              <w:ind w:left="222"/>
              <w:spacing w:after="0"/>
              <w:rPr>
                <w:sz w:val="20"/>
                <w:szCs w:val="20"/>
                <w:color w:val="auto"/>
              </w:rPr>
            </w:pPr>
            <w:r>
              <w:rPr>
                <w:rFonts w:ascii="Arial" w:cs="Arial" w:eastAsia="Arial" w:hAnsi="Arial"/>
                <w:sz w:val="18"/>
                <w:szCs w:val="18"/>
                <w:color w:val="auto"/>
                <w:w w:val="90"/>
              </w:rPr>
              <w:t>$187.7</w:t>
            </w:r>
          </w:p>
        </w:tc>
        <w:tc>
          <w:tcPr>
            <w:tcW w:w="320" w:type="dxa"/>
            <w:vAlign w:val="bottom"/>
            <w:shd w:val="clear" w:color="auto" w:fill="CCEEFF"/>
          </w:tcPr>
          <w:p>
            <w:pPr>
              <w:spacing w:after="0"/>
              <w:rPr>
                <w:sz w:val="18"/>
                <w:szCs w:val="18"/>
                <w:color w:val="auto"/>
              </w:rPr>
            </w:pPr>
          </w:p>
        </w:tc>
        <w:tc>
          <w:tcPr>
            <w:tcW w:w="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1120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1200" cy="8255"/>
                    </a:xfrm>
                    <a:prstGeom prst="rect">
                      <a:avLst/>
                    </a:prstGeom>
                    <a:noFill/>
                  </pic:spPr>
                </pic:pic>
              </a:graphicData>
            </a:graphic>
          </wp:anchor>
        </w:drawing>
      </w:r>
    </w:p>
    <w:p>
      <w:pPr>
        <w:spacing w:after="0" w:line="120" w:lineRule="exact"/>
        <w:rPr>
          <w:sz w:val="20"/>
          <w:szCs w:val="20"/>
          <w:color w:val="auto"/>
        </w:rPr>
      </w:pPr>
    </w:p>
    <w:p>
      <w:pPr>
        <w:ind w:left="460" w:right="40" w:hanging="452"/>
        <w:spacing w:after="0" w:line="259" w:lineRule="auto"/>
        <w:tabs>
          <w:tab w:leader="none" w:pos="4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On March 31, 2009, $112.3 million remained unused under our senior secured revolving credit facility, subject to maintenance of at least a 200% ratio of our total assets less liabilities other than indebtedness to our total outstanding indebtedness, maintenance of a blended percentage of the values of our portfolio companies, and restrictions on certain payments and issuance of debt.</w:t>
      </w:r>
    </w:p>
    <w:p>
      <w:pPr>
        <w:spacing w:after="0" w:line="140" w:lineRule="exact"/>
        <w:rPr>
          <w:sz w:val="20"/>
          <w:szCs w:val="20"/>
          <w:color w:val="auto"/>
        </w:rPr>
      </w:pPr>
    </w:p>
    <w:p>
      <w:pPr>
        <w:ind w:right="100" w:firstLine="449"/>
        <w:spacing w:after="0" w:line="254" w:lineRule="auto"/>
        <w:rPr>
          <w:sz w:val="20"/>
          <w:szCs w:val="20"/>
          <w:color w:val="auto"/>
        </w:rPr>
      </w:pPr>
      <w:r>
        <w:rPr>
          <w:rFonts w:ascii="Arial" w:cs="Arial" w:eastAsia="Arial" w:hAnsi="Arial"/>
          <w:sz w:val="18"/>
          <w:szCs w:val="18"/>
          <w:color w:val="auto"/>
        </w:rPr>
        <w:t>We have entered into certain contracts under which we have material future commitments. On April 17, 2007 we entered into an Investment Management Agreement with the Investment Adviser in accordance with the 1940 Act, effective as of the completion of our initial public offering, pursuant to which the Investment Adviser provides us with investment advisory and management services. Payments under the Investment Management Agreement in each reporting period are equal to (1) a management fee equal to a percentage of the value of our gross assets and (2) an incentive fee based on our performance (see note 3 to our financial statements for more information).</w:t>
      </w:r>
    </w:p>
    <w:p>
      <w:pPr>
        <w:spacing w:after="0" w:line="147" w:lineRule="exact"/>
        <w:rPr>
          <w:sz w:val="20"/>
          <w:szCs w:val="20"/>
          <w:color w:val="auto"/>
        </w:rPr>
      </w:pPr>
    </w:p>
    <w:p>
      <w:pPr>
        <w:ind w:right="40" w:firstLine="449"/>
        <w:spacing w:after="0" w:line="254" w:lineRule="auto"/>
        <w:rPr>
          <w:sz w:val="20"/>
          <w:szCs w:val="20"/>
          <w:color w:val="auto"/>
        </w:rPr>
      </w:pPr>
      <w:r>
        <w:rPr>
          <w:rFonts w:ascii="Arial" w:cs="Arial" w:eastAsia="Arial" w:hAnsi="Arial"/>
          <w:sz w:val="18"/>
          <w:szCs w:val="18"/>
          <w:color w:val="auto"/>
        </w:rPr>
        <w:t>Pursuant to an Administration Agreement, dated April 17, 2007, the Administrator furnishes us with office facilities and administrative services necessary to conduct our day-to-day operations. If requested to provide managerial assistance to our portfolio companies, the Administrator will be paid an additional amount based on the services provided, which amount will not in any case exceed the amount we receive from the portfolio companies for such services. Payment under the Administration Agreement is based upon our allocable portion of the Administrator’s overhead in performing its obligations under the Administration Agreement, including rent, technology systems, insurance and our allocable portion of the costs of our chief compliance officer, chief financial officer and their respective staffs.</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240"/>
          </w:cols>
          <w:pgMar w:left="320" w:top="459" w:right="3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206375</wp:posOffset>
            </wp:positionH>
            <wp:positionV relativeFrom="page">
              <wp:posOffset>88900</wp:posOffset>
            </wp:positionV>
            <wp:extent cx="7153275" cy="2794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32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5" w:lineRule="exact"/>
        <w:rPr>
          <w:sz w:val="20"/>
          <w:szCs w:val="20"/>
          <w:color w:val="auto"/>
        </w:rPr>
      </w:pPr>
    </w:p>
    <w:p>
      <w:pPr>
        <w:ind w:right="60" w:firstLine="449"/>
        <w:spacing w:after="0" w:line="306" w:lineRule="auto"/>
        <w:rPr>
          <w:sz w:val="20"/>
          <w:szCs w:val="20"/>
          <w:color w:val="auto"/>
        </w:rPr>
      </w:pPr>
      <w:r>
        <w:rPr>
          <w:rFonts w:ascii="Arial" w:cs="Arial" w:eastAsia="Arial" w:hAnsi="Arial"/>
          <w:sz w:val="16"/>
          <w:szCs w:val="16"/>
          <w:color w:val="auto"/>
        </w:rPr>
        <w:t>If any of our contractual obligations discussed above is terminated, our costs under new agreements that we enter into may increase. In addition, we will likely incur significant time and expense in locating alternative parties to provide the services we expect to receive under our Investment Management Agreement and our Administration Agreement. Any new investment management agreement would also be subject to approval by our stockholders.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engage in no off-balance sheet arrangements, including any risk management of commodity pricing or other hedging practices.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Distributions</w:t>
      </w:r>
    </w:p>
    <w:p>
      <w:pPr>
        <w:spacing w:after="0" w:line="96" w:lineRule="exact"/>
        <w:rPr>
          <w:sz w:val="20"/>
          <w:szCs w:val="20"/>
          <w:color w:val="auto"/>
        </w:rPr>
      </w:pPr>
    </w:p>
    <w:p>
      <w:pPr>
        <w:jc w:val="both"/>
        <w:ind w:right="140" w:firstLine="449"/>
        <w:spacing w:after="0" w:line="306" w:lineRule="auto"/>
        <w:rPr>
          <w:sz w:val="20"/>
          <w:szCs w:val="20"/>
          <w:color w:val="auto"/>
        </w:rPr>
      </w:pPr>
      <w:r>
        <w:rPr>
          <w:rFonts w:ascii="Arial" w:cs="Arial" w:eastAsia="Arial" w:hAnsi="Arial"/>
          <w:sz w:val="16"/>
          <w:szCs w:val="16"/>
          <w:color w:val="auto"/>
        </w:rPr>
        <w:t>In order to qualify as a regulated investment company and to avoid corporate level tax on income, we are required, under Subchapter M of the Code, to distribute at least 90% of our ordinary income and net short-term capital gains in excess of realized net long-term capital losses, if any, to our stockholders on an annual basis. Additionally, we must distribute at least 98% of our income (both ordinary income and net capital gains) to avoid an excise tax.</w:t>
      </w:r>
    </w:p>
    <w:p>
      <w:pPr>
        <w:spacing w:after="0" w:line="106" w:lineRule="exact"/>
        <w:rPr>
          <w:sz w:val="20"/>
          <w:szCs w:val="20"/>
          <w:color w:val="auto"/>
        </w:rPr>
      </w:pPr>
    </w:p>
    <w:p>
      <w:pPr>
        <w:ind w:right="120" w:firstLine="449"/>
        <w:spacing w:after="0" w:line="268" w:lineRule="auto"/>
        <w:rPr>
          <w:sz w:val="20"/>
          <w:szCs w:val="20"/>
          <w:color w:val="auto"/>
        </w:rPr>
      </w:pPr>
      <w:r>
        <w:rPr>
          <w:rFonts w:ascii="Arial" w:cs="Arial" w:eastAsia="Arial" w:hAnsi="Arial"/>
          <w:sz w:val="18"/>
          <w:szCs w:val="18"/>
          <w:color w:val="auto"/>
        </w:rPr>
        <w:t>Distributions declared to stockholders for the three and six months ended March 31, 2009, totaled $5.1 million and $10.1 million, respectively, or $0.24 and $0.48 per share, respectively.</w:t>
      </w:r>
    </w:p>
    <w:p>
      <w:pPr>
        <w:spacing w:after="0" w:line="132" w:lineRule="exact"/>
        <w:rPr>
          <w:sz w:val="20"/>
          <w:szCs w:val="20"/>
          <w:color w:val="auto"/>
        </w:rPr>
      </w:pPr>
    </w:p>
    <w:p>
      <w:pPr>
        <w:ind w:right="200" w:firstLine="449"/>
        <w:spacing w:after="0" w:line="268" w:lineRule="auto"/>
        <w:rPr>
          <w:sz w:val="20"/>
          <w:szCs w:val="20"/>
          <w:color w:val="auto"/>
        </w:rPr>
      </w:pPr>
      <w:r>
        <w:rPr>
          <w:rFonts w:ascii="Arial" w:cs="Arial" w:eastAsia="Arial" w:hAnsi="Arial"/>
          <w:sz w:val="18"/>
          <w:szCs w:val="18"/>
          <w:color w:val="auto"/>
        </w:rPr>
        <w:t>Distributions declared to stockholders for the three and six months ended March 31, 2008, totaled $4.6 million and $9.3 million, respectively, or $0.22 and $0.44 per share, respectively.</w:t>
      </w:r>
    </w:p>
    <w:p>
      <w:pPr>
        <w:spacing w:after="0" w:line="132" w:lineRule="exact"/>
        <w:rPr>
          <w:sz w:val="20"/>
          <w:szCs w:val="20"/>
          <w:color w:val="auto"/>
        </w:rPr>
      </w:pPr>
    </w:p>
    <w:p>
      <w:pPr>
        <w:ind w:right="20" w:firstLine="449"/>
        <w:spacing w:after="0" w:line="268" w:lineRule="auto"/>
        <w:rPr>
          <w:sz w:val="20"/>
          <w:szCs w:val="20"/>
          <w:color w:val="auto"/>
        </w:rPr>
      </w:pPr>
      <w:r>
        <w:rPr>
          <w:rFonts w:ascii="Arial" w:cs="Arial" w:eastAsia="Arial" w:hAnsi="Arial"/>
          <w:sz w:val="18"/>
          <w:szCs w:val="18"/>
          <w:color w:val="auto"/>
        </w:rPr>
        <w:t>We intend to continue to distribute quarterly dividends to our stockholders. Our quarterly dividends, if any, are determined by our board of directors. Tax characteristics of all distributions will be reported to stockholders on Form 1099 after the end of the calendar year.</w:t>
      </w:r>
    </w:p>
    <w:p>
      <w:pPr>
        <w:spacing w:after="0" w:line="132" w:lineRule="exact"/>
        <w:rPr>
          <w:sz w:val="20"/>
          <w:szCs w:val="20"/>
          <w:color w:val="auto"/>
        </w:rPr>
      </w:pPr>
    </w:p>
    <w:p>
      <w:pPr>
        <w:ind w:right="80" w:firstLine="449"/>
        <w:spacing w:after="0" w:line="259" w:lineRule="auto"/>
        <w:rPr>
          <w:sz w:val="20"/>
          <w:szCs w:val="20"/>
          <w:color w:val="auto"/>
        </w:rPr>
      </w:pPr>
      <w:r>
        <w:rPr>
          <w:rFonts w:ascii="Arial" w:cs="Arial" w:eastAsia="Arial" w:hAnsi="Arial"/>
          <w:sz w:val="18"/>
          <w:szCs w:val="18"/>
          <w:color w:val="auto"/>
        </w:rPr>
        <w:t>We maintain an “opt out” dividend reinvestment plan for our common stockholders. As a result, if we declare a dividend, then stockholders’ cash dividends will be automatically reinvested in additional shares of our common stock, unless they specifically “opt out” of the dividend reinvestment plan so as to receive cash dividends.</w:t>
      </w:r>
    </w:p>
    <w:p>
      <w:pPr>
        <w:spacing w:after="0" w:line="140" w:lineRule="exact"/>
        <w:rPr>
          <w:sz w:val="20"/>
          <w:szCs w:val="20"/>
          <w:color w:val="auto"/>
        </w:rPr>
      </w:pPr>
    </w:p>
    <w:p>
      <w:pPr>
        <w:ind w:right="80" w:firstLine="449"/>
        <w:spacing w:after="0" w:line="294" w:lineRule="auto"/>
        <w:rPr>
          <w:sz w:val="20"/>
          <w:szCs w:val="20"/>
          <w:color w:val="auto"/>
        </w:rPr>
      </w:pPr>
      <w:r>
        <w:rPr>
          <w:rFonts w:ascii="Arial" w:cs="Arial" w:eastAsia="Arial" w:hAnsi="Arial"/>
          <w:sz w:val="16"/>
          <w:szCs w:val="16"/>
          <w:color w:val="auto"/>
        </w:rPr>
        <w:t>We may not be able to achieve operating results that will allow us to make dividends and distributions at a specific level or to increase the amount of these dividends and distributions from time to time. In addition, we may be limited in our ability to make dividends and distributions due to the asset coverage test for borrowings applicable to us as a business development company under the 1940 Act or due to provisions in current or future credit facilities. If we do not distribute a certain percentage of our income annually, we will suffer adverse tax consequences, including possible loss of RIC status. We cannot assure stockholders that they will receive any dividends and distributions at a particular level.</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87"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96" w:lineRule="exact"/>
        <w:rPr>
          <w:sz w:val="20"/>
          <w:szCs w:val="20"/>
          <w:color w:val="auto"/>
        </w:rPr>
      </w:pPr>
    </w:p>
    <w:p>
      <w:pPr>
        <w:ind w:right="140" w:firstLine="449"/>
        <w:spacing w:after="0" w:line="259" w:lineRule="auto"/>
        <w:rPr>
          <w:sz w:val="20"/>
          <w:szCs w:val="20"/>
          <w:color w:val="auto"/>
        </w:rPr>
      </w:pPr>
      <w:r>
        <w:rPr>
          <w:rFonts w:ascii="Arial" w:cs="Arial" w:eastAsia="Arial" w:hAnsi="Arial"/>
          <w:sz w:val="18"/>
          <w:szCs w:val="18"/>
          <w:color w:val="auto"/>
        </w:rPr>
        <w:t>We are subject to financial market risks, including changes in interest rates. During the period covered by this report, many of the loans in our portfolio had floating interest rates. These loans are usually based on a floating LIBOR and typically have durations of three months after which they reset to current market interest rates.</w:t>
      </w:r>
    </w:p>
    <w:p>
      <w:pPr>
        <w:spacing w:after="0" w:line="140" w:lineRule="exact"/>
        <w:rPr>
          <w:sz w:val="20"/>
          <w:szCs w:val="20"/>
          <w:color w:val="auto"/>
        </w:rPr>
      </w:pPr>
    </w:p>
    <w:p>
      <w:pPr>
        <w:ind w:firstLine="449"/>
        <w:spacing w:after="0" w:line="294" w:lineRule="auto"/>
        <w:rPr>
          <w:sz w:val="20"/>
          <w:szCs w:val="20"/>
          <w:color w:val="auto"/>
        </w:rPr>
      </w:pPr>
      <w:r>
        <w:rPr>
          <w:rFonts w:ascii="Arial" w:cs="Arial" w:eastAsia="Arial" w:hAnsi="Arial"/>
          <w:sz w:val="16"/>
          <w:szCs w:val="16"/>
          <w:color w:val="auto"/>
        </w:rPr>
        <w:t>Assuming that the balance sheet as of the period covered by this report was to remain constant and no actions were taken to alter the existing interest rate sensitivity, a hypothetical immediate 1% change in interest rates may affect net income by more than 1% over a one-year horizon. Although management believes that this measure is indicative of our sensitivity to interest rate changes, it does not adjust for potential changes in the credit market, credit quality, size and composition of the assets on the balance sheet and other business developments that could affect net increase in net assets resulting from operations, or net income. Accordingly, no assurances can be given that actual results would not differ materially from the statement above.</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220"/>
          </w:cols>
          <w:pgMar w:left="320" w:top="459" w:right="35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206375</wp:posOffset>
            </wp:positionH>
            <wp:positionV relativeFrom="page">
              <wp:posOffset>88900</wp:posOffset>
            </wp:positionV>
            <wp:extent cx="7153275" cy="2794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32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5" w:lineRule="exact"/>
        <w:rPr>
          <w:sz w:val="20"/>
          <w:szCs w:val="20"/>
          <w:color w:val="auto"/>
        </w:rPr>
      </w:pPr>
    </w:p>
    <w:p>
      <w:pPr>
        <w:ind w:firstLine="449"/>
        <w:spacing w:after="0" w:line="256" w:lineRule="auto"/>
        <w:rPr>
          <w:sz w:val="20"/>
          <w:szCs w:val="20"/>
          <w:color w:val="auto"/>
        </w:rPr>
      </w:pPr>
      <w:r>
        <w:rPr>
          <w:rFonts w:ascii="Arial" w:cs="Arial" w:eastAsia="Arial" w:hAnsi="Arial"/>
          <w:sz w:val="18"/>
          <w:szCs w:val="18"/>
          <w:color w:val="auto"/>
        </w:rPr>
        <w:t>Because we borrow money to make investments, our net investment income is dependent upon the difference between the rate at which we borrow funds and the rate at which we invest these funds. In periods of declining interest rates, our cost of funds would decrease, which may reduce our net investment income. As a result, there can be no assurance that a significant change in market interest rates will not have a material adverse effect on our net investment income.</w:t>
      </w:r>
    </w:p>
    <w:p>
      <w:pPr>
        <w:spacing w:after="0" w:line="143" w:lineRule="exact"/>
        <w:rPr>
          <w:sz w:val="20"/>
          <w:szCs w:val="20"/>
          <w:color w:val="auto"/>
        </w:rPr>
      </w:pPr>
    </w:p>
    <w:p>
      <w:pPr>
        <w:ind w:firstLine="449"/>
        <w:spacing w:after="0" w:line="256" w:lineRule="auto"/>
        <w:rPr>
          <w:sz w:val="20"/>
          <w:szCs w:val="20"/>
          <w:color w:val="auto"/>
        </w:rPr>
      </w:pPr>
      <w:r>
        <w:rPr>
          <w:rFonts w:ascii="Arial" w:cs="Arial" w:eastAsia="Arial" w:hAnsi="Arial"/>
          <w:sz w:val="18"/>
          <w:szCs w:val="18"/>
          <w:color w:val="auto"/>
        </w:rPr>
        <w:t>We may hedge against interest rate fluctuations by using standard hedging instruments such as futures, options and forward contracts subject to the requirements of the 1940 Act. While hedging activities may insulate us against adverse changes in interest rates, they may also limit our ability to participate in benefits of lower interest rates with respect to our portfolio of investments with fixed interest rates. During the period covered by this report, we did not engage in interest rate hedging activities.</w:t>
      </w:r>
    </w:p>
    <w:p>
      <w:pPr>
        <w:spacing w:after="0" w:line="258"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Controls and Procedures</w:t>
      </w:r>
    </w:p>
    <w:p>
      <w:pPr>
        <w:spacing w:after="0" w:line="96" w:lineRule="exact"/>
        <w:rPr>
          <w:sz w:val="20"/>
          <w:szCs w:val="20"/>
          <w:color w:val="auto"/>
        </w:rPr>
      </w:pPr>
    </w:p>
    <w:p>
      <w:pPr>
        <w:ind w:right="80" w:firstLine="449"/>
        <w:spacing w:after="0" w:line="288" w:lineRule="auto"/>
        <w:rPr>
          <w:sz w:val="20"/>
          <w:szCs w:val="20"/>
          <w:color w:val="auto"/>
        </w:rPr>
      </w:pPr>
      <w:r>
        <w:rPr>
          <w:rFonts w:ascii="Arial" w:cs="Arial" w:eastAsia="Arial" w:hAnsi="Arial"/>
          <w:sz w:val="16"/>
          <w:szCs w:val="16"/>
          <w:color w:val="auto"/>
        </w:rPr>
        <w:t>As of the period covered by this report, we, including our Chief Executive Officer and Chief Financial Officer, evaluated the effectiveness of the design and operation of our disclosure controls and procedures (as defined in Rule 13a-15(e) under the Securities Exchange Act of 1934). Based on that evaluation, our management, including the Chief Executive Officer and Chief Financial Officer, concluded that our disclosure controls and procedures were effective in timely alerting management, including the Chief Executive Officer and Chief Financial Officer, of material information about us required to be included in periodic SEC filings. However, in evaluating the disclosure controls and procedures, management recognized that any controls and procedures, no matter how well designed and operated, can provide only reasonable assurance of achieving the desired control objectives, and management necessarily was required to apply its judgment in evaluating the cost-benefit relationship of possible controls and procedures. There have been no changes in our internal controls over financial reporting (as defined in Rule 13a-15(f) under the Securities Exchange Act of 1934) that occurred during the period covered by this report that have materially affected, or are reasonably likely to materially affect, our internal controls over financial reporting.</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200"/>
          </w:cols>
          <w:pgMar w:left="320" w:top="459" w:right="37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206375</wp:posOffset>
            </wp:positionH>
            <wp:positionV relativeFrom="page">
              <wp:posOffset>88900</wp:posOffset>
            </wp:positionV>
            <wp:extent cx="7153275" cy="2794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32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 OTHER INFORMATION</w:t>
      </w:r>
    </w:p>
    <w:p>
      <w:pPr>
        <w:spacing w:after="0" w:line="90"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96" w:lineRule="exact"/>
        <w:rPr>
          <w:sz w:val="20"/>
          <w:szCs w:val="20"/>
          <w:color w:val="auto"/>
        </w:rPr>
      </w:pPr>
    </w:p>
    <w:p>
      <w:pPr>
        <w:jc w:val="both"/>
        <w:ind w:right="160" w:firstLine="449"/>
        <w:spacing w:after="0" w:line="294" w:lineRule="auto"/>
        <w:rPr>
          <w:sz w:val="20"/>
          <w:szCs w:val="20"/>
          <w:color w:val="auto"/>
        </w:rPr>
      </w:pPr>
      <w:r>
        <w:rPr>
          <w:rFonts w:ascii="Arial" w:cs="Arial" w:eastAsia="Arial" w:hAnsi="Arial"/>
          <w:sz w:val="16"/>
          <w:szCs w:val="16"/>
          <w:color w:val="auto"/>
        </w:rPr>
        <w:t>Neither our Investment Adviser, our Administrator or us is currently subject to any material legal proceedings, nor, to our knowledge, is any material legal proceeding threatened against us, or against the Investment Adviser or Administrator. From time to time, we, the Investment Adviser or Administrator, may be a party to certain legal proceedings in the ordinary course of business, including proceedings relating to the enforcement of our rights under contracts with our portfolio companies. While the outcome of these legal proceedings cannot be predicted with certainty, we do not expect that these proceedings will have a material effect upon our financial condition or results of operations.</w:t>
      </w:r>
    </w:p>
    <w:p>
      <w:pPr>
        <w:spacing w:after="0" w:line="231"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5"/>
          <w:szCs w:val="15"/>
          <w:b w:val="1"/>
          <w:bCs w:val="1"/>
          <w:color w:val="auto"/>
        </w:rPr>
        <w:t>Risk Factors</w:t>
      </w:r>
    </w:p>
    <w:p>
      <w:pPr>
        <w:spacing w:after="0" w:line="96" w:lineRule="exact"/>
        <w:rPr>
          <w:sz w:val="20"/>
          <w:szCs w:val="20"/>
          <w:color w:val="auto"/>
        </w:rPr>
      </w:pPr>
    </w:p>
    <w:p>
      <w:pPr>
        <w:ind w:right="80" w:firstLine="449"/>
        <w:spacing w:after="0" w:line="294" w:lineRule="auto"/>
        <w:rPr>
          <w:sz w:val="20"/>
          <w:szCs w:val="20"/>
          <w:color w:val="auto"/>
        </w:rPr>
      </w:pPr>
      <w:r>
        <w:rPr>
          <w:rFonts w:ascii="Arial" w:cs="Arial" w:eastAsia="Arial" w:hAnsi="Arial"/>
          <w:sz w:val="16"/>
          <w:szCs w:val="16"/>
          <w:color w:val="auto"/>
        </w:rPr>
        <w:t xml:space="preserve">In addition to the other information set forth in this report, you should carefully consider the factors discussed in Part I, “Item 1A. Risk Factors” in our Annual Report on Form 10-K for the fiscal year ended September 30, 2008, which could materially affect our business, financial condition and/or operating results. The risks described in our Annual Report on Form 10-K are not the only risks facing our Company. Our annual report is posted on the SEC’s web site, </w:t>
      </w:r>
      <w:r>
        <w:rPr>
          <w:rFonts w:ascii="Arial" w:cs="Arial" w:eastAsia="Arial" w:hAnsi="Arial"/>
          <w:sz w:val="16"/>
          <w:szCs w:val="16"/>
          <w:u w:val="single" w:color="auto"/>
          <w:color w:val="auto"/>
        </w:rPr>
        <w:t>www.sec.gov</w:t>
      </w:r>
      <w:r>
        <w:rPr>
          <w:rFonts w:ascii="Arial" w:cs="Arial" w:eastAsia="Arial" w:hAnsi="Arial"/>
          <w:sz w:val="16"/>
          <w:szCs w:val="16"/>
          <w:color w:val="auto"/>
        </w:rPr>
        <w:t xml:space="preserve">, and on our web-site, </w:t>
      </w:r>
      <w:r>
        <w:rPr>
          <w:rFonts w:ascii="Arial" w:cs="Arial" w:eastAsia="Arial" w:hAnsi="Arial"/>
          <w:sz w:val="16"/>
          <w:szCs w:val="16"/>
          <w:u w:val="single" w:color="auto"/>
          <w:color w:val="auto"/>
        </w:rPr>
        <w:t>www.pennantpark.com</w:t>
      </w:r>
      <w:r>
        <w:rPr>
          <w:rFonts w:ascii="Arial" w:cs="Arial" w:eastAsia="Arial" w:hAnsi="Arial"/>
          <w:sz w:val="16"/>
          <w:szCs w:val="16"/>
          <w:color w:val="auto"/>
        </w:rPr>
        <w:t>. Additional risks and uncertainties not currently known to us or that we currently deem to be immaterial also may materially adversely affect our business, financial condition and/or operating results.</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Current market conditions have materially and adversely impacted debt and equity capital markets in the United States.</w:t>
      </w:r>
    </w:p>
    <w:p>
      <w:pPr>
        <w:spacing w:after="0" w:line="90" w:lineRule="exact"/>
        <w:rPr>
          <w:sz w:val="20"/>
          <w:szCs w:val="20"/>
          <w:color w:val="auto"/>
        </w:rPr>
      </w:pPr>
    </w:p>
    <w:p>
      <w:pPr>
        <w:ind w:right="80" w:firstLine="449"/>
        <w:spacing w:after="0" w:line="290" w:lineRule="auto"/>
        <w:rPr>
          <w:sz w:val="20"/>
          <w:szCs w:val="20"/>
          <w:color w:val="auto"/>
        </w:rPr>
      </w:pPr>
      <w:r>
        <w:rPr>
          <w:rFonts w:ascii="Arial" w:cs="Arial" w:eastAsia="Arial" w:hAnsi="Arial"/>
          <w:sz w:val="16"/>
          <w:szCs w:val="16"/>
          <w:color w:val="auto"/>
        </w:rPr>
        <w:t>The debt and equity capital markets in the United States have been negatively impacted by significant write-offs in the financial services sector relating to subprime mortgages and other credit instruments and the re-pricing of credit risk in the broadly syndicated market, among other things. These events, along with the deterioration of the housing market and the failure of major financial institutions, have led to worsening general economic conditions, which have materially and adversely impacted the broader financial and credit markets and have reduced the availability of debt and equity capital for the market as a whole and financial firms in particular. We believe that debt financing will be available, if at all, at a higher cost, and on terms and conditions that may be less favorable, which could negatively affect our financial performance and results. In addition, the prolonged continuation or further deterioration of current market conditions could adversely impact our business.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currently in a period of capital markets disruption, instability, and illiquidity.</w:t>
      </w:r>
    </w:p>
    <w:p>
      <w:pPr>
        <w:spacing w:after="0" w:line="90" w:lineRule="exact"/>
        <w:rPr>
          <w:sz w:val="20"/>
          <w:szCs w:val="20"/>
          <w:color w:val="auto"/>
        </w:rPr>
      </w:pPr>
    </w:p>
    <w:p>
      <w:pPr>
        <w:ind w:right="80" w:firstLine="449"/>
        <w:spacing w:after="0" w:line="254" w:lineRule="auto"/>
        <w:rPr>
          <w:sz w:val="20"/>
          <w:szCs w:val="20"/>
          <w:color w:val="auto"/>
        </w:rPr>
      </w:pPr>
      <w:r>
        <w:rPr>
          <w:rFonts w:ascii="Arial" w:cs="Arial" w:eastAsia="Arial" w:hAnsi="Arial"/>
          <w:sz w:val="18"/>
          <w:szCs w:val="18"/>
          <w:color w:val="auto"/>
        </w:rPr>
        <w:t>We believe that in 2007 and up to this reporting period in 2009, the U.S. capital markets entered into a period of disruption as evidenced by increasing interest rate spreads between the yields realized on riskier debt securities and those realized on risk-free securities and a lack of liquidity in parts of the debt capital markets. We believe the United States and other countries are also in a recession and that these adverse macro-economic conditions may continue for a prolonged period of time or worsen in the future. A prolonged period of market illiquidity will require us to reduce the volume of loans we originate and/or fund, which could have an adverse effect on our business, financial condition, and results of operations. This period may increase the probability that these risks negatively impact us.</w:t>
      </w:r>
    </w:p>
    <w:p>
      <w:pPr>
        <w:spacing w:after="0" w:line="144" w:lineRule="exact"/>
        <w:rPr>
          <w:sz w:val="20"/>
          <w:szCs w:val="20"/>
          <w:color w:val="auto"/>
        </w:rPr>
      </w:pPr>
    </w:p>
    <w:p>
      <w:pPr>
        <w:ind w:right="400" w:firstLine="449"/>
        <w:spacing w:after="0" w:line="268" w:lineRule="auto"/>
        <w:rPr>
          <w:sz w:val="20"/>
          <w:szCs w:val="20"/>
          <w:color w:val="auto"/>
        </w:rPr>
      </w:pPr>
      <w:r>
        <w:rPr>
          <w:rFonts w:ascii="Arial" w:cs="Arial" w:eastAsia="Arial" w:hAnsi="Arial"/>
          <w:sz w:val="18"/>
          <w:szCs w:val="18"/>
          <w:color w:val="auto"/>
        </w:rPr>
        <w:t>The recent market volatility and low level of liquidity affects the valuation of our investments. Changes in market activity and liquidity may have a significant impact on the value of our investments in the future.</w:t>
      </w:r>
    </w:p>
    <w:p>
      <w:pPr>
        <w:spacing w:after="0" w:line="21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Loss of regulated investment company tax treatment would substantially reduce net assets and income available for debt service and dividends.</w:t>
      </w:r>
    </w:p>
    <w:p>
      <w:pPr>
        <w:spacing w:after="0" w:line="113" w:lineRule="exact"/>
        <w:rPr>
          <w:sz w:val="20"/>
          <w:szCs w:val="20"/>
          <w:color w:val="auto"/>
        </w:rPr>
      </w:pPr>
    </w:p>
    <w:p>
      <w:pPr>
        <w:ind w:firstLine="449"/>
        <w:spacing w:after="0" w:line="290" w:lineRule="auto"/>
        <w:rPr>
          <w:sz w:val="20"/>
          <w:szCs w:val="20"/>
          <w:color w:val="auto"/>
        </w:rPr>
      </w:pPr>
      <w:r>
        <w:rPr>
          <w:rFonts w:ascii="Arial" w:cs="Arial" w:eastAsia="Arial" w:hAnsi="Arial"/>
          <w:sz w:val="16"/>
          <w:szCs w:val="16"/>
          <w:color w:val="auto"/>
        </w:rPr>
        <w:t>We have operated so as to qualify as a regulated investment company under Subchapter M of the Code. If we meet source of income, asset diversification, and distribution requirements, we generally will not be subject to corporate-level income taxation on income we timely distribute, or deem to distribute, to our stockholders as dividends. We would cease to qualify for such tax treatment if we were unable to comply with these requirements. In addition, we may have difficulty meeting the requirement to make distributions to our stockholders because in certain cases we may recognize income before or without receiving cash representing such income. If we fail to qualify as a regulated investment company, we will have to pay corporate-level taxes on all of our income whether or not we distribute it, which would substantially reduce the amount of income available for debt service and distributions to our stockholders. Even if we qualify as a regulated investment company, we generally will be subject to a corporate-level income tax</w:t>
      </w:r>
    </w:p>
    <w:p>
      <w:pPr>
        <w:spacing w:after="0" w:line="10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200"/>
          </w:cols>
          <w:pgMar w:left="320" w:top="459" w:right="37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206375</wp:posOffset>
            </wp:positionH>
            <wp:positionV relativeFrom="page">
              <wp:posOffset>88900</wp:posOffset>
            </wp:positionV>
            <wp:extent cx="7153275" cy="2794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32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5"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on the income we do not distribute. If we do not distribute at least 98% of our annual taxable income (excluding net long-term capital gains retained or deemed to be distributed) in the year earned, we generally will be required to pay an excise tax on amounts carried over and distributed to shareholders in the next year equal to 4% of the amount by which 98% of our annual taxable income available for distribution exceeds the distributions from such income for the current year.</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There is a risk that our common stockholders may not receive dividends or distributions.</w:t>
      </w:r>
    </w:p>
    <w:p>
      <w:pPr>
        <w:spacing w:after="0" w:line="90" w:lineRule="exact"/>
        <w:rPr>
          <w:sz w:val="20"/>
          <w:szCs w:val="20"/>
          <w:color w:val="auto"/>
        </w:rPr>
      </w:pPr>
    </w:p>
    <w:p>
      <w:pPr>
        <w:ind w:right="40" w:firstLine="449"/>
        <w:spacing w:after="0" w:line="288" w:lineRule="auto"/>
        <w:rPr>
          <w:sz w:val="20"/>
          <w:szCs w:val="20"/>
          <w:color w:val="auto"/>
        </w:rPr>
      </w:pPr>
      <w:r>
        <w:rPr>
          <w:rFonts w:ascii="Arial" w:cs="Arial" w:eastAsia="Arial" w:hAnsi="Arial"/>
          <w:sz w:val="16"/>
          <w:szCs w:val="16"/>
          <w:color w:val="auto"/>
        </w:rPr>
        <w:t>We may not be able to achieve operating results that will allow us to make distributions at a specific level or to increase the amount of these distributions from time to time. In addition, due to the asset coverage test applicable to us as a business development company, we may in the future be limited in our ability to make distributions. Also, our revolving credit facility may limit our ability to declare dividends if we default under certain provisions. If we do not distribute a certain percentage of our income annually, we will suffer adverse tax consequences, including possible loss of the tax benefits available to us as a regulated investment company. In addition, in accordance with U.S. generally accepted accounting principles and tax regulations, we include in income certain amounts that we have not yet received in cash, such as contractual payment-in-kind interest, which represents contractual interest added to the loan balance that becomes due at the end of the loan term, or the accrual of original issue or market discount. Since we may recognize income before or without receiving cash representing such income, we may have difficulty meeting the requirement to distribute at least 90% of our investment company taxable income to obtain tax benefits as a regulated investment company.</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There is a risk that you may receive our stock as dividends</w:t>
      </w:r>
    </w:p>
    <w:p>
      <w:pPr>
        <w:spacing w:after="0" w:line="90" w:lineRule="exact"/>
        <w:rPr>
          <w:sz w:val="20"/>
          <w:szCs w:val="20"/>
          <w:color w:val="auto"/>
        </w:rPr>
      </w:pPr>
    </w:p>
    <w:p>
      <w:pPr>
        <w:ind w:right="20" w:firstLine="449"/>
        <w:spacing w:after="0" w:line="290" w:lineRule="auto"/>
        <w:rPr>
          <w:sz w:val="20"/>
          <w:szCs w:val="20"/>
          <w:color w:val="auto"/>
        </w:rPr>
      </w:pPr>
      <w:r>
        <w:rPr>
          <w:rFonts w:ascii="Arial" w:cs="Arial" w:eastAsia="Arial" w:hAnsi="Arial"/>
          <w:sz w:val="16"/>
          <w:szCs w:val="16"/>
          <w:color w:val="auto"/>
        </w:rPr>
        <w:t>On January 7, 2009, the Internal Revenue Service issued a revenue procedure that temporarily allows a RIC to distribute its own stock as a dividend for the purpose of fulfilling its distribution requirements. Pursuant to this revenue procedure, a RIC may treat a distribution of its own stock as a dividend if (i) the stock is publicly traded on an established securities market, (ii) the distribution is declared with respect to a taxable year ending on or before December 31, 2009 and (iii) each shareholder may elect to receive his or her entire distribution in either cash or stock of the RIC subject to a limitation on the aggregate amount of cash to be distributed to all shareholders, which must be at least 10% of the aggregate declared distribution. If too many shareholders elect to receive cash, each shareholder electing to receive cash will receive a pro rata amount of cash (with the balance of the distribution paid in stock). In no event will any shareholder electing to receive cash receive less than 10% of his or her entire distribution in cash.</w:t>
      </w:r>
    </w:p>
    <w:p>
      <w:pPr>
        <w:spacing w:after="0" w:line="118" w:lineRule="exact"/>
        <w:rPr>
          <w:sz w:val="20"/>
          <w:szCs w:val="20"/>
          <w:color w:val="auto"/>
        </w:rPr>
      </w:pPr>
    </w:p>
    <w:p>
      <w:pPr>
        <w:jc w:val="both"/>
        <w:ind w:right="80" w:firstLine="449"/>
        <w:spacing w:after="0" w:line="259" w:lineRule="auto"/>
        <w:rPr>
          <w:sz w:val="20"/>
          <w:szCs w:val="20"/>
          <w:color w:val="auto"/>
        </w:rPr>
      </w:pPr>
      <w:r>
        <w:rPr>
          <w:rFonts w:ascii="Arial" w:cs="Arial" w:eastAsia="Arial" w:hAnsi="Arial"/>
          <w:sz w:val="18"/>
          <w:szCs w:val="18"/>
          <w:color w:val="auto"/>
        </w:rPr>
        <w:t>If we distribute our common stock as a dividend of our taxable income, a shareholder could receive up to 90% of the amount of the dividend declared in shares of our common stock with the remaining amount in cash. The total dividend declared would be taxable income to a shareholder although he or she may only receive 10% of the dividend in cash to pay any taxes due on the dividend.</w:t>
      </w:r>
    </w:p>
    <w:p>
      <w:pPr>
        <w:spacing w:after="0" w:line="255"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287"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color w:val="auto"/>
        </w:rPr>
        <w:t>Defaults Upon Senior Securities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287"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Submission of Matters to a Vote of Security Holders</w:t>
      </w:r>
    </w:p>
    <w:p>
      <w:pPr>
        <w:spacing w:after="0" w:line="96" w:lineRule="exact"/>
        <w:rPr>
          <w:sz w:val="20"/>
          <w:szCs w:val="20"/>
          <w:color w:val="auto"/>
        </w:rPr>
      </w:pPr>
    </w:p>
    <w:p>
      <w:pPr>
        <w:ind w:right="260" w:firstLine="449"/>
        <w:spacing w:after="0" w:line="259" w:lineRule="auto"/>
        <w:rPr>
          <w:sz w:val="20"/>
          <w:szCs w:val="20"/>
          <w:color w:val="auto"/>
        </w:rPr>
      </w:pPr>
      <w:r>
        <w:rPr>
          <w:rFonts w:ascii="Arial" w:cs="Arial" w:eastAsia="Arial" w:hAnsi="Arial"/>
          <w:sz w:val="18"/>
          <w:szCs w:val="18"/>
          <w:color w:val="auto"/>
        </w:rPr>
        <w:t>On February 3, 2009, PennantPark Investment Corporation held its 2009 Annual Meeting of Stockholders in New York, N.Y. for the purpose of considering and voting upon the election of directors and ratification of the selection of an independent registered public accounting firm. Votes were cast as follows: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80" w:type="dxa"/>
            <w:vAlign w:val="bottom"/>
          </w:tcPr>
          <w:p>
            <w:pPr>
              <w:spacing w:after="0"/>
              <w:rPr>
                <w:sz w:val="20"/>
                <w:szCs w:val="20"/>
                <w:color w:val="auto"/>
              </w:rPr>
            </w:pPr>
            <w:r>
              <w:rPr>
                <w:rFonts w:ascii="Arial" w:cs="Arial" w:eastAsia="Arial" w:hAnsi="Arial"/>
                <w:sz w:val="13"/>
                <w:szCs w:val="13"/>
                <w:b w:val="1"/>
                <w:bCs w:val="1"/>
                <w:color w:val="auto"/>
                <w:w w:val="97"/>
              </w:rPr>
              <w:t>Director Nominee</w:t>
            </w:r>
          </w:p>
        </w:tc>
        <w:tc>
          <w:tcPr>
            <w:tcW w:w="3220" w:type="dxa"/>
            <w:vAlign w:val="bottom"/>
          </w:tcPr>
          <w:p>
            <w:pPr>
              <w:spacing w:after="0"/>
              <w:rPr>
                <w:sz w:val="14"/>
                <w:szCs w:val="14"/>
                <w:color w:val="auto"/>
              </w:rPr>
            </w:pPr>
          </w:p>
        </w:tc>
        <w:tc>
          <w:tcPr>
            <w:tcW w:w="4680" w:type="dxa"/>
            <w:vAlign w:val="bottom"/>
          </w:tcPr>
          <w:p>
            <w:pPr>
              <w:spacing w:after="0"/>
              <w:rPr>
                <w:sz w:val="14"/>
                <w:szCs w:val="14"/>
                <w:color w:val="auto"/>
              </w:rPr>
            </w:pPr>
          </w:p>
        </w:tc>
        <w:tc>
          <w:tcPr>
            <w:tcW w:w="1000" w:type="dxa"/>
            <w:vAlign w:val="bottom"/>
            <w:gridSpan w:val="2"/>
          </w:tcPr>
          <w:p>
            <w:pPr>
              <w:jc w:val="right"/>
              <w:ind w:right="460"/>
              <w:spacing w:after="0"/>
              <w:rPr>
                <w:sz w:val="20"/>
                <w:szCs w:val="20"/>
                <w:color w:val="auto"/>
              </w:rPr>
            </w:pPr>
            <w:r>
              <w:rPr>
                <w:rFonts w:ascii="Arial" w:cs="Arial" w:eastAsia="Arial" w:hAnsi="Arial"/>
                <w:sz w:val="13"/>
                <w:szCs w:val="13"/>
                <w:b w:val="1"/>
                <w:bCs w:val="1"/>
                <w:color w:val="auto"/>
              </w:rPr>
              <w:t>For</w:t>
            </w:r>
          </w:p>
        </w:tc>
        <w:tc>
          <w:tcPr>
            <w:tcW w:w="740" w:type="dxa"/>
            <w:vAlign w:val="bottom"/>
            <w:gridSpan w:val="2"/>
          </w:tcPr>
          <w:p>
            <w:pPr>
              <w:ind w:left="40"/>
              <w:spacing w:after="0"/>
              <w:rPr>
                <w:sz w:val="20"/>
                <w:szCs w:val="20"/>
                <w:color w:val="auto"/>
              </w:rPr>
            </w:pPr>
            <w:r>
              <w:rPr>
                <w:rFonts w:ascii="Arial" w:cs="Arial" w:eastAsia="Arial" w:hAnsi="Arial"/>
                <w:sz w:val="13"/>
                <w:szCs w:val="13"/>
                <w:b w:val="1"/>
                <w:bCs w:val="1"/>
                <w:color w:val="auto"/>
              </w:rPr>
              <w:t>Withheld</w:t>
            </w:r>
          </w:p>
        </w:tc>
        <w:tc>
          <w:tcPr>
            <w:tcW w:w="5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1"/>
        </w:trPr>
        <w:tc>
          <w:tcPr>
            <w:tcW w:w="4300" w:type="dxa"/>
            <w:vAlign w:val="bottom"/>
            <w:gridSpan w:val="2"/>
          </w:tcPr>
          <w:p>
            <w:pPr>
              <w:spacing w:after="0" w:line="201" w:lineRule="exact"/>
              <w:rPr>
                <w:sz w:val="20"/>
                <w:szCs w:val="20"/>
                <w:color w:val="auto"/>
              </w:rPr>
            </w:pPr>
            <w:r>
              <w:rPr>
                <w:rFonts w:ascii="Arial" w:cs="Arial" w:eastAsia="Arial" w:hAnsi="Arial"/>
                <w:sz w:val="18"/>
                <w:szCs w:val="18"/>
                <w:color w:val="auto"/>
              </w:rPr>
              <w:t>Adam K. Bernstein</w:t>
            </w:r>
          </w:p>
        </w:tc>
        <w:tc>
          <w:tcPr>
            <w:tcW w:w="4680" w:type="dxa"/>
            <w:vAlign w:val="bottom"/>
          </w:tcPr>
          <w:p>
            <w:pPr>
              <w:spacing w:after="0"/>
              <w:rPr>
                <w:sz w:val="17"/>
                <w:szCs w:val="17"/>
                <w:color w:val="auto"/>
              </w:rPr>
            </w:pPr>
          </w:p>
        </w:tc>
        <w:tc>
          <w:tcPr>
            <w:tcW w:w="88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w w:val="95"/>
              </w:rPr>
              <w:t>16,756,276</w:t>
            </w:r>
          </w:p>
        </w:tc>
        <w:tc>
          <w:tcPr>
            <w:tcW w:w="120" w:type="dxa"/>
            <w:vAlign w:val="bottom"/>
          </w:tcPr>
          <w:p>
            <w:pPr>
              <w:spacing w:after="0"/>
              <w:rPr>
                <w:sz w:val="17"/>
                <w:szCs w:val="17"/>
                <w:color w:val="auto"/>
              </w:rPr>
            </w:pPr>
          </w:p>
        </w:tc>
        <w:tc>
          <w:tcPr>
            <w:tcW w:w="64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w w:val="95"/>
              </w:rPr>
              <w:t>351,961</w:t>
            </w: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22"/>
        </w:trPr>
        <w:tc>
          <w:tcPr>
            <w:tcW w:w="1080" w:type="dxa"/>
            <w:vAlign w:val="bottom"/>
          </w:tcPr>
          <w:p>
            <w:pPr>
              <w:spacing w:after="0"/>
              <w:rPr>
                <w:sz w:val="20"/>
                <w:szCs w:val="20"/>
                <w:color w:val="auto"/>
              </w:rPr>
            </w:pPr>
            <w:r>
              <w:rPr>
                <w:rFonts w:ascii="Arial" w:cs="Arial" w:eastAsia="Arial" w:hAnsi="Arial"/>
                <w:sz w:val="18"/>
                <w:szCs w:val="18"/>
                <w:color w:val="auto"/>
              </w:rPr>
              <w:t>Jeffrey Flug</w:t>
            </w:r>
          </w:p>
        </w:tc>
        <w:tc>
          <w:tcPr>
            <w:tcW w:w="3220" w:type="dxa"/>
            <w:vAlign w:val="bottom"/>
          </w:tcPr>
          <w:p>
            <w:pPr>
              <w:spacing w:after="0"/>
              <w:rPr>
                <w:sz w:val="19"/>
                <w:szCs w:val="19"/>
                <w:color w:val="auto"/>
              </w:rPr>
            </w:pPr>
          </w:p>
        </w:tc>
        <w:tc>
          <w:tcPr>
            <w:tcW w:w="5680" w:type="dxa"/>
            <w:vAlign w:val="bottom"/>
            <w:gridSpan w:val="3"/>
          </w:tcPr>
          <w:p>
            <w:pPr>
              <w:jc w:val="right"/>
              <w:ind w:right="120"/>
              <w:spacing w:after="0"/>
              <w:rPr>
                <w:sz w:val="20"/>
                <w:szCs w:val="20"/>
                <w:color w:val="auto"/>
              </w:rPr>
            </w:pPr>
            <w:r>
              <w:rPr>
                <w:rFonts w:ascii="Arial" w:cs="Arial" w:eastAsia="Arial" w:hAnsi="Arial"/>
                <w:sz w:val="18"/>
                <w:szCs w:val="18"/>
                <w:color w:val="auto"/>
              </w:rPr>
              <w:t>16,812,677</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295,560</w:t>
            </w:r>
          </w:p>
        </w:tc>
        <w:tc>
          <w:tcPr>
            <w:tcW w:w="5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367"/>
        </w:trPr>
        <w:tc>
          <w:tcPr>
            <w:tcW w:w="1080" w:type="dxa"/>
            <w:vAlign w:val="bottom"/>
          </w:tcPr>
          <w:p>
            <w:pPr>
              <w:spacing w:after="0"/>
              <w:rPr>
                <w:sz w:val="20"/>
                <w:szCs w:val="20"/>
                <w:color w:val="auto"/>
              </w:rPr>
            </w:pPr>
            <w:r>
              <w:rPr>
                <w:rFonts w:ascii="Arial" w:cs="Arial" w:eastAsia="Arial" w:hAnsi="Arial"/>
                <w:sz w:val="13"/>
                <w:szCs w:val="13"/>
                <w:b w:val="1"/>
                <w:bCs w:val="1"/>
                <w:color w:val="auto"/>
              </w:rPr>
              <w:t>Proposal</w:t>
            </w:r>
          </w:p>
        </w:tc>
        <w:tc>
          <w:tcPr>
            <w:tcW w:w="3220" w:type="dxa"/>
            <w:vAlign w:val="bottom"/>
          </w:tcPr>
          <w:p>
            <w:pPr>
              <w:spacing w:after="0"/>
              <w:rPr>
                <w:sz w:val="24"/>
                <w:szCs w:val="24"/>
                <w:color w:val="auto"/>
              </w:rPr>
            </w:pPr>
          </w:p>
        </w:tc>
        <w:tc>
          <w:tcPr>
            <w:tcW w:w="4680" w:type="dxa"/>
            <w:vAlign w:val="bottom"/>
          </w:tcPr>
          <w:p>
            <w:pPr>
              <w:spacing w:after="0"/>
              <w:rPr>
                <w:sz w:val="24"/>
                <w:szCs w:val="24"/>
                <w:color w:val="auto"/>
              </w:rPr>
            </w:pPr>
          </w:p>
        </w:tc>
        <w:tc>
          <w:tcPr>
            <w:tcW w:w="1000" w:type="dxa"/>
            <w:vAlign w:val="bottom"/>
            <w:gridSpan w:val="2"/>
          </w:tcPr>
          <w:p>
            <w:pPr>
              <w:jc w:val="right"/>
              <w:ind w:right="460"/>
              <w:spacing w:after="0"/>
              <w:rPr>
                <w:sz w:val="20"/>
                <w:szCs w:val="20"/>
                <w:color w:val="auto"/>
              </w:rPr>
            </w:pPr>
            <w:r>
              <w:rPr>
                <w:rFonts w:ascii="Arial" w:cs="Arial" w:eastAsia="Arial" w:hAnsi="Arial"/>
                <w:sz w:val="13"/>
                <w:szCs w:val="13"/>
                <w:b w:val="1"/>
                <w:bCs w:val="1"/>
                <w:color w:val="auto"/>
              </w:rPr>
              <w:t>For</w:t>
            </w:r>
          </w:p>
        </w:tc>
        <w:tc>
          <w:tcPr>
            <w:tcW w:w="740" w:type="dxa"/>
            <w:vAlign w:val="bottom"/>
            <w:gridSpan w:val="2"/>
          </w:tcPr>
          <w:p>
            <w:pPr>
              <w:ind w:left="40"/>
              <w:spacing w:after="0"/>
              <w:rPr>
                <w:sz w:val="20"/>
                <w:szCs w:val="20"/>
                <w:color w:val="auto"/>
              </w:rPr>
            </w:pPr>
            <w:r>
              <w:rPr>
                <w:rFonts w:ascii="Arial" w:cs="Arial" w:eastAsia="Arial" w:hAnsi="Arial"/>
                <w:sz w:val="13"/>
                <w:szCs w:val="13"/>
                <w:b w:val="1"/>
                <w:bCs w:val="1"/>
                <w:color w:val="auto"/>
              </w:rPr>
              <w:t>Withheld</w:t>
            </w:r>
          </w:p>
        </w:tc>
        <w:tc>
          <w:tcPr>
            <w:tcW w:w="540" w:type="dxa"/>
            <w:vAlign w:val="bottom"/>
            <w:gridSpan w:val="2"/>
          </w:tcPr>
          <w:p>
            <w:pPr>
              <w:ind w:left="40"/>
              <w:spacing w:after="0"/>
              <w:rPr>
                <w:sz w:val="20"/>
                <w:szCs w:val="20"/>
                <w:color w:val="auto"/>
              </w:rPr>
            </w:pPr>
            <w:r>
              <w:rPr>
                <w:rFonts w:ascii="Arial" w:cs="Arial" w:eastAsia="Arial" w:hAnsi="Arial"/>
                <w:sz w:val="13"/>
                <w:szCs w:val="13"/>
                <w:b w:val="1"/>
                <w:bCs w:val="1"/>
                <w:color w:val="auto"/>
              </w:rPr>
              <w:t>Abstain</w:t>
            </w:r>
          </w:p>
        </w:tc>
      </w:tr>
      <w:tr>
        <w:trPr>
          <w:trHeight w:val="216"/>
        </w:trPr>
        <w:tc>
          <w:tcPr>
            <w:tcW w:w="4300" w:type="dxa"/>
            <w:vAlign w:val="bottom"/>
            <w:gridSpan w:val="2"/>
          </w:tcPr>
          <w:p>
            <w:pPr>
              <w:spacing w:after="0"/>
              <w:rPr>
                <w:sz w:val="20"/>
                <w:szCs w:val="20"/>
                <w:color w:val="auto"/>
              </w:rPr>
            </w:pPr>
            <w:r>
              <w:rPr>
                <w:rFonts w:ascii="Arial" w:cs="Arial" w:eastAsia="Arial" w:hAnsi="Arial"/>
                <w:sz w:val="18"/>
                <w:szCs w:val="18"/>
                <w:color w:val="auto"/>
              </w:rPr>
              <w:t>Ratification of the selection of KPMG LLP</w:t>
            </w:r>
          </w:p>
        </w:tc>
        <w:tc>
          <w:tcPr>
            <w:tcW w:w="4680" w:type="dxa"/>
            <w:vAlign w:val="bottom"/>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16,885,927</w:t>
            </w:r>
          </w:p>
        </w:tc>
        <w:tc>
          <w:tcPr>
            <w:tcW w:w="120" w:type="dxa"/>
            <w:vAlign w:val="bottom"/>
          </w:tcPr>
          <w:p>
            <w:pPr>
              <w:spacing w:after="0"/>
              <w:rPr>
                <w:sz w:val="18"/>
                <w:szCs w:val="18"/>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219,790</w:t>
            </w:r>
          </w:p>
        </w:tc>
        <w:tc>
          <w:tcPr>
            <w:tcW w:w="100" w:type="dxa"/>
            <w:vAlign w:val="bottom"/>
          </w:tcPr>
          <w:p>
            <w:pPr>
              <w:spacing w:after="0"/>
              <w:rPr>
                <w:sz w:val="18"/>
                <w:szCs w:val="18"/>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2,520</w:t>
            </w:r>
          </w:p>
        </w:tc>
        <w:tc>
          <w:tcPr>
            <w:tcW w:w="20" w:type="dxa"/>
            <w:vAlign w:val="bottom"/>
          </w:tcPr>
          <w:p>
            <w:pPr>
              <w:spacing w:after="0"/>
              <w:rPr>
                <w:sz w:val="18"/>
                <w:szCs w:val="18"/>
                <w:color w:val="auto"/>
              </w:rPr>
            </w:pPr>
          </w:p>
        </w:tc>
      </w:tr>
      <w:tr>
        <w:trPr>
          <w:trHeight w:val="491"/>
        </w:trPr>
        <w:tc>
          <w:tcPr>
            <w:tcW w:w="1080" w:type="dxa"/>
            <w:vAlign w:val="bottom"/>
          </w:tcPr>
          <w:p>
            <w:pPr>
              <w:spacing w:after="0"/>
              <w:rPr>
                <w:sz w:val="20"/>
                <w:szCs w:val="20"/>
                <w:color w:val="auto"/>
              </w:rPr>
            </w:pPr>
            <w:r>
              <w:rPr>
                <w:rFonts w:ascii="Arial" w:cs="Arial" w:eastAsia="Arial" w:hAnsi="Arial"/>
                <w:sz w:val="18"/>
                <w:szCs w:val="18"/>
                <w:b w:val="1"/>
                <w:bCs w:val="1"/>
                <w:color w:val="auto"/>
              </w:rPr>
              <w:t>Item 5.</w:t>
            </w:r>
          </w:p>
        </w:tc>
        <w:tc>
          <w:tcPr>
            <w:tcW w:w="3220" w:type="dxa"/>
            <w:vAlign w:val="bottom"/>
          </w:tcPr>
          <w:p>
            <w:pPr>
              <w:ind w:left="40"/>
              <w:spacing w:after="0"/>
              <w:rPr>
                <w:sz w:val="20"/>
                <w:szCs w:val="20"/>
                <w:color w:val="auto"/>
              </w:rPr>
            </w:pPr>
            <w:r>
              <w:rPr>
                <w:rFonts w:ascii="Arial" w:cs="Arial" w:eastAsia="Arial" w:hAnsi="Arial"/>
                <w:sz w:val="18"/>
                <w:szCs w:val="18"/>
                <w:b w:val="1"/>
                <w:bCs w:val="1"/>
                <w:color w:val="auto"/>
              </w:rPr>
              <w:t>Other Information</w:t>
            </w:r>
          </w:p>
        </w:tc>
        <w:tc>
          <w:tcPr>
            <w:tcW w:w="46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97"/>
        </w:trPr>
        <w:tc>
          <w:tcPr>
            <w:tcW w:w="1080" w:type="dxa"/>
            <w:vAlign w:val="bottom"/>
          </w:tcPr>
          <w:p>
            <w:pPr>
              <w:ind w:left="460"/>
              <w:spacing w:after="0"/>
              <w:rPr>
                <w:sz w:val="20"/>
                <w:szCs w:val="20"/>
                <w:color w:val="auto"/>
              </w:rPr>
            </w:pPr>
            <w:r>
              <w:rPr>
                <w:rFonts w:ascii="Arial" w:cs="Arial" w:eastAsia="Arial" w:hAnsi="Arial"/>
                <w:sz w:val="18"/>
                <w:szCs w:val="18"/>
                <w:color w:val="auto"/>
              </w:rPr>
              <w:t>None.</w:t>
            </w:r>
          </w:p>
        </w:tc>
        <w:tc>
          <w:tcPr>
            <w:tcW w:w="3220" w:type="dxa"/>
            <w:vAlign w:val="bottom"/>
          </w:tcPr>
          <w:p>
            <w:pPr>
              <w:spacing w:after="0"/>
              <w:rPr>
                <w:sz w:val="24"/>
                <w:szCs w:val="24"/>
                <w:color w:val="auto"/>
              </w:rPr>
            </w:pPr>
          </w:p>
        </w:tc>
        <w:tc>
          <w:tcPr>
            <w:tcW w:w="46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64"/>
        </w:trPr>
        <w:tc>
          <w:tcPr>
            <w:tcW w:w="108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4680" w:type="dxa"/>
            <w:vAlign w:val="bottom"/>
          </w:tcPr>
          <w:p>
            <w:pPr>
              <w:jc w:val="right"/>
              <w:ind w:right="3172"/>
              <w:spacing w:after="0"/>
              <w:rPr>
                <w:sz w:val="20"/>
                <w:szCs w:val="20"/>
                <w:color w:val="auto"/>
              </w:rPr>
            </w:pPr>
            <w:r>
              <w:rPr>
                <w:rFonts w:ascii="Arial" w:cs="Arial" w:eastAsia="Arial" w:hAnsi="Arial"/>
                <w:sz w:val="18"/>
                <w:szCs w:val="18"/>
                <w:color w:val="auto"/>
              </w:rPr>
              <w:t>36</w:t>
            </w: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1240"/>
          </w:cols>
          <w:pgMar w:left="320" w:top="459" w:right="3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206375</wp:posOffset>
            </wp:positionH>
            <wp:positionV relativeFrom="page">
              <wp:posOffset>88900</wp:posOffset>
            </wp:positionV>
            <wp:extent cx="7153275" cy="2794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32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Exhibits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Unless specifically indicated otherwise, the following exhibits are incorporated by reference to exhibits previously filed with the SEC:</w:t>
      </w:r>
    </w:p>
    <w:p>
      <w:pPr>
        <w:spacing w:after="0" w:line="212" w:lineRule="exact"/>
        <w:rPr>
          <w:sz w:val="20"/>
          <w:szCs w:val="20"/>
          <w:color w:val="auto"/>
        </w:rPr>
      </w:pPr>
    </w:p>
    <w:p>
      <w:pPr>
        <w:ind w:left="680" w:right="160" w:hanging="586"/>
        <w:spacing w:after="0" w:line="268" w:lineRule="auto"/>
        <w:tabs>
          <w:tab w:leader="none" w:pos="66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8"/>
          <w:szCs w:val="18"/>
          <w:color w:val="auto"/>
        </w:rPr>
        <w:t>Articles of Incorporation (Incorporated by reference to the Registrant’s Pre-Effective Amendment No. 1 to the Registration Statement on Form N-2 (File No. 333-140092), filed on March 5, 2007).</w:t>
      </w:r>
    </w:p>
    <w:p>
      <w:pPr>
        <w:spacing w:after="0" w:line="78" w:lineRule="exact"/>
        <w:rPr>
          <w:sz w:val="20"/>
          <w:szCs w:val="20"/>
          <w:color w:val="auto"/>
        </w:rPr>
      </w:pPr>
    </w:p>
    <w:p>
      <w:pPr>
        <w:ind w:left="680" w:hanging="586"/>
        <w:spacing w:after="0" w:line="268" w:lineRule="auto"/>
        <w:tabs>
          <w:tab w:leader="none" w:pos="66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8"/>
          <w:szCs w:val="18"/>
          <w:color w:val="auto"/>
        </w:rPr>
        <w:t>Amended and Restated Bylaws (Incorporated by reference to Exhibit 3.2 to the Registrant’s Annual Report on Form 10-K (File No. 814-00736), filed on December 13, 2007).</w:t>
      </w:r>
    </w:p>
    <w:p>
      <w:pPr>
        <w:spacing w:after="0" w:line="78" w:lineRule="exact"/>
        <w:rPr>
          <w:sz w:val="20"/>
          <w:szCs w:val="20"/>
          <w:color w:val="auto"/>
        </w:rPr>
      </w:pPr>
    </w:p>
    <w:p>
      <w:pPr>
        <w:ind w:left="100"/>
        <w:spacing w:after="0"/>
        <w:tabs>
          <w:tab w:leader="none" w:pos="660"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6"/>
          <w:szCs w:val="16"/>
          <w:color w:val="auto"/>
        </w:rPr>
        <w:t>Form of Share Certificate (Incorporated by reference to Exhibit 99(d)(1) to the Registrant’s Registration Statement on Form N-2 (File No. 333-</w:t>
      </w:r>
    </w:p>
    <w:p>
      <w:pPr>
        <w:spacing w:after="0" w:line="15" w:lineRule="exact"/>
        <w:rPr>
          <w:sz w:val="20"/>
          <w:szCs w:val="20"/>
          <w:color w:val="auto"/>
        </w:rPr>
      </w:pPr>
    </w:p>
    <w:p>
      <w:pPr>
        <w:ind w:left="680"/>
        <w:spacing w:after="0"/>
        <w:rPr>
          <w:sz w:val="20"/>
          <w:szCs w:val="20"/>
          <w:color w:val="auto"/>
        </w:rPr>
      </w:pPr>
      <w:r>
        <w:rPr>
          <w:rFonts w:ascii="Arial" w:cs="Arial" w:eastAsia="Arial" w:hAnsi="Arial"/>
          <w:sz w:val="18"/>
          <w:szCs w:val="18"/>
          <w:color w:val="auto"/>
        </w:rPr>
        <w:t>150033), filed on April 2, 2008).</w:t>
      </w:r>
    </w:p>
    <w:p>
      <w:pPr>
        <w:spacing w:after="0" w:line="111" w:lineRule="exact"/>
        <w:rPr>
          <w:sz w:val="20"/>
          <w:szCs w:val="20"/>
          <w:color w:val="auto"/>
        </w:rPr>
      </w:pPr>
    </w:p>
    <w:p>
      <w:pPr>
        <w:ind w:right="2020" w:firstLine="8"/>
        <w:spacing w:after="0" w:line="450" w:lineRule="auto"/>
        <w:tabs>
          <w:tab w:leader="none" w:pos="675" w:val="left"/>
        </w:tabs>
        <w:numPr>
          <w:ilvl w:val="0"/>
          <w:numId w:val="20"/>
        </w:numPr>
        <w:rPr>
          <w:rFonts w:ascii="Arial" w:cs="Arial" w:eastAsia="Arial" w:hAnsi="Arial"/>
          <w:sz w:val="15"/>
          <w:szCs w:val="15"/>
          <w:color w:val="auto"/>
        </w:rPr>
      </w:pPr>
      <w:r>
        <w:rPr>
          <w:rFonts w:ascii="Arial" w:cs="Arial" w:eastAsia="Arial" w:hAnsi="Arial"/>
          <w:sz w:val="15"/>
          <w:szCs w:val="15"/>
          <w:color w:val="auto"/>
        </w:rPr>
        <w:t>Computation of Per Share Earnings (included in the notes to the unaudited financial statements contained in this Report). 31.1 * Certification of Chief Executive Officer pursuant to Rule 13a-14 of the Securities Exchange Act of 1934, as amended.</w:t>
      </w:r>
    </w:p>
    <w:p>
      <w:pPr>
        <w:spacing w:after="0" w:line="1" w:lineRule="exact"/>
        <w:rPr>
          <w:rFonts w:ascii="Arial" w:cs="Arial" w:eastAsia="Arial" w:hAnsi="Arial"/>
          <w:sz w:val="15"/>
          <w:szCs w:val="15"/>
          <w:color w:val="auto"/>
        </w:rPr>
      </w:pPr>
    </w:p>
    <w:p>
      <w:pPr>
        <w:spacing w:after="0"/>
        <w:rPr>
          <w:rFonts w:ascii="Arial" w:cs="Arial" w:eastAsia="Arial" w:hAnsi="Arial"/>
          <w:sz w:val="15"/>
          <w:szCs w:val="15"/>
          <w:color w:val="auto"/>
        </w:rPr>
      </w:pPr>
      <w:r>
        <w:rPr>
          <w:rFonts w:ascii="Arial" w:cs="Arial" w:eastAsia="Arial" w:hAnsi="Arial"/>
          <w:sz w:val="18"/>
          <w:szCs w:val="18"/>
          <w:color w:val="auto"/>
        </w:rPr>
        <w:t>31.2 *   Certification of Chief Financial Officer pursuant to Rule 13a-14 of the Securities Exchange Act of 1934, as amended.</w:t>
      </w:r>
    </w:p>
    <w:p>
      <w:pPr>
        <w:spacing w:after="0" w:line="117" w:lineRule="exact"/>
        <w:rPr>
          <w:rFonts w:ascii="Arial" w:cs="Arial" w:eastAsia="Arial" w:hAnsi="Arial"/>
          <w:sz w:val="15"/>
          <w:szCs w:val="15"/>
          <w:color w:val="auto"/>
        </w:rPr>
      </w:pPr>
    </w:p>
    <w:p>
      <w:pPr>
        <w:spacing w:after="0"/>
        <w:rPr>
          <w:rFonts w:ascii="Arial" w:cs="Arial" w:eastAsia="Arial" w:hAnsi="Arial"/>
          <w:sz w:val="15"/>
          <w:szCs w:val="15"/>
          <w:color w:val="auto"/>
        </w:rPr>
      </w:pPr>
      <w:r>
        <w:rPr>
          <w:rFonts w:ascii="Arial" w:cs="Arial" w:eastAsia="Arial" w:hAnsi="Arial"/>
          <w:sz w:val="18"/>
          <w:szCs w:val="18"/>
          <w:color w:val="auto"/>
        </w:rPr>
        <w:t>32.1 *   Certification of Chief Executive Officer pursuant to section 906 of The Sarbanes-Oxley Act of 2002.</w:t>
      </w:r>
    </w:p>
    <w:p>
      <w:pPr>
        <w:spacing w:after="0" w:line="117" w:lineRule="exact"/>
        <w:rPr>
          <w:rFonts w:ascii="Arial" w:cs="Arial" w:eastAsia="Arial" w:hAnsi="Arial"/>
          <w:sz w:val="15"/>
          <w:szCs w:val="15"/>
          <w:color w:val="auto"/>
        </w:rPr>
      </w:pPr>
    </w:p>
    <w:p>
      <w:pPr>
        <w:spacing w:after="0"/>
        <w:rPr>
          <w:rFonts w:ascii="Arial" w:cs="Arial" w:eastAsia="Arial" w:hAnsi="Arial"/>
          <w:sz w:val="15"/>
          <w:szCs w:val="15"/>
          <w:color w:val="auto"/>
        </w:rPr>
      </w:pPr>
      <w:r>
        <w:rPr>
          <w:rFonts w:ascii="Arial" w:cs="Arial" w:eastAsia="Arial" w:hAnsi="Arial"/>
          <w:sz w:val="18"/>
          <w:szCs w:val="18"/>
          <w:color w:val="auto"/>
        </w:rPr>
        <w:t>32.2 *   Certification of Chief Financial Officer pursuant to section 906 of The Sarbanes-Oxley Act of 2002.</w:t>
      </w:r>
    </w:p>
    <w:p>
      <w:pPr>
        <w:spacing w:after="0" w:line="117" w:lineRule="exact"/>
        <w:rPr>
          <w:sz w:val="20"/>
          <w:szCs w:val="20"/>
          <w:color w:val="auto"/>
        </w:rPr>
      </w:pPr>
    </w:p>
    <w:p>
      <w:pPr>
        <w:ind w:left="680" w:right="240" w:hanging="674"/>
        <w:spacing w:after="0" w:line="268" w:lineRule="auto"/>
        <w:tabs>
          <w:tab w:leader="none" w:pos="66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8"/>
          <w:szCs w:val="18"/>
          <w:color w:val="auto"/>
        </w:rPr>
        <w:t>Privacy Policy of the Registrant (Incorporated by reference to Exhibit 99.1 to the Registrant’s Annual Report on Form 10-K (File No. 814-00736), filed on November 20, 2008).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54610</wp:posOffset>
            </wp:positionV>
            <wp:extent cx="71120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1200" cy="8255"/>
                    </a:xfrm>
                    <a:prstGeom prst="rect">
                      <a:avLst/>
                    </a:prstGeom>
                    <a:noFill/>
                  </pic:spPr>
                </pic:pic>
              </a:graphicData>
            </a:graphic>
          </wp:anchor>
        </w:drawing>
      </w:r>
    </w:p>
    <w:p>
      <w:pPr>
        <w:spacing w:after="0" w:line="98" w:lineRule="exact"/>
        <w:rPr>
          <w:sz w:val="20"/>
          <w:szCs w:val="20"/>
          <w:color w:val="auto"/>
        </w:rPr>
      </w:pPr>
    </w:p>
    <w:p>
      <w:pPr>
        <w:ind w:left="460" w:hanging="452"/>
        <w:spacing w:after="0"/>
        <w:tabs>
          <w:tab w:leader="none" w:pos="4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200"/>
          </w:cols>
          <w:pgMar w:left="320" w:top="459" w:right="37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206375</wp:posOffset>
            </wp:positionH>
            <wp:positionV relativeFrom="page">
              <wp:posOffset>88900</wp:posOffset>
            </wp:positionV>
            <wp:extent cx="7153275" cy="2794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32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SIGNATURES</w:t>
      </w:r>
    </w:p>
    <w:p>
      <w:pPr>
        <w:spacing w:after="0" w:line="177" w:lineRule="exact"/>
        <w:rPr>
          <w:sz w:val="20"/>
          <w:szCs w:val="20"/>
          <w:color w:val="auto"/>
        </w:rPr>
      </w:pPr>
    </w:p>
    <w:p>
      <w:pPr>
        <w:ind w:firstLine="449"/>
        <w:spacing w:after="0" w:line="268" w:lineRule="auto"/>
        <w:rPr>
          <w:sz w:val="20"/>
          <w:szCs w:val="20"/>
          <w:color w:val="auto"/>
        </w:rPr>
      </w:pPr>
      <w:r>
        <w:rPr>
          <w:rFonts w:ascii="Arial" w:cs="Arial" w:eastAsia="Arial" w:hAnsi="Arial"/>
          <w:sz w:val="18"/>
          <w:szCs w:val="18"/>
          <w:color w:val="auto"/>
        </w:rPr>
        <w:t>Pursuant to the requirements of Section 13(a) or 15(d) of the Securities Exchange Act of 1934, the registrant has duly caused this Report on Form 10-Q to be signed on its behalf by the undersigned, thereunto duly authorized.</w:t>
      </w:r>
    </w:p>
    <w:p>
      <w:pPr>
        <w:spacing w:after="0" w:line="172"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PENNANTPARK INVESTMENT CORPORATION</w:t>
      </w:r>
    </w:p>
    <w:p>
      <w:pPr>
        <w:spacing w:after="0" w:line="225" w:lineRule="exact"/>
        <w:rPr>
          <w:sz w:val="20"/>
          <w:szCs w:val="20"/>
          <w:color w:val="auto"/>
        </w:rPr>
      </w:pPr>
    </w:p>
    <w:p>
      <w:pPr>
        <w:spacing w:after="0"/>
        <w:tabs>
          <w:tab w:leader="none" w:pos="5460" w:val="left"/>
          <w:tab w:leader="none" w:pos="7880" w:val="left"/>
        </w:tabs>
        <w:rPr>
          <w:sz w:val="20"/>
          <w:szCs w:val="20"/>
          <w:color w:val="auto"/>
        </w:rPr>
      </w:pPr>
      <w:r>
        <w:rPr>
          <w:rFonts w:ascii="Arial" w:cs="Arial" w:eastAsia="Arial" w:hAnsi="Arial"/>
          <w:sz w:val="18"/>
          <w:szCs w:val="18"/>
          <w:color w:val="auto"/>
        </w:rPr>
        <w:t>Date: May 6, 2009</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Arthur H. Penn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3716655</wp:posOffset>
            </wp:positionH>
            <wp:positionV relativeFrom="paragraph">
              <wp:posOffset>10795</wp:posOffset>
            </wp:positionV>
            <wp:extent cx="342011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3420110" cy="8255"/>
                    </a:xfrm>
                    <a:prstGeom prst="rect">
                      <a:avLst/>
                    </a:prstGeom>
                    <a:noFill/>
                  </pic:spPr>
                </pic:pic>
              </a:graphicData>
            </a:graphic>
          </wp:anchor>
        </w:drawing>
      </w:r>
    </w:p>
    <w:p>
      <w:pPr>
        <w:spacing w:after="0" w:line="10" w:lineRule="exact"/>
        <w:rPr>
          <w:sz w:val="20"/>
          <w:szCs w:val="20"/>
          <w:color w:val="auto"/>
        </w:rPr>
      </w:pPr>
    </w:p>
    <w:p>
      <w:pPr>
        <w:jc w:val="center"/>
        <w:ind w:left="5840"/>
        <w:spacing w:after="0"/>
        <w:rPr>
          <w:sz w:val="20"/>
          <w:szCs w:val="20"/>
          <w:color w:val="auto"/>
        </w:rPr>
      </w:pPr>
      <w:r>
        <w:rPr>
          <w:rFonts w:ascii="Arial" w:cs="Arial" w:eastAsia="Arial" w:hAnsi="Arial"/>
          <w:sz w:val="18"/>
          <w:szCs w:val="18"/>
          <w:b w:val="1"/>
          <w:bCs w:val="1"/>
          <w:color w:val="auto"/>
        </w:rPr>
        <w:t>Arthur H. Penn</w:t>
      </w:r>
    </w:p>
    <w:p>
      <w:pPr>
        <w:spacing w:after="0" w:line="21" w:lineRule="exact"/>
        <w:rPr>
          <w:sz w:val="20"/>
          <w:szCs w:val="20"/>
          <w:color w:val="auto"/>
        </w:rPr>
      </w:pPr>
    </w:p>
    <w:p>
      <w:pPr>
        <w:jc w:val="center"/>
        <w:ind w:left="5840"/>
        <w:spacing w:after="0"/>
        <w:rPr>
          <w:sz w:val="20"/>
          <w:szCs w:val="20"/>
          <w:color w:val="auto"/>
        </w:rPr>
      </w:pPr>
      <w:r>
        <w:rPr>
          <w:rFonts w:ascii="Arial" w:cs="Arial" w:eastAsia="Arial" w:hAnsi="Arial"/>
          <w:sz w:val="18"/>
          <w:szCs w:val="18"/>
          <w:b w:val="1"/>
          <w:bCs w:val="1"/>
          <w:color w:val="auto"/>
        </w:rPr>
        <w:t>Chief Executive Officer</w:t>
      </w:r>
    </w:p>
    <w:p>
      <w:pPr>
        <w:spacing w:after="0" w:line="219" w:lineRule="exact"/>
        <w:rPr>
          <w:sz w:val="20"/>
          <w:szCs w:val="20"/>
          <w:color w:val="auto"/>
        </w:rPr>
      </w:pPr>
    </w:p>
    <w:p>
      <w:pPr>
        <w:spacing w:after="0"/>
        <w:tabs>
          <w:tab w:leader="none" w:pos="5460" w:val="left"/>
          <w:tab w:leader="none" w:pos="8060" w:val="left"/>
        </w:tabs>
        <w:rPr>
          <w:sz w:val="20"/>
          <w:szCs w:val="20"/>
          <w:color w:val="auto"/>
        </w:rPr>
      </w:pPr>
      <w:r>
        <w:rPr>
          <w:rFonts w:ascii="Arial" w:cs="Arial" w:eastAsia="Arial" w:hAnsi="Arial"/>
          <w:sz w:val="18"/>
          <w:szCs w:val="18"/>
          <w:color w:val="auto"/>
        </w:rPr>
        <w:t>Date: May 6, 2009</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Aviv Efrat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3716655</wp:posOffset>
            </wp:positionH>
            <wp:positionV relativeFrom="paragraph">
              <wp:posOffset>10795</wp:posOffset>
            </wp:positionV>
            <wp:extent cx="342011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3420110" cy="8890"/>
                    </a:xfrm>
                    <a:prstGeom prst="rect">
                      <a:avLst/>
                    </a:prstGeom>
                    <a:noFill/>
                  </pic:spPr>
                </pic:pic>
              </a:graphicData>
            </a:graphic>
          </wp:anchor>
        </w:drawing>
      </w:r>
    </w:p>
    <w:p>
      <w:pPr>
        <w:spacing w:after="0" w:line="10" w:lineRule="exact"/>
        <w:rPr>
          <w:sz w:val="20"/>
          <w:szCs w:val="20"/>
          <w:color w:val="auto"/>
        </w:rPr>
      </w:pPr>
    </w:p>
    <w:p>
      <w:pPr>
        <w:jc w:val="center"/>
        <w:ind w:left="5840"/>
        <w:spacing w:after="0"/>
        <w:rPr>
          <w:sz w:val="20"/>
          <w:szCs w:val="20"/>
          <w:color w:val="auto"/>
        </w:rPr>
      </w:pPr>
      <w:r>
        <w:rPr>
          <w:rFonts w:ascii="Arial" w:cs="Arial" w:eastAsia="Arial" w:hAnsi="Arial"/>
          <w:sz w:val="18"/>
          <w:szCs w:val="18"/>
          <w:b w:val="1"/>
          <w:bCs w:val="1"/>
          <w:color w:val="auto"/>
        </w:rPr>
        <w:t>Aviv Efrat</w:t>
      </w:r>
    </w:p>
    <w:p>
      <w:pPr>
        <w:spacing w:after="0" w:line="21" w:lineRule="exact"/>
        <w:rPr>
          <w:sz w:val="20"/>
          <w:szCs w:val="20"/>
          <w:color w:val="auto"/>
        </w:rPr>
      </w:pPr>
    </w:p>
    <w:p>
      <w:pPr>
        <w:jc w:val="center"/>
        <w:ind w:left="5840"/>
        <w:spacing w:after="0"/>
        <w:rPr>
          <w:sz w:val="20"/>
          <w:szCs w:val="20"/>
          <w:color w:val="auto"/>
        </w:rPr>
      </w:pPr>
      <w:r>
        <w:rPr>
          <w:rFonts w:ascii="Arial" w:cs="Arial" w:eastAsia="Arial" w:hAnsi="Arial"/>
          <w:sz w:val="18"/>
          <w:szCs w:val="18"/>
          <w:b w:val="1"/>
          <w:bCs w:val="1"/>
          <w:color w:val="auto"/>
        </w:rPr>
        <w:t>Chief Financial Officer</w:t>
      </w:r>
    </w:p>
    <w:p>
      <w:pPr>
        <w:spacing w:after="0" w:line="9" w:lineRule="exact"/>
        <w:rPr>
          <w:sz w:val="20"/>
          <w:szCs w:val="20"/>
          <w:color w:val="auto"/>
        </w:rPr>
      </w:pPr>
    </w:p>
    <w:p>
      <w:pPr>
        <w:jc w:val="center"/>
        <w:ind w:left="5840"/>
        <w:spacing w:after="0"/>
        <w:rPr>
          <w:sz w:val="20"/>
          <w:szCs w:val="20"/>
          <w:color w:val="auto"/>
        </w:rPr>
      </w:pPr>
      <w:r>
        <w:rPr>
          <w:rFonts w:ascii="Arial" w:cs="Arial" w:eastAsia="Arial" w:hAnsi="Arial"/>
          <w:sz w:val="18"/>
          <w:szCs w:val="18"/>
          <w:b w:val="1"/>
          <w:bCs w:val="1"/>
          <w:color w:val="auto"/>
        </w:rPr>
        <w:t>(Principal Accounting and Financial Officer)</w:t>
      </w:r>
    </w:p>
    <w:p>
      <w:pPr>
        <w:spacing w:after="0" w:line="16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100"/>
          </w:cols>
          <w:pgMar w:left="320" w:top="459" w:right="479" w:bottom="1440" w:gutter="0" w:footer="0" w:header="0"/>
        </w:sectPr>
      </w:pPr>
    </w:p>
    <w:bookmarkStart w:id="40" w:name="page41"/>
    <w:bookmarkEnd w:id="40"/>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ind w:right="3500" w:firstLine="3505"/>
        <w:spacing w:after="0" w:line="394" w:lineRule="auto"/>
        <w:rPr>
          <w:sz w:val="20"/>
          <w:szCs w:val="20"/>
          <w:color w:val="auto"/>
        </w:rPr>
      </w:pPr>
      <w:r>
        <w:rPr>
          <w:rFonts w:ascii="Arial" w:cs="Arial" w:eastAsia="Arial" w:hAnsi="Arial"/>
          <w:sz w:val="18"/>
          <w:szCs w:val="18"/>
          <w:b w:val="1"/>
          <w:bCs w:val="1"/>
          <w:color w:val="auto"/>
        </w:rPr>
        <w:t xml:space="preserve">CERTIFICATION OF CHIEF EXECUTIVE OFFICER </w:t>
      </w:r>
      <w:r>
        <w:rPr>
          <w:rFonts w:ascii="Arial" w:cs="Arial" w:eastAsia="Arial" w:hAnsi="Arial"/>
          <w:sz w:val="18"/>
          <w:szCs w:val="18"/>
          <w:color w:val="auto"/>
        </w:rPr>
        <w:t>I, Arthur H. Penn, Chief Executive Officer of PennantPark Investment Corporation, certify that:</w:t>
      </w:r>
    </w:p>
    <w:p>
      <w:pPr>
        <w:spacing w:after="0" w:line="1" w:lineRule="exact"/>
        <w:rPr>
          <w:sz w:val="20"/>
          <w:szCs w:val="20"/>
          <w:color w:val="auto"/>
        </w:rPr>
      </w:pPr>
    </w:p>
    <w:p>
      <w:pPr>
        <w:ind w:left="180" w:hanging="172"/>
        <w:spacing w:after="0"/>
        <w:tabs>
          <w:tab w:leader="none" w:pos="1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 have reviewed this Report on Form 10-Q of PennantPark Investment Corporation;</w:t>
      </w:r>
    </w:p>
    <w:p>
      <w:pPr>
        <w:spacing w:after="0" w:line="171" w:lineRule="exact"/>
        <w:rPr>
          <w:rFonts w:ascii="Arial" w:cs="Arial" w:eastAsia="Arial" w:hAnsi="Arial"/>
          <w:sz w:val="18"/>
          <w:szCs w:val="18"/>
          <w:color w:val="auto"/>
        </w:rPr>
      </w:pPr>
    </w:p>
    <w:p>
      <w:pPr>
        <w:ind w:firstLine="8"/>
        <w:spacing w:after="0" w:line="331" w:lineRule="auto"/>
        <w:tabs>
          <w:tab w:leader="none" w:pos="175" w:val="left"/>
        </w:tabs>
        <w:numPr>
          <w:ilvl w:val="0"/>
          <w:numId w:val="22"/>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6" w:lineRule="exact"/>
        <w:rPr>
          <w:rFonts w:ascii="Arial" w:cs="Arial" w:eastAsia="Arial" w:hAnsi="Arial"/>
          <w:sz w:val="16"/>
          <w:szCs w:val="16"/>
          <w:color w:val="auto"/>
        </w:rPr>
      </w:pPr>
    </w:p>
    <w:p>
      <w:pPr>
        <w:ind w:right="100" w:firstLine="8"/>
        <w:spacing w:after="0" w:line="268" w:lineRule="auto"/>
        <w:tabs>
          <w:tab w:leader="none" w:pos="175" w:val="left"/>
        </w:tabs>
        <w:numPr>
          <w:ilvl w:val="0"/>
          <w:numId w:val="2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spacing w:after="0" w:line="131" w:lineRule="exact"/>
        <w:rPr>
          <w:rFonts w:ascii="Arial" w:cs="Arial" w:eastAsia="Arial" w:hAnsi="Arial"/>
          <w:sz w:val="18"/>
          <w:szCs w:val="18"/>
          <w:color w:val="auto"/>
        </w:rPr>
      </w:pPr>
    </w:p>
    <w:p>
      <w:pPr>
        <w:ind w:right="20" w:firstLine="8"/>
        <w:spacing w:after="0" w:line="259" w:lineRule="auto"/>
        <w:tabs>
          <w:tab w:leader="none" w:pos="175"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company’s other certifying officer and I are responsible for establishing and maintaining disclosure controls and procedures (as defined in Exchange Act Rules 13a-15(e) and 15d-15(e)) and internal control over financial reporting (as defined in Exchange Act Rules 13a-15(f) and 15d-15(f)) for the company and have:</w:t>
      </w:r>
    </w:p>
    <w:p>
      <w:pPr>
        <w:spacing w:after="0" w:line="59" w:lineRule="exact"/>
        <w:rPr>
          <w:sz w:val="20"/>
          <w:szCs w:val="20"/>
          <w:color w:val="auto"/>
        </w:rPr>
      </w:pPr>
    </w:p>
    <w:p>
      <w:pPr>
        <w:jc w:val="both"/>
        <w:ind w:right="240" w:firstLine="8"/>
        <w:spacing w:after="0" w:line="259" w:lineRule="auto"/>
        <w:tabs>
          <w:tab w:leader="none" w:pos="1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company, including its subsidiaries, is made known to us by others within those entities, particularly during the period in which this Report is being prepared; and</w:t>
      </w:r>
    </w:p>
    <w:p>
      <w:pPr>
        <w:spacing w:after="0" w:line="139" w:lineRule="exact"/>
        <w:rPr>
          <w:rFonts w:ascii="Arial" w:cs="Arial" w:eastAsia="Arial" w:hAnsi="Arial"/>
          <w:sz w:val="18"/>
          <w:szCs w:val="18"/>
          <w:color w:val="auto"/>
        </w:rPr>
      </w:pPr>
    </w:p>
    <w:p>
      <w:pPr>
        <w:ind w:right="20" w:firstLine="8"/>
        <w:spacing w:after="0" w:line="259" w:lineRule="auto"/>
        <w:tabs>
          <w:tab w:leader="none" w:pos="19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and</w:t>
      </w:r>
    </w:p>
    <w:p>
      <w:pPr>
        <w:spacing w:after="0" w:line="139" w:lineRule="exact"/>
        <w:rPr>
          <w:rFonts w:ascii="Arial" w:cs="Arial" w:eastAsia="Arial" w:hAnsi="Arial"/>
          <w:sz w:val="18"/>
          <w:szCs w:val="18"/>
          <w:color w:val="auto"/>
        </w:rPr>
      </w:pPr>
    </w:p>
    <w:p>
      <w:pPr>
        <w:ind w:right="140" w:firstLine="8"/>
        <w:spacing w:after="0" w:line="268" w:lineRule="auto"/>
        <w:tabs>
          <w:tab w:leader="none" w:pos="1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spacing w:after="0" w:line="131" w:lineRule="exact"/>
        <w:rPr>
          <w:rFonts w:ascii="Arial" w:cs="Arial" w:eastAsia="Arial" w:hAnsi="Arial"/>
          <w:sz w:val="18"/>
          <w:szCs w:val="18"/>
          <w:color w:val="auto"/>
        </w:rPr>
      </w:pPr>
    </w:p>
    <w:p>
      <w:pPr>
        <w:ind w:right="180" w:firstLine="8"/>
        <w:spacing w:after="0" w:line="331" w:lineRule="auto"/>
        <w:tabs>
          <w:tab w:leader="none" w:pos="190" w:val="left"/>
        </w:tabs>
        <w:numPr>
          <w:ilvl w:val="0"/>
          <w:numId w:val="23"/>
        </w:numPr>
        <w:rPr>
          <w:rFonts w:ascii="Arial" w:cs="Arial" w:eastAsia="Arial" w:hAnsi="Arial"/>
          <w:sz w:val="16"/>
          <w:szCs w:val="16"/>
          <w:color w:val="auto"/>
        </w:rPr>
      </w:pPr>
      <w:r>
        <w:rPr>
          <w:rFonts w:ascii="Arial" w:cs="Arial" w:eastAsia="Arial" w:hAnsi="Arial"/>
          <w:sz w:val="16"/>
          <w:szCs w:val="16"/>
          <w:color w:val="auto"/>
        </w:rPr>
        <w:t>Disclosed in this Report any change in the company’s internal control over financial reporting that occurred during the period covered by the annual report that has materially affected, or is reasonably likely to materially affect, the company’s internal control over financial reporting; and</w:t>
      </w:r>
    </w:p>
    <w:p>
      <w:pPr>
        <w:spacing w:after="0" w:line="87" w:lineRule="exact"/>
        <w:rPr>
          <w:sz w:val="20"/>
          <w:szCs w:val="20"/>
          <w:color w:val="auto"/>
        </w:rPr>
      </w:pPr>
    </w:p>
    <w:p>
      <w:pPr>
        <w:ind w:right="760" w:firstLine="8"/>
        <w:spacing w:after="0" w:line="331" w:lineRule="auto"/>
        <w:tabs>
          <w:tab w:leader="none" w:pos="175"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 company’s other certifying officer and I have disclosed, based on our most recent evaluation of internal control over financial reporting, to the company’s auditors and the audit committee of the company’s board of directors (or persons performing the equivalent functions):</w:t>
      </w:r>
    </w:p>
    <w:p>
      <w:pPr>
        <w:spacing w:after="0" w:line="6" w:lineRule="exact"/>
        <w:rPr>
          <w:sz w:val="20"/>
          <w:szCs w:val="20"/>
          <w:color w:val="auto"/>
        </w:rPr>
      </w:pPr>
    </w:p>
    <w:p>
      <w:pPr>
        <w:ind w:right="380" w:firstLine="8"/>
        <w:spacing w:after="0" w:line="268" w:lineRule="auto"/>
        <w:tabs>
          <w:tab w:leader="none" w:pos="1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131" w:lineRule="exact"/>
        <w:rPr>
          <w:rFonts w:ascii="Arial" w:cs="Arial" w:eastAsia="Arial" w:hAnsi="Arial"/>
          <w:sz w:val="18"/>
          <w:szCs w:val="18"/>
          <w:color w:val="auto"/>
        </w:rPr>
      </w:pPr>
    </w:p>
    <w:p>
      <w:pPr>
        <w:ind w:right="620" w:firstLine="8"/>
        <w:spacing w:after="0" w:line="268" w:lineRule="auto"/>
        <w:tabs>
          <w:tab w:leader="none" w:pos="19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company’s internal control over financial reporting.</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Dated: May 6, 2009</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/s/ Arthur H. Penn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4607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Arthur H. Penn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240"/>
          </w:cols>
          <w:pgMar w:left="320" w:top="125" w:right="339" w:bottom="1440" w:gutter="0" w:footer="0" w:header="0"/>
        </w:sectPr>
      </w:pPr>
    </w:p>
    <w:bookmarkStart w:id="41" w:name="page42"/>
    <w:bookmarkEnd w:id="41"/>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ind w:right="3520" w:firstLine="3529"/>
        <w:spacing w:after="0" w:line="394" w:lineRule="auto"/>
        <w:rPr>
          <w:sz w:val="20"/>
          <w:szCs w:val="20"/>
          <w:color w:val="auto"/>
        </w:rPr>
      </w:pPr>
      <w:r>
        <w:rPr>
          <w:rFonts w:ascii="Arial" w:cs="Arial" w:eastAsia="Arial" w:hAnsi="Arial"/>
          <w:sz w:val="18"/>
          <w:szCs w:val="18"/>
          <w:b w:val="1"/>
          <w:bCs w:val="1"/>
          <w:color w:val="auto"/>
        </w:rPr>
        <w:t xml:space="preserve">CERTIFICATION OF CHIEF FINANCIAL OFFICER </w:t>
      </w:r>
      <w:r>
        <w:rPr>
          <w:rFonts w:ascii="Arial" w:cs="Arial" w:eastAsia="Arial" w:hAnsi="Arial"/>
          <w:sz w:val="18"/>
          <w:szCs w:val="18"/>
          <w:color w:val="auto"/>
        </w:rPr>
        <w:t>I, Aviv Efrat, Chief Financial Officer of PennantPark Investment Corporation, certify that:</w:t>
      </w:r>
    </w:p>
    <w:p>
      <w:pPr>
        <w:spacing w:after="0" w:line="1" w:lineRule="exact"/>
        <w:rPr>
          <w:sz w:val="20"/>
          <w:szCs w:val="20"/>
          <w:color w:val="auto"/>
        </w:rPr>
      </w:pPr>
    </w:p>
    <w:p>
      <w:pPr>
        <w:ind w:left="180" w:hanging="172"/>
        <w:spacing w:after="0"/>
        <w:tabs>
          <w:tab w:leader="none" w:pos="1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 have reviewed this Report on Form 10-Q of PennantPark Investment Corporation;</w:t>
      </w:r>
    </w:p>
    <w:p>
      <w:pPr>
        <w:spacing w:after="0" w:line="171" w:lineRule="exact"/>
        <w:rPr>
          <w:rFonts w:ascii="Arial" w:cs="Arial" w:eastAsia="Arial" w:hAnsi="Arial"/>
          <w:sz w:val="18"/>
          <w:szCs w:val="18"/>
          <w:color w:val="auto"/>
        </w:rPr>
      </w:pPr>
    </w:p>
    <w:p>
      <w:pPr>
        <w:ind w:firstLine="8"/>
        <w:spacing w:after="0" w:line="331" w:lineRule="auto"/>
        <w:tabs>
          <w:tab w:leader="none" w:pos="175" w:val="left"/>
        </w:tabs>
        <w:numPr>
          <w:ilvl w:val="0"/>
          <w:numId w:val="26"/>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6" w:lineRule="exact"/>
        <w:rPr>
          <w:rFonts w:ascii="Arial" w:cs="Arial" w:eastAsia="Arial" w:hAnsi="Arial"/>
          <w:sz w:val="16"/>
          <w:szCs w:val="16"/>
          <w:color w:val="auto"/>
        </w:rPr>
      </w:pPr>
    </w:p>
    <w:p>
      <w:pPr>
        <w:ind w:right="100" w:firstLine="8"/>
        <w:spacing w:after="0" w:line="268" w:lineRule="auto"/>
        <w:tabs>
          <w:tab w:leader="none" w:pos="175" w:val="left"/>
        </w:tabs>
        <w:numPr>
          <w:ilvl w:val="0"/>
          <w:numId w:val="2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spacing w:after="0" w:line="131" w:lineRule="exact"/>
        <w:rPr>
          <w:rFonts w:ascii="Arial" w:cs="Arial" w:eastAsia="Arial" w:hAnsi="Arial"/>
          <w:sz w:val="18"/>
          <w:szCs w:val="18"/>
          <w:color w:val="auto"/>
        </w:rPr>
      </w:pPr>
    </w:p>
    <w:p>
      <w:pPr>
        <w:jc w:val="both"/>
        <w:ind w:right="20" w:firstLine="8"/>
        <w:spacing w:after="0" w:line="356" w:lineRule="auto"/>
        <w:tabs>
          <w:tab w:leader="none" w:pos="175" w:val="left"/>
        </w:tabs>
        <w:numPr>
          <w:ilvl w:val="0"/>
          <w:numId w:val="26"/>
        </w:numPr>
        <w:rPr>
          <w:rFonts w:ascii="Arial" w:cs="Arial" w:eastAsia="Arial" w:hAnsi="Arial"/>
          <w:sz w:val="15"/>
          <w:szCs w:val="15"/>
          <w:color w:val="auto"/>
        </w:rPr>
      </w:pPr>
      <w:r>
        <w:rPr>
          <w:rFonts w:ascii="Arial" w:cs="Arial" w:eastAsia="Arial" w:hAnsi="Arial"/>
          <w:sz w:val="15"/>
          <w:szCs w:val="15"/>
          <w:color w:val="auto"/>
        </w:rPr>
        <w:t>The company’s other certifying officer and I are responsible for establishing and maintaining disclosure controls and procedures (as defined in Exchange Act Rules 13a-15(e) and 15d-15(e)) internal control over financial reporting (as defined in Exchange Act Rules 13a-15(f) and 15d-15(f)) for the company and have:</w:t>
      </w:r>
    </w:p>
    <w:p>
      <w:pPr>
        <w:spacing w:after="0" w:line="1" w:lineRule="exact"/>
        <w:rPr>
          <w:sz w:val="20"/>
          <w:szCs w:val="20"/>
          <w:color w:val="auto"/>
        </w:rPr>
      </w:pPr>
    </w:p>
    <w:p>
      <w:pPr>
        <w:jc w:val="both"/>
        <w:ind w:right="240" w:firstLine="8"/>
        <w:spacing w:after="0" w:line="259" w:lineRule="auto"/>
        <w:tabs>
          <w:tab w:leader="none" w:pos="1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company, including its subsidiaries, is made known to us by others within those entities, particularly during the period in which this Report is being prepared; and</w:t>
      </w:r>
    </w:p>
    <w:p>
      <w:pPr>
        <w:spacing w:after="0" w:line="139" w:lineRule="exact"/>
        <w:rPr>
          <w:rFonts w:ascii="Arial" w:cs="Arial" w:eastAsia="Arial" w:hAnsi="Arial"/>
          <w:sz w:val="18"/>
          <w:szCs w:val="18"/>
          <w:color w:val="auto"/>
        </w:rPr>
      </w:pPr>
    </w:p>
    <w:p>
      <w:pPr>
        <w:ind w:right="20" w:firstLine="8"/>
        <w:spacing w:after="0" w:line="259" w:lineRule="auto"/>
        <w:tabs>
          <w:tab w:leader="none" w:pos="190" w:val="left"/>
        </w:tabs>
        <w:numPr>
          <w:ilvl w:val="0"/>
          <w:numId w:val="2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and</w:t>
      </w:r>
    </w:p>
    <w:p>
      <w:pPr>
        <w:spacing w:after="0" w:line="139" w:lineRule="exact"/>
        <w:rPr>
          <w:rFonts w:ascii="Arial" w:cs="Arial" w:eastAsia="Arial" w:hAnsi="Arial"/>
          <w:sz w:val="18"/>
          <w:szCs w:val="18"/>
          <w:color w:val="auto"/>
        </w:rPr>
      </w:pPr>
    </w:p>
    <w:p>
      <w:pPr>
        <w:ind w:right="140" w:firstLine="8"/>
        <w:spacing w:after="0" w:line="268" w:lineRule="auto"/>
        <w:tabs>
          <w:tab w:leader="none" w:pos="1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spacing w:after="0" w:line="131" w:lineRule="exact"/>
        <w:rPr>
          <w:rFonts w:ascii="Arial" w:cs="Arial" w:eastAsia="Arial" w:hAnsi="Arial"/>
          <w:sz w:val="18"/>
          <w:szCs w:val="18"/>
          <w:color w:val="auto"/>
        </w:rPr>
      </w:pPr>
    </w:p>
    <w:p>
      <w:pPr>
        <w:ind w:right="180" w:firstLine="8"/>
        <w:spacing w:after="0" w:line="331" w:lineRule="auto"/>
        <w:tabs>
          <w:tab w:leader="none" w:pos="190" w:val="left"/>
        </w:tabs>
        <w:numPr>
          <w:ilvl w:val="0"/>
          <w:numId w:val="27"/>
        </w:numPr>
        <w:rPr>
          <w:rFonts w:ascii="Arial" w:cs="Arial" w:eastAsia="Arial" w:hAnsi="Arial"/>
          <w:sz w:val="16"/>
          <w:szCs w:val="16"/>
          <w:color w:val="auto"/>
        </w:rPr>
      </w:pPr>
      <w:r>
        <w:rPr>
          <w:rFonts w:ascii="Arial" w:cs="Arial" w:eastAsia="Arial" w:hAnsi="Arial"/>
          <w:sz w:val="16"/>
          <w:szCs w:val="16"/>
          <w:color w:val="auto"/>
        </w:rPr>
        <w:t>Disclosed in this Report any change in the company’s internal control over financial reporting that occurred during the period covered by the annual report that has materially affected, or is reasonably likely to materially affect, the company’s internal control over financial reporting; and</w:t>
      </w:r>
    </w:p>
    <w:p>
      <w:pPr>
        <w:spacing w:after="0" w:line="87" w:lineRule="exact"/>
        <w:rPr>
          <w:sz w:val="20"/>
          <w:szCs w:val="20"/>
          <w:color w:val="auto"/>
        </w:rPr>
      </w:pPr>
    </w:p>
    <w:p>
      <w:pPr>
        <w:ind w:right="760" w:firstLine="8"/>
        <w:spacing w:after="0" w:line="331" w:lineRule="auto"/>
        <w:tabs>
          <w:tab w:leader="none" w:pos="175" w:val="left"/>
        </w:tabs>
        <w:numPr>
          <w:ilvl w:val="0"/>
          <w:numId w:val="28"/>
        </w:numPr>
        <w:rPr>
          <w:rFonts w:ascii="Arial" w:cs="Arial" w:eastAsia="Arial" w:hAnsi="Arial"/>
          <w:sz w:val="16"/>
          <w:szCs w:val="16"/>
          <w:color w:val="auto"/>
        </w:rPr>
      </w:pPr>
      <w:r>
        <w:rPr>
          <w:rFonts w:ascii="Arial" w:cs="Arial" w:eastAsia="Arial" w:hAnsi="Arial"/>
          <w:sz w:val="16"/>
          <w:szCs w:val="16"/>
          <w:color w:val="auto"/>
        </w:rPr>
        <w:t>The company’s other certifying officer and I have disclosed, based on our most recent evaluation of internal control over financial reporting, to the company’s auditors and the audit committee of the company’s board of directors (or persons performing the equivalent functions):</w:t>
      </w:r>
    </w:p>
    <w:p>
      <w:pPr>
        <w:spacing w:after="0" w:line="6" w:lineRule="exact"/>
        <w:rPr>
          <w:sz w:val="20"/>
          <w:szCs w:val="20"/>
          <w:color w:val="auto"/>
        </w:rPr>
      </w:pPr>
    </w:p>
    <w:p>
      <w:pPr>
        <w:ind w:right="380" w:firstLine="8"/>
        <w:spacing w:after="0" w:line="268" w:lineRule="auto"/>
        <w:tabs>
          <w:tab w:leader="none" w:pos="1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131" w:lineRule="exact"/>
        <w:rPr>
          <w:rFonts w:ascii="Arial" w:cs="Arial" w:eastAsia="Arial" w:hAnsi="Arial"/>
          <w:sz w:val="18"/>
          <w:szCs w:val="18"/>
          <w:color w:val="auto"/>
        </w:rPr>
      </w:pPr>
    </w:p>
    <w:p>
      <w:pPr>
        <w:ind w:right="620" w:firstLine="8"/>
        <w:spacing w:after="0" w:line="268" w:lineRule="auto"/>
        <w:tabs>
          <w:tab w:leader="none" w:pos="19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company’s internal control over financial reporting.</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Dated: May 6, 2009</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/s/ Aviv Efrat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4607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284607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Aviv Efrat</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240"/>
          </w:cols>
          <w:pgMar w:left="320" w:top="125" w:right="339" w:bottom="1440" w:gutter="0" w:footer="0" w:header="0"/>
        </w:sectPr>
      </w:pPr>
    </w:p>
    <w:bookmarkStart w:id="42" w:name="page43"/>
    <w:bookmarkEnd w:id="42"/>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 (18 U.S.C. 1350)</w:t>
      </w:r>
    </w:p>
    <w:p>
      <w:pPr>
        <w:spacing w:after="0" w:line="165" w:lineRule="exact"/>
        <w:rPr>
          <w:sz w:val="20"/>
          <w:szCs w:val="20"/>
          <w:color w:val="auto"/>
        </w:rPr>
      </w:pPr>
    </w:p>
    <w:p>
      <w:pPr>
        <w:ind w:right="220" w:firstLine="449"/>
        <w:spacing w:after="0" w:line="259" w:lineRule="auto"/>
        <w:rPr>
          <w:sz w:val="20"/>
          <w:szCs w:val="20"/>
          <w:color w:val="auto"/>
        </w:rPr>
      </w:pPr>
      <w:r>
        <w:rPr>
          <w:rFonts w:ascii="Arial" w:cs="Arial" w:eastAsia="Arial" w:hAnsi="Arial"/>
          <w:sz w:val="18"/>
          <w:szCs w:val="18"/>
          <w:color w:val="auto"/>
        </w:rPr>
        <w:t>In connection with this Report on Form 10-Q for the six months ended March 31, 2009 (the “Report”) of PennantPark Investment Corporation (the “Registrant”), as filed with the Securities and Exchange Commission on the date hereof, I, Arthur H. Penn, Chief Executive Officer of the Registrant, hereby certify, to the best of my knowledge, that:</w:t>
      </w:r>
    </w:p>
    <w:p>
      <w:pPr>
        <w:spacing w:after="0" w:line="59" w:lineRule="exact"/>
        <w:rPr>
          <w:sz w:val="20"/>
          <w:szCs w:val="20"/>
          <w:color w:val="auto"/>
        </w:rPr>
      </w:pPr>
    </w:p>
    <w:p>
      <w:pPr>
        <w:ind w:left="900" w:hanging="447"/>
        <w:spacing w:after="0"/>
        <w:tabs>
          <w:tab w:leader="none" w:pos="900" w:val="left"/>
        </w:tabs>
        <w:numPr>
          <w:ilvl w:val="0"/>
          <w:numId w:val="30"/>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of the Securities Exchange Act of 1934, as amended; and</w:t>
      </w:r>
    </w:p>
    <w:p>
      <w:pPr>
        <w:spacing w:after="0" w:line="113" w:lineRule="exact"/>
        <w:rPr>
          <w:rFonts w:ascii="Arial" w:cs="Arial" w:eastAsia="Arial" w:hAnsi="Arial"/>
          <w:sz w:val="16"/>
          <w:szCs w:val="16"/>
          <w:color w:val="auto"/>
        </w:rPr>
      </w:pPr>
    </w:p>
    <w:p>
      <w:pPr>
        <w:ind w:left="900" w:hanging="447"/>
        <w:spacing w:after="0"/>
        <w:tabs>
          <w:tab w:leader="none" w:pos="900" w:val="left"/>
        </w:tabs>
        <w:numPr>
          <w:ilvl w:val="0"/>
          <w:numId w:val="30"/>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Registrant.</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/s/ Arthur H. Penn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4607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284607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Arthur H. Penn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May 6, 2009</w:t>
      </w:r>
    </w:p>
    <w:p>
      <w:pPr>
        <w:sectPr>
          <w:pgSz w:w="11900" w:h="16838" w:orient="portrait"/>
          <w:cols w:equalWidth="0" w:num="1">
            <w:col w:w="11240"/>
          </w:cols>
          <w:pgMar w:left="320" w:top="125" w:right="339" w:bottom="1440" w:gutter="0" w:footer="0" w:header="0"/>
        </w:sectPr>
      </w:pPr>
    </w:p>
    <w:bookmarkStart w:id="43" w:name="page44"/>
    <w:bookmarkEnd w:id="43"/>
    <w:p>
      <w:pPr>
        <w:jc w:val="right"/>
        <w:spacing w:after="0"/>
        <w:rPr>
          <w:sz w:val="20"/>
          <w:szCs w:val="20"/>
          <w:color w:val="auto"/>
        </w:rPr>
      </w:pPr>
      <w:r>
        <w:rPr>
          <w:rFonts w:ascii="Arial" w:cs="Arial" w:eastAsia="Arial" w:hAnsi="Arial"/>
          <w:sz w:val="18"/>
          <w:szCs w:val="18"/>
          <w:b w:val="1"/>
          <w:bCs w:val="1"/>
          <w:color w:val="auto"/>
        </w:rPr>
        <w:t>EXHIBIT 32.2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 (18 U.S.C. 1350)</w:t>
      </w:r>
    </w:p>
    <w:p>
      <w:pPr>
        <w:spacing w:after="0" w:line="165" w:lineRule="exact"/>
        <w:rPr>
          <w:sz w:val="20"/>
          <w:szCs w:val="20"/>
          <w:color w:val="auto"/>
        </w:rPr>
      </w:pPr>
    </w:p>
    <w:p>
      <w:pPr>
        <w:ind w:right="80" w:firstLine="449"/>
        <w:spacing w:after="0" w:line="259" w:lineRule="auto"/>
        <w:rPr>
          <w:sz w:val="20"/>
          <w:szCs w:val="20"/>
          <w:color w:val="auto"/>
        </w:rPr>
      </w:pPr>
      <w:r>
        <w:rPr>
          <w:rFonts w:ascii="Arial" w:cs="Arial" w:eastAsia="Arial" w:hAnsi="Arial"/>
          <w:sz w:val="18"/>
          <w:szCs w:val="18"/>
          <w:color w:val="auto"/>
        </w:rPr>
        <w:t>In connection with this Report on Form 10-Q for the six months ended March 31, 2009 (the “Report”) of PennantPark Investment Corporation (the “Registrant”), as filed with the Securities and Exchange Commission on the date hereof, I, Aviv Efrat, Chief Financial Officer of the Registrant, hereby certify, to the best of my knowledge, that:</w:t>
      </w:r>
    </w:p>
    <w:p>
      <w:pPr>
        <w:spacing w:after="0" w:line="59" w:lineRule="exact"/>
        <w:rPr>
          <w:sz w:val="20"/>
          <w:szCs w:val="20"/>
          <w:color w:val="auto"/>
        </w:rPr>
      </w:pPr>
    </w:p>
    <w:p>
      <w:pPr>
        <w:ind w:left="900" w:hanging="447"/>
        <w:spacing w:after="0"/>
        <w:tabs>
          <w:tab w:leader="none" w:pos="900" w:val="left"/>
        </w:tabs>
        <w:numPr>
          <w:ilvl w:val="0"/>
          <w:numId w:val="31"/>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of the Securities Exchange Act of 1934, as amended; and</w:t>
      </w:r>
    </w:p>
    <w:p>
      <w:pPr>
        <w:spacing w:after="0" w:line="113" w:lineRule="exact"/>
        <w:rPr>
          <w:rFonts w:ascii="Arial" w:cs="Arial" w:eastAsia="Arial" w:hAnsi="Arial"/>
          <w:sz w:val="16"/>
          <w:szCs w:val="16"/>
          <w:color w:val="auto"/>
        </w:rPr>
      </w:pPr>
    </w:p>
    <w:p>
      <w:pPr>
        <w:ind w:left="900" w:hanging="447"/>
        <w:spacing w:after="0"/>
        <w:tabs>
          <w:tab w:leader="none" w:pos="900" w:val="left"/>
        </w:tabs>
        <w:numPr>
          <w:ilvl w:val="0"/>
          <w:numId w:val="31"/>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Registrant.</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/s/ Aviv Efrat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4607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284607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Aviv Efrat</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May 6, 2009</w:t>
      </w:r>
    </w:p>
    <w:sectPr>
      <w:pgSz w:w="11900" w:h="16838" w:orient="portrait"/>
      <w:cols w:equalWidth="0" w:num="1">
        <w:col w:w="11240"/>
      </w:cols>
      <w:pgMar w:left="320" w:top="12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B68079A"/>
    <w:multiLevelType w:val="hybridMultilevel"/>
    <w:lvl w:ilvl="0">
      <w:lvlJc w:val="left"/>
      <w:lvlText w:val="☒"/>
      <w:numFmt w:val="bullet"/>
      <w:start w:val="1"/>
    </w:lvl>
  </w:abstractNum>
  <w:abstractNum w:abstractNumId="1">
    <w:nsid w:val="4E6AFB66"/>
    <w:multiLevelType w:val="hybridMultilevel"/>
    <w:lvl w:ilvl="0">
      <w:lvlJc w:val="left"/>
      <w:lvlText w:val="☐"/>
      <w:numFmt w:val="bullet"/>
      <w:start w:val="1"/>
    </w:lvl>
  </w:abstractNum>
  <w:abstractNum w:abstractNumId="2">
    <w:nsid w:val="25E45D32"/>
    <w:multiLevelType w:val="hybridMultilevel"/>
    <w:lvl w:ilvl="0">
      <w:lvlJc w:val="left"/>
      <w:lvlText w:val="(%1)"/>
      <w:numFmt w:val="decimal"/>
      <w:start w:val="1"/>
    </w:lvl>
  </w:abstractNum>
  <w:abstractNum w:abstractNumId="3">
    <w:nsid w:val="519B500D"/>
    <w:multiLevelType w:val="hybridMultilevel"/>
    <w:lvl w:ilvl="0">
      <w:lvlJc w:val="left"/>
      <w:lvlText w:val="(%1)"/>
      <w:numFmt w:val="decimal"/>
      <w:start w:val="6"/>
    </w:lvl>
  </w:abstractNum>
  <w:abstractNum w:abstractNumId="4">
    <w:nsid w:val="431BD7B7"/>
    <w:multiLevelType w:val="hybridMultilevel"/>
    <w:lvl w:ilvl="0">
      <w:lvlJc w:val="left"/>
      <w:lvlText w:val="(%1)"/>
      <w:numFmt w:val="decimal"/>
      <w:start w:val="1"/>
    </w:lvl>
  </w:abstractNum>
  <w:abstractNum w:abstractNumId="5">
    <w:nsid w:val="3F2DBA31"/>
    <w:multiLevelType w:val="hybridMultilevel"/>
    <w:lvl w:ilvl="0">
      <w:lvlJc w:val="left"/>
      <w:lvlText w:val="(%1)"/>
      <w:numFmt w:val="lowerLetter"/>
      <w:start w:val="1"/>
    </w:lvl>
  </w:abstractNum>
  <w:abstractNum w:abstractNumId="6">
    <w:nsid w:val="7C83E458"/>
    <w:multiLevelType w:val="hybridMultilevel"/>
    <w:lvl w:ilvl="0">
      <w:lvlJc w:val="left"/>
      <w:lvlText w:val="%1)"/>
      <w:numFmt w:val="decimal"/>
      <w:start w:val="1"/>
    </w:lvl>
  </w:abstractNum>
  <w:abstractNum w:abstractNumId="7">
    <w:nsid w:val="257130A3"/>
    <w:multiLevelType w:val="hybridMultilevel"/>
    <w:lvl w:ilvl="0">
      <w:lvlJc w:val="left"/>
      <w:lvlText w:val="(%1)"/>
      <w:numFmt w:val="lowerLetter"/>
      <w:start w:val="2"/>
    </w:lvl>
  </w:abstractNum>
  <w:abstractNum w:abstractNumId="8">
    <w:nsid w:val="62BBD95A"/>
    <w:multiLevelType w:val="hybridMultilevel"/>
    <w:lvl w:ilvl="0">
      <w:lvlJc w:val="left"/>
      <w:lvlText w:val="(%1)"/>
      <w:numFmt w:val="lowerLetter"/>
      <w:start w:val="6"/>
    </w:lvl>
  </w:abstractNum>
  <w:abstractNum w:abstractNumId="9">
    <w:nsid w:val="436C6125"/>
    <w:multiLevelType w:val="hybridMultilevel"/>
    <w:lvl w:ilvl="0">
      <w:lvlJc w:val="left"/>
      <w:lvlText w:val="(%1)"/>
      <w:numFmt w:val="decimal"/>
      <w:start w:val="1"/>
    </w:lvl>
  </w:abstractNum>
  <w:abstractNum w:abstractNumId="10">
    <w:nsid w:val="628C895D"/>
    <w:multiLevelType w:val="hybridMultilevel"/>
    <w:lvl w:ilvl="0">
      <w:lvlJc w:val="left"/>
      <w:lvlText w:val="(%1)"/>
      <w:numFmt w:val="decimal"/>
      <w:start w:val="1"/>
    </w:lvl>
  </w:abstractNum>
  <w:abstractNum w:abstractNumId="11">
    <w:nsid w:val="333AB105"/>
    <w:multiLevelType w:val="hybridMultilevel"/>
    <w:lvl w:ilvl="0">
      <w:lvlJc w:val="left"/>
      <w:lvlText w:val="*"/>
      <w:numFmt w:val="bullet"/>
      <w:start w:val="1"/>
    </w:lvl>
  </w:abstractNum>
  <w:abstractNum w:abstractNumId="12">
    <w:nsid w:val="721DA317"/>
    <w:multiLevelType w:val="hybridMultilevel"/>
    <w:lvl w:ilvl="0">
      <w:lvlJc w:val="left"/>
      <w:lvlText w:val="(%1)"/>
      <w:numFmt w:val="decimal"/>
      <w:start w:val="1"/>
    </w:lvl>
  </w:abstractNum>
  <w:abstractNum w:abstractNumId="13">
    <w:nsid w:val="2443A858"/>
    <w:multiLevelType w:val="hybridMultilevel"/>
    <w:lvl w:ilvl="0">
      <w:lvlJc w:val="left"/>
      <w:lvlText w:val="•"/>
      <w:numFmt w:val="bullet"/>
      <w:start w:val="1"/>
    </w:lvl>
  </w:abstractNum>
  <w:abstractNum w:abstractNumId="14">
    <w:nsid w:val="2D1D5AE9"/>
    <w:multiLevelType w:val="hybridMultilevel"/>
    <w:lvl w:ilvl="0">
      <w:lvlJc w:val="left"/>
      <w:lvlText w:val="•"/>
      <w:numFmt w:val="bullet"/>
      <w:start w:val="1"/>
    </w:lvl>
  </w:abstractNum>
  <w:abstractNum w:abstractNumId="15">
    <w:nsid w:val="6763845E"/>
    <w:multiLevelType w:val="hybridMultilevel"/>
    <w:lvl w:ilvl="0">
      <w:lvlJc w:val="left"/>
      <w:lvlText w:val="•"/>
      <w:numFmt w:val="bullet"/>
      <w:start w:val="1"/>
    </w:lvl>
  </w:abstractNum>
  <w:abstractNum w:abstractNumId="16">
    <w:nsid w:val="75A2A8D4"/>
    <w:multiLevelType w:val="hybridMultilevel"/>
    <w:lvl w:ilvl="0">
      <w:lvlJc w:val="left"/>
      <w:lvlText w:val="%1)"/>
      <w:numFmt w:val="decimal"/>
      <w:start w:val="1"/>
    </w:lvl>
  </w:abstractNum>
  <w:abstractNum w:abstractNumId="17">
    <w:nsid w:val="8EDBDAB"/>
    <w:multiLevelType w:val="hybridMultilevel"/>
    <w:lvl w:ilvl="0">
      <w:lvlJc w:val="left"/>
      <w:lvlText w:val="%1)"/>
      <w:numFmt w:val="decimal"/>
      <w:start w:val="4"/>
    </w:lvl>
  </w:abstractNum>
  <w:abstractNum w:abstractNumId="18">
    <w:nsid w:val="79838CB2"/>
    <w:multiLevelType w:val="hybridMultilevel"/>
    <w:lvl w:ilvl="0">
      <w:lvlJc w:val="left"/>
      <w:lvlText w:val="(%1)"/>
      <w:numFmt w:val="decimal"/>
      <w:start w:val="1"/>
    </w:lvl>
  </w:abstractNum>
  <w:abstractNum w:abstractNumId="19">
    <w:nsid w:val="4353D0CD"/>
    <w:multiLevelType w:val="hybridMultilevel"/>
    <w:lvl w:ilvl="0">
      <w:lvlJc w:val="left"/>
      <w:lvlText w:val="%1"/>
      <w:numFmt w:val="decimal"/>
      <w:start w:val="11"/>
    </w:lvl>
  </w:abstractNum>
  <w:abstractNum w:abstractNumId="20">
    <w:nsid w:val="B03E0C6"/>
    <w:multiLevelType w:val="hybridMultilevel"/>
    <w:lvl w:ilvl="0">
      <w:lvlJc w:val="left"/>
      <w:lvlText w:val="*"/>
      <w:numFmt w:val="bullet"/>
      <w:start w:val="1"/>
    </w:lvl>
  </w:abstractNum>
  <w:abstractNum w:abstractNumId="21">
    <w:nsid w:val="189A769B"/>
    <w:multiLevelType w:val="hybridMultilevel"/>
    <w:lvl w:ilvl="0">
      <w:lvlJc w:val="left"/>
      <w:lvlText w:val="%1."/>
      <w:numFmt w:val="decimal"/>
      <w:start w:val="1"/>
    </w:lvl>
  </w:abstractNum>
  <w:abstractNum w:abstractNumId="22">
    <w:nsid w:val="54E49EB4"/>
    <w:multiLevelType w:val="hybridMultilevel"/>
    <w:lvl w:ilvl="0">
      <w:lvlJc w:val="left"/>
      <w:lvlText w:val="%1)"/>
      <w:numFmt w:val="lowerLetter"/>
      <w:start w:val="1"/>
    </w:lvl>
  </w:abstractNum>
  <w:abstractNum w:abstractNumId="23">
    <w:nsid w:val="71F32454"/>
    <w:multiLevelType w:val="hybridMultilevel"/>
    <w:lvl w:ilvl="0">
      <w:lvlJc w:val="left"/>
      <w:lvlText w:val="%1."/>
      <w:numFmt w:val="decimal"/>
      <w:start w:val="5"/>
    </w:lvl>
  </w:abstractNum>
  <w:abstractNum w:abstractNumId="24">
    <w:nsid w:val="2CA88611"/>
    <w:multiLevelType w:val="hybridMultilevel"/>
    <w:lvl w:ilvl="0">
      <w:lvlJc w:val="left"/>
      <w:lvlText w:val="%1)"/>
      <w:numFmt w:val="lowerLetter"/>
      <w:start w:val="1"/>
    </w:lvl>
  </w:abstractNum>
  <w:abstractNum w:abstractNumId="25">
    <w:nsid w:val="836C40E"/>
    <w:multiLevelType w:val="hybridMultilevel"/>
    <w:lvl w:ilvl="0">
      <w:lvlJc w:val="left"/>
      <w:lvlText w:val="%1."/>
      <w:numFmt w:val="decimal"/>
      <w:start w:val="1"/>
    </w:lvl>
  </w:abstractNum>
  <w:abstractNum w:abstractNumId="26">
    <w:nsid w:val="2901D82"/>
    <w:multiLevelType w:val="hybridMultilevel"/>
    <w:lvl w:ilvl="0">
      <w:lvlJc w:val="left"/>
      <w:lvlText w:val="%1)"/>
      <w:numFmt w:val="lowerLetter"/>
      <w:start w:val="1"/>
    </w:lvl>
  </w:abstractNum>
  <w:abstractNum w:abstractNumId="27">
    <w:nsid w:val="3A95F874"/>
    <w:multiLevelType w:val="hybridMultilevel"/>
    <w:lvl w:ilvl="0">
      <w:lvlJc w:val="left"/>
      <w:lvlText w:val="%1."/>
      <w:numFmt w:val="decimal"/>
      <w:start w:val="5"/>
    </w:lvl>
  </w:abstractNum>
  <w:abstractNum w:abstractNumId="28">
    <w:nsid w:val="8138641"/>
    <w:multiLevelType w:val="hybridMultilevel"/>
    <w:lvl w:ilvl="0">
      <w:lvlJc w:val="left"/>
      <w:lvlText w:val="%1)"/>
      <w:numFmt w:val="lowerLetter"/>
      <w:start w:val="1"/>
    </w:lvl>
  </w:abstractNum>
  <w:abstractNum w:abstractNumId="29">
    <w:nsid w:val="1E7FF521"/>
    <w:multiLevelType w:val="hybridMultilevel"/>
    <w:lvl w:ilvl="0">
      <w:lvlJc w:val="left"/>
      <w:lvlText w:val="(%1)"/>
      <w:numFmt w:val="decimal"/>
      <w:start w:val="1"/>
    </w:lvl>
  </w:abstractNum>
  <w:abstractNum w:abstractNumId="30">
    <w:nsid w:val="7C3DBD3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jpe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2020-05-05T15:11:14Z</dcterms:created>
  <dcterms:modified xsi:type="dcterms:W3CDTF">2020-05-05T15:11:14Z</dcterms:modified>
</cp:coreProperties>
</file>