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21, 2021 (October 14,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PennantPark Investment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4040" w:type="dxa"/>
            <w:vAlign w:val="bottom"/>
          </w:tcPr>
          <w:p>
            <w:pPr>
              <w:jc w:val="center"/>
              <w:ind w:right="2299"/>
              <w:spacing w:after="0"/>
              <w:rPr>
                <w:sz w:val="20"/>
                <w:szCs w:val="20"/>
                <w:color w:val="auto"/>
              </w:rPr>
            </w:pPr>
            <w:r>
              <w:rPr>
                <w:rFonts w:ascii="Arial" w:cs="Arial" w:eastAsia="Arial" w:hAnsi="Arial"/>
                <w:sz w:val="18"/>
                <w:szCs w:val="18"/>
                <w:b w:val="1"/>
                <w:bCs w:val="1"/>
                <w:color w:val="auto"/>
                <w:w w:val="98"/>
              </w:rPr>
              <w:t>Maryland</w:t>
            </w:r>
          </w:p>
        </w:tc>
        <w:tc>
          <w:tcPr>
            <w:tcW w:w="2200" w:type="dxa"/>
            <w:vAlign w:val="bottom"/>
          </w:tcPr>
          <w:p>
            <w:pPr>
              <w:ind w:left="140"/>
              <w:spacing w:after="0"/>
              <w:rPr>
                <w:sz w:val="20"/>
                <w:szCs w:val="20"/>
                <w:color w:val="auto"/>
              </w:rPr>
            </w:pPr>
            <w:r>
              <w:rPr>
                <w:rFonts w:ascii="Arial" w:cs="Arial" w:eastAsia="Arial" w:hAnsi="Arial"/>
                <w:sz w:val="18"/>
                <w:szCs w:val="18"/>
                <w:b w:val="1"/>
                <w:bCs w:val="1"/>
                <w:color w:val="auto"/>
              </w:rPr>
              <w:t>814-00736</w:t>
            </w:r>
          </w:p>
        </w:tc>
        <w:tc>
          <w:tcPr>
            <w:tcW w:w="2680" w:type="dxa"/>
            <w:vAlign w:val="bottom"/>
          </w:tcPr>
          <w:p>
            <w:pPr>
              <w:jc w:val="right"/>
              <w:ind w:right="201"/>
              <w:spacing w:after="0"/>
              <w:rPr>
                <w:sz w:val="20"/>
                <w:szCs w:val="20"/>
                <w:color w:val="auto"/>
              </w:rPr>
            </w:pPr>
            <w:r>
              <w:rPr>
                <w:rFonts w:ascii="Arial" w:cs="Arial" w:eastAsia="Arial" w:hAnsi="Arial"/>
                <w:sz w:val="18"/>
                <w:szCs w:val="18"/>
                <w:b w:val="1"/>
                <w:bCs w:val="1"/>
                <w:color w:val="auto"/>
              </w:rPr>
              <w:t>20-8250744</w:t>
            </w:r>
          </w:p>
        </w:tc>
      </w:tr>
      <w:tr>
        <w:trPr>
          <w:trHeight w:val="148"/>
        </w:trPr>
        <w:tc>
          <w:tcPr>
            <w:tcW w:w="4040" w:type="dxa"/>
            <w:vAlign w:val="bottom"/>
          </w:tcPr>
          <w:p>
            <w:pPr>
              <w:jc w:val="center"/>
              <w:ind w:right="23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(Commission</w:t>
            </w:r>
          </w:p>
        </w:tc>
        <w:tc>
          <w:tcPr>
            <w:tcW w:w="2680" w:type="dxa"/>
            <w:vAlign w:val="bottom"/>
          </w:tcPr>
          <w:p>
            <w:pPr>
              <w:jc w:val="center"/>
              <w:ind w:left="11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40" w:type="dxa"/>
            <w:vAlign w:val="bottom"/>
          </w:tcPr>
          <w:p>
            <w:pPr>
              <w:jc w:val="center"/>
              <w:ind w:right="2299"/>
              <w:spacing w:after="0"/>
              <w:rPr>
                <w:sz w:val="20"/>
                <w:szCs w:val="20"/>
                <w:color w:val="auto"/>
              </w:rPr>
            </w:pPr>
            <w:r>
              <w:rPr>
                <w:rFonts w:ascii="Arial" w:cs="Arial" w:eastAsia="Arial" w:hAnsi="Arial"/>
                <w:sz w:val="14"/>
                <w:szCs w:val="14"/>
                <w:b w:val="1"/>
                <w:bCs w:val="1"/>
                <w:color w:val="auto"/>
                <w:w w:val="94"/>
              </w:rPr>
              <w:t>of incorporation)</w:t>
            </w:r>
          </w:p>
        </w:tc>
        <w:tc>
          <w:tcPr>
            <w:tcW w:w="2200" w:type="dxa"/>
            <w:vAlign w:val="bottom"/>
          </w:tcPr>
          <w:p>
            <w:pPr>
              <w:ind w:left="120"/>
              <w:spacing w:after="0"/>
              <w:rPr>
                <w:sz w:val="20"/>
                <w:szCs w:val="20"/>
                <w:color w:val="auto"/>
              </w:rPr>
            </w:pPr>
            <w:r>
              <w:rPr>
                <w:rFonts w:ascii="Arial" w:cs="Arial" w:eastAsia="Arial" w:hAnsi="Arial"/>
                <w:sz w:val="14"/>
                <w:szCs w:val="14"/>
                <w:b w:val="1"/>
                <w:bCs w:val="1"/>
                <w:color w:val="auto"/>
              </w:rPr>
              <w:t>File Number)</w:t>
            </w: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4040" w:type="dxa"/>
            <w:vAlign w:val="bottom"/>
          </w:tcPr>
          <w:p>
            <w:pPr>
              <w:jc w:val="center"/>
              <w:ind w:left="1159"/>
              <w:spacing w:after="0"/>
              <w:rPr>
                <w:sz w:val="20"/>
                <w:szCs w:val="20"/>
                <w:color w:val="auto"/>
              </w:rPr>
            </w:pPr>
            <w:r>
              <w:rPr>
                <w:rFonts w:ascii="Arial" w:cs="Arial" w:eastAsia="Arial" w:hAnsi="Arial"/>
                <w:sz w:val="18"/>
                <w:szCs w:val="18"/>
                <w:b w:val="1"/>
                <w:bCs w:val="1"/>
                <w:color w:val="auto"/>
                <w:w w:val="89"/>
              </w:rPr>
              <w:t>590 Madison Avenue, 15th Floor,</w:t>
            </w:r>
          </w:p>
        </w:tc>
        <w:tc>
          <w:tcPr>
            <w:tcW w:w="22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5"/>
        </w:trPr>
        <w:tc>
          <w:tcPr>
            <w:tcW w:w="4040" w:type="dxa"/>
            <w:vAlign w:val="bottom"/>
          </w:tcPr>
          <w:p>
            <w:pPr>
              <w:jc w:val="center"/>
              <w:ind w:left="1179"/>
              <w:spacing w:after="0"/>
              <w:rPr>
                <w:sz w:val="20"/>
                <w:szCs w:val="20"/>
                <w:color w:val="auto"/>
              </w:rPr>
            </w:pPr>
            <w:r>
              <w:rPr>
                <w:rFonts w:ascii="Arial" w:cs="Arial" w:eastAsia="Arial" w:hAnsi="Arial"/>
                <w:sz w:val="18"/>
                <w:szCs w:val="18"/>
                <w:b w:val="1"/>
                <w:bCs w:val="1"/>
                <w:color w:val="auto"/>
                <w:w w:val="93"/>
              </w:rPr>
              <w:t>New York, NY</w:t>
            </w:r>
          </w:p>
        </w:tc>
        <w:tc>
          <w:tcPr>
            <w:tcW w:w="2200" w:type="dxa"/>
            <w:vAlign w:val="bottom"/>
          </w:tcPr>
          <w:p>
            <w:pPr>
              <w:spacing w:after="0"/>
              <w:rPr>
                <w:sz w:val="19"/>
                <w:szCs w:val="19"/>
                <w:color w:val="auto"/>
              </w:rPr>
            </w:pPr>
          </w:p>
        </w:tc>
        <w:tc>
          <w:tcPr>
            <w:tcW w:w="2680" w:type="dxa"/>
            <w:vAlign w:val="bottom"/>
          </w:tcPr>
          <w:p>
            <w:pPr>
              <w:jc w:val="right"/>
              <w:ind w:right="401"/>
              <w:spacing w:after="0"/>
              <w:rPr>
                <w:sz w:val="20"/>
                <w:szCs w:val="20"/>
                <w:color w:val="auto"/>
              </w:rPr>
            </w:pPr>
            <w:r>
              <w:rPr>
                <w:rFonts w:ascii="Arial" w:cs="Arial" w:eastAsia="Arial" w:hAnsi="Arial"/>
                <w:sz w:val="18"/>
                <w:szCs w:val="18"/>
                <w:b w:val="1"/>
                <w:bCs w:val="1"/>
                <w:color w:val="auto"/>
              </w:rPr>
              <w:t>10022</w:t>
            </w:r>
          </w:p>
        </w:tc>
      </w:tr>
      <w:tr>
        <w:trPr>
          <w:trHeight w:val="186"/>
        </w:trPr>
        <w:tc>
          <w:tcPr>
            <w:tcW w:w="4040" w:type="dxa"/>
            <w:vAlign w:val="bottom"/>
          </w:tcPr>
          <w:p>
            <w:pPr>
              <w:jc w:val="center"/>
              <w:ind w:left="11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00" w:type="dxa"/>
            <w:vAlign w:val="bottom"/>
          </w:tcPr>
          <w:p>
            <w:pPr>
              <w:spacing w:after="0"/>
              <w:rPr>
                <w:sz w:val="16"/>
                <w:szCs w:val="16"/>
                <w:color w:val="auto"/>
              </w:rPr>
            </w:pP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212-905-1000</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PNNT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5.50% Notes due 2024</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PNNTG</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14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280"/>
        <w:spacing w:after="0" w:line="285" w:lineRule="auto"/>
        <w:rPr>
          <w:sz w:val="20"/>
          <w:szCs w:val="20"/>
          <w:color w:val="auto"/>
        </w:rPr>
      </w:pPr>
      <w:r>
        <w:rPr>
          <w:rFonts w:ascii="Arial" w:cs="Arial" w:eastAsia="Arial" w:hAnsi="Arial"/>
          <w:sz w:val="16"/>
          <w:szCs w:val="16"/>
          <w:color w:val="auto"/>
        </w:rPr>
        <w:t>On October 21, 2021, PennantPark Investment Corporation (the “Company”) and American Stock Transfer &amp; Trust Company, LLC (the “Trustee”) entered into the Fifth Supplemental Indenture (the “Fifth Supplemental Indenture”) to the Indenture, dated January 22, 2013, by and between the Company and the Trustee (the “Base Indenture” and, together with the Fifth Supplemental Indenture, the “Indenture”). The Fifth Supplemental Indenture relates to the Company’s issuance and sale of $165,000,000 aggregate principal amount of the Company’s 4.00% Notes due 2026 (the “Offering”). The Offering was made pursuant to the Company’s effective shelf registration statement on Form N-2 (Registration No.</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333-230014) previously filed with the Securities and Exchange Commission (the “Registration Statement”), as supplemented by a preliminary prospectus supplement dated October 14, 2021 (the “Preliminary Prospectus Supplement”) and a final prospectus supplement dated October 14, 2021 (the “Final Prospectus Supplement”).</w:t>
      </w:r>
    </w:p>
    <w:p>
      <w:pPr>
        <w:spacing w:after="0" w:line="1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The Company’s 4.00% notes due 2026 (the “Notes”) will mature on November 1, 2026 and may be redeemed in whole or in part at the Company’s option. The Notes bear interest at a rate of 4.00% per year payable semi-annually on May 1 and November 1 of each year, commencing May 1, 2022. The Notes will be the Company’s direct unsecured obligations and will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the Company’s current and future unsecured unsubordinated indebtedness, senior to any of the Company’s future indebtedness that expressly states it is subordinated in right of payment to the Notes, effectively subordinated in right of payment to all of the Company’s existing and future secured indebtedness (including indebtedness that is initially unsecured, but to which the Company subsequently grant security) to the extent of the value of the assets securing such indebtedness, and structurally subordinated to all existing and future indebtedness and other obligations of any of the Company’s subsidiaries, financing vehicles, or similar facilities.</w:t>
      </w:r>
    </w:p>
    <w:p>
      <w:pPr>
        <w:spacing w:after="0" w:line="19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Indenture contains certain covenants, including covenants requiring the Company to comply with the asset coverage requirements of Section 18(a) (1)(A) as modified by Section 61(a) of the Investment Company Act of 1940, as amended, and to provide financial information to the holders of the Notes and the Trustee if the Company is no longer subject to the reporting requirements under the Securities Exchange Act of 1934, as amended. These covenants are subject to important limitations and exceptions that are described in the Indenture.</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Notes were offered and sold in an offering registered under the Securities Act of 1933, as amended, pursuant to the Registration Statement, the Preliminary Prospectus Supplement, and the Final Prospectus Supplement. The transaction closed on October 21, 2021. The net proceeds to the Company were approximately $160.5 million, based on the public offering price per Note of 99.436% of the aggregate principal amount thereof, after deducting the</w:t>
      </w:r>
    </w:p>
    <w:p>
      <w:pPr>
        <w:sectPr>
          <w:pgSz w:w="11900" w:h="16838" w:orient="portrait"/>
          <w:cols w:equalWidth="0" w:num="1">
            <w:col w:w="10900"/>
          </w:cols>
          <w:pgMar w:left="440" w:top="270" w:right="559" w:bottom="1440" w:gutter="0" w:footer="0" w:header="0"/>
        </w:sectPr>
      </w:pPr>
    </w:p>
    <w:bookmarkStart w:id="2" w:name="page3"/>
    <w:bookmarkEnd w:id="2"/>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underwriting discounts and commissions of $3.3 million payable by the Company and estimated offering expenses of approximately $250,000 payable by the Company. The Company intends to use a portion of the net proceeds from this offering to redeem all of its outstanding 5.50% Notes due 2024 (the “2024 Notes”) and the remaining net proceeds to invest in new or existing portfolio companies or for other general corporate or strategic purposes, including repaying amounts outstanding under its other existing indebtedness.</w:t>
      </w:r>
    </w:p>
    <w:p>
      <w:pPr>
        <w:spacing w:after="0" w:line="18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foregoing descriptions of the Fifth Supplemental Indenture and the Notes do not purport to be complete and are qualified in their entirety by reference to the full text of the Fifth Supplemental Indenture and the Notes, respectively, each filed or incorporated by reference as exhibits hereto and incorporated by reference herein.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Item 1.01 to this current report on Form 8-K is by this reference incorporated in this Item 2.03.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October 14, 2021, the Company announced that it will redeem $86,250,000 in principal amount of the 2024 Notes in full on November 13, 2021. The 2024 Notes will be redeemed at a redemption price of $25 per 2024 Note, plus accrued and unpaid interest payments otherwise payable for the then-current quarterly interest period accrued to, but excluding, November 13,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6" w:lineRule="exact"/>
        <w:rPr>
          <w:sz w:val="20"/>
          <w:szCs w:val="20"/>
          <w:color w:val="auto"/>
        </w:rPr>
      </w:pPr>
    </w:p>
    <w:p>
      <w:pPr>
        <w:ind w:left="660" w:right="280" w:hanging="570"/>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w:anchor="page5">
        <w:r>
          <w:rPr>
            <w:rFonts w:ascii="Arial" w:cs="Arial" w:eastAsia="Arial" w:hAnsi="Arial"/>
            <w:sz w:val="18"/>
            <w:szCs w:val="18"/>
            <w:u w:val="single" w:color="auto"/>
            <w:color w:val="0000EE"/>
          </w:rPr>
          <w:t>Fifth Supplemental Indenture, dated as of October 21, 2021, by and between the Company and American Stock Transfer &amp; Trust Company,</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LLC, as trustee.</w:t>
        </w:r>
      </w:hyperlink>
    </w:p>
    <w:p>
      <w:pPr>
        <w:spacing w:after="0" w:line="62" w:lineRule="exact"/>
        <w:rPr>
          <w:sz w:val="20"/>
          <w:szCs w:val="20"/>
          <w:color w:val="auto"/>
        </w:rPr>
      </w:pPr>
    </w:p>
    <w:p>
      <w:pPr>
        <w:ind w:left="80"/>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w:anchor="page5">
        <w:r>
          <w:rPr>
            <w:rFonts w:ascii="Arial" w:cs="Arial" w:eastAsia="Arial" w:hAnsi="Arial"/>
            <w:sz w:val="16"/>
            <w:szCs w:val="16"/>
            <w:u w:val="single" w:color="auto"/>
            <w:color w:val="0000EE"/>
          </w:rPr>
          <w:t>Form of 4.00% Notes due 2026 (Incorporated by reference to Exhibit 4.1 hereto).</w:t>
        </w:r>
      </w:hyperlink>
    </w:p>
    <w:p>
      <w:pPr>
        <w:spacing w:after="0" w:line="117" w:lineRule="exact"/>
        <w:rPr>
          <w:sz w:val="20"/>
          <w:szCs w:val="20"/>
          <w:color w:val="auto"/>
        </w:rPr>
      </w:pPr>
    </w:p>
    <w:p>
      <w:pPr>
        <w:ind w:left="80"/>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39">
        <w:r>
          <w:rPr>
            <w:rFonts w:ascii="Arial" w:cs="Arial" w:eastAsia="Arial" w:hAnsi="Arial"/>
            <w:sz w:val="16"/>
            <w:szCs w:val="16"/>
            <w:u w:val="single" w:color="auto"/>
            <w:color w:val="0000EE"/>
          </w:rPr>
          <w:t>Opinion of Dechert LLP.</w:t>
        </w:r>
      </w:hyperlink>
    </w:p>
    <w:p>
      <w:pPr>
        <w:spacing w:after="0" w:line="117" w:lineRule="exact"/>
        <w:rPr>
          <w:sz w:val="20"/>
          <w:szCs w:val="20"/>
          <w:color w:val="auto"/>
        </w:rPr>
      </w:pPr>
    </w:p>
    <w:p>
      <w:pPr>
        <w:ind w:left="80"/>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5.2</w:t>
      </w:r>
      <w:r>
        <w:rPr>
          <w:sz w:val="20"/>
          <w:szCs w:val="20"/>
          <w:color w:val="auto"/>
        </w:rPr>
        <w:tab/>
      </w:r>
      <w:hyperlink w:anchor="page43">
        <w:r>
          <w:rPr>
            <w:rFonts w:ascii="Arial" w:cs="Arial" w:eastAsia="Arial" w:hAnsi="Arial"/>
            <w:sz w:val="16"/>
            <w:szCs w:val="16"/>
            <w:u w:val="single" w:color="auto"/>
            <w:color w:val="0000EE"/>
          </w:rPr>
          <w:t>Opinion of Venable LLP.</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39">
        <w:r>
          <w:rPr>
            <w:rFonts w:ascii="Arial" w:cs="Arial" w:eastAsia="Arial" w:hAnsi="Arial"/>
            <w:sz w:val="16"/>
            <w:szCs w:val="16"/>
            <w:u w:val="single" w:color="auto"/>
            <w:color w:val="0000EE"/>
          </w:rPr>
          <w:t>Consent of Dechert LLP (included in Exhibit 5.1).</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23.2</w:t>
      </w:r>
      <w:r>
        <w:rPr>
          <w:sz w:val="20"/>
          <w:szCs w:val="20"/>
          <w:color w:val="auto"/>
        </w:rPr>
        <w:tab/>
      </w:r>
      <w:hyperlink w:anchor="page43">
        <w:r>
          <w:rPr>
            <w:rFonts w:ascii="Arial" w:cs="Arial" w:eastAsia="Arial" w:hAnsi="Arial"/>
            <w:sz w:val="16"/>
            <w:szCs w:val="16"/>
            <w:u w:val="single" w:color="auto"/>
            <w:color w:val="0000EE"/>
          </w:rPr>
          <w:t>Consent of Venable LLP (included in Exhibit 5.2).</w:t>
        </w:r>
      </w:hyperlink>
    </w:p>
    <w:p>
      <w:pPr>
        <w:sectPr>
          <w:pgSz w:w="11900" w:h="16838" w:orient="portrait"/>
          <w:cols w:equalWidth="0" w:num="1">
            <w:col w:w="11000"/>
          </w:cols>
          <w:pgMar w:left="440" w:top="274" w:right="45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PENNANTPARK INVESTMENT CORPORATION</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October 21,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Richard Cheung</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 &amp; Treasurer</w:t>
      </w:r>
    </w:p>
    <w:p>
      <w:pPr>
        <w:sectPr>
          <w:pgSz w:w="11900" w:h="16838" w:orient="portrait"/>
          <w:cols w:equalWidth="0" w:num="1">
            <w:col w:w="10880"/>
          </w:cols>
          <w:pgMar w:left="440" w:top="270" w:right="5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FIFTH SUPPLEMENTAL INDENTURE</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PENNANTPARK INVESTMENT CORPORATION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AMERICAN STOCK TRANSFER &amp; TRUST COMPANY, LLC,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as Trustee</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Dated as of October 21, 2021</w:t>
      </w:r>
    </w:p>
    <w:p>
      <w:pPr>
        <w:sectPr>
          <w:pgSz w:w="11900" w:h="16838" w:orient="portrait"/>
          <w:cols w:equalWidth="0" w:num="1">
            <w:col w:w="10020"/>
          </w:cols>
          <w:pgMar w:left="1440" w:top="121" w:right="4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FIFTH SUPPLEMENTAL INDENTURE</w:t>
      </w:r>
    </w:p>
    <w:p>
      <w:pPr>
        <w:spacing w:after="0" w:line="225"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THIS FIFTH SUPPLEMENTAL INDENTURE (this “Fifth Supplemental Indenture”), dated as of October 21, 2021, is between PennantPark Investment Corporation, a Maryland corporation (the “Company”), and American Stock Transfer &amp; Trust Company, LLC, as trustee (the “Trustee”). All capitalized terms used herein shall have the meaning set forth in the Base Indenture (as defined below) unless otherwise defined herein.</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RECITALS OF THE COMPANY</w:t>
      </w:r>
    </w:p>
    <w:p>
      <w:pPr>
        <w:spacing w:after="0" w:line="225"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The Company and the Trustee executed and delivered an Indenture, dated as of January 22, 2013 (the “Base Indenture” and as amended and supplemented by this Fifth Supplemental Indenture, the “Indenture”), to provide for the issuance by the Company from time to time of the Company’s debt securities evidencing its unsecured indebtedness (the “Securities”), to be issued in one or more series as provided in the Indenture.</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desires to issue and sell $165,000,000 aggregate principal amount of the Company’s 4.00% Notes due 2026 (the “Notes”).</w:t>
      </w:r>
    </w:p>
    <w:p>
      <w:pPr>
        <w:spacing w:after="0" w:line="237"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Sections 901(5) and 901(7) of the Base Indenture provide that without the consent of Holders of the Securities of any series issued under the Indenture, the Company, when authorized by or pursuant to a Board Resolution, and the Trustee, at any time and from time to time, may enter into one or more indentures supplemental to the Base Indenture to (i) change or eliminate any of the provisions of the Base Indenture when there is no Security Outstanding of any series created prior to the execution of a supplemental indenture that is entitled to the benefit of such provision and (ii) establish the form or terms of Securities of any series as permitted by Section 201 and Section 301 of the Base Indenture.</w:t>
      </w:r>
    </w:p>
    <w:p>
      <w:pPr>
        <w:spacing w:after="0" w:line="176"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The Company desires to establish the form and terms of the Notes and to modify, alter, supplement and change certain provisions of the Base Indenture for the benefit of the Holders of the Notes (except as may be provided in a future supplemental indenture to the Indenture (“Future Supplemental Indenture”)).</w:t>
      </w:r>
    </w:p>
    <w:p>
      <w:pPr>
        <w:spacing w:after="0" w:line="18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Company has duly authorized the execution and delivery of this Fifth Supplemental Indenture to provide for the issuance of the Notes and all acts and things necessary to make this Fifth Supplemental Indenture a valid, binding, and legal obligation of the Company and to constitute a valid agreement of the Company, in accordance with its terms, have been done and performed.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THIS INDENTURE WITNESSETH:</w:t>
      </w:r>
    </w:p>
    <w:p>
      <w:pPr>
        <w:spacing w:after="0" w:line="117" w:lineRule="exact"/>
        <w:rPr>
          <w:sz w:val="20"/>
          <w:szCs w:val="20"/>
          <w:color w:val="auto"/>
        </w:rPr>
      </w:pPr>
    </w:p>
    <w:p>
      <w:pPr>
        <w:ind w:right="920" w:firstLine="440"/>
        <w:spacing w:after="0" w:line="277" w:lineRule="auto"/>
        <w:rPr>
          <w:sz w:val="20"/>
          <w:szCs w:val="20"/>
          <w:color w:val="auto"/>
        </w:rPr>
      </w:pPr>
      <w:r>
        <w:rPr>
          <w:rFonts w:ascii="Arial" w:cs="Arial" w:eastAsia="Arial" w:hAnsi="Arial"/>
          <w:sz w:val="18"/>
          <w:szCs w:val="18"/>
          <w:color w:val="auto"/>
        </w:rPr>
        <w:t>For and in consideration of the premises and the purchase of the Notes by the Holders thereof, it is mutually agreed, for the equal and proportionate benefit of all Holders of the Notes, as follows:</w:t>
      </w:r>
    </w:p>
    <w:p>
      <w:pPr>
        <w:sectPr>
          <w:pgSz w:w="11900" w:h="16838" w:orient="portrait"/>
          <w:cols w:equalWidth="0" w:num="1">
            <w:col w:w="10960"/>
          </w:cols>
          <w:pgMar w:left="440" w:top="274" w:right="4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THE NOTES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1.01 Terms of the Notes</w:t>
      </w:r>
      <w:r>
        <w:rPr>
          <w:rFonts w:ascii="Arial" w:cs="Arial" w:eastAsia="Arial" w:hAnsi="Arial"/>
          <w:sz w:val="18"/>
          <w:szCs w:val="18"/>
          <w:color w:val="auto"/>
        </w:rPr>
        <w:t>. The following terms relating to the Notes are hereby established:</w:t>
      </w:r>
    </w:p>
    <w:p>
      <w:pPr>
        <w:spacing w:after="0" w:line="117" w:lineRule="exact"/>
        <w:rPr>
          <w:sz w:val="20"/>
          <w:szCs w:val="20"/>
          <w:color w:val="auto"/>
        </w:rPr>
      </w:pPr>
    </w:p>
    <w:p>
      <w:pPr>
        <w:ind w:right="40" w:firstLine="436"/>
        <w:spacing w:after="0" w:line="277" w:lineRule="auto"/>
        <w:tabs>
          <w:tab w:leader="none" w:pos="68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Notes shall constitute a series of Securities having the title “4.00% Notes due 2026” and shall be designated as Senior Securities under the Indenture. The Notes shall bear a CUSIP number of 708062 AD6 and an ISIN number of US708062AD65.</w:t>
      </w:r>
    </w:p>
    <w:p>
      <w:pPr>
        <w:spacing w:after="0" w:line="62" w:lineRule="exact"/>
        <w:rPr>
          <w:rFonts w:ascii="Arial" w:cs="Arial" w:eastAsia="Arial" w:hAnsi="Arial"/>
          <w:sz w:val="18"/>
          <w:szCs w:val="18"/>
          <w:color w:val="auto"/>
        </w:rPr>
      </w:pPr>
    </w:p>
    <w:p>
      <w:pPr>
        <w:ind w:firstLine="436"/>
        <w:spacing w:after="0" w:line="271" w:lineRule="auto"/>
        <w:tabs>
          <w:tab w:leader="none" w:pos="695"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The aggregate principal amount of the Notes that may be initially authenticated and delivered under the Indenture (except for Notes authenticated and delivered upon registration of, transfer of, or in exchange for, or in lieu of, other Notes pursuant to Sections 304, 305, 306, 906 or 1107 of the Base Indenture) shall be $165,000,000. Under a Board Resolution, Officer’s Certificate pursuant to Board Resolutions or an indenture supplement, the Company may from time to time, without the consent of the Holders of Notes, issue additional Notes (in any such case “Additional Notes”) having the same ranking and the same interest rate, maturity, CUSIP number and other terms as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Additional Notes must be part of the same issue as the Notes for U.S. federal income tax purposes if represented by the same CUSIP number as the Notes. Any Additional Notes and the existing Notes shall constitute a single series under the Indenture and all references to the relevant Notes herein shall include the Additional Notes unless the context otherwise requires.</w:t>
      </w:r>
    </w:p>
    <w:p>
      <w:pPr>
        <w:spacing w:after="0" w:line="70" w:lineRule="exact"/>
        <w:rPr>
          <w:rFonts w:ascii="Arial" w:cs="Arial" w:eastAsia="Arial" w:hAnsi="Arial"/>
          <w:sz w:val="17"/>
          <w:szCs w:val="17"/>
          <w:color w:val="auto"/>
        </w:rPr>
      </w:pPr>
    </w:p>
    <w:p>
      <w:pPr>
        <w:ind w:right="560" w:firstLine="436"/>
        <w:spacing w:after="0" w:line="277" w:lineRule="auto"/>
        <w:tabs>
          <w:tab w:leader="none" w:pos="68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entire Outstanding principal amount of the Notes shall be payable on November 1, 2026, unless earlier redeemed or repurchased in accordance with the provisions of the Indenture.</w:t>
      </w:r>
    </w:p>
    <w:p>
      <w:pPr>
        <w:spacing w:after="0" w:line="62" w:lineRule="exact"/>
        <w:rPr>
          <w:rFonts w:ascii="Arial" w:cs="Arial" w:eastAsia="Arial" w:hAnsi="Arial"/>
          <w:sz w:val="18"/>
          <w:szCs w:val="18"/>
          <w:color w:val="auto"/>
        </w:rPr>
      </w:pPr>
    </w:p>
    <w:p>
      <w:pPr>
        <w:ind w:firstLine="436"/>
        <w:spacing w:after="0" w:line="286" w:lineRule="auto"/>
        <w:tabs>
          <w:tab w:leader="none" w:pos="69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rate at which the Notes shall bear interest shall be 4.00% per annum (the “Applicable Interest Rate”). The date from which interest shall accrue on the Notes shall be October 21, 2021, or the most recent Interest Payment Date to which interest has been paid or provided for; the Interest Payment Dates for the Notes shall be May 1 and November 1 of each year, commencing May 1, 2022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 Interest Payment Date falls on a day that is not a Business Day, then the applicable interest payment shall be made on the next succeeding Business Day with the same force and effect as if made on the scheduled Interest Payment Date and no additional interest will accrue as a result of such delayed payment); the initial interest period will be the period from and including October 21, 2021 (or the most recent Interest Payment Date to which interest has been paid or provided for), to, but not including, the initial Interest Payment Date, and the subsequent interest periods will be the periods from and including an Interest Payment Date to, but not including, the next Interest Payment Date or the Stated Maturity, as the case may be; the interest so payable, and punctually paid or duly provided for, on any Interest Payment Date, will be paid to the Person in whose name the Note (or one or more predecessor Notes) is registered at the close of business on the Regular Record Date for such interest, which shall be April 15 and October 15 (whether or not a Business Day), as the case may be, next preceding such Interest Payment Date. Payment of principal of (and premium, if any) and any such interest on the Notes will be made at the Corporate Trust Office of the Paying Agent, which shall initially be the Trustee, in such coin or currency of the United States of America as at the time of payment is legal tender for payment of public and private debts; provided, however, that in the case of Notes that are not in global form, at the option of the Company, payment of interest may be made by check mailed to the address of the Person entitled thereto as such address shall appear in the Security Register. Interest on the Notes will be computed on the basis of a 360-day year of twelve 30-day months.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7" w:name="page8"/>
    <w:bookmarkEnd w:id="7"/>
    <w:p>
      <w:pPr>
        <w:ind w:left="-40" w:firstLine="436"/>
        <w:spacing w:after="0" w:line="254" w:lineRule="auto"/>
        <w:tabs>
          <w:tab w:leader="none" w:pos="645"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Notes shall be initially issuable in global form (each such Note, a “Global Note”). The Global Notes and the Trustee’s certificate of authentication thereon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Fifth Supplemental Indenture. Each Global Note shall represent the Outstanding Notes as shall be specified therein and each shall provide that it shall represent the aggregate amount of Outstanding Notes from time to time endorsed thereon and that the aggregate amount of Outstanding Notes represented thereby may from time to time be reduced or increased, as appropriate, to reflect exchanges and redemptions. Any endorsement of a Global Note to reflect the amount of any increase or decrease in the amount of Outstanding Notes represented thereby shall be made by the Trustee or the Security Registrar, in accordance with Sections 203 and 305 of the Base Indenture.</w:t>
      </w:r>
    </w:p>
    <w:p>
      <w:pPr>
        <w:spacing w:after="0" w:line="86" w:lineRule="exact"/>
        <w:rPr>
          <w:rFonts w:ascii="Arial" w:cs="Arial" w:eastAsia="Arial" w:hAnsi="Arial"/>
          <w:sz w:val="18"/>
          <w:szCs w:val="18"/>
          <w:color w:val="auto"/>
        </w:rPr>
      </w:pPr>
    </w:p>
    <w:p>
      <w:pPr>
        <w:ind w:left="-40" w:right="200" w:firstLine="436"/>
        <w:spacing w:after="0" w:line="277" w:lineRule="auto"/>
        <w:tabs>
          <w:tab w:leader="none" w:pos="62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depositary for such Global Notes shall be The Depository Trust Company, New York, New York. The Security Registrar with respect to the Global Notes shall be the Trustee.</w:t>
      </w:r>
    </w:p>
    <w:p>
      <w:pPr>
        <w:spacing w:after="0" w:line="62" w:lineRule="exact"/>
        <w:rPr>
          <w:rFonts w:ascii="Arial" w:cs="Arial" w:eastAsia="Arial" w:hAnsi="Arial"/>
          <w:sz w:val="18"/>
          <w:szCs w:val="18"/>
          <w:color w:val="auto"/>
        </w:rPr>
      </w:pPr>
    </w:p>
    <w:p>
      <w:pPr>
        <w:ind w:left="-40" w:firstLine="436"/>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Notes shall be defeasible pursuant to Section 1402 or Section 1403 of the Base Indenture. Covenant defeasance contained in Section 1403 of the Base Indenture shall apply to the covenants contained in Sections 1008 and 1009 of the Indenture.</w:t>
      </w:r>
    </w:p>
    <w:p>
      <w:pPr>
        <w:spacing w:after="0" w:line="62" w:lineRule="exact"/>
        <w:rPr>
          <w:rFonts w:ascii="Arial" w:cs="Arial" w:eastAsia="Arial" w:hAnsi="Arial"/>
          <w:sz w:val="18"/>
          <w:szCs w:val="18"/>
          <w:color w:val="auto"/>
        </w:rPr>
      </w:pPr>
    </w:p>
    <w:p>
      <w:pPr>
        <w:ind w:left="660" w:hanging="26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Notes shall be redeemable pursuant to Section 1101 of the Base Indenture and as follows:</w:t>
      </w:r>
    </w:p>
    <w:p>
      <w:pPr>
        <w:spacing w:after="0" w:line="117" w:lineRule="exact"/>
        <w:rPr>
          <w:rFonts w:ascii="Arial" w:cs="Arial" w:eastAsia="Arial" w:hAnsi="Arial"/>
          <w:sz w:val="18"/>
          <w:szCs w:val="18"/>
          <w:color w:val="auto"/>
        </w:rPr>
      </w:pPr>
    </w:p>
    <w:p>
      <w:pPr>
        <w:ind w:left="400" w:hanging="4"/>
        <w:spacing w:after="0" w:line="308" w:lineRule="auto"/>
        <w:tabs>
          <w:tab w:leader="none" w:pos="61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Notes will be redeemable, in whole or in part, at any time, or from time to time, at the option of the Company, at a Redemption Price equal to the greater of the following amounts, plus, in each case, accrued and unpaid interest to, but not including, the Redemption Date:</w:t>
      </w:r>
    </w:p>
    <w:p>
      <w:pPr>
        <w:spacing w:after="0" w:line="38" w:lineRule="exact"/>
        <w:rPr>
          <w:rFonts w:ascii="Arial" w:cs="Arial" w:eastAsia="Arial" w:hAnsi="Arial"/>
          <w:sz w:val="17"/>
          <w:szCs w:val="17"/>
          <w:color w:val="auto"/>
        </w:rPr>
      </w:pPr>
    </w:p>
    <w:p>
      <w:pPr>
        <w:ind w:left="1040" w:hanging="221"/>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17" w:lineRule="exact"/>
        <w:rPr>
          <w:rFonts w:ascii="Arial" w:cs="Arial" w:eastAsia="Arial" w:hAnsi="Arial"/>
          <w:sz w:val="18"/>
          <w:szCs w:val="18"/>
          <w:color w:val="auto"/>
        </w:rPr>
      </w:pPr>
    </w:p>
    <w:p>
      <w:pPr>
        <w:ind w:left="400" w:right="120" w:firstLine="419"/>
        <w:spacing w:after="0" w:line="263" w:lineRule="auto"/>
        <w:tabs>
          <w:tab w:leader="none" w:pos="1033"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(exclusive of accrued and unpaid interest to the Redemption Date) on the Notes to be redeemed, discounted to the Redemption Date on a semi-annual basis (assuming a 360-day year consisting of twelve 30-day months) using the applicable Treasury Rate plus 50 basis points;</w:t>
      </w:r>
    </w:p>
    <w:p>
      <w:pPr>
        <w:spacing w:after="0" w:line="76" w:lineRule="exact"/>
        <w:rPr>
          <w:sz w:val="20"/>
          <w:szCs w:val="20"/>
          <w:color w:val="auto"/>
        </w:rPr>
      </w:pPr>
    </w:p>
    <w:p>
      <w:pPr>
        <w:ind w:left="400" w:right="40"/>
        <w:spacing w:after="0" w:line="342"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however, that if the Company redeems any Notes on or after August 1, 2026, the Redemption Price for the Notes will be equal to 100%</w:t>
      </w:r>
      <w:r>
        <w:rPr>
          <w:rFonts w:ascii="Arial" w:cs="Arial" w:eastAsia="Arial" w:hAnsi="Arial"/>
          <w:sz w:val="16"/>
          <w:szCs w:val="16"/>
          <w:i w:val="1"/>
          <w:iCs w:val="1"/>
          <w:color w:val="auto"/>
        </w:rPr>
        <w:t xml:space="preserve"> </w:t>
      </w:r>
      <w:r>
        <w:rPr>
          <w:rFonts w:ascii="Arial" w:cs="Arial" w:eastAsia="Arial" w:hAnsi="Arial"/>
          <w:sz w:val="16"/>
          <w:szCs w:val="16"/>
          <w:color w:val="auto"/>
        </w:rPr>
        <w:t>of the principal amount of the Notes to be redeemed, plus accrued and unpaid interest, if any, to, but not including, the Redemption Date.</w:t>
      </w:r>
    </w:p>
    <w:p>
      <w:pPr>
        <w:spacing w:after="0" w:line="16" w:lineRule="exact"/>
        <w:rPr>
          <w:sz w:val="20"/>
          <w:szCs w:val="20"/>
          <w:color w:val="auto"/>
        </w:rPr>
      </w:pPr>
    </w:p>
    <w:p>
      <w:pPr>
        <w:ind w:left="400" w:right="160" w:firstLine="423"/>
        <w:spacing w:after="0" w:line="277" w:lineRule="auto"/>
        <w:rPr>
          <w:sz w:val="20"/>
          <w:szCs w:val="20"/>
          <w:color w:val="auto"/>
        </w:rPr>
      </w:pPr>
      <w:r>
        <w:rPr>
          <w:rFonts w:ascii="Arial" w:cs="Arial" w:eastAsia="Arial" w:hAnsi="Arial"/>
          <w:sz w:val="18"/>
          <w:szCs w:val="18"/>
          <w:color w:val="auto"/>
        </w:rPr>
        <w:t>For purposes of calculating the Redemption Price in connection with the redemption of the Notes, on any Redemption Date, the following terms have the meanings set forth below: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80" w:top="274" w:right="499" w:bottom="1440" w:gutter="0" w:footer="0" w:header="0"/>
        </w:sectPr>
      </w:pPr>
    </w:p>
    <w:bookmarkStart w:id="8" w:name="page9"/>
    <w:bookmarkEnd w:id="8"/>
    <w:p>
      <w:pPr>
        <w:ind w:right="180" w:firstLine="423"/>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Comparable Treasury Issue</w:t>
      </w:r>
      <w:r>
        <w:rPr>
          <w:rFonts w:ascii="Arial" w:cs="Arial" w:eastAsia="Arial" w:hAnsi="Arial"/>
          <w:sz w:val="16"/>
          <w:szCs w:val="16"/>
          <w:color w:val="auto"/>
        </w:rPr>
        <w:t>” means the United States Treasury security selected by the Reference Treasury Dealer as having a maturity comparable to the remaining term of the Notes to be redeemed that would be utilized, at the time of selection and in accordance with customary financing practice, in pricing new issues of corporate debt securities of comparable maturity to the remaining term of the Notes being redeemed.</w:t>
      </w:r>
    </w:p>
    <w:p>
      <w:pPr>
        <w:spacing w:after="0" w:line="41" w:lineRule="exact"/>
        <w:rPr>
          <w:sz w:val="20"/>
          <w:szCs w:val="20"/>
          <w:color w:val="auto"/>
        </w:rPr>
      </w:pPr>
    </w:p>
    <w:p>
      <w:pPr>
        <w:ind w:right="80" w:firstLine="42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Comparable Treasury Price</w:t>
      </w:r>
      <w:r>
        <w:rPr>
          <w:rFonts w:ascii="Arial" w:cs="Arial" w:eastAsia="Arial" w:hAnsi="Arial"/>
          <w:sz w:val="18"/>
          <w:szCs w:val="18"/>
          <w:color w:val="auto"/>
        </w:rPr>
        <w:t>” means (1) the average of the remaining Reference Treasury Dealer Quotations for the Redemption Date, after excluding the highest and lowest Reference Treasury Dealer Quotations, or (2) if the Quotation Agent obtains fewer than four such Reference Treasury Dealer Quotations, the average of all such quotations.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Quotation Agent</w:t>
      </w:r>
      <w:r>
        <w:rPr>
          <w:rFonts w:ascii="Arial" w:cs="Arial" w:eastAsia="Arial" w:hAnsi="Arial"/>
          <w:sz w:val="18"/>
          <w:szCs w:val="18"/>
          <w:color w:val="auto"/>
        </w:rPr>
        <w:t>” means a Reference Treasury Dealer selected by the Company.</w:t>
      </w:r>
    </w:p>
    <w:p>
      <w:pPr>
        <w:spacing w:after="0" w:line="117" w:lineRule="exact"/>
        <w:rPr>
          <w:sz w:val="20"/>
          <w:szCs w:val="20"/>
          <w:color w:val="auto"/>
        </w:rPr>
      </w:pPr>
    </w:p>
    <w:p>
      <w:pPr>
        <w:ind w:firstLine="42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Treasury Dealer</w:t>
      </w:r>
      <w:r>
        <w:rPr>
          <w:rFonts w:ascii="Arial" w:cs="Arial" w:eastAsia="Arial" w:hAnsi="Arial"/>
          <w:sz w:val="18"/>
          <w:szCs w:val="18"/>
          <w:color w:val="auto"/>
        </w:rPr>
        <w:t>” means each of (1) Raymond James &amp; Associates, Inc. or its affiliates which are primary U.S. government securities dealers, (2) a primary U.S. government securities dealer selected by Keefe, Bruyette &amp; Woods, Inc., (3) a primary U.S. government securities dealer selected by Truist Securities, Inc., and their respective successors; provided, however, that if any of the foregoing or its affiliates shall cease to be a primary U.S. government securities dealer in the United States (a “Primary Treasury Dealer”), the Company shall select another Primary Treasury Dealer.</w:t>
      </w:r>
    </w:p>
    <w:p>
      <w:pPr>
        <w:spacing w:after="0" w:line="80" w:lineRule="exact"/>
        <w:rPr>
          <w:sz w:val="20"/>
          <w:szCs w:val="20"/>
          <w:color w:val="auto"/>
        </w:rPr>
      </w:pPr>
    </w:p>
    <w:p>
      <w:pPr>
        <w:ind w:right="140" w:firstLine="4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w:t>
      </w:r>
    </w:p>
    <w:p>
      <w:pPr>
        <w:spacing w:after="0" w:line="79" w:lineRule="exact"/>
        <w:rPr>
          <w:sz w:val="20"/>
          <w:szCs w:val="20"/>
          <w:color w:val="auto"/>
        </w:rPr>
      </w:pPr>
    </w:p>
    <w:p>
      <w:pPr>
        <w:ind w:firstLine="4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Rate</w:t>
      </w:r>
      <w:r>
        <w:rPr>
          <w:rFonts w:ascii="Arial" w:cs="Arial" w:eastAsia="Arial" w:hAnsi="Arial"/>
          <w:sz w:val="18"/>
          <w:szCs w:val="18"/>
          <w:color w:val="auto"/>
        </w:rPr>
        <w:t>” means, with respect to any Redemption Date, the rate per annum equal to the semi-annual equivalent yield-to-maturity of the Comparable Treasury Issue (computed as of the third Business Day immediately preceding the redemption), assuming a price for the Comparable Treasury Issue (expressed as a percentage of its principal amount) equal to the Comparable Treasury Price for such Redemption Date. The Redemption Price and the Treasury Rate will be determined by the Company.</w:t>
      </w:r>
    </w:p>
    <w:p>
      <w:pPr>
        <w:spacing w:after="0" w:line="79" w:lineRule="exact"/>
        <w:rPr>
          <w:sz w:val="20"/>
          <w:szCs w:val="20"/>
          <w:color w:val="auto"/>
        </w:rPr>
      </w:pPr>
    </w:p>
    <w:p>
      <w:pPr>
        <w:ind w:right="320" w:firstLine="423"/>
        <w:spacing w:after="0" w:line="277" w:lineRule="auto"/>
        <w:rPr>
          <w:sz w:val="20"/>
          <w:szCs w:val="20"/>
          <w:color w:val="auto"/>
        </w:rPr>
      </w:pPr>
      <w:r>
        <w:rPr>
          <w:rFonts w:ascii="Arial" w:cs="Arial" w:eastAsia="Arial" w:hAnsi="Arial"/>
          <w:sz w:val="18"/>
          <w:szCs w:val="18"/>
          <w:color w:val="auto"/>
        </w:rPr>
        <w:t>All determinations made by any Reference Treasury Dealer, including the Quotation Agent, with respect to determining the Redemption Price will be final and binding absent manifest error.</w:t>
      </w:r>
    </w:p>
    <w:p>
      <w:pPr>
        <w:spacing w:after="0" w:line="62" w:lineRule="exact"/>
        <w:rPr>
          <w:sz w:val="20"/>
          <w:szCs w:val="20"/>
          <w:color w:val="auto"/>
        </w:rPr>
      </w:pPr>
    </w:p>
    <w:p>
      <w:pPr>
        <w:ind w:right="180" w:firstLine="419"/>
        <w:spacing w:after="0" w:line="311" w:lineRule="auto"/>
        <w:tabs>
          <w:tab w:leader="none" w:pos="688" w:val="left"/>
        </w:tabs>
        <w:numPr>
          <w:ilvl w:val="0"/>
          <w:numId w:val="4"/>
        </w:numPr>
        <w:rPr>
          <w:rFonts w:ascii="Arial" w:cs="Arial" w:eastAsia="Arial" w:hAnsi="Arial"/>
          <w:sz w:val="16"/>
          <w:szCs w:val="16"/>
          <w:color w:val="auto"/>
        </w:rPr>
      </w:pPr>
      <w:r>
        <w:rPr>
          <w:rFonts w:ascii="Arial" w:cs="Arial" w:eastAsia="Arial" w:hAnsi="Arial"/>
          <w:sz w:val="16"/>
          <w:szCs w:val="16"/>
          <w:color w:val="auto"/>
        </w:rPr>
        <w:t>Notice of redemption shall be given in writing and mailed, first-class postage prepaid or by overnight courier guaranteeing next-day delivery, or sent electronically in accordance with Applicable Procedures with respect to Notes in global form, to each Holder of the Notes to be redeemed, not less than 30 nor more than 60 days prior to the Redemption Date, at the Holder’s address appearing in the Security Register.</w:t>
      </w:r>
    </w:p>
    <w:p>
      <w:pPr>
        <w:spacing w:after="0" w:line="41" w:lineRule="exact"/>
        <w:rPr>
          <w:sz w:val="20"/>
          <w:szCs w:val="20"/>
          <w:color w:val="auto"/>
        </w:rPr>
      </w:pPr>
    </w:p>
    <w:p>
      <w:pPr>
        <w:ind w:firstLine="423"/>
        <w:spacing w:after="0" w:line="286" w:lineRule="auto"/>
        <w:rPr>
          <w:sz w:val="20"/>
          <w:szCs w:val="20"/>
          <w:color w:val="auto"/>
        </w:rPr>
      </w:pPr>
      <w:r>
        <w:rPr>
          <w:rFonts w:ascii="Arial" w:cs="Arial" w:eastAsia="Arial" w:hAnsi="Arial"/>
          <w:sz w:val="17"/>
          <w:szCs w:val="17"/>
          <w:color w:val="auto"/>
        </w:rPr>
        <w:t>All notices of redemption shall contain the information set forth in Section 1104 of the Base Indenture. If the Redemption Price is not known at the time such notice is to be given, the actual Redemption Price, calculated as described in the terms of the Notes, will be set forth in an Officers’ Certificate of the Company delivered to the Trustee no later than two Business Days prior to the Redemption Date.</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9" w:name="page10"/>
    <w:bookmarkEnd w:id="9"/>
    <w:p>
      <w:pPr>
        <w:ind w:left="440" w:right="60" w:firstLine="419"/>
        <w:spacing w:after="0" w:line="277" w:lineRule="auto"/>
        <w:tabs>
          <w:tab w:leader="none" w:pos="1178" w:val="left"/>
        </w:tabs>
        <w:numPr>
          <w:ilvl w:val="1"/>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exercise of the Company’s option to redeem the Notes will be done in compliance with the Investment Company Act, to the extent applicable.</w:t>
      </w:r>
    </w:p>
    <w:p>
      <w:pPr>
        <w:spacing w:after="0" w:line="62" w:lineRule="exact"/>
        <w:rPr>
          <w:rFonts w:ascii="Arial" w:cs="Arial" w:eastAsia="Arial" w:hAnsi="Arial"/>
          <w:sz w:val="18"/>
          <w:szCs w:val="18"/>
          <w:color w:val="auto"/>
        </w:rPr>
      </w:pPr>
    </w:p>
    <w:p>
      <w:pPr>
        <w:ind w:left="440" w:firstLine="419"/>
        <w:spacing w:after="0" w:line="273" w:lineRule="auto"/>
        <w:tabs>
          <w:tab w:leader="none" w:pos="1168" w:val="left"/>
        </w:tabs>
        <w:numPr>
          <w:ilvl w:val="1"/>
          <w:numId w:val="5"/>
        </w:numPr>
        <w:rPr>
          <w:rFonts w:ascii="Arial" w:cs="Arial" w:eastAsia="Arial" w:hAnsi="Arial"/>
          <w:sz w:val="17"/>
          <w:szCs w:val="17"/>
          <w:color w:val="auto"/>
        </w:rPr>
      </w:pPr>
      <w:r>
        <w:rPr>
          <w:rFonts w:ascii="Arial" w:cs="Arial" w:eastAsia="Arial" w:hAnsi="Arial"/>
          <w:sz w:val="17"/>
          <w:szCs w:val="17"/>
          <w:color w:val="auto"/>
        </w:rPr>
        <w:t xml:space="preserve">If the Company elects to redeem only a portion of the Notes, the particular Notes to be redeemed will be selected by the Trustee on a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rata </w:t>
      </w:r>
      <w:r>
        <w:rPr>
          <w:rFonts w:ascii="Arial" w:cs="Arial" w:eastAsia="Arial" w:hAnsi="Arial"/>
          <w:sz w:val="17"/>
          <w:szCs w:val="17"/>
          <w:color w:val="auto"/>
        </w:rPr>
        <w:t>basis to the extent practicable, or, if a</w:t>
      </w:r>
      <w:r>
        <w:rPr>
          <w:rFonts w:ascii="Arial" w:cs="Arial" w:eastAsia="Arial" w:hAnsi="Arial"/>
          <w:sz w:val="17"/>
          <w:szCs w:val="17"/>
          <w:i w:val="1"/>
          <w:iCs w:val="1"/>
          <w:color w:val="auto"/>
        </w:rPr>
        <w:t xml:space="preserve"> pro rata </w:t>
      </w:r>
      <w:r>
        <w:rPr>
          <w:rFonts w:ascii="Arial" w:cs="Arial" w:eastAsia="Arial" w:hAnsi="Arial"/>
          <w:sz w:val="17"/>
          <w:szCs w:val="17"/>
          <w:color w:val="auto"/>
        </w:rPr>
        <w:t>basis is not practicable for any reason, by lot or in such other manner as the Trustee shall deem</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fair and appropriate, and in any case in accordance with the applicable procedures of the Depositary and in accordance with the Investment Company Act as directed by the Company. In the event of a redemption of this Note in part only, a new Note or Notes will be issued in the name of the Holder thereof upon the cancellation of the original Note;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such partial redemption shall reduce the portion of the principal amount of a Note not redeemed to less than $2,000.</w:t>
      </w:r>
    </w:p>
    <w:p>
      <w:pPr>
        <w:spacing w:after="0" w:line="69" w:lineRule="exact"/>
        <w:rPr>
          <w:rFonts w:ascii="Arial" w:cs="Arial" w:eastAsia="Arial" w:hAnsi="Arial"/>
          <w:sz w:val="17"/>
          <w:szCs w:val="17"/>
          <w:color w:val="auto"/>
        </w:rPr>
      </w:pPr>
    </w:p>
    <w:p>
      <w:pPr>
        <w:ind w:left="440" w:right="40" w:firstLine="419"/>
        <w:spacing w:after="0" w:line="277" w:lineRule="auto"/>
        <w:tabs>
          <w:tab w:leader="none" w:pos="1118" w:val="left"/>
        </w:tabs>
        <w:numPr>
          <w:ilvl w:val="1"/>
          <w:numId w:val="5"/>
        </w:numPr>
        <w:rPr>
          <w:rFonts w:ascii="Arial" w:cs="Arial" w:eastAsia="Arial" w:hAnsi="Arial"/>
          <w:sz w:val="18"/>
          <w:szCs w:val="18"/>
          <w:color w:val="auto"/>
        </w:rPr>
      </w:pPr>
      <w:r>
        <w:rPr>
          <w:rFonts w:ascii="Arial" w:cs="Arial" w:eastAsia="Arial" w:hAnsi="Arial"/>
          <w:sz w:val="18"/>
          <w:szCs w:val="18"/>
          <w:color w:val="auto"/>
        </w:rPr>
        <w:t>Unless the Company defaults in payment of the Redemption Price, on and after the Redemption Date, interest will cease to accrue on the Notes or portion of the Notes called for redemption hereunder.</w:t>
      </w:r>
    </w:p>
    <w:p>
      <w:pPr>
        <w:spacing w:after="0" w:line="62" w:lineRule="exact"/>
        <w:rPr>
          <w:rFonts w:ascii="Arial" w:cs="Arial" w:eastAsia="Arial" w:hAnsi="Arial"/>
          <w:sz w:val="18"/>
          <w:szCs w:val="18"/>
          <w:color w:val="auto"/>
        </w:rPr>
      </w:pPr>
    </w:p>
    <w:p>
      <w:pPr>
        <w:ind w:left="660" w:hanging="22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Notes shall not be subject to any sinking fund pursuant to Section 1201 of the Base Indenture.</w:t>
      </w:r>
    </w:p>
    <w:p>
      <w:pPr>
        <w:spacing w:after="0" w:line="117" w:lineRule="exact"/>
        <w:rPr>
          <w:rFonts w:ascii="Arial" w:cs="Arial" w:eastAsia="Arial" w:hAnsi="Arial"/>
          <w:sz w:val="18"/>
          <w:szCs w:val="18"/>
          <w:color w:val="auto"/>
        </w:rPr>
      </w:pPr>
    </w:p>
    <w:p>
      <w:pPr>
        <w:ind w:left="660" w:hanging="22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Notes shall be issuable in denominations of $2,000 and integral multiples of $1,000 in excess thereof.</w:t>
      </w:r>
    </w:p>
    <w:p>
      <w:pPr>
        <w:spacing w:after="0" w:line="117" w:lineRule="exact"/>
        <w:rPr>
          <w:rFonts w:ascii="Arial" w:cs="Arial" w:eastAsia="Arial" w:hAnsi="Arial"/>
          <w:sz w:val="18"/>
          <w:szCs w:val="18"/>
          <w:color w:val="auto"/>
        </w:rPr>
      </w:pPr>
    </w:p>
    <w:p>
      <w:pPr>
        <w:ind w:right="540" w:firstLine="436"/>
        <w:spacing w:after="0" w:line="277"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color w:val="auto"/>
        </w:rPr>
        <w:t>Holders of the Notes will not have the option to have the Notes repaid prior to the Stated Maturity other than in accordance with Article Thirteen of the Indenture.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211" w:lineRule="exact"/>
        <w:rPr>
          <w:sz w:val="20"/>
          <w:szCs w:val="20"/>
          <w:color w:val="auto"/>
        </w:rPr>
      </w:pPr>
    </w:p>
    <w:p>
      <w:pPr>
        <w:jc w:val="both"/>
        <w:ind w:right="380" w:firstLine="440"/>
        <w:spacing w:after="0" w:line="286" w:lineRule="auto"/>
        <w:rPr>
          <w:sz w:val="20"/>
          <w:szCs w:val="20"/>
          <w:color w:val="auto"/>
        </w:rPr>
      </w:pP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Except as may be provided in a Future Supplemental Indenture, for the benefit of the Holders of the Notes but no other series of Securities under the Indenture, whether now or hereafter issued and Outstanding, Article One of the Base Indenture shall be amended by adding the following defined terms to Section 101 of the Base Indenture in appropriate alphabetical sequence, as follows: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Notes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1.01(b)</w:t>
      </w:r>
      <w:r>
        <w:rPr>
          <w:rFonts w:ascii="Arial" w:cs="Arial" w:eastAsia="Arial" w:hAnsi="Arial"/>
          <w:sz w:val="18"/>
          <w:szCs w:val="18"/>
          <w:color w:val="auto"/>
        </w:rPr>
        <w:t xml:space="preserve"> of this Fifth Supplemental Indenture.</w:t>
      </w:r>
    </w:p>
    <w:p>
      <w:pPr>
        <w:spacing w:after="0" w:line="225" w:lineRule="exact"/>
        <w:rPr>
          <w:sz w:val="20"/>
          <w:szCs w:val="20"/>
          <w:color w:val="auto"/>
        </w:rPr>
      </w:pPr>
    </w:p>
    <w:p>
      <w:pPr>
        <w:ind w:right="14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Below Investment Grade Rating Event</w:t>
      </w:r>
      <w:r>
        <w:rPr>
          <w:rFonts w:ascii="Arial" w:cs="Arial" w:eastAsia="Arial" w:hAnsi="Arial"/>
          <w:sz w:val="17"/>
          <w:szCs w:val="17"/>
          <w:color w:val="auto"/>
        </w:rPr>
        <w:t xml:space="preserve">” means the Notes are downgraded below Investment Grade by the Rating Agency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the Rating Agency);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0" w:name="page11"/>
    <w:bookmarkEnd w:id="10"/>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Rating Agency making the reduction in rating to which this definition would otherwise apply does not announce or publicly confirm or inform the Company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w:t>
      </w:r>
    </w:p>
    <w:p>
      <w:pPr>
        <w:spacing w:after="0" w:line="117" w:lineRule="exact"/>
        <w:rPr>
          <w:sz w:val="20"/>
          <w:szCs w:val="20"/>
          <w:color w:val="auto"/>
        </w:rPr>
      </w:pPr>
    </w:p>
    <w:p>
      <w:pPr>
        <w:ind w:left="440" w:firstLine="419"/>
        <w:spacing w:after="0" w:line="257" w:lineRule="auto"/>
        <w:tabs>
          <w:tab w:leader="none" w:pos="1118"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direct or indirect sale, lease, transfer, conveyance or other disposition (other than by way of merger or consolidation) in one or a series of related transactions, of all or substantially all of the assets of the Company and its Controlled Subsidiaries taken as a whole to any “person” or “group” (as those terms are used in Section 13(d)(3) of the Securities Exchange Act), other than to any Permitted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a pledge of assets pursuant to any secured debt instrument of the Company or its Controlled Subsidiaries shall not be deemed to be any such sale, lease, transfer, conveyance or disposition;</w:t>
      </w:r>
    </w:p>
    <w:p>
      <w:pPr>
        <w:spacing w:after="0" w:line="79" w:lineRule="exact"/>
        <w:rPr>
          <w:rFonts w:ascii="Arial" w:cs="Arial" w:eastAsia="Arial" w:hAnsi="Arial"/>
          <w:sz w:val="18"/>
          <w:szCs w:val="18"/>
          <w:color w:val="auto"/>
        </w:rPr>
      </w:pPr>
    </w:p>
    <w:p>
      <w:pPr>
        <w:ind w:left="440" w:right="20" w:firstLine="419"/>
        <w:spacing w:after="0" w:line="279" w:lineRule="auto"/>
        <w:tabs>
          <w:tab w:leader="none" w:pos="111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consummation of any transaction (including, without limitation, any merger or consolidation) the result of which is that any “person” or “group” (as those terms are used in Section 13(d)(3) of the Securities Exchange Act) (other than any Permitted Holders) becomes the “beneficial owner” (as defined in Rules 13d-3 and 13d-5 under the Securities Exchange Act), directly or indirectly, of more than 50% of the outstanding Voting Stock of the Company, measured by voting power rather than number of shares; or</w:t>
      </w:r>
    </w:p>
    <w:p>
      <w:pPr>
        <w:spacing w:after="0" w:line="63" w:lineRule="exact"/>
        <w:rPr>
          <w:rFonts w:ascii="Arial" w:cs="Arial" w:eastAsia="Arial" w:hAnsi="Arial"/>
          <w:sz w:val="17"/>
          <w:szCs w:val="17"/>
          <w:color w:val="auto"/>
        </w:rPr>
      </w:pPr>
    </w:p>
    <w:p>
      <w:pPr>
        <w:ind w:left="1120" w:hanging="261"/>
        <w:spacing w:after="0"/>
        <w:tabs>
          <w:tab w:leader="none" w:pos="11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approval by the Company’s stockholders of any plan or proposal relating to the liquidation or dissolution of the Company.</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Repurchase Event</w:t>
      </w:r>
      <w:r>
        <w:rPr>
          <w:rFonts w:ascii="Arial" w:cs="Arial" w:eastAsia="Arial" w:hAnsi="Arial"/>
          <w:sz w:val="18"/>
          <w:szCs w:val="18"/>
          <w:color w:val="auto"/>
        </w:rPr>
        <w:t>” means the occurrence of a Change of Control and a Below Investment Grade Rating Event.</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Subsidiary</w:t>
      </w:r>
      <w:r>
        <w:rPr>
          <w:rFonts w:ascii="Arial" w:cs="Arial" w:eastAsia="Arial" w:hAnsi="Arial"/>
          <w:sz w:val="18"/>
          <w:szCs w:val="18"/>
          <w:color w:val="auto"/>
        </w:rPr>
        <w:t>” means any Subsidiary of the Company, 50% or more of the outstanding equity interests of which are owned by the Company and its direct or indirect Subsidiaries and of which the Company possesses, directly or indirectly, the power to direct or cause the direction of the management or policies, whether through the ownership of voting equity interests, by agreement or otherwise.</w:t>
      </w:r>
    </w:p>
    <w:p>
      <w:pPr>
        <w:spacing w:after="0" w:line="184"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means, with respect to each Note in global form, The Depository Trust Company, until a successor shall have been appointed and becomes such person, and thereafter, Depositary shall mean or include such successor.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Egan-Jones</w:t>
      </w:r>
      <w:r>
        <w:rPr>
          <w:rFonts w:ascii="Arial" w:cs="Arial" w:eastAsia="Arial" w:hAnsi="Arial"/>
          <w:sz w:val="18"/>
          <w:szCs w:val="18"/>
          <w:color w:val="auto"/>
        </w:rPr>
        <w:t>” means Egan-Jones Ratings Company, Inc. or any successor thereto.</w:t>
      </w:r>
    </w:p>
    <w:p>
      <w:pPr>
        <w:spacing w:after="0" w:line="225"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means generally accepted accounting principles in the United States set forth in the opinions and pronouncements of the Accounting Principles Board of the American Institute of Certified Public Accountants, the opinions and pronouncements of the Public Company Accounting Oversight Board and the statements and pronouncements of the Financial Accounting Standards Board or in such other statements by such other entity as have been approved by a significant segment of the accounting profession in the United States, which are in effect from time to time.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11" w:name="page12"/>
    <w:bookmarkEnd w:id="1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Investment Adviser</w:t>
      </w:r>
      <w:r>
        <w:rPr>
          <w:rFonts w:ascii="Arial" w:cs="Arial" w:eastAsia="Arial" w:hAnsi="Arial"/>
          <w:sz w:val="18"/>
          <w:szCs w:val="18"/>
          <w:color w:val="auto"/>
        </w:rPr>
        <w:t>” means PennantPark Investment Advisers, LLC.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 as amended.</w:t>
      </w:r>
    </w:p>
    <w:p>
      <w:pPr>
        <w:spacing w:after="0" w:line="22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Grade</w:t>
      </w:r>
      <w:r>
        <w:rPr>
          <w:rFonts w:ascii="Arial" w:cs="Arial" w:eastAsia="Arial" w:hAnsi="Arial"/>
          <w:sz w:val="18"/>
          <w:szCs w:val="18"/>
          <w:color w:val="auto"/>
        </w:rPr>
        <w:t>” means a rating of BBB- or better by Egan-Jones (or its equivalent under any successor rating categories of Egan-Jones) (or if such Rating Agency ceases to rate the Notes for reasons outside of the Company’s control, the equivalent investment grade credit rating from any Rating Agency selected by the Company as a replacement Rating Agency).</w:t>
      </w:r>
    </w:p>
    <w:p>
      <w:pPr>
        <w:spacing w:after="0" w:line="184"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Holders</w:t>
      </w:r>
      <w:r>
        <w:rPr>
          <w:rFonts w:ascii="Arial" w:cs="Arial" w:eastAsia="Arial" w:hAnsi="Arial"/>
          <w:sz w:val="18"/>
          <w:szCs w:val="18"/>
          <w:color w:val="auto"/>
        </w:rPr>
        <w:t>” means (i) the Company, (ii) one or more of the Company’s Controlled Subsidiaries and (iii) the Investment Adviser or an affiliate of the Investment Adviser that is organized under the laws of a jurisdiction located in the United States of America and in the business of managing or advising clients.</w:t>
      </w:r>
    </w:p>
    <w:p>
      <w:pPr>
        <w:spacing w:after="0" w:line="184" w:lineRule="exact"/>
        <w:rPr>
          <w:sz w:val="20"/>
          <w:szCs w:val="20"/>
          <w:color w:val="auto"/>
        </w:rPr>
      </w:pPr>
    </w:p>
    <w:p>
      <w:pPr>
        <w:jc w:val="both"/>
        <w:ind w:right="5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Agency</w:t>
      </w:r>
      <w:r>
        <w:rPr>
          <w:rFonts w:ascii="Arial" w:cs="Arial" w:eastAsia="Arial" w:hAnsi="Arial"/>
          <w:sz w:val="18"/>
          <w:szCs w:val="18"/>
          <w:color w:val="auto"/>
        </w:rPr>
        <w:t>” means Egan-Jones; and if Egan-Jones ceases to rate the Notes or fails to make a rating of the Notes publicly available for reasons outside of the Company’s control, a “nationally recognized statistical rating organization” as defined in Section 3(a)(62) of the Securities Exchange Act selected by the Company as a replacement agency for Egan-Jones.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means any Subsidiary that would be a “significant subsidiary” as defined in Article 1, Rule 1-02 of Regulation S-X under the Securities Exchange Act, as such regulation is in effect on the original date of this Indenture (but excluding any Subsidiary which is (a) a non-recourse or limited recourse Subsidiary, (b) a bankruptcy remote special purpose vehicle or (c) is not consolidated with the Company for purposes of GAAP).</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Person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of this Fifth Supplemental Indenture.</w:t>
      </w:r>
    </w:p>
    <w:p>
      <w:pPr>
        <w:spacing w:after="0" w:line="225" w:lineRule="exact"/>
        <w:rPr>
          <w:sz w:val="20"/>
          <w:szCs w:val="20"/>
          <w:color w:val="auto"/>
        </w:rPr>
      </w:pPr>
    </w:p>
    <w:p>
      <w:pPr>
        <w:ind w:right="36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Voting Stock</w:t>
      </w:r>
      <w:r>
        <w:rPr>
          <w:rFonts w:ascii="Arial" w:cs="Arial" w:eastAsia="Arial" w:hAnsi="Arial"/>
          <w:sz w:val="16"/>
          <w:szCs w:val="16"/>
          <w:color w:val="auto"/>
        </w:rPr>
        <w:t>”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149"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101 of the Base Indenture shall be amended by replacing the definition of “Business Day” included therein in its entirety with the following:</w:t>
      </w:r>
    </w:p>
    <w:p>
      <w:pPr>
        <w:spacing w:after="0" w:line="76"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a Sunday or a day on which banking institutions in New York or the city in which the Corporate Trust Office of the Trustee is located are authorized or obligated by law or executive order to close.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2" w:name="page13"/>
    <w:bookmarkEnd w:id="12"/>
    <w:p>
      <w:pPr>
        <w:ind w:right="180" w:firstLine="440"/>
        <w:spacing w:after="0" w:line="26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2.03</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101 of the Base Indenture shall be amended by replacing the definition of “Subsidiary” included therein in its entirety with the following:</w:t>
      </w:r>
    </w:p>
    <w:p>
      <w:pPr>
        <w:spacing w:after="0" w:line="76"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any corporation, partnership, joint venture, limited liability company or other business entity of which a majority of the outstanding shares or other interests having voting power is at the time directly or indirectly owned or controlled by such Person or one or more of the Subsidiaries of such Person. Unless the context otherwise requires, all references to Subsidiary or Subsidiaries under this Indenture shall refer to Subsidiaries of the Company. In addition, for purposes of this definition, “Subsidiary” shall exclude any investments held by the Company in the ordinary course of business which are not, under GAAP, consolidated on the financial statements of the Company and its Subsidiaries.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FORM</w:t>
      </w:r>
    </w:p>
    <w:p>
      <w:pPr>
        <w:spacing w:after="0" w:line="103" w:lineRule="exact"/>
        <w:rPr>
          <w:sz w:val="20"/>
          <w:szCs w:val="20"/>
          <w:color w:val="auto"/>
        </w:rPr>
      </w:pPr>
    </w:p>
    <w:p>
      <w:pPr>
        <w:jc w:val="both"/>
        <w:ind w:right="360" w:firstLine="440"/>
        <w:spacing w:after="0" w:line="263" w:lineRule="auto"/>
        <w:rPr>
          <w:sz w:val="20"/>
          <w:szCs w:val="20"/>
          <w:color w:val="auto"/>
        </w:rPr>
      </w:pP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Article Two of the Base Indenture shall be amended by adding the following new Section 204 thereto, as set forth below:</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204. Certificated Securities</w:t>
      </w:r>
      <w:r>
        <w:rPr>
          <w:rFonts w:ascii="Arial" w:cs="Arial" w:eastAsia="Arial" w:hAnsi="Arial"/>
          <w:sz w:val="18"/>
          <w:szCs w:val="18"/>
          <w:color w:val="auto"/>
        </w:rPr>
        <w:t>.</w:t>
      </w:r>
    </w:p>
    <w:p>
      <w:pPr>
        <w:spacing w:after="0" w:line="121" w:lineRule="exact"/>
        <w:rPr>
          <w:sz w:val="20"/>
          <w:szCs w:val="20"/>
          <w:color w:val="auto"/>
        </w:rPr>
      </w:pPr>
    </w:p>
    <w:p>
      <w:pPr>
        <w:ind w:left="440" w:right="140"/>
        <w:spacing w:after="0" w:line="277" w:lineRule="auto"/>
        <w:rPr>
          <w:sz w:val="20"/>
          <w:szCs w:val="20"/>
          <w:color w:val="auto"/>
        </w:rPr>
      </w:pPr>
      <w:r>
        <w:rPr>
          <w:rFonts w:ascii="Arial" w:cs="Arial" w:eastAsia="Arial" w:hAnsi="Arial"/>
          <w:sz w:val="18"/>
          <w:szCs w:val="18"/>
          <w:color w:val="auto"/>
        </w:rPr>
        <w:t>Notwithstanding anything to the contrary, Securities in physical, certificated form will be issued and delivered to each person that the Depositary identifies as a beneficial owner of the related Securities only if:</w:t>
      </w:r>
    </w:p>
    <w:p>
      <w:pPr>
        <w:spacing w:after="0" w:line="62" w:lineRule="exact"/>
        <w:rPr>
          <w:sz w:val="20"/>
          <w:szCs w:val="20"/>
          <w:color w:val="auto"/>
        </w:rPr>
      </w:pPr>
    </w:p>
    <w:p>
      <w:pPr>
        <w:ind w:left="440" w:right="120" w:hanging="4"/>
        <w:spacing w:after="0" w:line="277"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Depositary notifies the Company at any time that it is unwilling or unable to continue as depositary for the Securities in global form and a successor depositary is not appointed within 90 days;</w:t>
      </w:r>
    </w:p>
    <w:p>
      <w:pPr>
        <w:spacing w:after="0" w:line="62" w:lineRule="exact"/>
        <w:rPr>
          <w:rFonts w:ascii="Arial" w:cs="Arial" w:eastAsia="Arial" w:hAnsi="Arial"/>
          <w:sz w:val="18"/>
          <w:szCs w:val="18"/>
          <w:color w:val="auto"/>
        </w:rPr>
      </w:pPr>
    </w:p>
    <w:p>
      <w:pPr>
        <w:ind w:left="440" w:right="420" w:hanging="4"/>
        <w:spacing w:after="0" w:line="277"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Depositary ceases to be registered as a clearing agency under the Securities Exchange Act and a successor depositary is not appointed within 90 days; or</w:t>
      </w:r>
    </w:p>
    <w:p>
      <w:pPr>
        <w:spacing w:after="0" w:line="62" w:lineRule="exact"/>
        <w:rPr>
          <w:rFonts w:ascii="Arial" w:cs="Arial" w:eastAsia="Arial" w:hAnsi="Arial"/>
          <w:sz w:val="18"/>
          <w:szCs w:val="18"/>
          <w:color w:val="auto"/>
        </w:rPr>
      </w:pPr>
    </w:p>
    <w:p>
      <w:pPr>
        <w:ind w:left="440" w:right="460" w:hanging="4"/>
        <w:spacing w:after="0" w:line="277"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Event of Default with respect to the Securities has occurred and is continuing and such beneficial owner requests that its Securities be issued in physical, certificated form.”</w:t>
      </w:r>
    </w:p>
    <w:p>
      <w:pPr>
        <w:spacing w:after="0" w:line="382"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REMEDIES</w:t>
      </w:r>
    </w:p>
    <w:p>
      <w:pPr>
        <w:spacing w:after="0" w:line="211" w:lineRule="exact"/>
        <w:rPr>
          <w:sz w:val="20"/>
          <w:szCs w:val="20"/>
          <w:color w:val="auto"/>
        </w:rPr>
      </w:pPr>
    </w:p>
    <w:p>
      <w:pPr>
        <w:jc w:val="both"/>
        <w:ind w:right="400" w:firstLine="440"/>
        <w:spacing w:after="0" w:line="263" w:lineRule="auto"/>
        <w:rPr>
          <w:sz w:val="20"/>
          <w:szCs w:val="20"/>
          <w:color w:val="auto"/>
        </w:rPr>
      </w:pP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501 of the Base Indenture shall be amended by replacing clause (2) thereof in its entirety with the following:</w:t>
      </w:r>
    </w:p>
    <w:p>
      <w:pPr>
        <w:spacing w:after="0" w:line="76" w:lineRule="exact"/>
        <w:rPr>
          <w:sz w:val="20"/>
          <w:szCs w:val="20"/>
          <w:color w:val="auto"/>
        </w:rPr>
      </w:pPr>
    </w:p>
    <w:p>
      <w:pPr>
        <w:ind w:left="440" w:right="100"/>
        <w:spacing w:after="0" w:line="277" w:lineRule="auto"/>
        <w:rPr>
          <w:sz w:val="20"/>
          <w:szCs w:val="20"/>
          <w:color w:val="auto"/>
        </w:rPr>
      </w:pPr>
      <w:r>
        <w:rPr>
          <w:rFonts w:ascii="Arial" w:cs="Arial" w:eastAsia="Arial" w:hAnsi="Arial"/>
          <w:sz w:val="18"/>
          <w:szCs w:val="18"/>
          <w:color w:val="auto"/>
        </w:rPr>
        <w:t>“(2) default in the payment of the principal of (or premium, if any, on) any Note when it becomes due and payable at its Maturity, including upon any Redemption Date or required repurchase date;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3" w:name="page14"/>
    <w:bookmarkEnd w:id="13"/>
    <w:p>
      <w:pPr>
        <w:jc w:val="both"/>
        <w:ind w:right="400" w:firstLine="440"/>
        <w:spacing w:after="0" w:line="26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4.02</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501 of the Base Indenture shall be amended by replacing clause (6) thereof in its entirety with the following:</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 a court of competent jurisdiction enters an order or decree under any Bankruptcy Law that:</w:t>
      </w:r>
    </w:p>
    <w:p>
      <w:pPr>
        <w:spacing w:after="0" w:line="117" w:lineRule="exact"/>
        <w:rPr>
          <w:sz w:val="20"/>
          <w:szCs w:val="20"/>
          <w:color w:val="auto"/>
        </w:rPr>
      </w:pPr>
    </w:p>
    <w:p>
      <w:pPr>
        <w:ind w:left="1280" w:hanging="293"/>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 or proceeding, or</w:t>
      </w:r>
    </w:p>
    <w:p>
      <w:pPr>
        <w:spacing w:after="0" w:line="117" w:lineRule="exact"/>
        <w:rPr>
          <w:rFonts w:ascii="Arial" w:cs="Arial" w:eastAsia="Arial" w:hAnsi="Arial"/>
          <w:sz w:val="18"/>
          <w:szCs w:val="18"/>
          <w:color w:val="auto"/>
        </w:rPr>
      </w:pPr>
    </w:p>
    <w:p>
      <w:pPr>
        <w:ind w:left="980" w:right="80" w:firstLine="7"/>
        <w:spacing w:after="0" w:line="277" w:lineRule="auto"/>
        <w:tabs>
          <w:tab w:leader="none" w:pos="1265"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adjudges the Company bankrupt or insolvent, or approves as properly filed a petition seeking reorganization, arrangement, adjustment or composition of or in respect of the Company, or</w:t>
      </w:r>
    </w:p>
    <w:p>
      <w:pPr>
        <w:spacing w:after="0" w:line="62" w:lineRule="exact"/>
        <w:rPr>
          <w:rFonts w:ascii="Arial" w:cs="Arial" w:eastAsia="Arial" w:hAnsi="Arial"/>
          <w:sz w:val="18"/>
          <w:szCs w:val="18"/>
          <w:color w:val="auto"/>
        </w:rPr>
      </w:pPr>
    </w:p>
    <w:p>
      <w:pPr>
        <w:ind w:left="1280" w:hanging="293"/>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117" w:lineRule="exact"/>
        <w:rPr>
          <w:rFonts w:ascii="Arial" w:cs="Arial" w:eastAsia="Arial" w:hAnsi="Arial"/>
          <w:sz w:val="18"/>
          <w:szCs w:val="18"/>
          <w:color w:val="auto"/>
        </w:rPr>
      </w:pPr>
    </w:p>
    <w:p>
      <w:pPr>
        <w:ind w:left="1280" w:hanging="293"/>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orders the winding up or liquidation of the Company,</w:t>
      </w:r>
    </w:p>
    <w:p>
      <w:pPr>
        <w:spacing w:after="0" w:line="117"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and the continuance of any such decree or order for relief or any such other decree or order unstayed and undischarged and in effect for a period of 90 days.”</w:t>
      </w:r>
    </w:p>
    <w:p>
      <w:pPr>
        <w:spacing w:after="0" w:line="170" w:lineRule="exact"/>
        <w:rPr>
          <w:sz w:val="20"/>
          <w:szCs w:val="20"/>
          <w:color w:val="auto"/>
        </w:rPr>
      </w:pPr>
    </w:p>
    <w:p>
      <w:pPr>
        <w:jc w:val="both"/>
        <w:ind w:right="400" w:firstLine="440"/>
        <w:spacing w:after="0" w:line="263" w:lineRule="auto"/>
        <w:rPr>
          <w:sz w:val="20"/>
          <w:szCs w:val="20"/>
          <w:color w:val="auto"/>
        </w:rPr>
      </w:pP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501 of the Base Indenture shall be amended by replacing clause (7) thereof in its entirety with the following:</w:t>
      </w:r>
    </w:p>
    <w:p>
      <w:pPr>
        <w:spacing w:after="0" w:line="76" w:lineRule="exact"/>
        <w:rPr>
          <w:sz w:val="20"/>
          <w:szCs w:val="20"/>
          <w:color w:val="auto"/>
        </w:rPr>
      </w:pPr>
    </w:p>
    <w:p>
      <w:pPr>
        <w:ind w:left="440" w:right="40"/>
        <w:spacing w:after="0" w:line="271" w:lineRule="auto"/>
        <w:rPr>
          <w:sz w:val="20"/>
          <w:szCs w:val="20"/>
          <w:color w:val="auto"/>
        </w:rPr>
      </w:pPr>
      <w:r>
        <w:rPr>
          <w:rFonts w:ascii="Arial" w:cs="Arial" w:eastAsia="Arial" w:hAnsi="Arial"/>
          <w:sz w:val="17"/>
          <w:szCs w:val="17"/>
          <w:color w:val="auto"/>
        </w:rPr>
        <w:t>“(7) default by the Company or any of its Significant Subsidiaries, with respect to any mortgage, agreement or other instrument under which there may be outstanding, or by which there may be secured or evidenced, any indebtedness for money borrowed in excess of $75 million in the aggregate of the Company and/or any such Significant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the Company by the Trustee or to the Company and the Trustee by the Holders of at least 25% in aggregate principal amount of the Notes then Outstanding; or</w:t>
      </w:r>
    </w:p>
    <w:p>
      <w:pPr>
        <w:spacing w:after="0" w:line="70" w:lineRule="exact"/>
        <w:rPr>
          <w:sz w:val="20"/>
          <w:szCs w:val="20"/>
          <w:color w:val="auto"/>
        </w:rPr>
      </w:pPr>
    </w:p>
    <w:p>
      <w:pPr>
        <w:ind w:left="440" w:right="40" w:hanging="4"/>
        <w:spacing w:after="0" w:line="259"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pursuant to Sections 18(a)(1)(C)(ii) and 61 of the Investment Company Act, or any successor provisions, on the last business day of each of twenty-four consecutive calendar months any class of Securities shall have an asset coverage (as such term is used in the Investment Company Act) of less than 100%, giving effect to any amendments to such provisions of the Investment Company Act or to any exemptive relief granted to the Company by the Commission”.</w:t>
      </w:r>
    </w:p>
    <w:p>
      <w:pPr>
        <w:spacing w:after="0" w:line="187"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u w:val="single" w:color="auto"/>
          <w:color w:val="auto"/>
        </w:rPr>
        <w:t>Section 4.04</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502 of the Base Indenture shall be amended by replacing the first paragraph thereof in its entirety with the following: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4" w:name="page15"/>
    <w:bookmarkEnd w:id="14"/>
    <w:p>
      <w:pPr>
        <w:ind w:left="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an Event of Default with respect to the Securities occurs and is continuing, then and in every such case (other than an Event of Default specified in Section 501(5) or 501(6)), the Trustee or the holders of not less than 25% in principal amount of the Outstanding Securities may declare the principal of all the Outstanding Securities to be due and payable immediately, by a notice in writing to the Company (and to the Trustee if given by the holders of the Outstanding Securities), and upon any such declaration such principal or specified portion thereof shall become immediately due and payable;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100% of the principal of, and accrued and unpaid interest on, the Outstanding Securities will automatically become due and payable in the case of an Event of Default specified in Section 501(5) or 501(6) hereof.”</w:t>
      </w:r>
    </w:p>
    <w:p>
      <w:pPr>
        <w:spacing w:after="0" w:line="164"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u w:val="single" w:color="auto"/>
          <w:color w:val="auto"/>
        </w:rPr>
        <w:t>Section 4.05</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507 of the Base Indenture shall be amended by replacing clause (3) thereof in its entirety with the following:</w:t>
      </w:r>
    </w:p>
    <w:p>
      <w:pPr>
        <w:spacing w:after="0" w:line="184"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“(3) such Holder or Holders have offered to the Trustee security or indemnity satisfactory to the Trustee against the costs, expenses and liabilities to be incurred incompliance with such request;”</w:t>
      </w:r>
    </w:p>
    <w:p>
      <w:pPr>
        <w:spacing w:after="0" w:line="170"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u w:val="single" w:color="auto"/>
          <w:color w:val="auto"/>
        </w:rPr>
        <w:t>Section 4.06</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512 of the Base Indenture shall be amended by replacing clause (3) thereof in its entirety with the following:</w:t>
      </w:r>
    </w:p>
    <w:p>
      <w:pPr>
        <w:spacing w:after="0" w:line="184" w:lineRule="exact"/>
        <w:rPr>
          <w:sz w:val="20"/>
          <w:szCs w:val="20"/>
          <w:color w:val="auto"/>
        </w:rPr>
      </w:pPr>
    </w:p>
    <w:p>
      <w:pPr>
        <w:ind w:left="440" w:right="20"/>
        <w:spacing w:after="0" w:line="263" w:lineRule="auto"/>
        <w:rPr>
          <w:sz w:val="20"/>
          <w:szCs w:val="20"/>
          <w:color w:val="auto"/>
        </w:rPr>
      </w:pPr>
      <w:r>
        <w:rPr>
          <w:rFonts w:ascii="Arial" w:cs="Arial" w:eastAsia="Arial" w:hAnsi="Arial"/>
          <w:sz w:val="18"/>
          <w:szCs w:val="18"/>
          <w:color w:val="auto"/>
        </w:rPr>
        <w:t>“(3) the Trustee need not take any action that it determines in good faith might involve it in personal liability or be unjustly prejudicial to the Holders of Securities of such series not consenting (it being understood that the Trustee does not have an affirmative duty to ascertain whether or not any such directions are unduly prejudicial to such Holders).”</w:t>
      </w: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jc w:val="both"/>
        <w:ind w:right="260" w:firstLine="440"/>
        <w:spacing w:after="0" w:line="263" w:lineRule="auto"/>
        <w:rPr>
          <w:sz w:val="20"/>
          <w:szCs w:val="20"/>
          <w:color w:val="auto"/>
        </w:rPr>
      </w:pP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1006 of the Base Indenture shall be amended by replacing Section 1006 thereof in its entirety with the following:</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1006. [RESERVED.]</w:t>
      </w:r>
      <w:r>
        <w:rPr>
          <w:rFonts w:ascii="Arial" w:cs="Arial" w:eastAsia="Arial" w:hAnsi="Arial"/>
          <w:sz w:val="18"/>
          <w:szCs w:val="18"/>
          <w:color w:val="auto"/>
        </w:rPr>
        <w:t>”</w:t>
      </w:r>
    </w:p>
    <w:p>
      <w:pPr>
        <w:spacing w:after="0" w:line="121"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u w:val="single" w:color="auto"/>
          <w:color w:val="auto"/>
        </w:rPr>
        <w:t>Section 5.02</w:t>
      </w:r>
      <w:r>
        <w:rPr>
          <w:rFonts w:ascii="Arial" w:cs="Arial" w:eastAsia="Arial" w:hAnsi="Arial"/>
          <w:sz w:val="18"/>
          <w:szCs w:val="18"/>
          <w:color w:val="auto"/>
        </w:rPr>
        <w:t>. Except as may be provided in a Future Supplemental Indenture, for the benefit of the Holders of the Notes but no other series of Securities under the Indenture, whether now or hereafter issued and Outstanding, Article Ten of the Base Indenture shall be amended by replacing Section 1007 thereof in its entirety with the following:</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440" w:top="274" w:right="559" w:bottom="1440" w:gutter="0" w:footer="0" w:header="0"/>
        </w:sectPr>
      </w:pPr>
    </w:p>
    <w:bookmarkStart w:id="15" w:name="page16"/>
    <w:bookmarkEnd w:id="1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Section 1007. Waiver of Certain Covenants.</w:t>
      </w:r>
    </w:p>
    <w:p>
      <w:pPr>
        <w:spacing w:after="0" w:line="121"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The Company may omit in any particular instance to comply with any covenant or condition, as specified pursuant to Section 301(15), for Securities of any series, in any covenants of the Company added to Article Ten pursuant to Section 301(14) or Section 301(15) in connection with the Securities of a series, if before or after the time for such compliance the Holders of at least a majority in aggregate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covenant or condition shall remain in full force and effect.”</w:t>
      </w:r>
    </w:p>
    <w:p>
      <w:pPr>
        <w:spacing w:after="0" w:line="195" w:lineRule="exact"/>
        <w:rPr>
          <w:sz w:val="20"/>
          <w:szCs w:val="20"/>
          <w:color w:val="auto"/>
        </w:rPr>
      </w:pPr>
    </w:p>
    <w:p>
      <w:pPr>
        <w:jc w:val="both"/>
        <w:ind w:right="360" w:firstLine="440"/>
        <w:spacing w:after="0" w:line="263" w:lineRule="auto"/>
        <w:rPr>
          <w:sz w:val="20"/>
          <w:szCs w:val="20"/>
          <w:color w:val="auto"/>
        </w:rPr>
      </w:pPr>
      <w:r>
        <w:rPr>
          <w:rFonts w:ascii="Arial" w:cs="Arial" w:eastAsia="Arial" w:hAnsi="Arial"/>
          <w:sz w:val="18"/>
          <w:szCs w:val="18"/>
          <w:u w:val="single" w:color="auto"/>
          <w:color w:val="auto"/>
        </w:rPr>
        <w:t>Section 5.03</w:t>
      </w:r>
      <w:r>
        <w:rPr>
          <w:rFonts w:ascii="Arial" w:cs="Arial" w:eastAsia="Arial" w:hAnsi="Arial"/>
          <w:sz w:val="18"/>
          <w:szCs w:val="18"/>
          <w:color w:val="auto"/>
        </w:rPr>
        <w:t>. Except as may be provided in a Future Supplemental Indenture, for the benefit of the Holders of the Notes but no other series of Securities under the Indenture, whether now or hereafter issued and Outstanding, Article Ten of the Base Indenture shall be amended by adding the following new Sections 1008 and 1009 thereto, each as set forth below:</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1008. Section 18(a)(1)(A) of the Investment Company Act</w:t>
      </w:r>
      <w:r>
        <w:rPr>
          <w:rFonts w:ascii="Arial" w:cs="Arial" w:eastAsia="Arial" w:hAnsi="Arial"/>
          <w:sz w:val="18"/>
          <w:szCs w:val="18"/>
          <w:color w:val="auto"/>
        </w:rPr>
        <w:t>.</w:t>
      </w:r>
    </w:p>
    <w:p>
      <w:pPr>
        <w:spacing w:after="0" w:line="121" w:lineRule="exact"/>
        <w:rPr>
          <w:sz w:val="20"/>
          <w:szCs w:val="20"/>
          <w:color w:val="auto"/>
        </w:rPr>
      </w:pPr>
    </w:p>
    <w:p>
      <w:pPr>
        <w:ind w:left="440"/>
        <w:spacing w:after="0" w:line="263" w:lineRule="auto"/>
        <w:rPr>
          <w:sz w:val="20"/>
          <w:szCs w:val="20"/>
          <w:color w:val="auto"/>
        </w:rPr>
      </w:pPr>
      <w:r>
        <w:rPr>
          <w:rFonts w:ascii="Arial" w:cs="Arial" w:eastAsia="Arial" w:hAnsi="Arial"/>
          <w:sz w:val="18"/>
          <w:szCs w:val="18"/>
          <w:color w:val="auto"/>
        </w:rPr>
        <w:t>The Company hereby agrees that for the period of time during which Notes are Outstanding, the Company will not violate, whether or not it is subject to, Section 18(a)(1)(A) as modified by Section 61(a) of the Investment Company Act or any successor provisions thereto of the Investment Company Act, giving effect to any exemptive relief granted to the Company by the Commission.”</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1009. Commission Reports and Reports to Holders</w:t>
      </w:r>
      <w:r>
        <w:rPr>
          <w:rFonts w:ascii="Arial" w:cs="Arial" w:eastAsia="Arial" w:hAnsi="Arial"/>
          <w:sz w:val="18"/>
          <w:szCs w:val="18"/>
          <w:color w:val="auto"/>
        </w:rPr>
        <w:t>.</w:t>
      </w:r>
    </w:p>
    <w:p>
      <w:pPr>
        <w:spacing w:after="0" w:line="121" w:lineRule="exact"/>
        <w:rPr>
          <w:sz w:val="20"/>
          <w:szCs w:val="20"/>
          <w:color w:val="auto"/>
        </w:rPr>
      </w:pPr>
    </w:p>
    <w:p>
      <w:pPr>
        <w:ind w:left="440" w:right="100"/>
        <w:spacing w:after="0" w:line="270" w:lineRule="auto"/>
        <w:rPr>
          <w:sz w:val="20"/>
          <w:szCs w:val="20"/>
          <w:color w:val="auto"/>
        </w:rPr>
      </w:pPr>
      <w:r>
        <w:rPr>
          <w:rFonts w:ascii="Arial" w:cs="Arial" w:eastAsia="Arial" w:hAnsi="Arial"/>
          <w:sz w:val="17"/>
          <w:szCs w:val="17"/>
          <w:color w:val="auto"/>
        </w:rPr>
        <w:t>If, at any time, the Company is not subject to the reporting requirements of Sections 13 or 15(d) of the Securities Exchange Act to file any periodic reports with the Commission, the Company agrees to furnish to the Holders of Notes and the Trustee for the period of time during which the Notes are Outstanding: (i) within 90 days after the end of the each fiscal year of the Company, audited annual consolidated financial statements of the Company and (ii) within 45 days after the end of each fiscal quarter of the Company (other than the Company’s fourth fiscal quarter), unaudited interim consolidated financial statements of the Company. All such financial statements shall be prepared, in all material respects, in accordance with GAAP, as applicable. 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conclusively rely exclusively on Officers’ Certificates).”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DEFEASANCE AND COVENANT DEFEASANCE</w:t>
      </w:r>
    </w:p>
    <w:p>
      <w:pPr>
        <w:spacing w:after="0" w:line="211"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Section 6.01. Except as may be provided in a Future Supplemental Indenture, for the benefit of the Holders of the Notes but no other series of Securities under the Indenture, whether now or hereafter issued and Outstanding, Article Fourteen of the Base Indenture shall be amended by replacing Section 1403 thereof in its entirety with the following:</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1403. Covenant Defeasance.</w:t>
      </w:r>
    </w:p>
    <w:p>
      <w:pPr>
        <w:spacing w:after="0" w:line="121" w:lineRule="exact"/>
        <w:rPr>
          <w:sz w:val="20"/>
          <w:szCs w:val="20"/>
          <w:color w:val="auto"/>
        </w:rPr>
      </w:pPr>
    </w:p>
    <w:p>
      <w:pPr>
        <w:ind w:left="440"/>
        <w:spacing w:after="0" w:line="286" w:lineRule="auto"/>
        <w:rPr>
          <w:sz w:val="20"/>
          <w:szCs w:val="20"/>
          <w:color w:val="auto"/>
        </w:rPr>
      </w:pPr>
      <w:r>
        <w:rPr>
          <w:rFonts w:ascii="Arial" w:cs="Arial" w:eastAsia="Arial" w:hAnsi="Arial"/>
          <w:sz w:val="16"/>
          <w:szCs w:val="16"/>
          <w:color w:val="auto"/>
        </w:rPr>
        <w:t>Upon the Company’s exercise of the above option applicable to this Section with respect to any Securities of or within a series, the Company shall be released, if specified pursuant to Section 301, from its obligations under any covenant, with respect to such Outstanding Securities and any coupons appertaining thereto on and after the date the conditions set forth in Section 1404 are satisfied (hereinafter, “covenant defeasance”), and such Securities and any coupons appertaining thereto shall thereafter be deemed to be not “Outstanding” for the purposes of any direction, waiver, consent or declaration or Act of Holders (and the consequences of any thereof) in connection with such covenant, but shall continue to be deemed “Outstanding” for all other purposes hereunder. For this purpose, such covenant defeasance means that, with respect to such Outstanding Securities and any coupons appertaining thereto,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501(4) or 501(7) or otherwise, as the case may be, but, except as specified above, the remainder of this Indenture and such Securities and any coupons appertaining thereto shall be unaffected thereby. Following a covenant defeasance, payment of such Securities may not be accelerated because of an Event of Default solely by reference to such Sections specified above in this Section 1403.”</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TRUSTEE</w:t>
      </w:r>
    </w:p>
    <w:p>
      <w:pPr>
        <w:spacing w:after="0" w:line="21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Neither the Trustee nor any Paying Agent shall be responsible for determining whether any Change of Control or Below Investment Grade Rating Event has occurred and whether any Change of Control offer with respect to the Notes is required.</w:t>
      </w:r>
    </w:p>
    <w:p>
      <w:pPr>
        <w:spacing w:after="0" w:line="170" w:lineRule="exact"/>
        <w:rPr>
          <w:sz w:val="20"/>
          <w:szCs w:val="20"/>
          <w:color w:val="auto"/>
        </w:rPr>
      </w:pPr>
    </w:p>
    <w:p>
      <w:pPr>
        <w:jc w:val="both"/>
        <w:ind w:right="380" w:firstLine="440"/>
        <w:spacing w:after="0" w:line="263" w:lineRule="auto"/>
        <w:rPr>
          <w:sz w:val="20"/>
          <w:szCs w:val="20"/>
          <w:color w:val="auto"/>
        </w:rPr>
      </w:pP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602 of the Base Indenture shall be amended by replacing clause (5) thereof in its entirety with the following:</w:t>
      </w:r>
    </w:p>
    <w:p>
      <w:pPr>
        <w:spacing w:after="0" w:line="76" w:lineRule="exact"/>
        <w:rPr>
          <w:sz w:val="20"/>
          <w:szCs w:val="20"/>
          <w:color w:val="auto"/>
        </w:rPr>
      </w:pPr>
    </w:p>
    <w:p>
      <w:pPr>
        <w:ind w:left="440" w:right="20"/>
        <w:spacing w:after="0" w:line="259" w:lineRule="auto"/>
        <w:rPr>
          <w:sz w:val="20"/>
          <w:szCs w:val="20"/>
          <w:color w:val="auto"/>
        </w:rPr>
      </w:pPr>
      <w:r>
        <w:rPr>
          <w:rFonts w:ascii="Arial" w:cs="Arial" w:eastAsia="Arial" w:hAnsi="Arial"/>
          <w:sz w:val="18"/>
          <w:szCs w:val="18"/>
          <w:color w:val="auto"/>
        </w:rPr>
        <w:t>“(5) The Trustee shall be under no obligation to exercise any of the rights or powers vested in it by this Indenture at the request or direction of any of the Holders of any series or any related coupons pursuant to this Indenture, unless such Holders shall have offered to the Trustee security or indemnity satisfactory to the Trustee against the costs, expenses and liabilities which might be incurred by it in compliance with such request or direction.”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0" w:right="47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REPURCHASE UPON 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OF CONTROL REPURCHASE EVENT</w:t>
      </w:r>
    </w:p>
    <w:p>
      <w:pPr>
        <w:spacing w:after="0" w:line="211"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Article Thirteen of the Base Indenture shall be amended by replacing Sections 1301 to 1305 thereto in their entirety with the following:</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1301. Change of Control.</w:t>
      </w:r>
    </w:p>
    <w:p>
      <w:pPr>
        <w:spacing w:after="0" w:line="121" w:lineRule="exact"/>
        <w:rPr>
          <w:sz w:val="20"/>
          <w:szCs w:val="20"/>
          <w:color w:val="auto"/>
        </w:rPr>
      </w:pPr>
    </w:p>
    <w:p>
      <w:pPr>
        <w:ind w:left="440" w:firstLine="423"/>
        <w:spacing w:after="0" w:line="269" w:lineRule="auto"/>
        <w:rPr>
          <w:sz w:val="20"/>
          <w:szCs w:val="20"/>
          <w:color w:val="auto"/>
        </w:rPr>
      </w:pPr>
      <w:r>
        <w:rPr>
          <w:rFonts w:ascii="Arial" w:cs="Arial" w:eastAsia="Arial" w:hAnsi="Arial"/>
          <w:sz w:val="17"/>
          <w:szCs w:val="17"/>
          <w:color w:val="auto"/>
        </w:rPr>
        <w:t>If a Change of Control Repurchase Event occurs, unless the Company shall have exercised its right to redeem the Notes in full, the Company shall make an offer to each Holder of the Notes to repurchase all or any part (in minimum denominations of $2,000 and integral multiples of $1,000 principal amount there above) of that Holder’s Notes at a repurchase price in cash equal to 100% of the aggregate principal amount of Notes repurchased plus any accrued and unpaid interest on the Notes repurchased to the date of purchase. Within 30 days following any Change of Control Repurchase Event or, at the Company’s option, prior to any Change of Control, but after the public announcement of the Change of Control, the Company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The Company shall comply with the requirements of Rule 14e-1 under the Securities Exchange Act and any other securities laws and regulations thereunder to the extent those laws and regulations are applicable in connection with the repurchase of the Notes as a result of a Change of Control Repurchase Event.</w:t>
      </w:r>
    </w:p>
    <w:p>
      <w:pPr>
        <w:spacing w:after="0" w:line="71" w:lineRule="exact"/>
        <w:rPr>
          <w:sz w:val="20"/>
          <w:szCs w:val="20"/>
          <w:color w:val="auto"/>
        </w:rPr>
      </w:pPr>
    </w:p>
    <w:p>
      <w:pPr>
        <w:ind w:left="440" w:right="280" w:firstLine="423"/>
        <w:spacing w:after="0" w:line="263" w:lineRule="auto"/>
        <w:rPr>
          <w:sz w:val="20"/>
          <w:szCs w:val="20"/>
          <w:color w:val="auto"/>
        </w:rPr>
      </w:pPr>
      <w:r>
        <w:rPr>
          <w:rFonts w:ascii="Arial" w:cs="Arial" w:eastAsia="Arial" w:hAnsi="Arial"/>
          <w:sz w:val="18"/>
          <w:szCs w:val="18"/>
          <w:color w:val="auto"/>
        </w:rPr>
        <w:t>To the extent that the provisions of any securities laws or regulations conflict with this Section 1301, the Company shall comply with the applicable securities laws and regulations and shall not be deemed to have breached its obligations under this Section 1301 by virtue of such conflict.</w:t>
      </w:r>
    </w:p>
    <w:p>
      <w:pPr>
        <w:spacing w:after="0" w:line="76" w:lineRule="exact"/>
        <w:rPr>
          <w:sz w:val="20"/>
          <w:szCs w:val="20"/>
          <w:color w:val="auto"/>
        </w:rPr>
      </w:pPr>
    </w:p>
    <w:p>
      <w:pPr>
        <w:ind w:left="440" w:firstLine="423"/>
        <w:spacing w:after="0" w:line="277" w:lineRule="auto"/>
        <w:rPr>
          <w:sz w:val="20"/>
          <w:szCs w:val="20"/>
          <w:color w:val="auto"/>
        </w:rPr>
      </w:pPr>
      <w:r>
        <w:rPr>
          <w:rFonts w:ascii="Arial" w:cs="Arial" w:eastAsia="Arial" w:hAnsi="Arial"/>
          <w:sz w:val="18"/>
          <w:szCs w:val="18"/>
          <w:color w:val="auto"/>
        </w:rPr>
        <w:t>On the Change of Control Repurchase Event payment date, subject to extension if necessary to comply with the provisions of the Investment Company Act, the Company shall, to the extent lawful:</w:t>
      </w:r>
    </w:p>
    <w:p>
      <w:pPr>
        <w:spacing w:after="0" w:line="62" w:lineRule="exact"/>
        <w:rPr>
          <w:sz w:val="20"/>
          <w:szCs w:val="20"/>
          <w:color w:val="auto"/>
        </w:rPr>
      </w:pPr>
    </w:p>
    <w:p>
      <w:pPr>
        <w:ind w:left="1640" w:hanging="252"/>
        <w:spacing w:after="0"/>
        <w:tabs>
          <w:tab w:leader="none" w:pos="1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its offer;</w:t>
      </w:r>
    </w:p>
    <w:p>
      <w:pPr>
        <w:spacing w:after="0" w:line="117" w:lineRule="exact"/>
        <w:rPr>
          <w:rFonts w:ascii="Arial" w:cs="Arial" w:eastAsia="Arial" w:hAnsi="Arial"/>
          <w:sz w:val="18"/>
          <w:szCs w:val="18"/>
          <w:color w:val="auto"/>
        </w:rPr>
      </w:pPr>
    </w:p>
    <w:p>
      <w:pPr>
        <w:ind w:left="980" w:right="20" w:firstLine="408"/>
        <w:spacing w:after="0" w:line="277" w:lineRule="auto"/>
        <w:tabs>
          <w:tab w:leader="none" w:pos="16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deposit with the Paying Agent by 11:00 am New York City time, an amount equal to the aggregate purchase price in respect of all Notes or portions of Notes properly tendered;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18" w:name="page19"/>
    <w:bookmarkEnd w:id="18"/>
    <w:p>
      <w:pPr>
        <w:ind w:left="980" w:right="480" w:firstLine="408"/>
        <w:spacing w:after="0" w:line="277" w:lineRule="auto"/>
        <w:tabs>
          <w:tab w:leader="none" w:pos="1636"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 or cause to be delivered to the Trustee the Notes properly accepted, together with an Officers’ Certificate stating the aggregate principal amount of Notes being purchased by the Company.</w:t>
      </w:r>
    </w:p>
    <w:p>
      <w:pPr>
        <w:spacing w:after="0" w:line="62" w:lineRule="exact"/>
        <w:rPr>
          <w:sz w:val="20"/>
          <w:szCs w:val="20"/>
          <w:color w:val="auto"/>
        </w:rPr>
      </w:pPr>
    </w:p>
    <w:p>
      <w:pPr>
        <w:ind w:left="440" w:right="220" w:firstLine="423"/>
        <w:spacing w:after="0" w:line="259" w:lineRule="auto"/>
        <w:rPr>
          <w:sz w:val="20"/>
          <w:szCs w:val="20"/>
          <w:color w:val="auto"/>
        </w:rPr>
      </w:pPr>
      <w:r>
        <w:rPr>
          <w:rFonts w:ascii="Arial" w:cs="Arial" w:eastAsia="Arial" w:hAnsi="Arial"/>
          <w:sz w:val="18"/>
          <w:szCs w:val="18"/>
          <w:color w:val="auto"/>
        </w:rPr>
        <w:t xml:space="preserve">The Paying Agent will promptly remit to each Holder of Notes properly tendered the purchase price for the Notes, and the Trustee will promptly authenticate upon receipt of a Company Order and mail (or cause to be transferred by book-entry) to each Holder a new Note equal in principal amount to any unpurchased portion of any Notes surrendered;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new Note will be in a minimum principal amount of $2,000 or an integral multiple of $1,000 in excess thereof.</w:t>
      </w:r>
    </w:p>
    <w:p>
      <w:pPr>
        <w:spacing w:after="0" w:line="79" w:lineRule="exact"/>
        <w:rPr>
          <w:sz w:val="20"/>
          <w:szCs w:val="20"/>
          <w:color w:val="auto"/>
        </w:rPr>
      </w:pPr>
    </w:p>
    <w:p>
      <w:pPr>
        <w:ind w:left="440" w:firstLine="423"/>
        <w:spacing w:after="0" w:line="308" w:lineRule="auto"/>
        <w:rPr>
          <w:sz w:val="20"/>
          <w:szCs w:val="20"/>
          <w:color w:val="auto"/>
        </w:rPr>
      </w:pPr>
      <w:r>
        <w:rPr>
          <w:rFonts w:ascii="Arial" w:cs="Arial" w:eastAsia="Arial" w:hAnsi="Arial"/>
          <w:sz w:val="17"/>
          <w:szCs w:val="17"/>
          <w:color w:val="auto"/>
        </w:rPr>
        <w:t>If any Repayment Date upon a Change of Control Repurchase Event falls on a day that is not a Business Day, then the required payment will be made on the next succeeding Business Day and no additional interest will accrue as a result of such delayed payment.</w:t>
      </w:r>
    </w:p>
    <w:p>
      <w:pPr>
        <w:spacing w:after="0" w:line="38" w:lineRule="exact"/>
        <w:rPr>
          <w:sz w:val="20"/>
          <w:szCs w:val="20"/>
          <w:color w:val="auto"/>
        </w:rPr>
      </w:pPr>
    </w:p>
    <w:p>
      <w:pPr>
        <w:ind w:left="440" w:right="360" w:firstLine="423"/>
        <w:spacing w:after="0" w:line="286" w:lineRule="auto"/>
        <w:rPr>
          <w:sz w:val="20"/>
          <w:szCs w:val="20"/>
          <w:color w:val="auto"/>
        </w:rPr>
      </w:pPr>
      <w:r>
        <w:rPr>
          <w:rFonts w:ascii="Arial" w:cs="Arial" w:eastAsia="Arial" w:hAnsi="Arial"/>
          <w:sz w:val="17"/>
          <w:szCs w:val="17"/>
          <w:color w:val="auto"/>
        </w:rPr>
        <w:t>The Company will not be required to make an offer to repurchase the Notes upon a Change of Control Repurchase Event if a third party makes an offer in respect of the Notes in the manner, at the time and otherwise in compliance with the requirements for an offer made by the Company and such third party purchases all Notes properly tendered and not withdrawn under its offer.”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CONSOLIDATION, MERGER, CONVEYANCE OR TRANSFER</w:t>
      </w:r>
    </w:p>
    <w:p>
      <w:pPr>
        <w:spacing w:after="0" w:line="211" w:lineRule="exact"/>
        <w:rPr>
          <w:sz w:val="20"/>
          <w:szCs w:val="20"/>
          <w:color w:val="auto"/>
        </w:rPr>
      </w:pPr>
    </w:p>
    <w:p>
      <w:pPr>
        <w:jc w:val="both"/>
        <w:ind w:right="400" w:firstLine="440"/>
        <w:spacing w:after="0" w:line="263" w:lineRule="auto"/>
        <w:rPr>
          <w:sz w:val="20"/>
          <w:szCs w:val="20"/>
          <w:color w:val="auto"/>
        </w:rPr>
      </w:pP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801 of the Base Indenture shall be amended by replacing Section 801 in its entirety with the following:</w:t>
      </w:r>
    </w:p>
    <w:p>
      <w:pPr>
        <w:spacing w:after="0" w:line="7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801. Company May Consolidate, Etc., Only on Certain Terms.</w:t>
      </w:r>
    </w:p>
    <w:p>
      <w:pPr>
        <w:spacing w:after="0" w:line="121" w:lineRule="exact"/>
        <w:rPr>
          <w:sz w:val="20"/>
          <w:szCs w:val="20"/>
          <w:color w:val="auto"/>
        </w:rPr>
      </w:pPr>
    </w:p>
    <w:p>
      <w:pPr>
        <w:ind w:left="440" w:right="20" w:firstLine="423"/>
        <w:spacing w:after="0" w:line="255" w:lineRule="auto"/>
        <w:rPr>
          <w:sz w:val="20"/>
          <w:szCs w:val="20"/>
          <w:color w:val="auto"/>
        </w:rPr>
      </w:pPr>
      <w:r>
        <w:rPr>
          <w:rFonts w:ascii="Arial" w:cs="Arial" w:eastAsia="Arial" w:hAnsi="Arial"/>
          <w:sz w:val="18"/>
          <w:szCs w:val="18"/>
          <w:color w:val="auto"/>
        </w:rPr>
        <w:t>The Company shall not merge or consolidate with or into any other Person (other than a merger of a wholly owned Subsidiary of the Company into the Company) or sell, transfer, lease, convey or otherwise dispose of all or substantially all of its property (provided that, for the avoidance of doubt, a pledge of assets pursuant to any secured debt instrument of the Company or its Subsidiaries shall not be deemed to be any such sale, transfer, lease, conveyance or disposition; and provided further that this Section 801 shall not apply to any sale, transfer, lease, conveyance, or other disposition of all or substantially all of the Company’s property to a wholly owned Subsidiary) in one transaction or series of related transactions unless:</w:t>
      </w:r>
    </w:p>
    <w:p>
      <w:pPr>
        <w:spacing w:after="0" w:line="84" w:lineRule="exact"/>
        <w:rPr>
          <w:sz w:val="20"/>
          <w:szCs w:val="20"/>
          <w:color w:val="auto"/>
        </w:rPr>
      </w:pPr>
    </w:p>
    <w:p>
      <w:pPr>
        <w:ind w:left="980" w:right="60" w:firstLine="408"/>
        <w:spacing w:after="0" w:line="259" w:lineRule="auto"/>
        <w:tabs>
          <w:tab w:leader="none" w:pos="16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shall be the surviving Person (the “Surviving Person”) or the Surviving Person (if other than the Company) formed by such merger or consolidation or to which such sale, transfer, lease, conveyance or disposition is made shall be a corporation or limited liability company or trust organized and existing under the laws of the United States of America or any state or territory thereof or the District of Columbia;</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9" w:name="page20"/>
    <w:bookmarkEnd w:id="19"/>
    <w:p>
      <w:pPr>
        <w:ind w:left="980" w:right="20" w:firstLine="408"/>
        <w:spacing w:after="0" w:line="259" w:lineRule="auto"/>
        <w:tabs>
          <w:tab w:leader="none" w:pos="1636"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Surviving Person (if other than the Company) expressly assumes, by supplemental indenture in form reasonably satisfactory to the Trustee, executed and delivered to the Trustee by such Surviving Person, the due and punctual payment of the principal of, and premium, if any, and interest on, all the Outstanding Securities, and the due and punctual performance and observance of all the covenants and conditions of this Indenture to be performed by the Company;</w:t>
      </w:r>
    </w:p>
    <w:p>
      <w:pPr>
        <w:spacing w:after="0" w:line="78" w:lineRule="exact"/>
        <w:rPr>
          <w:rFonts w:ascii="Arial" w:cs="Arial" w:eastAsia="Arial" w:hAnsi="Arial"/>
          <w:sz w:val="18"/>
          <w:szCs w:val="18"/>
          <w:color w:val="auto"/>
        </w:rPr>
      </w:pPr>
    </w:p>
    <w:p>
      <w:pPr>
        <w:ind w:left="980" w:right="140" w:firstLine="408"/>
        <w:spacing w:after="0" w:line="277" w:lineRule="auto"/>
        <w:tabs>
          <w:tab w:leader="none" w:pos="16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or series of related transactions, no Default or Event of Default shall have occurred and be continuing; and</w:t>
      </w:r>
    </w:p>
    <w:p>
      <w:pPr>
        <w:spacing w:after="0" w:line="62" w:lineRule="exact"/>
        <w:rPr>
          <w:rFonts w:ascii="Arial" w:cs="Arial" w:eastAsia="Arial" w:hAnsi="Arial"/>
          <w:sz w:val="18"/>
          <w:szCs w:val="18"/>
          <w:color w:val="auto"/>
        </w:rPr>
      </w:pPr>
    </w:p>
    <w:p>
      <w:pPr>
        <w:ind w:left="980" w:right="320" w:firstLine="408"/>
        <w:spacing w:after="0" w:line="263" w:lineRule="auto"/>
        <w:tabs>
          <w:tab w:leader="none" w:pos="16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shall deliver, or cause to be delivered, to the Trustee, an Officers’ Certificate and an Opinion of Counsel, each stating that such transaction and the supplemental indenture, if any, in respect thereto comply with this Section 801, that all conditions precedent in this Indenture relating to such transaction have been complied with.</w:t>
      </w:r>
    </w:p>
    <w:p>
      <w:pPr>
        <w:spacing w:after="0" w:line="76" w:lineRule="exact"/>
        <w:rPr>
          <w:sz w:val="20"/>
          <w:szCs w:val="20"/>
          <w:color w:val="auto"/>
        </w:rPr>
      </w:pPr>
    </w:p>
    <w:p>
      <w:pPr>
        <w:jc w:val="both"/>
        <w:ind w:left="440" w:right="20" w:firstLine="423"/>
        <w:spacing w:after="0" w:line="311" w:lineRule="auto"/>
        <w:rPr>
          <w:sz w:val="20"/>
          <w:szCs w:val="20"/>
          <w:color w:val="auto"/>
        </w:rPr>
      </w:pPr>
      <w:r>
        <w:rPr>
          <w:rFonts w:ascii="Arial" w:cs="Arial" w:eastAsia="Arial" w:hAnsi="Arial"/>
          <w:sz w:val="16"/>
          <w:szCs w:val="16"/>
          <w:color w:val="auto"/>
        </w:rPr>
        <w:t>For the purposes of this Section 801, the sale, transfer, lease, conveyance or other disposition of all the property of one or more Subsidiaries of the Company, which property, if held by the Company instead of such Subsidiaries, would constitute all or substantially all the property of the Company on a consolidated basis, shall be deemed to be the transfer of all or substantially all the property of the Company.”</w:t>
      </w:r>
    </w:p>
    <w:p>
      <w:pPr>
        <w:spacing w:after="0" w:line="149" w:lineRule="exact"/>
        <w:rPr>
          <w:sz w:val="20"/>
          <w:szCs w:val="20"/>
          <w:color w:val="auto"/>
        </w:rPr>
      </w:pPr>
    </w:p>
    <w:p>
      <w:pPr>
        <w:jc w:val="both"/>
        <w:ind w:right="360" w:firstLine="440"/>
        <w:spacing w:after="0" w:line="263" w:lineRule="auto"/>
        <w:rPr>
          <w:sz w:val="20"/>
          <w:szCs w:val="20"/>
          <w:color w:val="auto"/>
        </w:rPr>
      </w:pP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802 of the Base Indenture shall be amended by replacing Section 802 in its entirety with the following:</w:t>
      </w:r>
    </w:p>
    <w:p>
      <w:pPr>
        <w:spacing w:after="0" w:line="7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802. Successor Person Substituted.</w:t>
      </w:r>
    </w:p>
    <w:p>
      <w:pPr>
        <w:spacing w:after="0" w:line="121" w:lineRule="exact"/>
        <w:rPr>
          <w:sz w:val="20"/>
          <w:szCs w:val="20"/>
          <w:color w:val="auto"/>
        </w:rPr>
      </w:pPr>
    </w:p>
    <w:p>
      <w:pPr>
        <w:ind w:left="440" w:firstLine="423"/>
        <w:spacing w:after="0" w:line="255" w:lineRule="auto"/>
        <w:rPr>
          <w:sz w:val="20"/>
          <w:szCs w:val="20"/>
          <w:color w:val="auto"/>
        </w:rPr>
      </w:pPr>
      <w:r>
        <w:rPr>
          <w:rFonts w:ascii="Arial" w:cs="Arial" w:eastAsia="Arial" w:hAnsi="Arial"/>
          <w:sz w:val="18"/>
          <w:szCs w:val="18"/>
          <w:color w:val="auto"/>
        </w:rPr>
        <w:t>Upon any consolidation or merger, or any conveyance or transfer of the properties and assets of the Company substantially as an entirety in accordance with Section 801, the successor Person formed by such consolidation or into which the Company is merged or the successor Person to which such conveyance or transfer is made shall succeed to, and be substituted for, and may exercise every right and power of, the Company under this Indenture with the same effect as if such successor had been named as the Company herein; and in the event of any such conveyance or transfer, the Company shall be discharged from all obligations and covenants under this Indenture and the Securities and coupons and may be dissolved and liquidated.”</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REDEMPTION OF SECURITIES</w:t>
      </w:r>
    </w:p>
    <w:p>
      <w:pPr>
        <w:spacing w:after="0" w:line="211" w:lineRule="exact"/>
        <w:rPr>
          <w:sz w:val="20"/>
          <w:szCs w:val="20"/>
          <w:color w:val="auto"/>
        </w:rPr>
      </w:pPr>
    </w:p>
    <w:p>
      <w:pPr>
        <w:ind w:right="640" w:firstLine="440"/>
        <w:spacing w:after="0" w:line="308" w:lineRule="auto"/>
        <w:rPr>
          <w:sz w:val="20"/>
          <w:szCs w:val="20"/>
          <w:color w:val="auto"/>
        </w:rPr>
      </w:pP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In the event of any conflict between the terms relating to redemption set forth in </w:t>
      </w:r>
      <w:r>
        <w:rPr>
          <w:rFonts w:ascii="Arial" w:cs="Arial" w:eastAsia="Arial" w:hAnsi="Arial"/>
          <w:sz w:val="17"/>
          <w:szCs w:val="17"/>
          <w:u w:val="single" w:color="auto"/>
          <w:color w:val="auto"/>
        </w:rPr>
        <w:t>Section 1.01(h)</w:t>
      </w:r>
      <w:r>
        <w:rPr>
          <w:rFonts w:ascii="Arial" w:cs="Arial" w:eastAsia="Arial" w:hAnsi="Arial"/>
          <w:sz w:val="17"/>
          <w:szCs w:val="17"/>
          <w:color w:val="auto"/>
        </w:rPr>
        <w:t xml:space="preserve"> of this Fifth Supplemental Indenture and Article Eleven of the Base Indenture, the terms set forth in this Fifth Supplemental Indenture shall control.</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4" w:right="499" w:bottom="1440" w:gutter="0" w:footer="0" w:header="0"/>
        </w:sectPr>
      </w:pPr>
    </w:p>
    <w:bookmarkStart w:id="20" w:name="page21"/>
    <w:bookmarkEnd w:id="20"/>
    <w:p>
      <w:pPr>
        <w:jc w:val="both"/>
        <w:ind w:right="300" w:firstLine="440"/>
        <w:spacing w:after="0" w:line="26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10.02</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1103 of the Base Indenture shall be amended by replacing Section 1103 in its entirety with the following:</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1103. Selection by Trustee of Securities to be Redeemed</w:t>
      </w:r>
      <w:r>
        <w:rPr>
          <w:rFonts w:ascii="Arial" w:cs="Arial" w:eastAsia="Arial" w:hAnsi="Arial"/>
          <w:sz w:val="18"/>
          <w:szCs w:val="18"/>
          <w:color w:val="auto"/>
        </w:rPr>
        <w:t>.</w:t>
      </w:r>
    </w:p>
    <w:p>
      <w:pPr>
        <w:spacing w:after="0" w:line="121" w:lineRule="exact"/>
        <w:rPr>
          <w:sz w:val="20"/>
          <w:szCs w:val="20"/>
          <w:color w:val="auto"/>
        </w:rPr>
      </w:pPr>
    </w:p>
    <w:p>
      <w:pPr>
        <w:ind w:left="440" w:firstLine="423"/>
        <w:spacing w:after="0" w:line="269" w:lineRule="auto"/>
        <w:rPr>
          <w:sz w:val="20"/>
          <w:szCs w:val="20"/>
          <w:color w:val="auto"/>
        </w:rPr>
      </w:pPr>
      <w:r>
        <w:rPr>
          <w:rFonts w:ascii="Arial" w:cs="Arial" w:eastAsia="Arial" w:hAnsi="Arial"/>
          <w:sz w:val="17"/>
          <w:szCs w:val="17"/>
          <w:color w:val="auto"/>
        </w:rPr>
        <w:t>If less than all of the Securities are to be redeemed at any time, and the Securities are global Securities, the Securities to be redeemed will be selected by the Trustee in accordance with applicable Depositary procedures. If the Securities to be redeemed or repurchased are not global Securities then held by the Depositary, the Trustee shall select the Securities to be redeemed (i) if the Securities are listed on any national securities exchange, in compliance with the requirements of the principal national securities exchange on which the Securities are listed, (ii) on a pro rata basis to the extent practicable or (iii) to the extent that selection on a pro rata basis is not practicable by lot or such other similar method the Trustee deems to be fair and appropriate from the Outstanding Securities of such series issued on such date with the same terms not previously called for redemption, not less than 30 nor more than 60 days prior to the redemption date; provided that such method complies with the rules of any national securities exchange or quotation system on which the Securities are listed, and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provided, however, that no such partial redemption shall reduce the portion of the principal amount of a Security not redeemed to less than the minimum authorized denomination for Securities of such series.</w:t>
      </w:r>
    </w:p>
    <w:p>
      <w:pPr>
        <w:spacing w:after="0" w:line="71" w:lineRule="exact"/>
        <w:rPr>
          <w:sz w:val="20"/>
          <w:szCs w:val="20"/>
          <w:color w:val="auto"/>
        </w:rPr>
      </w:pPr>
    </w:p>
    <w:p>
      <w:pPr>
        <w:ind w:left="440" w:right="480" w:firstLine="423"/>
        <w:spacing w:after="0" w:line="342" w:lineRule="auto"/>
        <w:rPr>
          <w:sz w:val="20"/>
          <w:szCs w:val="20"/>
          <w:color w:val="auto"/>
        </w:rPr>
      </w:pPr>
      <w:r>
        <w:rPr>
          <w:rFonts w:ascii="Arial" w:cs="Arial" w:eastAsia="Arial" w:hAnsi="Arial"/>
          <w:sz w:val="16"/>
          <w:szCs w:val="16"/>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6" w:lineRule="exact"/>
        <w:rPr>
          <w:sz w:val="20"/>
          <w:szCs w:val="20"/>
          <w:color w:val="auto"/>
        </w:rPr>
      </w:pPr>
    </w:p>
    <w:p>
      <w:pPr>
        <w:ind w:left="440" w:firstLine="423"/>
        <w:spacing w:after="0" w:line="263" w:lineRule="auto"/>
        <w:rPr>
          <w:sz w:val="20"/>
          <w:szCs w:val="20"/>
          <w:color w:val="auto"/>
        </w:rPr>
      </w:pPr>
      <w:r>
        <w:rPr>
          <w:rFonts w:ascii="Arial" w:cs="Arial" w:eastAsia="Arial" w:hAnsi="Arial"/>
          <w:sz w:val="18"/>
          <w:szCs w:val="18"/>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DEFEASANCE AND COVENANT DEFEASANCE</w:t>
      </w:r>
    </w:p>
    <w:p>
      <w:pPr>
        <w:spacing w:after="0" w:line="211"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1404 of the Base Indenture shall be amended by replacing clause (a) thereof in its entirety with the following: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21" w:name="page22"/>
    <w:bookmarkEnd w:id="21"/>
    <w:p>
      <w:pPr>
        <w:ind w:left="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The Company shall have irrevocably deposited or caused to be irrevocably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the benefit of, and dedicated solely to, the Holders of such Securities and any coupons appertaining thereto, (1) an amount (in such Currency in which such Securities and any coupons appertaining thereto are then specified as payable at Stated Maturity) or (2) Government Obligations applicable to such Securities and coupons appertaining thereto determined on the basis of the Currency in which such Securities and coupons appertaining thereto are then specified as payable at Stated Maturity) which through the scheduled payment of principal and interest in respect thereof in accordance with their terms will provide, not later than one day before the due date of any payment of principal of (and premium, if any) and interest, if any, on such Securities and any coupons appertaining thereto, money in an amount, or (3) a combination thereof in an amount, sufficient, in the opinion of a nationally recognized investment bank, appraisal firm or firm of independent public accountants expressed in a written certification thereof delivered to the Trustee, to pay and discharge, and which shall be applied by the Trustee (or other qualifying trustee) to pay and discharge, (i) the principal of (and premium, if any) and interest, if any, on such Outstanding Securities and any coupons appertaining thereto on the Stated Maturity of such principal or installment of principal or interest and (ii) any mandatory sinking fund payments or analogous payments applicable to such Outstanding Securities and any coupons appertaining thereto on the day on which such payments are due and payable in accordance with the terms of this Indenture and of such Securities and any coupons appertaining thereto.”</w:t>
      </w:r>
    </w:p>
    <w:p>
      <w:pPr>
        <w:spacing w:after="0" w:line="16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u w:val="single" w:color="auto"/>
          <w:color w:val="auto"/>
        </w:rPr>
        <w:t>Section 11.02</w:t>
      </w:r>
      <w:r>
        <w:rPr>
          <w:rFonts w:ascii="Arial" w:cs="Arial" w:eastAsia="Arial" w:hAnsi="Arial"/>
          <w:sz w:val="18"/>
          <w:szCs w:val="18"/>
          <w:color w:val="auto"/>
        </w:rPr>
        <w:t xml:space="preserve"> Except as may be provided in a Future Supplemental Indenture, for the benefit of the Holders of the Notes but no other series of Securities under the Indenture, whether now or hereafter issued and Outstanding, Section 1405 of the Base Indenture shall be amended by replacing the final paragraph thereof in its entirety with the following:</w:t>
      </w:r>
    </w:p>
    <w:p>
      <w:pPr>
        <w:spacing w:after="0" w:line="76" w:lineRule="exact"/>
        <w:rPr>
          <w:sz w:val="20"/>
          <w:szCs w:val="20"/>
          <w:color w:val="auto"/>
        </w:rPr>
      </w:pPr>
    </w:p>
    <w:p>
      <w:pPr>
        <w:ind w:left="440" w:right="180"/>
        <w:spacing w:after="0" w:line="257" w:lineRule="auto"/>
        <w:rPr>
          <w:sz w:val="20"/>
          <w:szCs w:val="20"/>
          <w:color w:val="auto"/>
        </w:rPr>
      </w:pPr>
      <w:r>
        <w:rPr>
          <w:rFonts w:ascii="Arial" w:cs="Arial" w:eastAsia="Arial" w:hAnsi="Arial"/>
          <w:sz w:val="18"/>
          <w:szCs w:val="18"/>
          <w:color w:val="auto"/>
        </w:rPr>
        <w:t>“Anything in this Article to the contrary notwithstanding, the Trustee shall deliver or pay to the Company from time to time upon Company Request any money or Government Obligations (or other property and any proceeds therefrom) held by it as provided in Section 1404 which, in the opinion of a nationally recognized investment bank, appraisal firm or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u w:val="single" w:color="auto"/>
          <w:color w:val="auto"/>
        </w:rPr>
        <w:t>Section 12.01</w:t>
      </w:r>
      <w:r>
        <w:rPr>
          <w:rFonts w:ascii="Arial" w:cs="Arial" w:eastAsia="Arial" w:hAnsi="Arial"/>
          <w:sz w:val="18"/>
          <w:szCs w:val="18"/>
          <w:color w:val="auto"/>
        </w:rPr>
        <w:t xml:space="preserve"> This Fifth Supplemental Indenture and the Notes shall be governed by and construed in accordance with the laws of the State of New York. This Fifth Supplemental Indenture is subject to the provisions of the Trust Indenture Act that are required to be part of the Indenture and shall, to the extent applicable, be governed by such provisions. If any provision of the Indenture limits, qualifies or conflicts with the duties imposed by Section 318(c) of the Trust Indenture Act, the imposed duties will control.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22" w:name="page23"/>
    <w:bookmarkEnd w:id="22"/>
    <w:p>
      <w:pPr>
        <w:ind w:right="340" w:firstLine="440"/>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12.02</w:t>
      </w:r>
      <w:r>
        <w:rPr>
          <w:rFonts w:ascii="Arial" w:cs="Arial" w:eastAsia="Arial" w:hAnsi="Arial"/>
          <w:sz w:val="18"/>
          <w:szCs w:val="18"/>
          <w:color w:val="auto"/>
        </w:rPr>
        <w:t xml:space="preserve"> In case any provision in this Fifth Supplemental Indenture or in the Notes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right="200" w:firstLine="440"/>
        <w:spacing w:after="0" w:line="275" w:lineRule="auto"/>
        <w:rPr>
          <w:sz w:val="20"/>
          <w:szCs w:val="20"/>
          <w:color w:val="auto"/>
        </w:rPr>
      </w:pPr>
      <w:r>
        <w:rPr>
          <w:rFonts w:ascii="Arial" w:cs="Arial" w:eastAsia="Arial" w:hAnsi="Arial"/>
          <w:sz w:val="17"/>
          <w:szCs w:val="17"/>
          <w:u w:val="single" w:color="auto"/>
          <w:color w:val="auto"/>
        </w:rPr>
        <w:t>Section 12.03</w:t>
      </w:r>
      <w:r>
        <w:rPr>
          <w:rFonts w:ascii="Arial" w:cs="Arial" w:eastAsia="Arial" w:hAnsi="Arial"/>
          <w:sz w:val="17"/>
          <w:szCs w:val="17"/>
          <w:color w:val="auto"/>
        </w:rPr>
        <w:t xml:space="preserve"> This Fifth Supplemental Indenture may be executed in any number of counterparts, each of which will be an original, but such counterparts will together constitute but one and the same Fifth Supplemental Indenture. The exchange of copies of this Fifth Supplemental Indenture and of signature pages by facsimile, .pdf transmission, email or other electronic means shall constitute effective execution and delivery of this Fifth Supplemental Indenture for all purposes. Signatures of the parties hereto transmitted by facsimile, .pdf transmission, email or other electronic means shall be deemed to be their original signatures for all purposes.</w:t>
      </w:r>
    </w:p>
    <w:p>
      <w:pPr>
        <w:spacing w:after="0" w:line="176" w:lineRule="exact"/>
        <w:rPr>
          <w:sz w:val="20"/>
          <w:szCs w:val="20"/>
          <w:color w:val="auto"/>
        </w:rPr>
      </w:pPr>
    </w:p>
    <w:p>
      <w:pPr>
        <w:ind w:right="100" w:firstLine="440"/>
        <w:spacing w:after="0" w:line="291" w:lineRule="auto"/>
        <w:rPr>
          <w:sz w:val="20"/>
          <w:szCs w:val="20"/>
          <w:color w:val="auto"/>
        </w:rPr>
      </w:pPr>
      <w:r>
        <w:rPr>
          <w:rFonts w:ascii="Arial" w:cs="Arial" w:eastAsia="Arial" w:hAnsi="Arial"/>
          <w:sz w:val="16"/>
          <w:szCs w:val="16"/>
          <w:u w:val="single" w:color="auto"/>
          <w:color w:val="auto"/>
        </w:rPr>
        <w:t>Section 12.04</w:t>
      </w:r>
      <w:r>
        <w:rPr>
          <w:rFonts w:ascii="Arial" w:cs="Arial" w:eastAsia="Arial" w:hAnsi="Arial"/>
          <w:sz w:val="16"/>
          <w:szCs w:val="16"/>
          <w:color w:val="auto"/>
        </w:rPr>
        <w:t xml:space="preserve"> The Base Indenture, as supplemented and amended by this Fifth Supplemental Indenture, is in all respects ratified and confirmed, and the Base Indenture and this Fifth Supplemental Indenture shall be read, taken and construed as one and the same instrument with respect to the Notes. All provisions included in this Fifth Supplemental Indenture supersede any conflicting provisions included in the Base Indenture with respect to the Notes, unless not permitted by law. The Trustee accepts the trusts created by the Indenture, as supplemented by this Fifth Supplemental Indenture, and agrees to perform the same upon the terms and conditions of the Base Indenture, as supplemented by this Fifth Supplemental Indenture. All of the provisions contained in the Base Indenture in respect of the rights, privileges, immunities, powers, and duties of the Trustee shall be applicable in respect of this Fifth Supplemental Indenture as fully and with like force and effect as though fully set forth in full herein.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12.05</w:t>
      </w:r>
      <w:r>
        <w:rPr>
          <w:rFonts w:ascii="Arial" w:cs="Arial" w:eastAsia="Arial" w:hAnsi="Arial"/>
          <w:sz w:val="18"/>
          <w:szCs w:val="18"/>
          <w:color w:val="auto"/>
        </w:rPr>
        <w:t xml:space="preserve"> The provisions of this Fifth Supplemental Indenture shall become effective as of the date hereof.</w:t>
      </w:r>
    </w:p>
    <w:p>
      <w:pPr>
        <w:spacing w:after="0" w:line="22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u w:val="single" w:color="auto"/>
          <w:color w:val="auto"/>
        </w:rPr>
        <w:t>Section 12.06</w:t>
      </w:r>
      <w:r>
        <w:rPr>
          <w:rFonts w:ascii="Arial" w:cs="Arial" w:eastAsia="Arial" w:hAnsi="Arial"/>
          <w:sz w:val="18"/>
          <w:szCs w:val="18"/>
          <w:color w:val="auto"/>
        </w:rPr>
        <w:t xml:space="preserve"> No past, present or future director, officer, employee, incorporator, or stockholder of the Company shall have any liability for any obligations of the Company under the Indenture or the Notes or for any claim based on, in respect of, or by reason of, such obligations or their creation. By accepting any Note, each Holder shall have been deemed to waive and release all such liability, and such waiver and release are part of the consideration for issuance of the Notes.</w:t>
      </w:r>
    </w:p>
    <w:p>
      <w:pPr>
        <w:spacing w:after="0" w:line="18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u w:val="single" w:color="auto"/>
          <w:color w:val="auto"/>
        </w:rPr>
        <w:t>Section 12.07</w:t>
      </w:r>
      <w:r>
        <w:rPr>
          <w:rFonts w:ascii="Arial" w:cs="Arial" w:eastAsia="Arial" w:hAnsi="Arial"/>
          <w:sz w:val="18"/>
          <w:szCs w:val="18"/>
          <w:color w:val="auto"/>
        </w:rPr>
        <w:t xml:space="preserve"> Notwithstanding anything else to the contrary herein, the terms and provisions of this Fifth Supplemental Indenture shall apply only to the Notes and shall not apply to any other series of Securities under the Indenture and this Fifth Supplemental Indenture shall not and does not otherwise affect, modify, alter, supplement or change the terms and provisions of any other series of Securities under the Indenture, whether now or hereafter issued and Outstanding.</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23" w:name="page24"/>
    <w:bookmarkEnd w:id="23"/>
    <w:p>
      <w:pPr>
        <w:ind w:firstLine="440"/>
        <w:spacing w:after="0" w:line="296"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12.08</w:t>
      </w:r>
      <w:r>
        <w:rPr>
          <w:rFonts w:ascii="Arial" w:cs="Arial" w:eastAsia="Arial" w:hAnsi="Arial"/>
          <w:sz w:val="16"/>
          <w:szCs w:val="16"/>
          <w:color w:val="auto"/>
        </w:rPr>
        <w:t xml:space="preserve"> The recitals contained herein and in the Notes, except the Trustee’s certificate of authentication shall be taken as the statements of the Company, and the Trustee assumes no responsibility for their correctness. The Trustee makes no representations as to the validity or sufficiency of this Fifth Supplemental Indenture, the Notes or any Additional Notes, except that the Trustee represents that it is duly authorized to execute and deliver this Fifth Supplemental Indenture, authenticate the Notes and any Additional Notes and perform its obligations hereunder. The Trustee shall not be accountable for the use or application by the Company of the Notes or any Additional Notes or the proceeds thereof.</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80"/>
          </w:cols>
          <w:pgMar w:left="440" w:top="274" w:right="57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Fifth Supplemental Indenture to be duly executed as of the date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Executive Officer</w:t>
      </w:r>
    </w:p>
    <w:p>
      <w:pPr>
        <w:spacing w:after="0" w:line="386"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[Signature Page to Fifth Supplemental Indenture]</w:t>
      </w:r>
    </w:p>
    <w:p>
      <w:pPr>
        <w:sectPr>
          <w:pgSz w:w="11900" w:h="16838" w:orient="portrait"/>
          <w:cols w:equalWidth="0" w:num="1">
            <w:col w:w="10480"/>
          </w:cols>
          <w:pgMar w:left="880" w:top="274" w:right="53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Fifth Supplemental Indenture to be duly executed as of the date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AMERICAN STOCK TRANSFER &amp; TRUST COMPANY,</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LLC, as Trustee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M. Asher F. Richelli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 Asher F. Richelli</w:t>
      </w:r>
    </w:p>
    <w:p>
      <w:pPr>
        <w:spacing w:after="0" w:line="23" w:lineRule="exact"/>
        <w:rPr>
          <w:sz w:val="20"/>
          <w:szCs w:val="20"/>
          <w:color w:val="auto"/>
        </w:rPr>
      </w:pPr>
    </w:p>
    <w:p>
      <w:pPr>
        <w:ind w:left="3280" w:right="780" w:firstLine="2884"/>
        <w:spacing w:after="0" w:line="433" w:lineRule="auto"/>
        <w:rPr>
          <w:sz w:val="20"/>
          <w:szCs w:val="20"/>
          <w:color w:val="auto"/>
        </w:rPr>
      </w:pPr>
      <w:r>
        <w:rPr>
          <w:rFonts w:ascii="Arial" w:cs="Arial" w:eastAsia="Arial" w:hAnsi="Arial"/>
          <w:sz w:val="18"/>
          <w:szCs w:val="18"/>
          <w:color w:val="auto"/>
        </w:rPr>
        <w:t>Title: Executive Vice President, General Counsel [Signature Page to Fifth Supplemental Indenture]</w:t>
      </w:r>
    </w:p>
    <w:p>
      <w:pPr>
        <w:sectPr>
          <w:pgSz w:w="11900" w:h="16838" w:orient="portrait"/>
          <w:cols w:equalWidth="0" w:num="1">
            <w:col w:w="10480"/>
          </w:cols>
          <w:pgMar w:left="880" w:top="274" w:right="5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 – Form of Global Note</w:t>
      </w:r>
    </w:p>
    <w:p>
      <w:pPr>
        <w:spacing w:after="0" w:line="229"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THIS SECURITY IS A GLOBAL NOTE WITHIN THE MEANING OF THE INDENTURE HEREINAFTER REFERRED TO AND IS REGISTERED IN THE NAME OF THE DEPOSITORY TRUST COMPANY OR A NOMINEE THEREOF. THIS SECURITY MAY NOT BE EXCHANGED IN WHOLE OR IN PART FOR A SECURITY REGISTERED, AND NO TRANSFER OF THIS SECURITY IN WHOLE OR IN PART MAY BE REGISTERED, IN THE NAME OF ANY PERSON OTHER THAN THE DEPOSITORY TRUST COMPANY OR A NOMINEE THEREOF, EXCEPT IN THE LIMITED CIRCUMSTANCES DESCRIBED IN THE INDENTURE.</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TO THE ISSUER OR ITS AGENT FOR REGISTRATION OF TRANSFER, EXCHANGE OR PAYMENT AND SUCH CERTIFICATE ISSUED IN EXCHANGE FOR THIS CERTIFICATE IS REGISTERED IN THE NAME OF CEDE &amp; CO., OR SUCH OTHER NAME AS REQUESTED BY AN AUTHORIZED REPRESENTATIVE OF THE DEPOSITORY TRUST COMPANY, ANY TRANSFER, PLEDGE OR OTHER USE HEREOF FOR VALUE OR OTHERWISE BY OR TO ANY PERSON IS WRONGFUL, AS THE REGISTERED OWNER HEREOF, CEDE &amp; CO., HAS AN INTEREST HEREIN.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ectPr>
          <w:pgSz w:w="11900" w:h="16838" w:orient="portrait"/>
          <w:cols w:equalWidth="0" w:num="1">
            <w:col w:w="11000"/>
          </w:cols>
          <w:pgMar w:left="440" w:top="270" w:right="45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CUSIP No. 708062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AD6 ISIN 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US708062AD65</w:t>
      </w:r>
    </w:p>
    <w:p>
      <w:pPr>
        <w:spacing w:after="0" w:line="103" w:lineRule="exact"/>
        <w:rPr>
          <w:sz w:val="20"/>
          <w:szCs w:val="20"/>
          <w:color w:val="auto"/>
        </w:rPr>
      </w:pPr>
    </w:p>
    <w:p>
      <w:pPr>
        <w:sectPr>
          <w:pgSz w:w="11900" w:h="16838" w:orient="portrait"/>
          <w:cols w:equalWidth="0" w:num="2">
            <w:col w:w="6900" w:space="720"/>
            <w:col w:w="3380"/>
          </w:cols>
          <w:pgMar w:left="440" w:top="270" w:right="459" w:bottom="1440" w:gutter="0" w:footer="0" w:header="0"/>
          <w:type w:val="continuous"/>
        </w:sectPr>
      </w:pPr>
    </w:p>
    <w:p>
      <w:pPr>
        <w:ind w:left="3980"/>
        <w:spacing w:after="0"/>
        <w:rPr>
          <w:sz w:val="20"/>
          <w:szCs w:val="20"/>
          <w:color w:val="auto"/>
        </w:rPr>
      </w:pPr>
      <w:r>
        <w:rPr>
          <w:rFonts w:ascii="Arial" w:cs="Arial" w:eastAsia="Arial" w:hAnsi="Arial"/>
          <w:sz w:val="16"/>
          <w:szCs w:val="16"/>
          <w:color w:val="auto"/>
        </w:rPr>
        <w:t>4.00% Notes due 2026</w:t>
      </w:r>
    </w:p>
    <w:p>
      <w:pPr>
        <w:sectPr>
          <w:pgSz w:w="11900" w:h="16838" w:orient="portrait"/>
          <w:cols w:equalWidth="0" w:num="1">
            <w:col w:w="11000"/>
          </w:cols>
          <w:pgMar w:left="440" w:top="270" w:right="459" w:bottom="1440" w:gutter="0" w:footer="0" w:header="0"/>
          <w:type w:val="continuous"/>
        </w:sectPr>
      </w:pPr>
    </w:p>
    <w:p>
      <w:pPr>
        <w:spacing w:after="0" w:line="24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PennantPark Investment Corporation, a corporation duly organized and existing under the laws of Maryland (herein called the “Company”, which term includes any successor Person under the Indenture hereinafter referred to), for value received, hereby promises to pay to Cede &amp; Co., or registered</w:t>
      </w:r>
    </w:p>
    <w:p>
      <w:pPr>
        <w:spacing w:after="0" w:line="267" w:lineRule="auto"/>
        <w:rPr>
          <w:sz w:val="20"/>
          <w:szCs w:val="20"/>
          <w:color w:val="auto"/>
        </w:rPr>
      </w:pPr>
      <w:r>
        <w:rPr>
          <w:rFonts w:ascii="Arial" w:cs="Arial" w:eastAsia="Arial" w:hAnsi="Arial"/>
          <w:sz w:val="17"/>
          <w:szCs w:val="17"/>
          <w:color w:val="auto"/>
        </w:rPr>
        <w:t>assigns, the principal sum of dollars (U.S. $ ), or such other principal sum as shall be set forth in the Schedule of Increases or Decreases attached hereto, on November 1, 2026, and to pay interest thereon from October 21, 2021 or from the most recent Interest Payment Date to which interest has been paid or duly provided for, semi-annually on May 1 and November 1 of each year, commencing May 1, 2022 (</w:t>
      </w:r>
      <w:r>
        <w:rPr>
          <w:rFonts w:ascii="Arial" w:cs="Arial" w:eastAsia="Arial" w:hAnsi="Arial"/>
          <w:sz w:val="17"/>
          <w:szCs w:val="17"/>
          <w:i w:val="1"/>
          <w:iCs w:val="1"/>
          <w:color w:val="auto"/>
        </w:rPr>
        <w:t>provided</w:t>
      </w:r>
      <w:r>
        <w:rPr>
          <w:rFonts w:ascii="Arial" w:cs="Arial" w:eastAsia="Arial" w:hAnsi="Arial"/>
          <w:sz w:val="17"/>
          <w:szCs w:val="17"/>
          <w:color w:val="auto"/>
        </w:rPr>
        <w:t>, that if an Interest Payment Date falls on a day that is not a Business Day in The City of New York, then the applicable interest payment shall be made on the next succeeding Business Day and no additional interest shall accrue as a result of such delayed payment), at the rate of 4.00% per annum, until the principal hereof is paid or made available for payment. The interest so payable, and punctually paid or duly provided for, on any Interest Payment Date will, as provided in such Indenture, be paid to the Person in whose name this Security is registered at the close of business on the Regular Record Date for such interest, which shall be April 15 and October 15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is registered at the close of business on a Special Record Date for the payment of such Defaulted Interest to be fixed by the Company,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This Security may be issued as part of a series.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00"/>
          </w:cols>
          <w:pgMar w:left="440" w:top="270" w:right="459" w:bottom="1440" w:gutter="0" w:footer="0" w:header="0"/>
          <w:type w:val="continuous"/>
        </w:sectPr>
      </w:pPr>
    </w:p>
    <w:bookmarkStart w:id="27" w:name="page28"/>
    <w:bookmarkEnd w:id="27"/>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Payment of the principal of (and premium, if any) and any such interest on this Security will be made at the Corporate Trust Office of the Paying Agent, which shall initially be the Trustee, in such coin or currency of the United States of America as at the time of payment is legal tender for payment of public and private debts;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at the option of the Company payment of interest may be made by check mailed to the address of the Person entitled thereto as such address shall appear in the Security Register;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so long as this Security is registered to Cede &amp; Co., such payment will be made by wire transfer in accordance with the procedures established by the Depository Trust Company and the Trustee.</w:t>
      </w:r>
    </w:p>
    <w:p>
      <w:pPr>
        <w:spacing w:after="0" w:line="1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80"/>
          </w:cols>
          <w:pgMar w:left="440" w:top="274" w:right="479" w:bottom="1440" w:gutter="0" w:footer="0" w:header="0"/>
        </w:sectPr>
      </w:pPr>
    </w:p>
    <w:bookmarkStart w:id="28" w:name="page29"/>
    <w:bookmarkEnd w:id="2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instrument to be duly executed.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PENNANTPARK INVESTMENT CORPORATION</w:t>
      </w:r>
    </w:p>
    <w:p>
      <w:pPr>
        <w:spacing w:after="0" w:line="22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14605</wp:posOffset>
            </wp:positionV>
            <wp:extent cx="25374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Attested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420"/>
          </w:cols>
          <w:pgMar w:left="440" w:top="274" w:right="1039" w:bottom="1440" w:gutter="0" w:footer="0" w:header="0"/>
        </w:sectPr>
      </w:pPr>
    </w:p>
    <w:bookmarkStart w:id="29" w:name="page30"/>
    <w:bookmarkEnd w:id="2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is one of the Securities of the series designated therein referred to in the within-mentioned Indenture.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AMERICAN STOCK TRANSFER &amp; TRUST COMPANY,</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LLC, 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14605</wp:posOffset>
            </wp:positionV>
            <wp:extent cx="25374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920"/>
          </w:cols>
          <w:pgMar w:left="440" w:top="274" w:right="5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[BACK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4.00% Notes due 2026</w:t>
      </w:r>
    </w:p>
    <w:p>
      <w:pPr>
        <w:spacing w:after="0" w:line="21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Security is one of a duly authorized issue of securities of the Company (herein called the “Securities”), issued and to be issued in one or more series under an Indenture, dated as of January 22, 2013 (herein called the “Base Indenture”, which term shall have the meaning assigned to it in such instrument), between the Company and American Stock Transfer &amp; Trust Company, LLC, as Trustee (herein called the “Trustee”, which term includes any successor trustee under the Base Indenture), and reference is hereby made to the Base Indenture for a statement of the respective rights, limitations of rights, duties and immunities thereunder of the Company, the Trustee, and the Holders of the Securities and of the terms upon which the Securities are, and are to be, authenticated and delivered, as supplemented by the Fifth Supplemental Indenture, relating to the Securities, dated as of October 21, 2021, by and between the Company and the Trustee (herein called the “Fifth Supplemental Indenture”; and together with the Base Indenture, the “Indenture”). In the event of any conflict between the Base Indenture and the Fifth Supplemental Indenture, the Fifth Supplemental Indenture shall govern and control.</w:t>
      </w:r>
    </w:p>
    <w:p>
      <w:pPr>
        <w:spacing w:after="0" w:line="19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This Security is one of the series designated on the face hereof, initially limited in aggregate principal amount to $165,000,000. Under a Board Resolution, an Officer’s Certificate pursuant to Board Resolutions or an indenture supplement, the Company may from time to time, without the consent of the Holders of Securities, issue additional Securities of this series (in any such case “Additional Securities”) having the same ranking and the same interest rate, maturity, CUSIP number and other terms as the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Additional Securities must be part of the same issue as the Securities for U.S. federal income tax purposes if represented by the same CUSIP number as the Notes. Any Additional Securities and the existing Securities will constitute a single series under the Indenture and all references to the relevant Securities herein shall include the Additional Securities unless the context otherwise requires. The aggregate amount of Outstanding Securities represented hereby may from time to time be reduced or increased, as appropriate, to reflect exchanges and redemptions.</w:t>
      </w:r>
    </w:p>
    <w:p>
      <w:pPr>
        <w:spacing w:after="0" w:line="17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Securities of this series are subject to redemption in whole or in part at any time or from time to time, at the option of the Company, at a Redemption Price equal to the greater of the following amounts, plus, in each case, accrued and unpaid interest to, but not including, the Redemption Date:</w:t>
      </w:r>
    </w:p>
    <w:p>
      <w:pPr>
        <w:spacing w:after="0" w:line="89" w:lineRule="exact"/>
        <w:rPr>
          <w:sz w:val="20"/>
          <w:szCs w:val="20"/>
          <w:color w:val="auto"/>
        </w:rPr>
      </w:pPr>
    </w:p>
    <w:p>
      <w:pPr>
        <w:ind w:left="960" w:hanging="532"/>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100% of the principal amount of the Securities to be redeemed, or</w:t>
      </w:r>
    </w:p>
    <w:p>
      <w:pPr>
        <w:spacing w:after="0" w:line="130" w:lineRule="exact"/>
        <w:rPr>
          <w:rFonts w:ascii="Arial" w:cs="Arial" w:eastAsia="Arial" w:hAnsi="Arial"/>
          <w:sz w:val="18"/>
          <w:szCs w:val="18"/>
          <w:color w:val="auto"/>
        </w:rPr>
      </w:pPr>
    </w:p>
    <w:p>
      <w:pPr>
        <w:ind w:left="960" w:hanging="532"/>
        <w:spacing w:after="0" w:line="296" w:lineRule="auto"/>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the sum of the present values of the remaining scheduled payments of principal and interest (exclusive of accrued and unpaid interest to the Redemption Date) on the Securities to be redeemed, discounted to the Redemption Date on a semi-annual basis (assuming a 360-day year consisting of twelve 30-day months) using the applicable Treasury Rate plus 50 basis points;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Company redeems any Securities on or after August 1, 2026, the Redemption Price for the Securities will be equal to 100% of the principal amount of the Securities to be redeemed, plus accrued and unpaid interest, if any, to, but not including, the Redemption Date.</w:t>
      </w:r>
    </w:p>
    <w:p>
      <w:pPr>
        <w:spacing w:after="0" w:line="16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purposes of calculating the Redemption Price in connection with the redemption of the Securities, on any Redemption Date, the following terms have the meanings set forth below:</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yield-to-maturity of the Comparable Treasury Issue (computed as of the third Business Day immediately preceding the redemption), assuming a price for the Comparable Treasury Issue (expressed as a percentage of its principal amount) equal to the Comparable Treasury Price for such Redemption Date. The Redemption Price and the Treasury Rate will be determined by the Company.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000"/>
          </w:cols>
          <w:pgMar w:left="440" w:top="270" w:right="459" w:bottom="1440" w:gutter="0" w:footer="0" w:header="0"/>
        </w:sectPr>
      </w:pPr>
    </w:p>
    <w:bookmarkStart w:id="31" w:name="page32"/>
    <w:bookmarkEnd w:id="31"/>
    <w:p>
      <w:pPr>
        <w:jc w:val="both"/>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“Comparable Treasury Issue” means the United States Treasury security selected by the Reference Treasury Dealer as having a maturity comparable to the remaining term of the Securities to be redeemed that would be utilized, at the time of selection and in accordance with customary financing practice, in pricing new issues of corporate debt securities of comparable maturity to the remaining term of the Securities being redeemed.</w:t>
      </w:r>
    </w:p>
    <w:p>
      <w:pPr>
        <w:spacing w:after="0" w:line="14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“Comparable Treasury Price” means (1) the average of the remaining Reference Treasury Dealer Quotations for the Redemption Date, after excluding the highest and lowest Reference Treasury Dealer Quotations, or (2) if the Quotation Agent obtains fewer than four such Reference Treasury Dealer Quotations, the average of all such quotations.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940"/>
          </w:cols>
          <w:pgMar w:left="440" w:top="274" w:right="51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“Quotation Agent” means a Reference Treasury Dealer selected by the Company.</w:t>
      </w:r>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“Reference Treasury Dealer” means each of (1) Raymond James &amp; Associates, Inc. or its affiliates which are primary U.S. government securities dealers, (2) a primary U.S. government securities dealer selected by Keefe, Bruyette &amp; Woods, Inc., (3) a primary U.S. government securities dealer selected by Truist Securities, Inc., and their respective successors; provided, however, that if any of the foregoing or its affiliates shall cease to be a primary U.S. government securities dealer in the United States (a “Primary Treasury Dealer”), the Company shall select another Primary Treasury Dealer.</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time on the third Business Day preceding such Redemption Date.</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All determinations made by any Reference Treasury Dealer, including the Quotation Agent, with respect to determining the Redemption Price will be final and binding absent manifest error.</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Notice of redemption shall be given in writing and mailed, first-class postage prepaid or by overnight courier guaranteeing next-day delivery, or sent electronically in accordance with Applicable Procedures with respect to Notes in global form, to each Holder of the Securities to be redeemed, not less than 30 nor more than 60 days prior to the Redemption Date, at the Holder’s address appearing in the Security Register. All notices of redemption shall contain the information set forth in Section 1104 of the Base Indenture.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Any exercise of the Company’s option to redeem the Securities will be done in compliance with the Investment Company Act, to the extent applicable.</w:t>
      </w:r>
    </w:p>
    <w:p>
      <w:pPr>
        <w:spacing w:after="0" w:line="24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If the Company elects to redeem only a portion of the Securities, the particular Securities to be redeemed will be selected by the Trustee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to the extent practicable, or, if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is not practicable for any reason, by lot or in such other manner as the Trustee shall deem fair and appropriate, and in any case in accordance with the applicable procedures of the Depositary and in accordance with the Investment Company Act as directed by the Company. In the event of a redemption of this Security in part only, a new Security or Securities of this series and of like tenor for the unredeemed portion hereof will be issued in the name of the Holder hereof upon the cancellation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partial redemption shall reduce the portion of the principal amount of a Security not redeemed to less than $2,000.</w:t>
      </w:r>
    </w:p>
    <w:p>
      <w:pPr>
        <w:spacing w:after="0" w:line="16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Unless the Company defaults in payment of the Redemption Price, on and after the Redemption Date, interest will cease to accrue on the Securities called for redemption.</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Holders will have the right to require the Company to repurchase their Securities upon the occurrence of a Change of Control Repurchase Event as set forth in the Indenture.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880"/>
          </w:cols>
          <w:pgMar w:left="440" w:top="274" w:right="579" w:bottom="1440" w:gutter="0" w:footer="0" w:header="0"/>
        </w:sectPr>
      </w:pPr>
    </w:p>
    <w:bookmarkStart w:id="33" w:name="page34"/>
    <w:bookmarkEnd w:id="33"/>
    <w:p>
      <w:pPr>
        <w:ind w:right="3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146"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If an Event of Default with respect to Securities of this series shall occur and be continuing (other than Events of Default related to certain events of bankruptcy, insolvency or reorganization as set forth in the Indenture), the principal of the Securities of this series may be declared due and payable in the manner and with the effect provided in the Indenture. In the case of certain events of bankruptcy, insolvency or reorganization described in the Indenture, 100% of the principal of and accrued and unpaid interest on the Securities will automatically become due and payable.</w:t>
      </w:r>
    </w:p>
    <w:p>
      <w:pPr>
        <w:spacing w:after="0" w:line="15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6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security or indemnity satisfactory to the Trustee against the costs, expenses and liabilities to be incurred in compliance with such request,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security or indemnity. The foregoing shall not apply to any suit instituted by the Holder of this Security for the enforcement of any payment of principal hereof or any premium or interest hereon on or after the respective due dates expressed herein.</w:t>
      </w:r>
    </w:p>
    <w:p>
      <w:pPr>
        <w:spacing w:after="0" w:line="16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000"/>
          </w:cols>
          <w:pgMar w:left="440" w:top="274" w:right="459" w:bottom="1440" w:gutter="0" w:footer="0" w:header="0"/>
        </w:sectPr>
      </w:pPr>
    </w:p>
    <w:bookmarkStart w:id="34" w:name="page35"/>
    <w:bookmarkEnd w:id="34"/>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6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Securities of this series are issuable only in registered form without coupons in denominations of $2,000 and any integral multiples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or Trustee may require payment of a sum sufficient to cover any tax or other governmental charge payable in connection therewith.</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All terms used in this Security which are defined in the Indenture shall have the meanings assigned to them in the Indenture.</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 the extent any provision of this Security conflicts with the express provisions of the Indenture, the provisions of the Indenture shall govern and be controlling.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Indenture and this Security shall be governed by and construed in accordance with the laws of the State of New York.</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000"/>
          </w:cols>
          <w:pgMar w:left="440" w:top="274" w:right="459" w:bottom="1440" w:gutter="0" w:footer="0" w:header="0"/>
        </w:sectPr>
      </w:pPr>
    </w:p>
    <w:bookmarkStart w:id="35" w:name="page36"/>
    <w:bookmarkEnd w:id="35"/>
    <w:p>
      <w:pPr>
        <w:jc w:val="center"/>
        <w:ind w:right="-20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FORM</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assign this Note, fill in the form below:</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14605</wp:posOffset>
            </wp:positionV>
            <wp:extent cx="33515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6864"/>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160655</wp:posOffset>
            </wp:positionV>
            <wp:extent cx="33515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73" w:lineRule="exact"/>
        <w:rPr>
          <w:sz w:val="20"/>
          <w:szCs w:val="20"/>
          <w:color w:val="auto"/>
        </w:rPr>
      </w:pPr>
    </w:p>
    <w:p>
      <w:pPr>
        <w:ind w:left="6864"/>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168910</wp:posOffset>
            </wp:positionV>
            <wp:extent cx="33515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86" w:lineRule="exact"/>
        <w:rPr>
          <w:sz w:val="20"/>
          <w:szCs w:val="20"/>
          <w:color w:val="auto"/>
        </w:rPr>
      </w:pPr>
    </w:p>
    <w:p>
      <w:pPr>
        <w:ind w:left="6464"/>
        <w:spacing w:after="0"/>
        <w:rPr>
          <w:sz w:val="20"/>
          <w:szCs w:val="20"/>
          <w:color w:val="auto"/>
        </w:rPr>
      </w:pPr>
      <w:r>
        <w:rPr>
          <w:rFonts w:ascii="Arial" w:cs="Arial" w:eastAsia="Arial" w:hAnsi="Arial"/>
          <w:sz w:val="18"/>
          <w:szCs w:val="18"/>
          <w:color w:val="auto"/>
        </w:rPr>
        <w:t>(Print or type assignee’s name, address and zip code)</w:t>
      </w:r>
    </w:p>
    <w:p>
      <w:pPr>
        <w:spacing w:after="0" w:line="239"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 irrevocably appoint _________________________ to transfer this Note on the books of the Company. The agent may substitute another to act for</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him.</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Your</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6"/>
          <w:szCs w:val="16"/>
          <w:color w:val="auto"/>
        </w:rPr>
        <w:t>Signature:_____________________________________</w:t>
      </w:r>
    </w:p>
    <w:p>
      <w:pPr>
        <w:spacing w:after="0" w:line="32" w:lineRule="exact"/>
        <w:rPr>
          <w:sz w:val="20"/>
          <w:szCs w:val="20"/>
          <w:color w:val="auto"/>
        </w:rPr>
      </w:pPr>
    </w:p>
    <w:p>
      <w:pPr>
        <w:jc w:val="center"/>
        <w:ind w:left="6600"/>
        <w:spacing w:after="0"/>
        <w:rPr>
          <w:sz w:val="20"/>
          <w:szCs w:val="20"/>
          <w:color w:val="auto"/>
        </w:rPr>
      </w:pPr>
      <w:r>
        <w:rPr>
          <w:rFonts w:ascii="Arial" w:cs="Arial" w:eastAsia="Arial" w:hAnsi="Arial"/>
          <w:sz w:val="16"/>
          <w:szCs w:val="16"/>
          <w:color w:val="auto"/>
        </w:rPr>
        <w:t>(Sign exactly as your name appears on the face of this</w:t>
      </w:r>
    </w:p>
    <w:p>
      <w:pPr>
        <w:spacing w:after="0" w:line="32" w:lineRule="exact"/>
        <w:rPr>
          <w:sz w:val="20"/>
          <w:szCs w:val="20"/>
          <w:color w:val="auto"/>
        </w:rPr>
      </w:pPr>
    </w:p>
    <w:p>
      <w:pPr>
        <w:jc w:val="center"/>
        <w:ind w:left="6600"/>
        <w:spacing w:after="0"/>
        <w:rPr>
          <w:sz w:val="20"/>
          <w:szCs w:val="20"/>
          <w:color w:val="auto"/>
        </w:rPr>
      </w:pPr>
      <w:r>
        <w:rPr>
          <w:rFonts w:ascii="Arial" w:cs="Arial" w:eastAsia="Arial" w:hAnsi="Arial"/>
          <w:sz w:val="18"/>
          <w:szCs w:val="18"/>
          <w:color w:val="auto"/>
        </w:rPr>
        <w:t>Note)</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Guarantee*:</w:t>
      </w:r>
    </w:p>
    <w:p>
      <w:pPr>
        <w:spacing w:after="0" w:line="131" w:lineRule="exact"/>
        <w:rPr>
          <w:sz w:val="20"/>
          <w:szCs w:val="20"/>
          <w:color w:val="auto"/>
        </w:rPr>
      </w:pPr>
    </w:p>
    <w:p>
      <w:pPr>
        <w:ind w:left="5324" w:right="1440" w:hanging="5324"/>
        <w:spacing w:after="0" w:line="449" w:lineRule="auto"/>
        <w:tabs>
          <w:tab w:leader="none" w:pos="433"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A-10</w:t>
      </w:r>
    </w:p>
    <w:p>
      <w:pPr>
        <w:sectPr>
          <w:pgSz w:w="11900" w:h="16838" w:orient="portrait"/>
          <w:cols w:equalWidth="0" w:num="1">
            <w:col w:w="10804"/>
          </w:cols>
          <w:pgMar w:left="436" w:top="270" w:right="659" w:bottom="1440" w:gutter="0" w:footer="0" w:header="0"/>
        </w:sectPr>
      </w:pPr>
    </w:p>
    <w:bookmarkStart w:id="36" w:name="page37"/>
    <w:bookmarkEnd w:id="36"/>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 OF HOLDER TO ELECT PURCHASE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you want to elect to have this Note purchased by the Company pursuant to Section 1301 of the Indenture, check the box below:</w:t>
      </w:r>
    </w:p>
    <w:p>
      <w:pPr>
        <w:spacing w:after="0" w:line="117" w:lineRule="exact"/>
        <w:rPr>
          <w:sz w:val="20"/>
          <w:szCs w:val="20"/>
          <w:color w:val="auto"/>
        </w:rPr>
      </w:pPr>
    </w:p>
    <w:p>
      <w:pPr>
        <w:ind w:left="204" w:hanging="204"/>
        <w:spacing w:after="0"/>
        <w:tabs>
          <w:tab w:leader="none" w:pos="204"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Section 1301</w:t>
      </w:r>
    </w:p>
    <w:p>
      <w:pPr>
        <w:spacing w:after="0" w:line="225"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If you want to elect to have only part of the Note purchased by the Company pursuant to Section 1301 of the Indenture, state the amount you elect to have purchased: $______________________________________</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Your</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4766310</wp:posOffset>
            </wp:positionH>
            <wp:positionV relativeFrom="paragraph">
              <wp:posOffset>5715</wp:posOffset>
            </wp:positionV>
            <wp:extent cx="22288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 w:lineRule="exact"/>
        <w:rPr>
          <w:sz w:val="20"/>
          <w:szCs w:val="20"/>
          <w:color w:val="auto"/>
        </w:rPr>
      </w:pPr>
    </w:p>
    <w:p>
      <w:pPr>
        <w:ind w:left="6644"/>
        <w:spacing w:after="0"/>
        <w:rPr>
          <w:sz w:val="20"/>
          <w:szCs w:val="20"/>
          <w:color w:val="auto"/>
        </w:rPr>
      </w:pPr>
      <w:r>
        <w:rPr>
          <w:rFonts w:ascii="Arial" w:cs="Arial" w:eastAsia="Arial" w:hAnsi="Arial"/>
          <w:sz w:val="16"/>
          <w:szCs w:val="16"/>
          <w:color w:val="auto"/>
        </w:rPr>
        <w:t>(Sign exactly as your name appears on the face of this Note)</w:t>
      </w:r>
    </w:p>
    <w:p>
      <w:pPr>
        <w:spacing w:after="0" w:line="248"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Tax Identification</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4766310</wp:posOffset>
            </wp:positionH>
            <wp:positionV relativeFrom="paragraph">
              <wp:posOffset>5715</wp:posOffset>
            </wp:positionV>
            <wp:extent cx="22288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18"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Signature Guarantee*:</w:t>
      </w:r>
    </w:p>
    <w:p>
      <w:pPr>
        <w:spacing w:after="0" w:line="131" w:lineRule="exact"/>
        <w:rPr>
          <w:sz w:val="20"/>
          <w:szCs w:val="20"/>
          <w:color w:val="auto"/>
        </w:rPr>
      </w:pPr>
    </w:p>
    <w:p>
      <w:pPr>
        <w:ind w:left="5324" w:right="1620" w:hanging="5324"/>
        <w:spacing w:after="0" w:line="449" w:lineRule="auto"/>
        <w:tabs>
          <w:tab w:leader="none" w:pos="4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A-11</w:t>
      </w:r>
    </w:p>
    <w:p>
      <w:pPr>
        <w:sectPr>
          <w:pgSz w:w="11900" w:h="16838" w:orient="portrait"/>
          <w:cols w:equalWidth="0" w:num="1">
            <w:col w:w="10984"/>
          </w:cols>
          <w:pgMar w:left="436" w:top="274" w:right="47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p>
        </w:tc>
        <w:tc>
          <w:tcPr>
            <w:tcW w:w="7560" w:type="dxa"/>
            <w:vAlign w:val="bottom"/>
            <w:gridSpan w:val="5"/>
          </w:tcPr>
          <w:p>
            <w:pPr>
              <w:jc w:val="center"/>
              <w:ind w:right="408"/>
              <w:spacing w:after="0"/>
              <w:rPr>
                <w:sz w:val="20"/>
                <w:szCs w:val="20"/>
                <w:color w:val="auto"/>
              </w:rPr>
            </w:pPr>
            <w:r>
              <w:rPr>
                <w:rFonts w:ascii="Arial" w:cs="Arial" w:eastAsia="Arial" w:hAnsi="Arial"/>
                <w:sz w:val="18"/>
                <w:szCs w:val="18"/>
                <w:color w:val="auto"/>
                <w:w w:val="95"/>
              </w:rPr>
              <w:t>SCHEDULE OF INCREASES AND DECREASES OF GLOBAL NOTE</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00" w:type="dxa"/>
            <w:vAlign w:val="bottom"/>
            <w:gridSpan w:val="3"/>
          </w:tcPr>
          <w:p>
            <w:pPr>
              <w:spacing w:after="0"/>
              <w:rPr>
                <w:sz w:val="20"/>
                <w:szCs w:val="20"/>
                <w:color w:val="auto"/>
              </w:rPr>
            </w:pPr>
            <w:r>
              <w:rPr>
                <w:rFonts w:ascii="Arial" w:cs="Arial" w:eastAsia="Arial" w:hAnsi="Arial"/>
                <w:sz w:val="18"/>
                <w:szCs w:val="18"/>
                <w:color w:val="auto"/>
                <w:w w:val="94"/>
              </w:rPr>
              <w:t>The initial principal amount of this Global Note is $</w:t>
            </w:r>
          </w:p>
        </w:tc>
        <w:tc>
          <w:tcPr>
            <w:tcW w:w="7120" w:type="dxa"/>
            <w:vAlign w:val="bottom"/>
            <w:gridSpan w:val="4"/>
          </w:tcPr>
          <w:p>
            <w:pPr>
              <w:ind w:left="660"/>
              <w:spacing w:after="0"/>
              <w:rPr>
                <w:sz w:val="20"/>
                <w:szCs w:val="20"/>
                <w:color w:val="auto"/>
              </w:rPr>
            </w:pPr>
            <w:r>
              <w:rPr>
                <w:rFonts w:ascii="Arial" w:cs="Arial" w:eastAsia="Arial" w:hAnsi="Arial"/>
                <w:sz w:val="18"/>
                <w:szCs w:val="18"/>
                <w:color w:val="auto"/>
              </w:rPr>
              <w:t>. The following increases and decreases to this Global Note have been made:</w:t>
            </w:r>
          </w:p>
        </w:tc>
        <w:tc>
          <w:tcPr>
            <w:tcW w:w="0" w:type="dxa"/>
            <w:vAlign w:val="bottom"/>
          </w:tcPr>
          <w:p>
            <w:pPr>
              <w:spacing w:after="0"/>
              <w:rPr>
                <w:sz w:val="1"/>
                <w:szCs w:val="1"/>
                <w:color w:val="auto"/>
              </w:rPr>
            </w:pPr>
          </w:p>
        </w:tc>
      </w:tr>
      <w:tr>
        <w:trPr>
          <w:trHeight w:val="373"/>
        </w:trPr>
        <w:tc>
          <w:tcPr>
            <w:tcW w:w="1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860" w:type="dxa"/>
            <w:vAlign w:val="bottom"/>
          </w:tcPr>
          <w:p>
            <w:pPr>
              <w:jc w:val="center"/>
              <w:ind w:left="268"/>
              <w:spacing w:after="0"/>
              <w:rPr>
                <w:sz w:val="20"/>
                <w:szCs w:val="20"/>
                <w:color w:val="auto"/>
              </w:rPr>
            </w:pPr>
            <w:r>
              <w:rPr>
                <w:rFonts w:ascii="Arial" w:cs="Arial" w:eastAsia="Arial" w:hAnsi="Arial"/>
                <w:sz w:val="14"/>
                <w:szCs w:val="14"/>
                <w:color w:val="auto"/>
                <w:w w:val="95"/>
              </w:rPr>
              <w:t>Principal Amount at</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0" w:type="dxa"/>
            <w:vAlign w:val="bottom"/>
            <w:gridSpan w:val="2"/>
          </w:tcPr>
          <w:p>
            <w:pPr>
              <w:jc w:val="center"/>
              <w:ind w:left="248"/>
              <w:spacing w:after="0" w:line="149" w:lineRule="exact"/>
              <w:rPr>
                <w:sz w:val="20"/>
                <w:szCs w:val="20"/>
                <w:color w:val="auto"/>
              </w:rPr>
            </w:pPr>
            <w:r>
              <w:rPr>
                <w:rFonts w:ascii="Arial" w:cs="Arial" w:eastAsia="Arial" w:hAnsi="Arial"/>
                <w:sz w:val="14"/>
                <w:szCs w:val="14"/>
                <w:color w:val="auto"/>
                <w:w w:val="92"/>
              </w:rPr>
              <w:t>Amount of Decrease in</w:t>
            </w:r>
          </w:p>
        </w:tc>
        <w:tc>
          <w:tcPr>
            <w:tcW w:w="2600" w:type="dxa"/>
            <w:vAlign w:val="bottom"/>
          </w:tcPr>
          <w:p>
            <w:pPr>
              <w:jc w:val="center"/>
              <w:ind w:left="284"/>
              <w:spacing w:after="0" w:line="149" w:lineRule="exact"/>
              <w:rPr>
                <w:sz w:val="20"/>
                <w:szCs w:val="20"/>
                <w:color w:val="auto"/>
              </w:rPr>
            </w:pPr>
            <w:r>
              <w:rPr>
                <w:rFonts w:ascii="Arial" w:cs="Arial" w:eastAsia="Arial" w:hAnsi="Arial"/>
                <w:sz w:val="14"/>
                <w:szCs w:val="14"/>
                <w:color w:val="auto"/>
                <w:w w:val="93"/>
              </w:rPr>
              <w:t>Amount of Increase in</w:t>
            </w:r>
          </w:p>
        </w:tc>
        <w:tc>
          <w:tcPr>
            <w:tcW w:w="1860" w:type="dxa"/>
            <w:vAlign w:val="bottom"/>
          </w:tcPr>
          <w:p>
            <w:pPr>
              <w:jc w:val="center"/>
              <w:ind w:left="248"/>
              <w:spacing w:after="0" w:line="149" w:lineRule="exact"/>
              <w:rPr>
                <w:sz w:val="20"/>
                <w:szCs w:val="20"/>
                <w:color w:val="auto"/>
              </w:rPr>
            </w:pPr>
            <w:r>
              <w:rPr>
                <w:rFonts w:ascii="Arial" w:cs="Arial" w:eastAsia="Arial" w:hAnsi="Arial"/>
                <w:sz w:val="14"/>
                <w:szCs w:val="14"/>
                <w:color w:val="auto"/>
              </w:rPr>
              <w:t>Maturity</w:t>
            </w:r>
          </w:p>
        </w:tc>
        <w:tc>
          <w:tcPr>
            <w:tcW w:w="1400" w:type="dxa"/>
            <w:vAlign w:val="bottom"/>
          </w:tcPr>
          <w:p>
            <w:pPr>
              <w:jc w:val="center"/>
              <w:ind w:left="88"/>
              <w:spacing w:after="0" w:line="149" w:lineRule="exact"/>
              <w:rPr>
                <w:sz w:val="20"/>
                <w:szCs w:val="20"/>
                <w:color w:val="auto"/>
              </w:rPr>
            </w:pPr>
            <w:r>
              <w:rPr>
                <w:rFonts w:ascii="Arial" w:cs="Arial" w:eastAsia="Arial" w:hAnsi="Arial"/>
                <w:sz w:val="14"/>
                <w:szCs w:val="14"/>
                <w:color w:val="auto"/>
                <w:w w:val="95"/>
              </w:rPr>
              <w:t>Signature of</w:t>
            </w:r>
          </w:p>
        </w:tc>
        <w:tc>
          <w:tcPr>
            <w:tcW w:w="0" w:type="dxa"/>
            <w:vAlign w:val="bottom"/>
          </w:tcPr>
          <w:p>
            <w:pPr>
              <w:spacing w:after="0"/>
              <w:rPr>
                <w:sz w:val="1"/>
                <w:szCs w:val="1"/>
                <w:color w:val="auto"/>
              </w:rPr>
            </w:pPr>
          </w:p>
        </w:tc>
      </w:tr>
      <w:tr>
        <w:trPr>
          <w:trHeight w:val="148"/>
        </w:trPr>
        <w:tc>
          <w:tcPr>
            <w:tcW w:w="1960" w:type="dxa"/>
            <w:vAlign w:val="bottom"/>
            <w:vMerge w:val="restart"/>
          </w:tcPr>
          <w:p>
            <w:pPr>
              <w:spacing w:after="0"/>
              <w:rPr>
                <w:sz w:val="20"/>
                <w:szCs w:val="20"/>
                <w:color w:val="auto"/>
              </w:rPr>
            </w:pPr>
            <w:r>
              <w:rPr>
                <w:rFonts w:ascii="Arial" w:cs="Arial" w:eastAsia="Arial" w:hAnsi="Arial"/>
                <w:sz w:val="14"/>
                <w:szCs w:val="14"/>
                <w:color w:val="auto"/>
              </w:rPr>
              <w:t>Date of Increase or</w:t>
            </w:r>
          </w:p>
        </w:tc>
        <w:tc>
          <w:tcPr>
            <w:tcW w:w="900" w:type="dxa"/>
            <w:vAlign w:val="bottom"/>
          </w:tcPr>
          <w:p>
            <w:pPr>
              <w:spacing w:after="0"/>
              <w:rPr>
                <w:sz w:val="12"/>
                <w:szCs w:val="12"/>
                <w:color w:val="auto"/>
              </w:rPr>
            </w:pPr>
          </w:p>
        </w:tc>
        <w:tc>
          <w:tcPr>
            <w:tcW w:w="2200" w:type="dxa"/>
            <w:vAlign w:val="bottom"/>
            <w:gridSpan w:val="2"/>
          </w:tcPr>
          <w:p>
            <w:pPr>
              <w:jc w:val="center"/>
              <w:ind w:left="248"/>
              <w:spacing w:after="0" w:line="149" w:lineRule="exact"/>
              <w:rPr>
                <w:sz w:val="20"/>
                <w:szCs w:val="20"/>
                <w:color w:val="auto"/>
              </w:rPr>
            </w:pPr>
            <w:r>
              <w:rPr>
                <w:rFonts w:ascii="Arial" w:cs="Arial" w:eastAsia="Arial" w:hAnsi="Arial"/>
                <w:sz w:val="14"/>
                <w:szCs w:val="14"/>
                <w:color w:val="auto"/>
                <w:w w:val="95"/>
              </w:rPr>
              <w:t>Principal Amount at</w:t>
            </w:r>
          </w:p>
        </w:tc>
        <w:tc>
          <w:tcPr>
            <w:tcW w:w="2600" w:type="dxa"/>
            <w:vAlign w:val="bottom"/>
          </w:tcPr>
          <w:p>
            <w:pPr>
              <w:jc w:val="center"/>
              <w:ind w:left="284"/>
              <w:spacing w:after="0" w:line="149" w:lineRule="exact"/>
              <w:rPr>
                <w:sz w:val="20"/>
                <w:szCs w:val="20"/>
                <w:color w:val="auto"/>
              </w:rPr>
            </w:pPr>
            <w:r>
              <w:rPr>
                <w:rFonts w:ascii="Arial" w:cs="Arial" w:eastAsia="Arial" w:hAnsi="Arial"/>
                <w:sz w:val="14"/>
                <w:szCs w:val="14"/>
                <w:color w:val="auto"/>
                <w:w w:val="95"/>
              </w:rPr>
              <w:t>Principal Amount at</w:t>
            </w:r>
          </w:p>
        </w:tc>
        <w:tc>
          <w:tcPr>
            <w:tcW w:w="1860" w:type="dxa"/>
            <w:vAlign w:val="bottom"/>
          </w:tcPr>
          <w:p>
            <w:pPr>
              <w:jc w:val="center"/>
              <w:ind w:left="268"/>
              <w:spacing w:after="0" w:line="149" w:lineRule="exact"/>
              <w:rPr>
                <w:sz w:val="20"/>
                <w:szCs w:val="20"/>
                <w:color w:val="auto"/>
              </w:rPr>
            </w:pPr>
            <w:r>
              <w:rPr>
                <w:rFonts w:ascii="Arial" w:cs="Arial" w:eastAsia="Arial" w:hAnsi="Arial"/>
                <w:sz w:val="14"/>
                <w:szCs w:val="14"/>
                <w:color w:val="auto"/>
                <w:w w:val="97"/>
              </w:rPr>
              <w:t>of this Global Note</w:t>
            </w:r>
          </w:p>
        </w:tc>
        <w:tc>
          <w:tcPr>
            <w:tcW w:w="1400" w:type="dxa"/>
            <w:vAlign w:val="bottom"/>
          </w:tcPr>
          <w:p>
            <w:pPr>
              <w:jc w:val="center"/>
              <w:ind w:left="88"/>
              <w:spacing w:after="0" w:line="149" w:lineRule="exact"/>
              <w:rPr>
                <w:sz w:val="20"/>
                <w:szCs w:val="20"/>
                <w:color w:val="auto"/>
              </w:rPr>
            </w:pPr>
            <w:r>
              <w:rPr>
                <w:rFonts w:ascii="Arial" w:cs="Arial" w:eastAsia="Arial" w:hAnsi="Arial"/>
                <w:sz w:val="14"/>
                <w:szCs w:val="14"/>
                <w:color w:val="auto"/>
                <w:w w:val="95"/>
              </w:rPr>
              <w:t>Authorized Signatory</w:t>
            </w:r>
          </w:p>
        </w:tc>
        <w:tc>
          <w:tcPr>
            <w:tcW w:w="0" w:type="dxa"/>
            <w:vAlign w:val="bottom"/>
          </w:tcPr>
          <w:p>
            <w:pPr>
              <w:spacing w:after="0"/>
              <w:rPr>
                <w:sz w:val="1"/>
                <w:szCs w:val="1"/>
                <w:color w:val="auto"/>
              </w:rPr>
            </w:pPr>
          </w:p>
        </w:tc>
      </w:tr>
      <w:tr>
        <w:trPr>
          <w:trHeight w:val="140"/>
        </w:trPr>
        <w:tc>
          <w:tcPr>
            <w:tcW w:w="196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60" w:type="dxa"/>
            <w:vAlign w:val="bottom"/>
          </w:tcPr>
          <w:p>
            <w:pPr>
              <w:jc w:val="center"/>
              <w:ind w:right="539"/>
              <w:spacing w:after="0" w:line="141" w:lineRule="exact"/>
              <w:rPr>
                <w:sz w:val="20"/>
                <w:szCs w:val="20"/>
                <w:color w:val="auto"/>
              </w:rPr>
            </w:pPr>
            <w:r>
              <w:rPr>
                <w:rFonts w:ascii="Arial" w:cs="Arial" w:eastAsia="Arial" w:hAnsi="Arial"/>
                <w:sz w:val="14"/>
                <w:szCs w:val="14"/>
                <w:color w:val="auto"/>
              </w:rPr>
              <w:t>Maturity</w:t>
            </w:r>
          </w:p>
        </w:tc>
        <w:tc>
          <w:tcPr>
            <w:tcW w:w="2600" w:type="dxa"/>
            <w:vAlign w:val="bottom"/>
          </w:tcPr>
          <w:p>
            <w:pPr>
              <w:jc w:val="center"/>
              <w:ind w:left="264"/>
              <w:spacing w:after="0" w:line="141" w:lineRule="exact"/>
              <w:rPr>
                <w:sz w:val="20"/>
                <w:szCs w:val="20"/>
                <w:color w:val="auto"/>
              </w:rPr>
            </w:pPr>
            <w:r>
              <w:rPr>
                <w:rFonts w:ascii="Arial" w:cs="Arial" w:eastAsia="Arial" w:hAnsi="Arial"/>
                <w:sz w:val="14"/>
                <w:szCs w:val="14"/>
                <w:color w:val="auto"/>
              </w:rPr>
              <w:t>Maturity</w:t>
            </w:r>
          </w:p>
        </w:tc>
        <w:tc>
          <w:tcPr>
            <w:tcW w:w="1860" w:type="dxa"/>
            <w:vAlign w:val="bottom"/>
          </w:tcPr>
          <w:p>
            <w:pPr>
              <w:jc w:val="center"/>
              <w:ind w:left="268"/>
              <w:spacing w:after="0" w:line="141" w:lineRule="exact"/>
              <w:rPr>
                <w:sz w:val="20"/>
                <w:szCs w:val="20"/>
                <w:color w:val="auto"/>
              </w:rPr>
            </w:pPr>
            <w:r>
              <w:rPr>
                <w:rFonts w:ascii="Arial" w:cs="Arial" w:eastAsia="Arial" w:hAnsi="Arial"/>
                <w:sz w:val="14"/>
                <w:szCs w:val="14"/>
                <w:color w:val="auto"/>
                <w:w w:val="94"/>
              </w:rPr>
              <w:t>Following such</w:t>
            </w:r>
          </w:p>
        </w:tc>
        <w:tc>
          <w:tcPr>
            <w:tcW w:w="1400" w:type="dxa"/>
            <w:vAlign w:val="bottom"/>
          </w:tcPr>
          <w:p>
            <w:pPr>
              <w:jc w:val="center"/>
              <w:ind w:left="68"/>
              <w:spacing w:after="0" w:line="141" w:lineRule="exact"/>
              <w:rPr>
                <w:sz w:val="20"/>
                <w:szCs w:val="20"/>
                <w:color w:val="auto"/>
              </w:rPr>
            </w:pPr>
            <w:r>
              <w:rPr>
                <w:rFonts w:ascii="Arial" w:cs="Arial" w:eastAsia="Arial" w:hAnsi="Arial"/>
                <w:sz w:val="14"/>
                <w:szCs w:val="14"/>
                <w:color w:val="auto"/>
                <w:w w:val="94"/>
              </w:rPr>
              <w:t>of Trustee or DTC</w:t>
            </w:r>
          </w:p>
        </w:tc>
        <w:tc>
          <w:tcPr>
            <w:tcW w:w="0" w:type="dxa"/>
            <w:vAlign w:val="bottom"/>
          </w:tcPr>
          <w:p>
            <w:pPr>
              <w:spacing w:after="0"/>
              <w:rPr>
                <w:sz w:val="1"/>
                <w:szCs w:val="1"/>
                <w:color w:val="auto"/>
              </w:rPr>
            </w:pPr>
          </w:p>
        </w:tc>
      </w:tr>
      <w:tr>
        <w:trPr>
          <w:trHeight w:val="162"/>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Decrease</w:t>
            </w:r>
          </w:p>
        </w:tc>
        <w:tc>
          <w:tcPr>
            <w:tcW w:w="900" w:type="dxa"/>
            <w:vAlign w:val="bottom"/>
            <w:tcBorders>
              <w:bottom w:val="single" w:sz="8" w:color="auto"/>
            </w:tcBorders>
          </w:tcPr>
          <w:p>
            <w:pPr>
              <w:spacing w:after="0"/>
              <w:rPr>
                <w:sz w:val="14"/>
                <w:szCs w:val="14"/>
                <w:color w:val="auto"/>
              </w:rPr>
            </w:pPr>
          </w:p>
        </w:tc>
        <w:tc>
          <w:tcPr>
            <w:tcW w:w="2200" w:type="dxa"/>
            <w:vAlign w:val="bottom"/>
            <w:gridSpan w:val="2"/>
          </w:tcPr>
          <w:p>
            <w:pPr>
              <w:jc w:val="center"/>
              <w:ind w:left="248"/>
              <w:spacing w:after="0"/>
              <w:rPr>
                <w:sz w:val="20"/>
                <w:szCs w:val="20"/>
                <w:color w:val="auto"/>
              </w:rPr>
            </w:pPr>
            <w:r>
              <w:rPr>
                <w:rFonts w:ascii="Arial" w:cs="Arial" w:eastAsia="Arial" w:hAnsi="Arial"/>
                <w:sz w:val="14"/>
                <w:szCs w:val="14"/>
                <w:color w:val="auto"/>
                <w:w w:val="97"/>
              </w:rPr>
              <w:t>of this Global Note</w:t>
            </w:r>
          </w:p>
        </w:tc>
        <w:tc>
          <w:tcPr>
            <w:tcW w:w="2600" w:type="dxa"/>
            <w:vAlign w:val="bottom"/>
          </w:tcPr>
          <w:p>
            <w:pPr>
              <w:jc w:val="center"/>
              <w:ind w:left="284"/>
              <w:spacing w:after="0"/>
              <w:rPr>
                <w:sz w:val="20"/>
                <w:szCs w:val="20"/>
                <w:color w:val="auto"/>
              </w:rPr>
            </w:pPr>
            <w:r>
              <w:rPr>
                <w:rFonts w:ascii="Arial" w:cs="Arial" w:eastAsia="Arial" w:hAnsi="Arial"/>
                <w:sz w:val="14"/>
                <w:szCs w:val="14"/>
                <w:color w:val="auto"/>
                <w:w w:val="97"/>
              </w:rPr>
              <w:t>of this Global Note</w:t>
            </w:r>
          </w:p>
        </w:tc>
        <w:tc>
          <w:tcPr>
            <w:tcW w:w="1860" w:type="dxa"/>
            <w:vAlign w:val="bottom"/>
          </w:tcPr>
          <w:p>
            <w:pPr>
              <w:jc w:val="center"/>
              <w:ind w:left="268"/>
              <w:spacing w:after="0"/>
              <w:rPr>
                <w:sz w:val="20"/>
                <w:szCs w:val="20"/>
                <w:color w:val="auto"/>
              </w:rPr>
            </w:pPr>
            <w:r>
              <w:rPr>
                <w:rFonts w:ascii="Arial" w:cs="Arial" w:eastAsia="Arial" w:hAnsi="Arial"/>
                <w:sz w:val="14"/>
                <w:szCs w:val="14"/>
                <w:color w:val="auto"/>
                <w:w w:val="88"/>
              </w:rPr>
              <w:t>decrease (or increase)</w:t>
            </w:r>
          </w:p>
        </w:tc>
        <w:tc>
          <w:tcPr>
            <w:tcW w:w="1400" w:type="dxa"/>
            <w:vAlign w:val="bottom"/>
          </w:tcPr>
          <w:p>
            <w:pPr>
              <w:jc w:val="center"/>
              <w:ind w:left="68"/>
              <w:spacing w:after="0"/>
              <w:rPr>
                <w:sz w:val="20"/>
                <w:szCs w:val="20"/>
                <w:color w:val="auto"/>
              </w:rPr>
            </w:pPr>
            <w:r>
              <w:rPr>
                <w:rFonts w:ascii="Arial" w:cs="Arial" w:eastAsia="Arial" w:hAnsi="Arial"/>
                <w:sz w:val="14"/>
                <w:szCs w:val="14"/>
                <w:color w:val="auto"/>
                <w:w w:val="91"/>
              </w:rPr>
              <w:t>Custodian</w:t>
            </w:r>
          </w:p>
        </w:tc>
        <w:tc>
          <w:tcPr>
            <w:tcW w:w="0" w:type="dxa"/>
            <w:vAlign w:val="bottom"/>
          </w:tcPr>
          <w:p>
            <w:pPr>
              <w:spacing w:after="0"/>
              <w:rPr>
                <w:sz w:val="1"/>
                <w:szCs w:val="1"/>
                <w:color w:val="auto"/>
              </w:rPr>
            </w:pPr>
          </w:p>
        </w:tc>
      </w:tr>
      <w:tr>
        <w:trPr>
          <w:trHeight w:val="372"/>
        </w:trPr>
        <w:tc>
          <w:tcPr>
            <w:tcW w:w="1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0" w:type="dxa"/>
            <w:vAlign w:val="bottom"/>
          </w:tcPr>
          <w:p>
            <w:pPr>
              <w:jc w:val="center"/>
              <w:ind w:right="1644"/>
              <w:spacing w:after="0"/>
              <w:rPr>
                <w:sz w:val="20"/>
                <w:szCs w:val="20"/>
                <w:color w:val="auto"/>
              </w:rPr>
            </w:pPr>
            <w:r>
              <w:rPr>
                <w:rFonts w:ascii="Arial" w:cs="Arial" w:eastAsia="Arial" w:hAnsi="Arial"/>
                <w:sz w:val="18"/>
                <w:szCs w:val="18"/>
                <w:color w:val="auto"/>
                <w:w w:val="94"/>
              </w:rPr>
              <w:t>A-12</w:t>
            </w:r>
          </w:p>
        </w:tc>
        <w:tc>
          <w:tcPr>
            <w:tcW w:w="1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20"/>
          </w:cols>
          <w:pgMar w:left="440" w:top="274" w:right="5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One International Place, 40th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028700" cy="3517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0" cy="3517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100 Oliver Street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Boston, MA 02110-2605</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+1 617 728 7100 Main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+1 617 426 6567 Fax</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www.dechert.com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October 21,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N-2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440"/>
        <w:spacing w:after="0" w:line="268" w:lineRule="auto"/>
        <w:rPr>
          <w:sz w:val="20"/>
          <w:szCs w:val="20"/>
          <w:color w:val="auto"/>
        </w:rPr>
      </w:pPr>
      <w:r>
        <w:rPr>
          <w:rFonts w:ascii="Arial" w:cs="Arial" w:eastAsia="Arial" w:hAnsi="Arial"/>
          <w:sz w:val="17"/>
          <w:szCs w:val="17"/>
          <w:color w:val="auto"/>
        </w:rPr>
        <w:t>We have acted as counsel to PennantPark Investment Corporation, a Maryland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preparation and filing of a registration statement on Form N-2 (Registration No. 333-230014) as originally filed on March 1, 2019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under the Investment Company Act of 1940, as amended (the “</w:t>
      </w:r>
      <w:r>
        <w:rPr>
          <w:rFonts w:ascii="Arial" w:cs="Arial" w:eastAsia="Arial" w:hAnsi="Arial"/>
          <w:sz w:val="17"/>
          <w:szCs w:val="17"/>
          <w:u w:val="single" w:color="auto"/>
          <w:color w:val="auto"/>
        </w:rPr>
        <w:t>Investment Company Act</w:t>
      </w:r>
      <w:r>
        <w:rPr>
          <w:rFonts w:ascii="Arial" w:cs="Arial" w:eastAsia="Arial" w:hAnsi="Arial"/>
          <w:sz w:val="17"/>
          <w:szCs w:val="17"/>
          <w:color w:val="auto"/>
        </w:rPr>
        <w:t>”), and as subsequently amended on April 12, 2019, September 26, 2019, December 13, 2019 and January 30, 2020 (the registration statement at the time when it became effective on January 30, 2020, including the prospectus and the information deemed to be part thereof at the time of effectiveness, the exhibits thereto and the documents incorporated by reference therein, being hereinafter referred to collectively as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and the final prospectus supplement, dated October 14, 2021 (including the base prospectus filed therewith, the “</w:t>
      </w:r>
      <w:r>
        <w:rPr>
          <w:rFonts w:ascii="Arial" w:cs="Arial" w:eastAsia="Arial" w:hAnsi="Arial"/>
          <w:sz w:val="17"/>
          <w:szCs w:val="17"/>
          <w:u w:val="single" w:color="auto"/>
          <w:color w:val="auto"/>
        </w:rPr>
        <w:t>Prospectus Supplement</w:t>
      </w:r>
      <w:r>
        <w:rPr>
          <w:rFonts w:ascii="Arial" w:cs="Arial" w:eastAsia="Arial" w:hAnsi="Arial"/>
          <w:sz w:val="17"/>
          <w:szCs w:val="17"/>
          <w:color w:val="auto"/>
        </w:rPr>
        <w:t>”), filed with the Commission on October 15, 2021 pursuant to Rule 424 under the Securities Act, relating to the proposed issuance by the Company of $165,000,000 aggregate principal amount of its 4.00% unsecured notes due 2026 (the “</w:t>
      </w:r>
      <w:r>
        <w:rPr>
          <w:rFonts w:ascii="Arial" w:cs="Arial" w:eastAsia="Arial" w:hAnsi="Arial"/>
          <w:sz w:val="17"/>
          <w:szCs w:val="17"/>
          <w:u w:val="single" w:color="auto"/>
          <w:color w:val="auto"/>
        </w:rPr>
        <w:t>Notes</w:t>
      </w:r>
      <w:r>
        <w:rPr>
          <w:rFonts w:ascii="Arial" w:cs="Arial" w:eastAsia="Arial" w:hAnsi="Arial"/>
          <w:sz w:val="17"/>
          <w:szCs w:val="17"/>
          <w:color w:val="auto"/>
        </w:rPr>
        <w:t>”), to be sold to underwriters pursuant to an underwriting agreement substantially in the form filed as Exhibit 1.1 to the Company’s Current Report on Form 8-K filed with the Commission on October 19, 2021 (the “</w:t>
      </w:r>
      <w:r>
        <w:rPr>
          <w:rFonts w:ascii="Arial" w:cs="Arial" w:eastAsia="Arial" w:hAnsi="Arial"/>
          <w:sz w:val="17"/>
          <w:szCs w:val="17"/>
          <w:u w:val="single" w:color="auto"/>
          <w:color w:val="auto"/>
        </w:rPr>
        <w:t>Underwriting Agreement</w:t>
      </w:r>
      <w:r>
        <w:rPr>
          <w:rFonts w:ascii="Arial" w:cs="Arial" w:eastAsia="Arial" w:hAnsi="Arial"/>
          <w:sz w:val="17"/>
          <w:szCs w:val="17"/>
          <w:color w:val="auto"/>
        </w:rPr>
        <w:t>”). This opinion letter is being furnished to the Company in accordance with the requirements of Item 25 of Form N-2 under the Investment Company Act, and we express no opinion herein as to any matter other than as to the legality of the Indenture (as defined below) and the Notes.</w:t>
      </w:r>
    </w:p>
    <w:p>
      <w:pPr>
        <w:spacing w:after="0" w:line="186" w:lineRule="exact"/>
        <w:rPr>
          <w:sz w:val="20"/>
          <w:szCs w:val="20"/>
          <w:color w:val="auto"/>
        </w:rPr>
      </w:pPr>
    </w:p>
    <w:p>
      <w:pPr>
        <w:jc w:val="both"/>
        <w:ind w:right="280" w:firstLine="440"/>
        <w:spacing w:after="0" w:line="311" w:lineRule="auto"/>
        <w:rPr>
          <w:sz w:val="20"/>
          <w:szCs w:val="20"/>
          <w:color w:val="auto"/>
        </w:rPr>
      </w:pPr>
      <w:r>
        <w:rPr>
          <w:rFonts w:ascii="Arial" w:cs="Arial" w:eastAsia="Arial" w:hAnsi="Arial"/>
          <w:sz w:val="16"/>
          <w:szCs w:val="16"/>
          <w:color w:val="auto"/>
        </w:rPr>
        <w:t>The Notes are to be issued pursuant to the indenture dated as of January 22, 2013 (the “</w:t>
      </w:r>
      <w:r>
        <w:rPr>
          <w:rFonts w:ascii="Arial" w:cs="Arial" w:eastAsia="Arial" w:hAnsi="Arial"/>
          <w:sz w:val="16"/>
          <w:szCs w:val="16"/>
          <w:u w:val="single" w:color="auto"/>
          <w:color w:val="auto"/>
        </w:rPr>
        <w:t>Base Indenture</w:t>
      </w:r>
      <w:r>
        <w:rPr>
          <w:rFonts w:ascii="Arial" w:cs="Arial" w:eastAsia="Arial" w:hAnsi="Arial"/>
          <w:sz w:val="16"/>
          <w:szCs w:val="16"/>
          <w:color w:val="auto"/>
        </w:rPr>
        <w:t>”), between the Company and American Stock Transfer &amp; Trust Company, LLC,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as supplemented by the fifth supplemental indenture, dated as of October 21, 2021 (the “</w:t>
      </w:r>
      <w:r>
        <w:rPr>
          <w:rFonts w:ascii="Arial" w:cs="Arial" w:eastAsia="Arial" w:hAnsi="Arial"/>
          <w:sz w:val="16"/>
          <w:szCs w:val="16"/>
          <w:u w:val="single" w:color="auto"/>
          <w:color w:val="auto"/>
        </w:rPr>
        <w:t>Fifth Supplemental Indenture</w:t>
      </w:r>
      <w:r>
        <w:rPr>
          <w:rFonts w:ascii="Arial" w:cs="Arial" w:eastAsia="Arial" w:hAnsi="Arial"/>
          <w:sz w:val="16"/>
          <w:szCs w:val="16"/>
          <w:color w:val="auto"/>
        </w:rPr>
        <w:t>,” and, together with the Base Indenture, the “</w:t>
      </w:r>
      <w:r>
        <w:rPr>
          <w:rFonts w:ascii="Arial" w:cs="Arial" w:eastAsia="Arial" w:hAnsi="Arial"/>
          <w:sz w:val="16"/>
          <w:szCs w:val="16"/>
          <w:u w:val="single" w:color="auto"/>
          <w:color w:val="auto"/>
        </w:rPr>
        <w:t>Indenture</w:t>
      </w:r>
      <w:r>
        <w:rPr>
          <w:rFonts w:ascii="Arial" w:cs="Arial" w:eastAsia="Arial" w:hAnsi="Arial"/>
          <w:sz w:val="16"/>
          <w:szCs w:val="16"/>
          <w:color w:val="auto"/>
        </w:rPr>
        <w:t>”), between the Company and the Trustee.</w:t>
      </w:r>
    </w:p>
    <w:p>
      <w:pPr>
        <w:sectPr>
          <w:pgSz w:w="11900" w:h="16838" w:orient="portrait"/>
          <w:cols w:equalWidth="0" w:num="1">
            <w:col w:w="11020"/>
          </w:cols>
          <w:pgMar w:left="440" w:top="121" w:right="4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October 21, 2021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In rendering the opinions expressed below, we have examined and relied on originals or copies, certified or otherwise identified to our satisfaction, of such documents, corporate records and other instruments and such agreements, certificates and receipts of public officials, certificates of officers or other representatives of the Company and others, and such other documents as we have deemed necessary or appropriate as a basis for rendering the opinions set forth below, including the following documents:</w:t>
      </w:r>
    </w:p>
    <w:p>
      <w:pPr>
        <w:spacing w:after="0" w:line="92" w:lineRule="exact"/>
        <w:rPr>
          <w:sz w:val="20"/>
          <w:szCs w:val="20"/>
          <w:color w:val="auto"/>
        </w:rPr>
      </w:pPr>
    </w:p>
    <w:p>
      <w:pPr>
        <w:ind w:left="960" w:hanging="532"/>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Prospectus Supplement;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Underwriting Agreement;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Indenture;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specimen copy of the form of the Notes to be issued pursuant to the Indenture;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Articles of Amendment and Restatement of the Company;</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Second Amended and Restated Bylaws of the Company;</w:t>
      </w:r>
    </w:p>
    <w:p>
      <w:pPr>
        <w:spacing w:after="0" w:line="130" w:lineRule="exact"/>
        <w:rPr>
          <w:rFonts w:ascii="Arial" w:cs="Arial" w:eastAsia="Arial" w:hAnsi="Arial"/>
          <w:sz w:val="18"/>
          <w:szCs w:val="18"/>
          <w:color w:val="auto"/>
        </w:rPr>
      </w:pPr>
    </w:p>
    <w:p>
      <w:pPr>
        <w:ind w:left="960" w:right="100" w:hanging="532"/>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certificate of good standing with respect to the Company issued by the State Department of Assessments and Taxation of Maryland as of a recent date; and</w:t>
      </w:r>
    </w:p>
    <w:p>
      <w:pPr>
        <w:spacing w:after="0" w:line="75" w:lineRule="exact"/>
        <w:rPr>
          <w:rFonts w:ascii="Arial" w:cs="Arial" w:eastAsia="Arial" w:hAnsi="Arial"/>
          <w:sz w:val="18"/>
          <w:szCs w:val="18"/>
          <w:color w:val="auto"/>
        </w:rPr>
      </w:pPr>
    </w:p>
    <w:p>
      <w:pPr>
        <w:ind w:left="960" w:right="600" w:hanging="532"/>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resolutions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and resolutions approved by the pricing committee of the Board relating to, among other things, the authorization and issuance of the Notes.</w:t>
      </w:r>
    </w:p>
    <w:p>
      <w:pPr>
        <w:spacing w:after="0" w:line="17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 to the facts upon which this opinion is based, we have relied, to the extent we deem proper, upon certificates of public officials and certificates and written statements of agents, officers, directors, employees and representatives of the Company without having independently verified such factual matters.</w:t>
      </w:r>
    </w:p>
    <w:p>
      <w:pPr>
        <w:spacing w:after="0" w:line="184"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our examination, we have assumed the genuineness of all signatures, the authenticity of all documents submitted to us as original documents and the conformity to original documents of all documents submitted to us as copies. In addition, we have assumed (i) the legal capacity of natural persons who are signatories to the documents examined by us and (ii) the legal power and authority of all persons signing on behalf of the parties to such documents (other than the Company).</w:t>
      </w:r>
    </w:p>
    <w:p>
      <w:pPr>
        <w:sectPr>
          <w:pgSz w:w="11900" w:h="16838" w:orient="portrait"/>
          <w:cols w:equalWidth="0" w:num="1">
            <w:col w:w="11020"/>
          </w:cols>
          <w:pgMar w:left="440" w:top="274" w:right="4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October 21, 2021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On the basis of the foregoing and subject to the assumptions and qualifications set forth in this letter, we are of the opinion that:</w:t>
      </w:r>
    </w:p>
    <w:p>
      <w:pPr>
        <w:spacing w:after="0" w:line="131" w:lineRule="exact"/>
        <w:rPr>
          <w:sz w:val="20"/>
          <w:szCs w:val="20"/>
          <w:color w:val="auto"/>
        </w:rPr>
      </w:pPr>
    </w:p>
    <w:p>
      <w:pPr>
        <w:ind w:left="960" w:right="220" w:hanging="532"/>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Base Indenture constitutes the valid and legally binding obligation of the Company, enforceable against the Company in accordance with its terms.</w:t>
      </w:r>
    </w:p>
    <w:p>
      <w:pPr>
        <w:spacing w:after="0" w:line="75" w:lineRule="exact"/>
        <w:rPr>
          <w:rFonts w:ascii="Arial" w:cs="Arial" w:eastAsia="Arial" w:hAnsi="Arial"/>
          <w:sz w:val="18"/>
          <w:szCs w:val="18"/>
          <w:color w:val="auto"/>
        </w:rPr>
      </w:pPr>
    </w:p>
    <w:p>
      <w:pPr>
        <w:ind w:left="960" w:right="100" w:hanging="532"/>
        <w:spacing w:after="0" w:line="342" w:lineRule="auto"/>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When the Fifth Supplemental Indenture is duly authorized, executed and delivered by the Company, the Fifth Supplemental Indenture will constitute the valid and legally binding obligation of the Company, enforceable against the Company in accordance with its terms.</w:t>
      </w:r>
    </w:p>
    <w:p>
      <w:pPr>
        <w:spacing w:after="0" w:line="29" w:lineRule="exact"/>
        <w:rPr>
          <w:rFonts w:ascii="Arial" w:cs="Arial" w:eastAsia="Arial" w:hAnsi="Arial"/>
          <w:sz w:val="16"/>
          <w:szCs w:val="16"/>
          <w:color w:val="auto"/>
        </w:rPr>
      </w:pPr>
    </w:p>
    <w:p>
      <w:pPr>
        <w:ind w:left="960" w:right="60" w:hanging="532"/>
        <w:spacing w:after="0" w:line="286" w:lineRule="auto"/>
        <w:tabs>
          <w:tab w:leader="none" w:pos="9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When duly executed by the Company and authenticated by the Trustee in accordance with the terms of the Indenture and delivered to the underwriters against payment therefor in accordance with the terms of the Underwriting Agreement, the Notes will constitute the legal and binding obligations of the Company, enforceable against the Company in accordance with their terms.</w:t>
      </w:r>
    </w:p>
    <w:p>
      <w:pPr>
        <w:spacing w:after="0" w:line="16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opinions set forth herein are subject to the following assumptions, qualifications, limitations and exceptions being true and correct at or before the time of the Notes:</w:t>
      </w:r>
    </w:p>
    <w:p>
      <w:pPr>
        <w:spacing w:after="0" w:line="76" w:lineRule="exact"/>
        <w:rPr>
          <w:sz w:val="20"/>
          <w:szCs w:val="20"/>
          <w:color w:val="auto"/>
        </w:rPr>
      </w:pPr>
    </w:p>
    <w:p>
      <w:pPr>
        <w:ind w:left="960" w:hanging="532"/>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is duly incorporated and validly existing in good standing under the laws of the State of Maryland;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Indenture and the Notes have been duly authorized, executed and delivered by each party thereto (other than the Company);</w:t>
      </w:r>
    </w:p>
    <w:p>
      <w:pPr>
        <w:spacing w:after="0" w:line="142" w:lineRule="exact"/>
        <w:rPr>
          <w:rFonts w:ascii="Arial" w:cs="Arial" w:eastAsia="Arial" w:hAnsi="Arial"/>
          <w:sz w:val="17"/>
          <w:szCs w:val="17"/>
          <w:color w:val="auto"/>
        </w:rPr>
      </w:pPr>
    </w:p>
    <w:p>
      <w:pPr>
        <w:ind w:left="960" w:hanging="532"/>
        <w:spacing w:after="0"/>
        <w:tabs>
          <w:tab w:leader="none" w:pos="9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final terms of the Notes have been duly established and approved by all necessary corporate action on the part of the Company;</w:t>
      </w:r>
    </w:p>
    <w:p>
      <w:pPr>
        <w:spacing w:after="0" w:line="142" w:lineRule="exact"/>
        <w:rPr>
          <w:rFonts w:ascii="Arial" w:cs="Arial" w:eastAsia="Arial" w:hAnsi="Arial"/>
          <w:sz w:val="17"/>
          <w:szCs w:val="17"/>
          <w:color w:val="auto"/>
        </w:rPr>
      </w:pPr>
    </w:p>
    <w:p>
      <w:pPr>
        <w:ind w:left="960" w:hanging="532"/>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of the Notes as established comply with the requirements of the Investment Company Act; and</w:t>
      </w:r>
    </w:p>
    <w:p>
      <w:pPr>
        <w:spacing w:after="0" w:line="130"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Notes have been duly executed by the Company and authenticated by the Trustee in accordance with the Indenture and delivered to and paid for by the purchasers thereof.</w:t>
      </w:r>
    </w:p>
    <w:p>
      <w:pPr>
        <w:spacing w:after="0" w:line="170"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The opinions set forth herein as to enforceability of obligations of the Company are subject to: (i) bankruptcy, insolvency, reorganization, fraudulent conveyance, moratorium or similar laws now or hereinafter in effect affecting the enforcement of creditors’ rights generally, and by general principles of equity (regardless of whether enforcement is sought in a proceeding in equity or at law) and the discretion of the court or other body before which any proceeding may be brought; (ii) the unenforceability under certain circumstances under law or court decisions of provisions providing for the indemnification of, or contribution to, a party with respect to a liability where such indemnification or contribution is contrary to public policy; (iii) provisions of law which may require that a judgment for money damages rendered by a court in</w:t>
      </w:r>
    </w:p>
    <w:p>
      <w:pPr>
        <w:sectPr>
          <w:pgSz w:w="11900" w:h="16838" w:orient="portrait"/>
          <w:cols w:equalWidth="0" w:num="1">
            <w:col w:w="11020"/>
          </w:cols>
          <w:pgMar w:left="440" w:top="274" w:right="4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October 21, 2021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United States be expressed only in U.S. dollars; (iv) requirements that a claim with respect to any debt securities denominated other than in U.S. dollars (or a judgment denominated other than in U.S. dollars in respect of such claim) be converted into U.S. dollars at a rate of exchange prevailing on a date determined pursuant to applicable law; and (v) governmental authority to limit, delay or prohibit the making of payments outside the United States or in foreign currency or composite currency.</w:t>
      </w:r>
    </w:p>
    <w:p>
      <w:pPr>
        <w:spacing w:after="0" w:line="187"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We express no opinion as to the validity, legally binding effect or enforceability of any provision in any agreement or instrument that (i) requires or relates to payment of any interest at a rate or in an amount which a court may determine in the circumstances under applicable law to be commercially unreasonable or a penalty or forfeiture or (ii) relates to governing law and submission by the parties to the jurisdiction of one or more particular courts.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opinions expressed herein are limited to the federal laws of the United States of America and the laws of the State of New York.</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This opinion letter has been prepared for your use solely in connection with the Registration Statement. We assume no obligation to advise you of any changes in the foregoing subsequent to the date of this opinion.</w:t>
      </w:r>
    </w:p>
    <w:p>
      <w:pPr>
        <w:spacing w:after="0" w:line="170"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We hereby consent to the filing of this opinion as an exhibit to the Company’s Current Report on Form 8-K filed with the Commission on October 21, 2021 and to the reference to this firm under the caption “Legal Matters” in the Registration Statement and the Prospectus Supplement. In giving such consent, we do not thereby admit that we are in the category of persons whose consent is required under Section 7 of the Securities Act or the rules and regulations of the Commission thereunder.</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Dechert LLP</w:t>
      </w:r>
    </w:p>
    <w:p>
      <w:pPr>
        <w:sectPr>
          <w:pgSz w:w="11900" w:h="16838" w:orient="portrait"/>
          <w:cols w:equalWidth="0" w:num="1">
            <w:col w:w="11020"/>
          </w:cols>
          <w:pgMar w:left="440" w:top="274" w:right="4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4889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21, 2021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116"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Registration Statement on Form N-2:</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u w:val="single" w:color="auto"/>
          <w:color w:val="auto"/>
        </w:rPr>
        <w:t>File No.: 333-230014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0" w:firstLine="991"/>
        <w:spacing w:after="0" w:line="296" w:lineRule="auto"/>
        <w:rPr>
          <w:sz w:val="20"/>
          <w:szCs w:val="20"/>
          <w:color w:val="auto"/>
        </w:rPr>
      </w:pPr>
      <w:r>
        <w:rPr>
          <w:rFonts w:ascii="Arial" w:cs="Arial" w:eastAsia="Arial" w:hAnsi="Arial"/>
          <w:sz w:val="16"/>
          <w:szCs w:val="16"/>
          <w:color w:val="auto"/>
        </w:rPr>
        <w:t>We have served as Maryland counsel to PennantPark Investment Corporation, a Maryland corporation (the “Company”) and a business development company under the Investment Company Act of 1940, as amended (the “1940 Act”), in connection with certain matters of Maryland law arising out of the registration by the Company of $165,000,000 aggregate principal amount of the Company’s 4.00% Notes due 2026 (the “Notes”), covered by the above-referenced Registration Statement, and all amendments thereto (the “Registration Statement”), filed by the Company with the United States Securities and Exchange Commission (the “Commission”) under the Securities Act of 1933, as amended (the “1933 Act”).</w:t>
      </w:r>
    </w:p>
    <w:p>
      <w:pPr>
        <w:spacing w:after="0" w:line="161" w:lineRule="exact"/>
        <w:rPr>
          <w:sz w:val="20"/>
          <w:szCs w:val="20"/>
          <w:color w:val="auto"/>
        </w:rPr>
      </w:pPr>
    </w:p>
    <w:p>
      <w:pPr>
        <w:ind w:right="140" w:firstLine="991"/>
        <w:spacing w:after="0" w:line="342" w:lineRule="auto"/>
        <w:rPr>
          <w:sz w:val="20"/>
          <w:szCs w:val="20"/>
          <w:color w:val="auto"/>
        </w:rPr>
      </w:pPr>
      <w:r>
        <w:rPr>
          <w:rFonts w:ascii="Arial" w:cs="Arial" w:eastAsia="Arial" w:hAnsi="Arial"/>
          <w:sz w:val="16"/>
          <w:szCs w:val="16"/>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16" w:lineRule="exact"/>
        <w:rPr>
          <w:sz w:val="20"/>
          <w:szCs w:val="20"/>
          <w:color w:val="auto"/>
        </w:rPr>
      </w:pPr>
    </w:p>
    <w:p>
      <w:pPr>
        <w:ind w:right="140" w:firstLine="987"/>
        <w:spacing w:after="0" w:line="277" w:lineRule="auto"/>
        <w:tabs>
          <w:tab w:leader="none" w:pos="117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Registration Statement and the related form of prospectus included therein, substantially in the form in which it was transmitted to the Commission under the 1933 Act;</w:t>
      </w:r>
    </w:p>
    <w:p>
      <w:pPr>
        <w:spacing w:after="0" w:line="62" w:lineRule="exact"/>
        <w:rPr>
          <w:rFonts w:ascii="Arial" w:cs="Arial" w:eastAsia="Arial" w:hAnsi="Arial"/>
          <w:sz w:val="18"/>
          <w:szCs w:val="18"/>
          <w:color w:val="auto"/>
        </w:rPr>
      </w:pPr>
    </w:p>
    <w:p>
      <w:pPr>
        <w:ind w:right="220" w:firstLine="987"/>
        <w:spacing w:after="0" w:line="277" w:lineRule="auto"/>
        <w:tabs>
          <w:tab w:leader="none" w:pos="117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Prospectus Supplement, dated October 14, 2021, in the form filed by the Company with the Commission pursuant to Rule 424(b) under the 1933 Act;</w:t>
      </w:r>
    </w:p>
    <w:p>
      <w:pPr>
        <w:spacing w:after="0" w:line="62" w:lineRule="exact"/>
        <w:rPr>
          <w:rFonts w:ascii="Arial" w:cs="Arial" w:eastAsia="Arial" w:hAnsi="Arial"/>
          <w:sz w:val="18"/>
          <w:szCs w:val="18"/>
          <w:color w:val="auto"/>
        </w:rPr>
      </w:pPr>
    </w:p>
    <w:p>
      <w:pPr>
        <w:ind w:left="1160" w:hanging="173"/>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charter of the Company, certified by the State Department of Assessments and Taxation of Maryland (the “SDAT”);</w:t>
      </w:r>
    </w:p>
    <w:p>
      <w:pPr>
        <w:spacing w:after="0" w:line="117" w:lineRule="exact"/>
        <w:rPr>
          <w:rFonts w:ascii="Arial" w:cs="Arial" w:eastAsia="Arial" w:hAnsi="Arial"/>
          <w:sz w:val="18"/>
          <w:szCs w:val="18"/>
          <w:color w:val="auto"/>
        </w:rPr>
      </w:pPr>
    </w:p>
    <w:p>
      <w:pPr>
        <w:ind w:left="1160" w:hanging="173"/>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Bylaws of the Company, certified as of the date hereof by an officer of the Company;</w:t>
      </w:r>
    </w:p>
    <w:p>
      <w:pPr>
        <w:spacing w:after="0" w:line="117" w:lineRule="exact"/>
        <w:rPr>
          <w:rFonts w:ascii="Arial" w:cs="Arial" w:eastAsia="Arial" w:hAnsi="Arial"/>
          <w:sz w:val="18"/>
          <w:szCs w:val="18"/>
          <w:color w:val="auto"/>
        </w:rPr>
      </w:pPr>
    </w:p>
    <w:p>
      <w:pPr>
        <w:ind w:left="1160" w:hanging="173"/>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certificate of the SDAT as to the good standing of the Company, dated as of a recent date;</w:t>
      </w:r>
    </w:p>
    <w:p>
      <w:pPr>
        <w:spacing w:after="0" w:line="117" w:lineRule="exact"/>
        <w:rPr>
          <w:rFonts w:ascii="Arial" w:cs="Arial" w:eastAsia="Arial" w:hAnsi="Arial"/>
          <w:sz w:val="18"/>
          <w:szCs w:val="18"/>
          <w:color w:val="auto"/>
        </w:rPr>
      </w:pPr>
    </w:p>
    <w:p>
      <w:pPr>
        <w:ind w:right="40" w:firstLine="987"/>
        <w:spacing w:after="0" w:line="263" w:lineRule="auto"/>
        <w:tabs>
          <w:tab w:leader="none" w:pos="1171"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Resolutions (the “Resolutions”) adopted by the Board of Directors of the Company, and a duly authorized committee thereof, relating to the authorization of the filing of the Registration Statement and the sale and issuance of the Notes, certified as of the date hereof by an officer of the Company;</w:t>
      </w:r>
    </w:p>
    <w:p>
      <w:pPr>
        <w:sectPr>
          <w:pgSz w:w="11900" w:h="16838" w:orient="portrait"/>
          <w:cols w:equalWidth="0" w:num="1">
            <w:col w:w="11020"/>
          </w:cols>
          <w:pgMar w:left="440" w:top="121" w:right="4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6995160" cy="514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514350"/>
                    </a:xfrm>
                    <a:prstGeom prst="rect">
                      <a:avLst/>
                    </a:prstGeom>
                    <a:noFill/>
                  </pic:spPr>
                </pic:pic>
              </a:graphicData>
            </a:graphic>
          </wp:anchor>
        </w:drawing>
        <w:t>PennantPark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21,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1160" w:hanging="173"/>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certificate executed by an officer of the Company, dated as of the date hereof; and</w:t>
      </w:r>
    </w:p>
    <w:p>
      <w:pPr>
        <w:spacing w:after="0" w:line="117" w:lineRule="exact"/>
        <w:rPr>
          <w:rFonts w:ascii="Arial" w:cs="Arial" w:eastAsia="Arial" w:hAnsi="Arial"/>
          <w:sz w:val="18"/>
          <w:szCs w:val="18"/>
          <w:color w:val="auto"/>
        </w:rPr>
      </w:pPr>
    </w:p>
    <w:p>
      <w:pPr>
        <w:ind w:right="320" w:firstLine="987"/>
        <w:spacing w:after="0" w:line="277" w:lineRule="auto"/>
        <w:tabs>
          <w:tab w:leader="none" w:pos="1171"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other documents and matters as we have deemed necessary or appropriate to express the opinion set forth below, subject to the assumptions, limitations and qualifications stated herein.</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expressing the opinion set forth below, we have assumed the following:</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1. Each individual executing any of the Documents, whether on behalf of such individual or any other person, is legally competent to do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so.</w:t>
      </w:r>
    </w:p>
    <w:p>
      <w:pPr>
        <w:spacing w:after="0" w:line="103" w:lineRule="exact"/>
        <w:rPr>
          <w:sz w:val="20"/>
          <w:szCs w:val="20"/>
          <w:color w:val="auto"/>
        </w:rPr>
      </w:pPr>
    </w:p>
    <w:p>
      <w:pPr>
        <w:ind w:left="1160" w:hanging="173"/>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individual executing any of the Documents on behalf of a party (other than the Company) is duly authorized to do so.</w:t>
      </w:r>
    </w:p>
    <w:p>
      <w:pPr>
        <w:spacing w:after="0" w:line="117" w:lineRule="exact"/>
        <w:rPr>
          <w:rFonts w:ascii="Arial" w:cs="Arial" w:eastAsia="Arial" w:hAnsi="Arial"/>
          <w:sz w:val="18"/>
          <w:szCs w:val="18"/>
          <w:color w:val="auto"/>
        </w:rPr>
      </w:pPr>
    </w:p>
    <w:p>
      <w:pPr>
        <w:ind w:right="180" w:firstLine="987"/>
        <w:spacing w:after="0" w:line="263" w:lineRule="auto"/>
        <w:tabs>
          <w:tab w:leader="none" w:pos="1171"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75" w:lineRule="exact"/>
        <w:rPr>
          <w:rFonts w:ascii="Arial" w:cs="Arial" w:eastAsia="Arial" w:hAnsi="Arial"/>
          <w:sz w:val="18"/>
          <w:szCs w:val="18"/>
          <w:color w:val="auto"/>
        </w:rPr>
      </w:pPr>
    </w:p>
    <w:p>
      <w:pPr>
        <w:ind w:firstLine="987"/>
        <w:spacing w:after="0" w:line="273" w:lineRule="auto"/>
        <w:tabs>
          <w:tab w:leader="none" w:pos="1171" w:val="left"/>
        </w:tabs>
        <w:numPr>
          <w:ilvl w:val="0"/>
          <w:numId w:val="24"/>
        </w:numPr>
        <w:rPr>
          <w:rFonts w:ascii="Arial" w:cs="Arial" w:eastAsia="Arial" w:hAnsi="Arial"/>
          <w:sz w:val="17"/>
          <w:szCs w:val="17"/>
          <w:color w:val="auto"/>
        </w:rPr>
      </w:pPr>
      <w:r>
        <w:rPr>
          <w:rFonts w:ascii="Arial" w:cs="Arial" w:eastAsia="Arial" w:hAnsi="Arial"/>
          <w:sz w:val="17"/>
          <w:szCs w:val="17"/>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such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Based upon the foregoing, and subject to the assumptions, limitations and qualifications stated herein, it is our opinion that:</w:t>
      </w:r>
    </w:p>
    <w:p>
      <w:pPr>
        <w:spacing w:after="0" w:line="117" w:lineRule="exact"/>
        <w:rPr>
          <w:sz w:val="20"/>
          <w:szCs w:val="20"/>
          <w:color w:val="auto"/>
        </w:rPr>
      </w:pPr>
    </w:p>
    <w:p>
      <w:pPr>
        <w:ind w:right="260" w:firstLine="987"/>
        <w:spacing w:after="0" w:line="277" w:lineRule="auto"/>
        <w:tabs>
          <w:tab w:leader="none" w:pos="117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is a corporation duly incorporated and existing under and by virtue of the laws of the State of Maryland and is in good standing with the SDAT.</w:t>
      </w:r>
    </w:p>
    <w:p>
      <w:pPr>
        <w:sectPr>
          <w:pgSz w:w="11900" w:h="16838" w:orient="portrait"/>
          <w:cols w:equalWidth="0" w:num="1">
            <w:col w:w="11000"/>
          </w:cols>
          <w:pgMar w:left="440" w:top="1124" w:right="45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6995160" cy="514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514350"/>
                    </a:xfrm>
                    <a:prstGeom prst="rect">
                      <a:avLst/>
                    </a:prstGeom>
                    <a:noFill/>
                  </pic:spPr>
                </pic:pic>
              </a:graphicData>
            </a:graphic>
          </wp:anchor>
        </w:drawing>
        <w:t>PennantPark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21,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60" w:firstLine="987"/>
        <w:spacing w:after="0" w:line="277" w:lineRule="auto"/>
        <w:tabs>
          <w:tab w:leader="none" w:pos="117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issuance of the Notes has been duly authorized and, when and if issued and delivered against payment therefor in accordance with the Resolutions, the Notes will be validly issued.</w:t>
      </w:r>
    </w:p>
    <w:p>
      <w:pPr>
        <w:spacing w:after="0" w:line="170"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The foregoing opinion is limited to the laws of the State of Maryland and we do not express any opinion herein concerning any other law. We express no opinion as to compliance with the 1940 Act or other federal securities laws, or state securities laws, including the securities laws of the State of Maryland. To the extent that any matter as to which our opinion is expressed herein would be governed by the laws of any jurisdiction other than the State of Maryland, we do not express any opinion on such matter.</w:t>
      </w:r>
    </w:p>
    <w:p>
      <w:pPr>
        <w:spacing w:after="0" w:line="187"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84"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This opinion is being furnished to you for submission to the Commission as an exhibit to the Company’s Current Report on Form 8-K relating to the issuance of the Notes (the “Current Report”), which is incorporated by reference in the Registration Statement. We hereby consent to the filing of this opinion as an exhibit to the Current Report and the said incorporation by reference and to the use of the name of our firm therein. In giving this consent, we do not admit that we are within the category of persons whose consent is required by Section 7 of the 1933 Act.</w:t>
      </w:r>
    </w:p>
    <w:p>
      <w:pPr>
        <w:spacing w:after="0" w:line="18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Venable LLP</w:t>
      </w:r>
    </w:p>
    <w:sectPr>
      <w:pgSz w:w="11900" w:h="16838" w:orient="portrait"/>
      <w:cols w:equalWidth="0" w:num="1">
        <w:col w:w="10920"/>
      </w:cols>
      <w:pgMar w:left="440" w:top="112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lowerLetter"/>
      <w:start w:val="1"/>
    </w:lvl>
  </w:abstractNum>
  <w:abstractNum w:abstractNumId="2">
    <w:nsid w:val="7FDCC233"/>
    <w:multiLevelType w:val="hybridMultilevel"/>
    <w:lvl w:ilvl="0">
      <w:lvlJc w:val="left"/>
      <w:lvlText w:val="(%1)"/>
      <w:numFmt w:val="lowerLetter"/>
      <w:start w:val="5"/>
    </w:lvl>
    <w:lvl w:ilvl="1">
      <w:lvlJc w:val="left"/>
      <w:lvlText w:val="%2."/>
      <w:numFmt w:val="upperLetter"/>
      <w:start w:val="1"/>
    </w:lvl>
  </w:abstractNum>
  <w:abstractNum w:abstractNumId="3">
    <w:nsid w:val="1BEFD79F"/>
    <w:multiLevelType w:val="hybridMultilevel"/>
    <w:lvl w:ilvl="0">
      <w:lvlJc w:val="left"/>
      <w:lvlText w:val="(%1)"/>
      <w:numFmt w:val="lowerRoman"/>
      <w:start w:val="2"/>
    </w:lvl>
  </w:abstractNum>
  <w:abstractNum w:abstractNumId="4">
    <w:nsid w:val="41A7C4C9"/>
    <w:multiLevelType w:val="hybridMultilevel"/>
    <w:lvl w:ilvl="0">
      <w:lvlJc w:val="left"/>
      <w:lvlText w:val="%1"/>
      <w:numFmt w:val="lowerLetter"/>
      <w:start w:val="1"/>
    </w:lvl>
    <w:lvl w:ilvl="1">
      <w:lvlJc w:val="left"/>
      <w:lvlText w:val="(%2)"/>
      <w:numFmt w:val="lowerRoman"/>
      <w:start w:val="3"/>
    </w:lvl>
  </w:abstractNum>
  <w:abstractNum w:abstractNumId="5">
    <w:nsid w:val="6B68079A"/>
    <w:multiLevelType w:val="hybridMultilevel"/>
    <w:lvl w:ilvl="0">
      <w:lvlJc w:val="left"/>
      <w:lvlText w:val="(%1)"/>
      <w:numFmt w:val="lowerLetter"/>
      <w:start w:val="9"/>
    </w:lvl>
    <w:lvl w:ilvl="1">
      <w:lvlJc w:val="left"/>
      <w:lvlText w:val="%2"/>
      <w:numFmt w:val="lowerRoman"/>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upperLetter"/>
      <w:start w:val="1"/>
    </w:lvl>
  </w:abstractNum>
  <w:abstractNum w:abstractNumId="9">
    <w:nsid w:val="431BD7B7"/>
    <w:multiLevelType w:val="hybridMultilevel"/>
    <w:lvl w:ilvl="0">
      <w:lvlJc w:val="left"/>
      <w:lvlText w:val="(%1)"/>
      <w:numFmt w:val="decimal"/>
      <w:start w:val="8"/>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3"/>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2"/>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lowerRoman"/>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lowerRoman"/>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7"/>
    </w:lvl>
  </w:abstractNum>
  <w:abstractNum w:abstractNumId="23">
    <w:nsid w:val="79838CB2"/>
    <w:multiLevelType w:val="hybridMultilevel"/>
    <w:lvl w:ilvl="0">
      <w:lvlJc w:val="left"/>
      <w:lvlText w:val="%1."/>
      <w:numFmt w:val="decimal"/>
      <w:start w:val="2"/>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2021-10-21T15:10:29Z</dcterms:created>
  <dcterms:modified xsi:type="dcterms:W3CDTF">2021-10-21T15:10:29Z</dcterms:modified>
</cp:coreProperties>
</file>