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2" w:lineRule="exact"/>
        <w:rPr>
          <w:sz w:val="24"/>
          <w:szCs w:val="24"/>
          <w:color w:val="auto"/>
        </w:rPr>
      </w:pPr>
    </w:p>
    <w:tbl>
      <w:tblPr>
        <w:tblLayout w:type="fixed"/>
        <w:tblInd w:w="220" w:type="dxa"/>
        <w:tblCellMar>
          <w:top w:w="0" w:type="dxa"/>
          <w:left w:w="0" w:type="dxa"/>
          <w:bottom w:w="0" w:type="dxa"/>
          <w:right w:w="0" w:type="dxa"/>
        </w:tblCellMar>
      </w:tblPr>
      <w:tr>
        <w:trPr>
          <w:trHeight w:val="205"/>
        </w:trPr>
        <w:tc>
          <w:tcPr>
            <w:tcW w:w="7940" w:type="dxa"/>
            <w:vAlign w:val="bottom"/>
            <w:gridSpan w:val="3"/>
          </w:tcPr>
          <w:p>
            <w:pPr>
              <w:jc w:val="center"/>
              <w:ind w:left="2102"/>
              <w:spacing w:after="0"/>
              <w:rPr>
                <w:sz w:val="20"/>
                <w:szCs w:val="20"/>
                <w:color w:val="auto"/>
              </w:rPr>
            </w:pPr>
            <w:r>
              <w:rPr>
                <w:rFonts w:ascii="Times New Roman" w:cs="Times New Roman" w:eastAsia="Times New Roman" w:hAnsi="Times New Roman"/>
                <w:sz w:val="16"/>
                <w:szCs w:val="16"/>
                <w:b w:val="1"/>
                <w:bCs w:val="1"/>
                <w:color w:val="auto"/>
                <w:w w:val="97"/>
              </w:rPr>
              <w:t>FOR THE FISCAL YEAR ENDED SEPTEMBER 30, 2023</w:t>
            </w:r>
          </w:p>
        </w:tc>
      </w:tr>
      <w:tr>
        <w:trPr>
          <w:trHeight w:val="276"/>
        </w:trPr>
        <w:tc>
          <w:tcPr>
            <w:tcW w:w="6660" w:type="dxa"/>
            <w:vAlign w:val="bottom"/>
            <w:gridSpan w:val="2"/>
          </w:tcPr>
          <w:p>
            <w:pPr>
              <w:jc w:val="center"/>
              <w:ind w:left="3402"/>
              <w:spacing w:after="0"/>
              <w:rPr>
                <w:sz w:val="20"/>
                <w:szCs w:val="20"/>
                <w:color w:val="auto"/>
              </w:rPr>
            </w:pPr>
            <w:r>
              <w:rPr>
                <w:rFonts w:ascii="Times New Roman" w:cs="Times New Roman" w:eastAsia="Times New Roman" w:hAnsi="Times New Roman"/>
                <w:sz w:val="16"/>
                <w:szCs w:val="16"/>
                <w:b w:val="1"/>
                <w:bCs w:val="1"/>
                <w:color w:val="auto"/>
                <w:w w:val="91"/>
              </w:rPr>
              <w:t>OR</w:t>
            </w:r>
          </w:p>
        </w:tc>
        <w:tc>
          <w:tcPr>
            <w:tcW w:w="1280" w:type="dxa"/>
            <w:vAlign w:val="bottom"/>
          </w:tcPr>
          <w:p>
            <w:pPr>
              <w:spacing w:after="0"/>
              <w:rPr>
                <w:sz w:val="24"/>
                <w:szCs w:val="24"/>
                <w:color w:val="auto"/>
              </w:rPr>
            </w:pPr>
          </w:p>
        </w:tc>
      </w:tr>
      <w:tr>
        <w:trPr>
          <w:trHeight w:val="276"/>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7"/>
              </w:rPr>
              <w:t>TRANSITION REPORT PURSUANT TO SECTION 13 OR 15(d) OF THE SECURITIES EXCHANGE ACT OF 1934</w:t>
            </w:r>
          </w:p>
        </w:tc>
      </w:tr>
      <w:tr>
        <w:trPr>
          <w:trHeight w:val="242"/>
        </w:trPr>
        <w:tc>
          <w:tcPr>
            <w:tcW w:w="6180" w:type="dxa"/>
            <w:vAlign w:val="bottom"/>
          </w:tcPr>
          <w:p>
            <w:pPr>
              <w:ind w:left="3260"/>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480" w:type="dxa"/>
            <w:vAlign w:val="bottom"/>
            <w:tcBorders>
              <w:bottom w:val="single" w:sz="8" w:color="auto"/>
            </w:tcBorders>
          </w:tcPr>
          <w:p>
            <w:pPr>
              <w:spacing w:after="0"/>
              <w:rPr>
                <w:sz w:val="21"/>
                <w:szCs w:val="21"/>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90"/>
        </w:trPr>
        <w:tc>
          <w:tcPr>
            <w:tcW w:w="6660" w:type="dxa"/>
            <w:vAlign w:val="bottom"/>
            <w:gridSpan w:val="2"/>
          </w:tcPr>
          <w:p>
            <w:pPr>
              <w:jc w:val="center"/>
              <w:ind w:left="3402"/>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814-00736</w:t>
            </w:r>
          </w:p>
        </w:tc>
        <w:tc>
          <w:tcPr>
            <w:tcW w:w="1280" w:type="dxa"/>
            <w:vAlign w:val="bottom"/>
          </w:tcPr>
          <w:p>
            <w:pPr>
              <w:spacing w:after="0"/>
              <w:rPr>
                <w:sz w:val="24"/>
                <w:szCs w:val="24"/>
                <w:color w:val="auto"/>
              </w:rPr>
            </w:pPr>
          </w:p>
        </w:tc>
      </w:tr>
    </w:tbl>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PENNANTPARK INVESTMENT CORPORATION</w:t>
      </w:r>
    </w:p>
    <w:p>
      <w:pPr>
        <w:sectPr>
          <w:pgSz w:w="11900" w:h="16840" w:orient="portrait"/>
          <w:cols w:equalWidth="0" w:num="1">
            <w:col w:w="10520"/>
          </w:cols>
          <w:pgMar w:left="660" w:top="816" w:right="720" w:bottom="1440" w:gutter="0" w:footer="0" w:header="0"/>
        </w:sectPr>
      </w:pPr>
    </w:p>
    <w:p>
      <w:pPr>
        <w:spacing w:after="0" w:line="3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4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MARYLAND</w:t>
      </w:r>
    </w:p>
    <w:p>
      <w:pPr>
        <w:spacing w:after="0" w:line="6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p>
      <w:pPr>
        <w:spacing w:after="0" w:line="186"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1691 Michigan Avenue</w:t>
      </w:r>
    </w:p>
    <w:p>
      <w:pPr>
        <w:spacing w:after="0" w:line="2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Miami Beach, Florida.</w:t>
      </w:r>
    </w:p>
    <w:p>
      <w:pPr>
        <w:spacing w:after="0" w:line="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51" w:lineRule="exact"/>
        <w:rPr>
          <w:sz w:val="24"/>
          <w:szCs w:val="24"/>
          <w:color w:val="auto"/>
        </w:rPr>
      </w:pPr>
    </w:p>
    <w:p>
      <w:pPr>
        <w:jc w:val="center"/>
        <w:ind w:left="3840"/>
        <w:spacing w:after="0"/>
        <w:rPr>
          <w:sz w:val="20"/>
          <w:szCs w:val="20"/>
          <w:color w:val="auto"/>
        </w:rPr>
      </w:pPr>
      <w:r>
        <w:rPr>
          <w:rFonts w:ascii="Times New Roman" w:cs="Times New Roman" w:eastAsia="Times New Roman" w:hAnsi="Times New Roman"/>
          <w:sz w:val="13"/>
          <w:szCs w:val="13"/>
          <w:b w:val="1"/>
          <w:bCs w:val="1"/>
          <w:color w:val="auto"/>
        </w:rPr>
        <w:t>(786) 297-9500</w:t>
      </w:r>
    </w:p>
    <w:p>
      <w:pPr>
        <w:spacing w:after="0" w:line="2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20-8250744</w:t>
      </w:r>
    </w:p>
    <w:p>
      <w:pPr>
        <w:spacing w:after="0" w:line="4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5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33319</w:t>
      </w:r>
    </w:p>
    <w:p>
      <w:pPr>
        <w:spacing w:after="0" w:line="11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919" w:lineRule="exact"/>
        <w:rPr>
          <w:sz w:val="24"/>
          <w:szCs w:val="24"/>
          <w:color w:val="auto"/>
        </w:rPr>
      </w:pPr>
    </w:p>
    <w:p>
      <w:pPr>
        <w:sectPr>
          <w:pgSz w:w="11900" w:h="16840" w:orient="portrait"/>
          <w:cols w:equalWidth="0" w:num="2">
            <w:col w:w="6740" w:space="240"/>
            <w:col w:w="3540"/>
          </w:cols>
          <w:pgMar w:left="660" w:top="816" w:right="720" w:bottom="1440" w:gutter="0" w:footer="0" w:header="0"/>
          <w:type w:val="continuous"/>
        </w:sectPr>
      </w:pPr>
    </w:p>
    <w:p>
      <w:pPr>
        <w:ind w:left="1600"/>
        <w:spacing w:after="0"/>
        <w:tabs>
          <w:tab w:leader="none" w:pos="4740" w:val="left"/>
          <w:tab w:leader="none" w:pos="7140" w:val="left"/>
        </w:tabs>
        <w:rPr>
          <w:sz w:val="20"/>
          <w:szCs w:val="20"/>
          <w:color w:val="auto"/>
        </w:rPr>
      </w:pPr>
      <w:r>
        <w:rPr>
          <w:rFonts w:ascii="Times New Roman" w:cs="Times New Roman" w:eastAsia="Times New Roman" w:hAnsi="Times New Roman"/>
          <w:sz w:val="13"/>
          <w:szCs w:val="13"/>
          <w:b w:val="1"/>
          <w:bCs w:val="1"/>
          <w:color w:val="auto"/>
        </w:rPr>
        <w:t>Title of Each Class</w:t>
      </w:r>
      <w:r>
        <w:rPr>
          <w:sz w:val="20"/>
          <w:szCs w:val="20"/>
          <w:color w:val="auto"/>
        </w:rPr>
        <w:tab/>
      </w:r>
      <w:r>
        <w:rPr>
          <w:rFonts w:ascii="Times New Roman" w:cs="Times New Roman" w:eastAsia="Times New Roman" w:hAnsi="Times New Roman"/>
          <w:sz w:val="13"/>
          <w:szCs w:val="13"/>
          <w:b w:val="1"/>
          <w:bCs w:val="1"/>
          <w:color w:val="auto"/>
        </w:rPr>
        <w:t>Trading 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33" w:lineRule="exact"/>
        <w:rPr>
          <w:sz w:val="24"/>
          <w:szCs w:val="24"/>
          <w:color w:val="auto"/>
        </w:rPr>
      </w:pPr>
    </w:p>
    <w:p>
      <w:pPr>
        <w:ind w:left="980"/>
        <w:spacing w:after="0"/>
        <w:tabs>
          <w:tab w:leader="none" w:pos="5100" w:val="left"/>
          <w:tab w:leader="none" w:pos="7600" w:val="left"/>
        </w:tabs>
        <w:rPr>
          <w:sz w:val="20"/>
          <w:szCs w:val="20"/>
          <w:color w:val="auto"/>
        </w:rPr>
      </w:pPr>
      <w:r>
        <w:rPr>
          <w:rFonts w:ascii="Times New Roman" w:cs="Times New Roman" w:eastAsia="Times New Roman" w:hAnsi="Times New Roman"/>
          <w:sz w:val="13"/>
          <w:szCs w:val="13"/>
          <w:color w:val="auto"/>
        </w:rPr>
        <w:t>Common Stock, par value $0.001 per share</w:t>
      </w:r>
      <w:r>
        <w:rPr>
          <w:sz w:val="20"/>
          <w:szCs w:val="20"/>
          <w:color w:val="auto"/>
        </w:rPr>
        <w:tab/>
      </w:r>
      <w:r>
        <w:rPr>
          <w:rFonts w:ascii="Times New Roman" w:cs="Times New Roman" w:eastAsia="Times New Roman" w:hAnsi="Times New Roman"/>
          <w:sz w:val="13"/>
          <w:szCs w:val="13"/>
          <w:color w:val="auto"/>
        </w:rPr>
        <w:t>PNNT</w:t>
      </w:r>
      <w:r>
        <w:rPr>
          <w:sz w:val="20"/>
          <w:szCs w:val="20"/>
          <w:color w:val="auto"/>
        </w:rPr>
        <w:tab/>
      </w:r>
      <w:r>
        <w:rPr>
          <w:rFonts w:ascii="Times New Roman" w:cs="Times New Roman" w:eastAsia="Times New Roman" w:hAnsi="Times New Roman"/>
          <w:sz w:val="13"/>
          <w:szCs w:val="13"/>
          <w:color w:val="auto"/>
        </w:rPr>
        <w:t>The New York Stock Exchange</w:t>
      </w:r>
    </w:p>
    <w:p>
      <w:pPr>
        <w:spacing w:after="0" w:line="16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69" w:lineRule="exact"/>
        <w:rPr>
          <w:sz w:val="24"/>
          <w:szCs w:val="24"/>
          <w:color w:val="auto"/>
        </w:rPr>
      </w:pPr>
    </w:p>
    <w:p>
      <w:pPr>
        <w:ind w:left="420"/>
        <w:spacing w:after="0"/>
        <w:tabs>
          <w:tab w:leader="none" w:pos="6740" w:val="left"/>
          <w:tab w:leader="none" w:pos="7180" w:val="left"/>
        </w:tabs>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tab/>
        <w:t>Yes</w:t>
      </w:r>
      <w:r>
        <w:rPr>
          <w:sz w:val="20"/>
          <w:szCs w:val="20"/>
          <w:color w:val="auto"/>
        </w:rPr>
        <w:tab/>
      </w:r>
      <w:r>
        <w:rPr>
          <w:rFonts w:ascii="Times New Roman" w:cs="Times New Roman" w:eastAsia="Times New Roman" w:hAnsi="Times New Roman"/>
          <w:sz w:val="13"/>
          <w:szCs w:val="13"/>
          <w:color w:val="auto"/>
        </w:rPr>
        <w:t>No  .</w:t>
      </w:r>
    </w:p>
    <w:p>
      <w:pPr>
        <w:spacing w:after="0" w:line="67" w:lineRule="exact"/>
        <w:rPr>
          <w:sz w:val="24"/>
          <w:szCs w:val="24"/>
          <w:color w:val="auto"/>
        </w:rPr>
      </w:pPr>
    </w:p>
    <w:p>
      <w:pPr>
        <w:ind w:left="420"/>
        <w:spacing w:after="0"/>
        <w:tabs>
          <w:tab w:leader="none" w:pos="6840" w:val="left"/>
          <w:tab w:leader="none" w:pos="7300" w:val="left"/>
        </w:tabs>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tab/>
        <w:t>Yes</w:t>
      </w:r>
      <w:r>
        <w:rPr>
          <w:sz w:val="20"/>
          <w:szCs w:val="20"/>
          <w:color w:val="auto"/>
        </w:rPr>
        <w:tab/>
      </w:r>
      <w:r>
        <w:rPr>
          <w:rFonts w:ascii="Times New Roman" w:cs="Times New Roman" w:eastAsia="Times New Roman" w:hAnsi="Times New Roman"/>
          <w:sz w:val="13"/>
          <w:szCs w:val="13"/>
          <w:color w:val="auto"/>
        </w:rPr>
        <w:t>No  .</w:t>
      </w:r>
    </w:p>
    <w:p>
      <w:pPr>
        <w:spacing w:after="0" w:line="6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w:t>
      </w:r>
    </w:p>
    <w:p>
      <w:pPr>
        <w:spacing w:after="0" w:line="21" w:lineRule="exact"/>
        <w:rPr>
          <w:sz w:val="24"/>
          <w:szCs w:val="24"/>
          <w:color w:val="auto"/>
        </w:rPr>
      </w:pPr>
    </w:p>
    <w:p>
      <w:pPr>
        <w:spacing w:after="0"/>
        <w:tabs>
          <w:tab w:leader="none" w:pos="7760" w:val="left"/>
          <w:tab w:leader="none" w:pos="8220" w:val="left"/>
          <w:tab w:leader="none" w:pos="8500" w:val="left"/>
        </w:tabs>
        <w:rPr>
          <w:sz w:val="20"/>
          <w:szCs w:val="20"/>
          <w:color w:val="auto"/>
        </w:rPr>
      </w:pPr>
      <w:r>
        <w:rPr>
          <w:rFonts w:ascii="Times New Roman" w:cs="Times New Roman" w:eastAsia="Times New Roman" w:hAnsi="Times New Roman"/>
          <w:sz w:val="13"/>
          <w:szCs w:val="13"/>
          <w:color w:val="auto"/>
        </w:rPr>
        <w:t>such shorter period that the registrant was required to file such reports), and (2) has been subject to such filing requirements for the past 90 days.</w:t>
        <w:tab/>
        <w:t>Yes</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Times New Roman" w:cs="Times New Roman" w:eastAsia="Times New Roman" w:hAnsi="Times New Roman"/>
          <w:sz w:val="8"/>
          <w:szCs w:val="8"/>
          <w:color w:val="auto"/>
        </w:rPr>
        <w:t>.</w:t>
      </w:r>
    </w:p>
    <w:p>
      <w:pPr>
        <w:spacing w:after="0" w:line="53"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w:t>
      </w:r>
    </w:p>
    <w:p>
      <w:pPr>
        <w:spacing w:after="0" w:line="21" w:lineRule="exact"/>
        <w:rPr>
          <w:sz w:val="24"/>
          <w:szCs w:val="24"/>
          <w:color w:val="auto"/>
        </w:rPr>
      </w:pPr>
    </w:p>
    <w:p>
      <w:pPr>
        <w:spacing w:after="0"/>
        <w:tabs>
          <w:tab w:leader="none" w:pos="6480" w:val="left"/>
          <w:tab w:leader="none" w:pos="6960" w:val="left"/>
        </w:tabs>
        <w:rPr>
          <w:sz w:val="20"/>
          <w:szCs w:val="20"/>
          <w:color w:val="auto"/>
        </w:rPr>
      </w:pPr>
      <w:r>
        <w:rPr>
          <w:rFonts w:ascii="Times New Roman" w:cs="Times New Roman" w:eastAsia="Times New Roman" w:hAnsi="Times New Roman"/>
          <w:sz w:val="13"/>
          <w:szCs w:val="13"/>
          <w:color w:val="auto"/>
        </w:rPr>
        <w:t>chapter) during the preceding 12 months (or for such shorter period that the registrant was required to submit such files).</w:t>
        <w:tab/>
        <w:t>Yes</w:t>
      </w:r>
      <w:r>
        <w:rPr>
          <w:sz w:val="20"/>
          <w:szCs w:val="20"/>
          <w:color w:val="auto"/>
        </w:rPr>
        <w:tab/>
      </w:r>
      <w:r>
        <w:rPr>
          <w:rFonts w:ascii="Times New Roman" w:cs="Times New Roman" w:eastAsia="Times New Roman" w:hAnsi="Times New Roman"/>
          <w:sz w:val="13"/>
          <w:szCs w:val="13"/>
          <w:color w:val="auto"/>
        </w:rPr>
        <w:t>No</w:t>
      </w:r>
    </w:p>
    <w:p>
      <w:pPr>
        <w:spacing w:after="0" w:line="53" w:lineRule="exact"/>
        <w:rPr>
          <w:sz w:val="24"/>
          <w:szCs w:val="24"/>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p>
      <w:pPr>
        <w:ind w:left="20"/>
        <w:spacing w:after="0"/>
        <w:tabs>
          <w:tab w:leader="none" w:pos="814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Times New Roman" w:cs="Times New Roman" w:eastAsia="Times New Roman" w:hAnsi="Times New Roman"/>
          <w:sz w:val="13"/>
          <w:szCs w:val="13"/>
          <w:color w:val="auto"/>
        </w:rPr>
        <w:t>Accelerated filer</w:t>
      </w:r>
    </w:p>
    <w:p>
      <w:pPr>
        <w:spacing w:after="0" w:line="139" w:lineRule="exact"/>
        <w:rPr>
          <w:sz w:val="24"/>
          <w:szCs w:val="24"/>
          <w:color w:val="auto"/>
        </w:rPr>
      </w:pPr>
    </w:p>
    <w:p>
      <w:pPr>
        <w:ind w:left="20"/>
        <w:spacing w:after="0"/>
        <w:tabs>
          <w:tab w:leader="none" w:pos="8140" w:val="left"/>
        </w:tabs>
        <w:rPr>
          <w:sz w:val="20"/>
          <w:szCs w:val="20"/>
          <w:color w:val="auto"/>
        </w:rPr>
      </w:pPr>
      <w:r>
        <w:rPr>
          <w:rFonts w:ascii="Times New Roman" w:cs="Times New Roman" w:eastAsia="Times New Roman" w:hAnsi="Times New Roman"/>
          <w:sz w:val="13"/>
          <w:szCs w:val="13"/>
          <w:color w:val="auto"/>
        </w:rPr>
        <w:t>Non-accelerated filer</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115" w:lineRule="exact"/>
        <w:rPr>
          <w:sz w:val="24"/>
          <w:szCs w:val="24"/>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0" w:lineRule="exact"/>
        <w:rPr>
          <w:sz w:val="24"/>
          <w:szCs w:val="24"/>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40" w:lineRule="exact"/>
        <w:rPr>
          <w:sz w:val="24"/>
          <w:szCs w:val="24"/>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If securities are registered pursuant to Section (b) of the Act, indicate by check mark whether the financial statements of the registrant included in the filing reflect the correction of an error to previously issued financial statements.</w:t>
      </w:r>
    </w:p>
    <w:p>
      <w:pPr>
        <w:spacing w:after="0" w:line="40" w:lineRule="exact"/>
        <w:rPr>
          <w:sz w:val="24"/>
          <w:szCs w:val="24"/>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any of these error corrections are restatements that required a recovery analysis of incentive-based compensation received by any of the registrant's executive officers during the relevant recovery period pursuant to §240.10D-1(b).</w:t>
      </w:r>
    </w:p>
    <w:p>
      <w:pPr>
        <w:spacing w:after="0" w:line="16" w:lineRule="exact"/>
        <w:rPr>
          <w:sz w:val="24"/>
          <w:szCs w:val="24"/>
          <w:color w:val="auto"/>
        </w:rPr>
      </w:pPr>
    </w:p>
    <w:p>
      <w:pPr>
        <w:ind w:left="420"/>
        <w:spacing w:after="0"/>
        <w:tabs>
          <w:tab w:leader="none" w:pos="6540" w:val="left"/>
          <w:tab w:leader="none" w:pos="69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Yes</w:t>
      </w:r>
      <w:r>
        <w:rPr>
          <w:sz w:val="20"/>
          <w:szCs w:val="20"/>
          <w:color w:val="auto"/>
        </w:rPr>
        <w:tab/>
      </w:r>
      <w:r>
        <w:rPr>
          <w:rFonts w:ascii="Times New Roman" w:cs="Times New Roman" w:eastAsia="Times New Roman" w:hAnsi="Times New Roman"/>
          <w:sz w:val="13"/>
          <w:szCs w:val="13"/>
          <w:color w:val="auto"/>
        </w:rPr>
        <w:t>No  .</w:t>
      </w:r>
    </w:p>
    <w:p>
      <w:pPr>
        <w:spacing w:after="0" w:line="67" w:lineRule="exact"/>
        <w:rPr>
          <w:sz w:val="24"/>
          <w:szCs w:val="24"/>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The aggregate market value of common stock held by non- affiliates of the Registrant on March 31, 2023 based on the closing price on that date of $5.28 on The New York Stock Exchange was approximately $332.2 million. For the purposes of calculating the aggregate market value of common stock held by non-affiliates, all directors and executive officers of the Registrant have been treated as affiliates. There were 65,224,500 shares of the Registrant’s common stock outstanding as of December 7, 2023.</w:t>
      </w:r>
    </w:p>
    <w:p>
      <w:pPr>
        <w:spacing w:after="0" w:line="27" w:lineRule="exact"/>
        <w:rPr>
          <w:sz w:val="24"/>
          <w:szCs w:val="24"/>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Documents Incorporated by Reference: Portions of the Registrant’s Proxy Statement relating to the Registrant’s 2024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203200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16" w:right="72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60" w:type="dxa"/>
            <w:vAlign w:val="bottom"/>
            <w:gridSpan w:val="14"/>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40" w:type="dxa"/>
            <w:vAlign w:val="bottom"/>
            <w:gridSpan w:val="10"/>
          </w:tcPr>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FORM 10-K</w:t>
            </w: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60" w:type="dxa"/>
            <w:vAlign w:val="bottom"/>
            <w:gridSpan w:val="14"/>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FOR THE FISCAL YEAR ENDED SEPTEMBER 30, 2023</w:t>
            </w: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gridSpan w:val="11"/>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7"/>
          </w:tcPr>
          <w:p>
            <w:pPr>
              <w:jc w:val="center"/>
              <w:ind w:right="156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w:t>
              </w:r>
            </w:hyperlink>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480" w:type="dxa"/>
            <w:vAlign w:val="bottom"/>
            <w:tcBorders>
              <w:bottom w:val="single" w:sz="8" w:color="0000FF"/>
            </w:tcBorders>
          </w:tcPr>
          <w:p>
            <w:pPr>
              <w:spacing w:after="0"/>
              <w:rPr>
                <w:rFonts w:ascii="Times New Roman" w:cs="Times New Roman" w:eastAsia="Times New Roman" w:hAnsi="Times New Roman"/>
                <w:sz w:val="13"/>
                <w:szCs w:val="13"/>
                <w:color w:val="0000FF"/>
                <w:w w:val="99"/>
              </w:rPr>
            </w:pPr>
            <w:hyperlink w:anchor="page4">
              <w:r>
                <w:rPr>
                  <w:rFonts w:ascii="Times New Roman" w:cs="Times New Roman" w:eastAsia="Times New Roman" w:hAnsi="Times New Roman"/>
                  <w:sz w:val="13"/>
                  <w:szCs w:val="13"/>
                  <w:color w:val="0000FF"/>
                  <w:w w:val="99"/>
                </w:rPr>
                <w:t>Business</w:t>
              </w:r>
            </w:hyperlink>
          </w:p>
        </w:tc>
        <w:tc>
          <w:tcPr>
            <w:tcW w:w="3500" w:type="dxa"/>
            <w:vAlign w:val="bottom"/>
            <w:gridSpan w:val="18"/>
          </w:tcPr>
          <w:p>
            <w:pPr>
              <w:spacing w:after="0"/>
              <w:rPr>
                <w:sz w:val="24"/>
                <w:szCs w:val="24"/>
                <w:color w:val="auto"/>
              </w:rPr>
            </w:pPr>
          </w:p>
        </w:tc>
        <w:tc>
          <w:tcPr>
            <w:tcW w:w="440" w:type="dxa"/>
            <w:vAlign w:val="bottom"/>
            <w:tcBorders>
              <w:top w:val="single" w:sz="8" w:color="0000FF"/>
            </w:tcBorders>
            <w:gridSpan w:val="2"/>
          </w:tcPr>
          <w:p>
            <w:pPr>
              <w:spacing w:after="0"/>
              <w:rPr>
                <w:sz w:val="24"/>
                <w:szCs w:val="24"/>
                <w:color w:val="auto"/>
              </w:rPr>
            </w:pPr>
          </w:p>
        </w:tc>
        <w:tc>
          <w:tcPr>
            <w:tcW w:w="1560" w:type="dxa"/>
            <w:vAlign w:val="bottom"/>
            <w:gridSpan w:val="5"/>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1A.</w:t>
            </w: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20">
              <w:r>
                <w:rPr>
                  <w:rFonts w:ascii="Times New Roman" w:cs="Times New Roman" w:eastAsia="Times New Roman" w:hAnsi="Times New Roman"/>
                  <w:sz w:val="13"/>
                  <w:szCs w:val="13"/>
                  <w:color w:val="0000FF"/>
                </w:rPr>
                <w:t>Risk Factors</w:t>
              </w:r>
            </w:hyperlink>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Item 1B.</w:t>
            </w: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37</w:t>
            </w:r>
          </w:p>
        </w:tc>
        <w:tc>
          <w:tcPr>
            <w:tcW w:w="0" w:type="dxa"/>
            <w:vAlign w:val="bottom"/>
          </w:tcPr>
          <w:p>
            <w:pPr>
              <w:spacing w:after="0" w:line="20" w:lineRule="exact"/>
              <w:rPr>
                <w:sz w:val="1"/>
                <w:szCs w:val="1"/>
                <w:color w:val="auto"/>
              </w:rPr>
            </w:pPr>
          </w:p>
        </w:tc>
      </w:tr>
      <w:tr>
        <w:trPr>
          <w:trHeight w:val="340"/>
        </w:trPr>
        <w:tc>
          <w:tcPr>
            <w:tcW w:w="1080" w:type="dxa"/>
            <w:vAlign w:val="bottom"/>
            <w:vMerge w:val="continue"/>
          </w:tcPr>
          <w:p>
            <w:pPr>
              <w:spacing w:after="0"/>
              <w:rPr>
                <w:sz w:val="24"/>
                <w:szCs w:val="24"/>
                <w:color w:val="auto"/>
              </w:rPr>
            </w:pP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37">
              <w:r>
                <w:rPr>
                  <w:rFonts w:ascii="Times New Roman" w:cs="Times New Roman" w:eastAsia="Times New Roman" w:hAnsi="Times New Roman"/>
                  <w:sz w:val="13"/>
                  <w:szCs w:val="13"/>
                  <w:color w:val="0000FF"/>
                </w:rPr>
                <w:t>Unresolved Staff Comments</w:t>
              </w:r>
            </w:hyperlink>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1C.</w:t>
            </w:r>
          </w:p>
        </w:tc>
        <w:tc>
          <w:tcPr>
            <w:tcW w:w="7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w w:val="98"/>
              </w:rPr>
            </w:pPr>
            <w:hyperlink w:anchor="page37">
              <w:r>
                <w:rPr>
                  <w:rFonts w:ascii="Times New Roman" w:cs="Times New Roman" w:eastAsia="Times New Roman" w:hAnsi="Times New Roman"/>
                  <w:sz w:val="13"/>
                  <w:szCs w:val="13"/>
                  <w:color w:val="0000FF"/>
                  <w:w w:val="98"/>
                </w:rPr>
                <w:t>Cybersecurity</w:t>
              </w:r>
            </w:hyperlink>
          </w:p>
        </w:tc>
        <w:tc>
          <w:tcPr>
            <w:tcW w:w="760" w:type="dxa"/>
            <w:vAlign w:val="bottom"/>
            <w:tcBorders>
              <w:top w:val="single" w:sz="8" w:color="0000FF"/>
            </w:tcBorders>
            <w:gridSpan w:val="5"/>
          </w:tcPr>
          <w:p>
            <w:pPr>
              <w:spacing w:after="0"/>
              <w:rPr>
                <w:sz w:val="24"/>
                <w:szCs w:val="24"/>
                <w:color w:val="auto"/>
              </w:rPr>
            </w:pPr>
          </w:p>
        </w:tc>
        <w:tc>
          <w:tcPr>
            <w:tcW w:w="4480" w:type="dxa"/>
            <w:vAlign w:val="bottom"/>
            <w:gridSpan w:val="16"/>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37</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2.</w:t>
            </w: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37">
              <w:r>
                <w:rPr>
                  <w:rFonts w:ascii="Times New Roman" w:cs="Times New Roman" w:eastAsia="Times New Roman" w:hAnsi="Times New Roman"/>
                  <w:sz w:val="13"/>
                  <w:szCs w:val="13"/>
                  <w:color w:val="0000FF"/>
                </w:rPr>
                <w:t>Properties</w:t>
              </w:r>
            </w:hyperlink>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37</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Item 3.</w:t>
            </w:r>
          </w:p>
        </w:tc>
        <w:tc>
          <w:tcPr>
            <w:tcW w:w="5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37</w:t>
            </w:r>
          </w:p>
        </w:tc>
        <w:tc>
          <w:tcPr>
            <w:tcW w:w="0" w:type="dxa"/>
            <w:vAlign w:val="bottom"/>
          </w:tcPr>
          <w:p>
            <w:pPr>
              <w:spacing w:after="0" w:line="20" w:lineRule="exact"/>
              <w:rPr>
                <w:sz w:val="1"/>
                <w:szCs w:val="1"/>
                <w:color w:val="auto"/>
              </w:rPr>
            </w:pPr>
          </w:p>
        </w:tc>
      </w:tr>
      <w:tr>
        <w:trPr>
          <w:trHeight w:val="400"/>
        </w:trPr>
        <w:tc>
          <w:tcPr>
            <w:tcW w:w="1080" w:type="dxa"/>
            <w:vAlign w:val="bottom"/>
            <w:vMerge w:val="continue"/>
          </w:tcPr>
          <w:p>
            <w:pPr>
              <w:spacing w:after="0"/>
              <w:rPr>
                <w:sz w:val="24"/>
                <w:szCs w:val="24"/>
                <w:color w:val="auto"/>
              </w:rPr>
            </w:pP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37">
              <w:r>
                <w:rPr>
                  <w:rFonts w:ascii="Times New Roman" w:cs="Times New Roman" w:eastAsia="Times New Roman" w:hAnsi="Times New Roman"/>
                  <w:sz w:val="13"/>
                  <w:szCs w:val="13"/>
                  <w:color w:val="0000FF"/>
                </w:rPr>
                <w:t>Legal Proceedings</w:t>
              </w:r>
            </w:hyperlink>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Item 4.</w:t>
            </w:r>
          </w:p>
        </w:tc>
        <w:tc>
          <w:tcPr>
            <w:tcW w:w="5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37</w:t>
            </w:r>
          </w:p>
        </w:tc>
        <w:tc>
          <w:tcPr>
            <w:tcW w:w="0" w:type="dxa"/>
            <w:vAlign w:val="bottom"/>
          </w:tcPr>
          <w:p>
            <w:pPr>
              <w:spacing w:after="0" w:line="20" w:lineRule="exact"/>
              <w:rPr>
                <w:sz w:val="1"/>
                <w:szCs w:val="1"/>
                <w:color w:val="auto"/>
              </w:rPr>
            </w:pPr>
          </w:p>
        </w:tc>
      </w:tr>
      <w:tr>
        <w:trPr>
          <w:trHeight w:val="340"/>
        </w:trPr>
        <w:tc>
          <w:tcPr>
            <w:tcW w:w="1080" w:type="dxa"/>
            <w:vAlign w:val="bottom"/>
            <w:vMerge w:val="continue"/>
          </w:tcPr>
          <w:p>
            <w:pPr>
              <w:spacing w:after="0"/>
              <w:rPr>
                <w:sz w:val="24"/>
                <w:szCs w:val="24"/>
                <w:color w:val="auto"/>
              </w:rPr>
            </w:pP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37">
              <w:r>
                <w:rPr>
                  <w:rFonts w:ascii="Times New Roman" w:cs="Times New Roman" w:eastAsia="Times New Roman" w:hAnsi="Times New Roman"/>
                  <w:sz w:val="13"/>
                  <w:szCs w:val="13"/>
                  <w:color w:val="0000FF"/>
                </w:rPr>
                <w:t>Mine Safety Disclosures</w:t>
              </w:r>
            </w:hyperlink>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FF"/>
            </w:tcBorders>
            <w:gridSpan w:val="4"/>
          </w:tcPr>
          <w:p>
            <w:pPr>
              <w:jc w:val="center"/>
              <w:spacing w:after="0"/>
              <w:rPr>
                <w:rFonts w:ascii="Times New Roman" w:cs="Times New Roman" w:eastAsia="Times New Roman" w:hAnsi="Times New Roman"/>
                <w:sz w:val="13"/>
                <w:szCs w:val="13"/>
                <w:b w:val="1"/>
                <w:bCs w:val="1"/>
                <w:color w:val="0000FF"/>
              </w:rPr>
            </w:pPr>
            <w:hyperlink w:anchor="page38">
              <w:r>
                <w:rPr>
                  <w:rFonts w:ascii="Times New Roman" w:cs="Times New Roman" w:eastAsia="Times New Roman" w:hAnsi="Times New Roman"/>
                  <w:sz w:val="13"/>
                  <w:szCs w:val="13"/>
                  <w:b w:val="1"/>
                  <w:bCs w:val="1"/>
                  <w:color w:val="0000FF"/>
                </w:rPr>
                <w:t>PART II</w:t>
              </w:r>
            </w:hyperlink>
          </w:p>
        </w:tc>
        <w:tc>
          <w:tcPr>
            <w:tcW w:w="1520" w:type="dxa"/>
            <w:vAlign w:val="bottom"/>
            <w:gridSpan w:val="4"/>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5.</w:t>
            </w:r>
          </w:p>
        </w:tc>
        <w:tc>
          <w:tcPr>
            <w:tcW w:w="598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rPr>
            </w:pPr>
            <w:hyperlink w:anchor="page38">
              <w:r>
                <w:rPr>
                  <w:rFonts w:ascii="Times New Roman" w:cs="Times New Roman" w:eastAsia="Times New Roman" w:hAnsi="Times New Roman"/>
                  <w:sz w:val="13"/>
                  <w:szCs w:val="13"/>
                  <w:color w:val="0000FF"/>
                </w:rPr>
                <w:t>Market For Registrant’s Common Equity, Related Stockholder Matters and Issuer Purchases of Equity Securities</w:t>
              </w:r>
            </w:hyperlink>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38</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126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rPr>
            </w:pPr>
            <w:hyperlink w:anchor="page42">
              <w:r>
                <w:rPr>
                  <w:rFonts w:ascii="Times New Roman" w:cs="Times New Roman" w:eastAsia="Times New Roman" w:hAnsi="Times New Roman"/>
                  <w:sz w:val="13"/>
                  <w:szCs w:val="13"/>
                  <w:color w:val="0000FF"/>
                </w:rPr>
                <w:t>Selected Financial Data</w:t>
              </w:r>
            </w:hyperlink>
          </w:p>
        </w:tc>
        <w:tc>
          <w:tcPr>
            <w:tcW w:w="4720" w:type="dxa"/>
            <w:vAlign w:val="bottom"/>
            <w:gridSpan w:val="19"/>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42</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7.</w:t>
            </w: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43">
              <w:r>
                <w:rPr>
                  <w:rFonts w:ascii="Times New Roman" w:cs="Times New Roman" w:eastAsia="Times New Roman" w:hAnsi="Times New Roman"/>
                  <w:sz w:val="13"/>
                  <w:szCs w:val="13"/>
                  <w:color w:val="0000FF"/>
                </w:rPr>
                <w:t>Management’s Discussion and Analysis of Financial Condition and Results of Operations</w:t>
              </w:r>
            </w:hyperlink>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43</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7A.</w:t>
            </w:r>
          </w:p>
        </w:tc>
        <w:tc>
          <w:tcPr>
            <w:tcW w:w="320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3"/>
                <w:szCs w:val="13"/>
                <w:color w:val="0000FF"/>
              </w:rPr>
            </w:pPr>
            <w:hyperlink w:anchor="page59">
              <w:r>
                <w:rPr>
                  <w:rFonts w:ascii="Times New Roman" w:cs="Times New Roman" w:eastAsia="Times New Roman" w:hAnsi="Times New Roman"/>
                  <w:sz w:val="13"/>
                  <w:szCs w:val="13"/>
                  <w:color w:val="0000FF"/>
                </w:rPr>
                <w:t>Quantitative and Qualitative Disclosures About Market Risk</w:t>
              </w:r>
            </w:hyperlink>
          </w:p>
        </w:tc>
        <w:tc>
          <w:tcPr>
            <w:tcW w:w="1540" w:type="dxa"/>
            <w:vAlign w:val="bottom"/>
            <w:tcBorders>
              <w:top w:val="single" w:sz="8" w:color="0000FF"/>
            </w:tcBorders>
            <w:gridSpan w:val="9"/>
          </w:tcPr>
          <w:p>
            <w:pPr>
              <w:spacing w:after="0"/>
              <w:rPr>
                <w:sz w:val="24"/>
                <w:szCs w:val="24"/>
                <w:color w:val="auto"/>
              </w:rPr>
            </w:pPr>
          </w:p>
        </w:tc>
        <w:tc>
          <w:tcPr>
            <w:tcW w:w="1240" w:type="dxa"/>
            <w:vAlign w:val="bottom"/>
            <w:gridSpan w:val="2"/>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59</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8.</w:t>
            </w:r>
          </w:p>
        </w:tc>
        <w:tc>
          <w:tcPr>
            <w:tcW w:w="318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rPr>
            </w:pPr>
            <w:hyperlink w:anchor="page60">
              <w:r>
                <w:rPr>
                  <w:rFonts w:ascii="Times New Roman" w:cs="Times New Roman" w:eastAsia="Times New Roman" w:hAnsi="Times New Roman"/>
                  <w:sz w:val="13"/>
                  <w:szCs w:val="13"/>
                  <w:color w:val="0000FF"/>
                </w:rPr>
                <w:t>Consolidated Financial Statements and Supplementary Data</w:t>
              </w:r>
            </w:hyperlink>
          </w:p>
        </w:tc>
        <w:tc>
          <w:tcPr>
            <w:tcW w:w="2800" w:type="dxa"/>
            <w:vAlign w:val="bottom"/>
            <w:gridSpan w:val="12"/>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60</w:t>
            </w:r>
          </w:p>
        </w:tc>
        <w:tc>
          <w:tcPr>
            <w:tcW w:w="0" w:type="dxa"/>
            <w:vAlign w:val="bottom"/>
          </w:tcPr>
          <w:p>
            <w:pPr>
              <w:spacing w:after="0"/>
              <w:rPr>
                <w:sz w:val="1"/>
                <w:szCs w:val="1"/>
                <w:color w:val="auto"/>
              </w:rPr>
            </w:pPr>
          </w:p>
        </w:tc>
      </w:tr>
      <w:tr>
        <w:trPr>
          <w:trHeight w:val="368"/>
        </w:trPr>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Item 9.</w:t>
            </w:r>
          </w:p>
        </w:tc>
        <w:tc>
          <w:tcPr>
            <w:tcW w:w="5980" w:type="dxa"/>
            <w:vAlign w:val="bottom"/>
            <w:gridSpan w:val="26"/>
            <w:vMerge w:val="restart"/>
          </w:tcPr>
          <w:p>
            <w:pPr>
              <w:spacing w:after="0"/>
              <w:rPr>
                <w:rFonts w:ascii="Times New Roman" w:cs="Times New Roman" w:eastAsia="Times New Roman" w:hAnsi="Times New Roman"/>
                <w:sz w:val="13"/>
                <w:szCs w:val="13"/>
                <w:color w:val="0000FF"/>
              </w:rPr>
            </w:pPr>
            <w:hyperlink w:anchor="page100">
              <w:r>
                <w:rPr>
                  <w:rFonts w:ascii="Times New Roman" w:cs="Times New Roman" w:eastAsia="Times New Roman" w:hAnsi="Times New Roman"/>
                  <w:sz w:val="13"/>
                  <w:szCs w:val="13"/>
                  <w:color w:val="0000FF"/>
                </w:rPr>
                <w:t>Changes in and Disagreements with Accountants on Accounting and Financial Disclosure</w:t>
              </w:r>
            </w:hyperlink>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100</w:t>
            </w:r>
          </w:p>
        </w:tc>
        <w:tc>
          <w:tcPr>
            <w:tcW w:w="0" w:type="dxa"/>
            <w:vAlign w:val="bottom"/>
          </w:tcPr>
          <w:p>
            <w:pPr>
              <w:spacing w:after="0"/>
              <w:rPr>
                <w:sz w:val="1"/>
                <w:szCs w:val="1"/>
                <w:color w:val="auto"/>
              </w:rPr>
            </w:pPr>
          </w:p>
        </w:tc>
      </w:tr>
      <w:tr>
        <w:trPr>
          <w:trHeight w:val="32"/>
        </w:trPr>
        <w:tc>
          <w:tcPr>
            <w:tcW w:w="1080" w:type="dxa"/>
            <w:vAlign w:val="bottom"/>
            <w:vMerge w:val="continue"/>
          </w:tcPr>
          <w:p>
            <w:pPr>
              <w:spacing w:after="0"/>
              <w:rPr>
                <w:sz w:val="2"/>
                <w:szCs w:val="2"/>
                <w:color w:val="auto"/>
              </w:rPr>
            </w:pPr>
          </w:p>
        </w:tc>
        <w:tc>
          <w:tcPr>
            <w:tcW w:w="5980" w:type="dxa"/>
            <w:vAlign w:val="bottom"/>
            <w:gridSpan w:val="26"/>
            <w:vMerge w:val="continue"/>
          </w:tcPr>
          <w:p>
            <w:pPr>
              <w:spacing w:after="0"/>
              <w:rPr>
                <w:sz w:val="2"/>
                <w:szCs w:val="2"/>
                <w:color w:val="auto"/>
              </w:rPr>
            </w:pPr>
          </w:p>
        </w:tc>
        <w:tc>
          <w:tcPr>
            <w:tcW w:w="3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9A.</w:t>
            </w:r>
          </w:p>
        </w:tc>
        <w:tc>
          <w:tcPr>
            <w:tcW w:w="4740" w:type="dxa"/>
            <w:vAlign w:val="bottom"/>
            <w:tcBorders>
              <w:top w:val="single" w:sz="8" w:color="0000FF"/>
            </w:tcBorders>
            <w:gridSpan w:val="24"/>
          </w:tcPr>
          <w:p>
            <w:pPr>
              <w:spacing w:after="0"/>
              <w:rPr>
                <w:rFonts w:ascii="Times New Roman" w:cs="Times New Roman" w:eastAsia="Times New Roman" w:hAnsi="Times New Roman"/>
                <w:sz w:val="13"/>
                <w:szCs w:val="13"/>
                <w:color w:val="0000FF"/>
              </w:rPr>
            </w:pPr>
            <w:hyperlink w:anchor="page100">
              <w:r>
                <w:rPr>
                  <w:rFonts w:ascii="Times New Roman" w:cs="Times New Roman" w:eastAsia="Times New Roman" w:hAnsi="Times New Roman"/>
                  <w:sz w:val="13"/>
                  <w:szCs w:val="13"/>
                  <w:color w:val="0000FF"/>
                </w:rPr>
                <w:t>Controls and Procedures</w:t>
              </w:r>
            </w:hyperlink>
          </w:p>
        </w:tc>
        <w:tc>
          <w:tcPr>
            <w:tcW w:w="1240" w:type="dxa"/>
            <w:vAlign w:val="bottom"/>
            <w:gridSpan w:val="2"/>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100</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9B.</w:t>
            </w:r>
          </w:p>
        </w:tc>
        <w:tc>
          <w:tcPr>
            <w:tcW w:w="1300" w:type="dxa"/>
            <w:vAlign w:val="bottom"/>
            <w:tcBorders>
              <w:top w:val="single" w:sz="8" w:color="0000FF"/>
            </w:tcBorders>
            <w:gridSpan w:val="8"/>
          </w:tcPr>
          <w:p>
            <w:pPr>
              <w:spacing w:after="0"/>
              <w:rPr>
                <w:rFonts w:ascii="Times New Roman" w:cs="Times New Roman" w:eastAsia="Times New Roman" w:hAnsi="Times New Roman"/>
                <w:sz w:val="13"/>
                <w:szCs w:val="13"/>
                <w:color w:val="0000FF"/>
              </w:rPr>
            </w:pPr>
            <w:hyperlink w:anchor="page101">
              <w:r>
                <w:rPr>
                  <w:rFonts w:ascii="Times New Roman" w:cs="Times New Roman" w:eastAsia="Times New Roman" w:hAnsi="Times New Roman"/>
                  <w:sz w:val="13"/>
                  <w:szCs w:val="13"/>
                  <w:color w:val="0000FF"/>
                </w:rPr>
                <w:t>Other Information</w:t>
              </w:r>
            </w:hyperlink>
          </w:p>
        </w:tc>
        <w:tc>
          <w:tcPr>
            <w:tcW w:w="4680" w:type="dxa"/>
            <w:vAlign w:val="bottom"/>
            <w:gridSpan w:val="18"/>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101</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Item 9C.</w:t>
            </w:r>
          </w:p>
        </w:tc>
        <w:tc>
          <w:tcPr>
            <w:tcW w:w="5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80" w:type="dxa"/>
            <w:vAlign w:val="bottom"/>
            <w:vMerge w:val="continue"/>
          </w:tcPr>
          <w:p>
            <w:pPr>
              <w:spacing w:after="0"/>
              <w:rPr>
                <w:sz w:val="24"/>
                <w:szCs w:val="24"/>
                <w:color w:val="auto"/>
              </w:rPr>
            </w:pP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101">
              <w:r>
                <w:rPr>
                  <w:rFonts w:ascii="Times New Roman" w:cs="Times New Roman" w:eastAsia="Times New Roman" w:hAnsi="Times New Roman"/>
                  <w:sz w:val="13"/>
                  <w:szCs w:val="13"/>
                  <w:color w:val="0000FF"/>
                </w:rPr>
                <w:t>Disclosure Regarding Foreign Jurisdiction that Prevent Inspections</w:t>
              </w:r>
            </w:hyperlink>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9"/>
          </w:tcPr>
          <w:p>
            <w:pPr>
              <w:jc w:val="center"/>
              <w:ind w:right="1500"/>
              <w:spacing w:after="0"/>
              <w:rPr>
                <w:rFonts w:ascii="Times New Roman" w:cs="Times New Roman" w:eastAsia="Times New Roman" w:hAnsi="Times New Roman"/>
                <w:sz w:val="13"/>
                <w:szCs w:val="13"/>
                <w:b w:val="1"/>
                <w:bCs w:val="1"/>
                <w:color w:val="0000FF"/>
              </w:rPr>
            </w:pPr>
            <w:hyperlink w:anchor="page102">
              <w:r>
                <w:rPr>
                  <w:rFonts w:ascii="Times New Roman" w:cs="Times New Roman" w:eastAsia="Times New Roman" w:hAnsi="Times New Roman"/>
                  <w:sz w:val="13"/>
                  <w:szCs w:val="13"/>
                  <w:b w:val="1"/>
                  <w:bCs w:val="1"/>
                  <w:color w:val="0000FF"/>
                </w:rPr>
                <w:t>PART III</w:t>
              </w:r>
            </w:hyperlink>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10.</w:t>
            </w:r>
          </w:p>
        </w:tc>
        <w:tc>
          <w:tcPr>
            <w:tcW w:w="3940" w:type="dxa"/>
            <w:vAlign w:val="bottom"/>
            <w:gridSpan w:val="17"/>
          </w:tcPr>
          <w:p>
            <w:pPr>
              <w:spacing w:after="0"/>
              <w:rPr>
                <w:rFonts w:ascii="Times New Roman" w:cs="Times New Roman" w:eastAsia="Times New Roman" w:hAnsi="Times New Roman"/>
                <w:sz w:val="13"/>
                <w:szCs w:val="13"/>
                <w:color w:val="0000FF"/>
              </w:rPr>
            </w:pPr>
            <w:hyperlink w:anchor="page102">
              <w:r>
                <w:rPr>
                  <w:rFonts w:ascii="Times New Roman" w:cs="Times New Roman" w:eastAsia="Times New Roman" w:hAnsi="Times New Roman"/>
                  <w:sz w:val="13"/>
                  <w:szCs w:val="13"/>
                  <w:color w:val="0000FF"/>
                </w:rPr>
                <w:t>Directors, Executive Officers and Corporate Governance</w:t>
              </w:r>
            </w:hyperlink>
          </w:p>
        </w:tc>
        <w:tc>
          <w:tcPr>
            <w:tcW w:w="540" w:type="dxa"/>
            <w:vAlign w:val="bottom"/>
            <w:tcBorders>
              <w:top w:val="single" w:sz="8" w:color="0000FF"/>
            </w:tcBorders>
            <w:gridSpan w:val="6"/>
          </w:tcPr>
          <w:p>
            <w:pPr>
              <w:spacing w:after="0"/>
              <w:rPr>
                <w:sz w:val="24"/>
                <w:szCs w:val="24"/>
                <w:color w:val="auto"/>
              </w:rPr>
            </w:pPr>
          </w:p>
        </w:tc>
        <w:tc>
          <w:tcPr>
            <w:tcW w:w="1500" w:type="dxa"/>
            <w:vAlign w:val="bottom"/>
            <w:gridSpan w:val="3"/>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102</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11.</w:t>
            </w:r>
          </w:p>
        </w:tc>
        <w:tc>
          <w:tcPr>
            <w:tcW w:w="3000" w:type="dxa"/>
            <w:vAlign w:val="bottom"/>
            <w:tcBorders>
              <w:top w:val="single" w:sz="8" w:color="0000FF"/>
            </w:tcBorders>
            <w:gridSpan w:val="13"/>
          </w:tcPr>
          <w:p>
            <w:pPr>
              <w:spacing w:after="0"/>
              <w:rPr>
                <w:rFonts w:ascii="Times New Roman" w:cs="Times New Roman" w:eastAsia="Times New Roman" w:hAnsi="Times New Roman"/>
                <w:sz w:val="13"/>
                <w:szCs w:val="13"/>
                <w:color w:val="0000FF"/>
              </w:rPr>
            </w:pPr>
            <w:hyperlink w:anchor="page102">
              <w:r>
                <w:rPr>
                  <w:rFonts w:ascii="Times New Roman" w:cs="Times New Roman" w:eastAsia="Times New Roman" w:hAnsi="Times New Roman"/>
                  <w:sz w:val="13"/>
                  <w:szCs w:val="13"/>
                  <w:color w:val="0000FF"/>
                </w:rPr>
                <w:t>Executive Compensation</w:t>
              </w:r>
            </w:hyperlink>
          </w:p>
        </w:tc>
        <w:tc>
          <w:tcPr>
            <w:tcW w:w="2980" w:type="dxa"/>
            <w:vAlign w:val="bottom"/>
            <w:gridSpan w:val="13"/>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102</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Item 12.</w:t>
            </w:r>
          </w:p>
        </w:tc>
        <w:tc>
          <w:tcPr>
            <w:tcW w:w="560" w:type="dxa"/>
            <w:vAlign w:val="bottom"/>
            <w:gridSpan w:val="3"/>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102</w:t>
            </w:r>
          </w:p>
        </w:tc>
        <w:tc>
          <w:tcPr>
            <w:tcW w:w="0" w:type="dxa"/>
            <w:vAlign w:val="bottom"/>
          </w:tcPr>
          <w:p>
            <w:pPr>
              <w:spacing w:after="0" w:line="20" w:lineRule="exact"/>
              <w:rPr>
                <w:sz w:val="1"/>
                <w:szCs w:val="1"/>
                <w:color w:val="auto"/>
              </w:rPr>
            </w:pPr>
          </w:p>
        </w:tc>
      </w:tr>
      <w:tr>
        <w:trPr>
          <w:trHeight w:val="340"/>
        </w:trPr>
        <w:tc>
          <w:tcPr>
            <w:tcW w:w="1080" w:type="dxa"/>
            <w:vAlign w:val="bottom"/>
            <w:vMerge w:val="continue"/>
          </w:tcPr>
          <w:p>
            <w:pPr>
              <w:spacing w:after="0"/>
              <w:rPr>
                <w:sz w:val="24"/>
                <w:szCs w:val="24"/>
                <w:color w:val="auto"/>
              </w:rPr>
            </w:pP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102">
              <w:r>
                <w:rPr>
                  <w:rFonts w:ascii="Times New Roman" w:cs="Times New Roman" w:eastAsia="Times New Roman" w:hAnsi="Times New Roman"/>
                  <w:sz w:val="13"/>
                  <w:szCs w:val="13"/>
                  <w:color w:val="0000FF"/>
                </w:rPr>
                <w:t>Security Ownership of Certain Beneficial Owners and Management and Related Stockholder Matters</w:t>
              </w:r>
            </w:hyperlink>
          </w:p>
        </w:tc>
        <w:tc>
          <w:tcPr>
            <w:tcW w:w="3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13.</w:t>
            </w:r>
          </w:p>
        </w:tc>
        <w:tc>
          <w:tcPr>
            <w:tcW w:w="5340" w:type="dxa"/>
            <w:vAlign w:val="bottom"/>
            <w:tcBorders>
              <w:top w:val="single" w:sz="8" w:color="0000FF"/>
            </w:tcBorders>
            <w:gridSpan w:val="25"/>
          </w:tcPr>
          <w:p>
            <w:pPr>
              <w:spacing w:after="0"/>
              <w:rPr>
                <w:rFonts w:ascii="Times New Roman" w:cs="Times New Roman" w:eastAsia="Times New Roman" w:hAnsi="Times New Roman"/>
                <w:sz w:val="13"/>
                <w:szCs w:val="13"/>
                <w:color w:val="0000FF"/>
              </w:rPr>
            </w:pPr>
            <w:hyperlink w:anchor="page102">
              <w:r>
                <w:rPr>
                  <w:rFonts w:ascii="Times New Roman" w:cs="Times New Roman" w:eastAsia="Times New Roman" w:hAnsi="Times New Roman"/>
                  <w:sz w:val="13"/>
                  <w:szCs w:val="13"/>
                  <w:color w:val="0000FF"/>
                </w:rPr>
                <w:t>Certain Relationships and Related Transactions, and Director Independence</w:t>
              </w:r>
            </w:hyperlink>
          </w:p>
        </w:tc>
        <w:tc>
          <w:tcPr>
            <w:tcW w:w="640" w:type="dxa"/>
            <w:vAlign w:val="bottom"/>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102</w:t>
            </w: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14.</w:t>
            </w:r>
          </w:p>
        </w:tc>
        <w:tc>
          <w:tcPr>
            <w:tcW w:w="4000" w:type="dxa"/>
            <w:vAlign w:val="bottom"/>
            <w:tcBorders>
              <w:top w:val="single" w:sz="8" w:color="0000FF"/>
            </w:tcBorders>
            <w:gridSpan w:val="20"/>
          </w:tcPr>
          <w:p>
            <w:pPr>
              <w:spacing w:after="0"/>
              <w:rPr>
                <w:rFonts w:ascii="Times New Roman" w:cs="Times New Roman" w:eastAsia="Times New Roman" w:hAnsi="Times New Roman"/>
                <w:sz w:val="13"/>
                <w:szCs w:val="13"/>
                <w:color w:val="0000FF"/>
              </w:rPr>
            </w:pPr>
            <w:hyperlink w:anchor="page102">
              <w:r>
                <w:rPr>
                  <w:rFonts w:ascii="Times New Roman" w:cs="Times New Roman" w:eastAsia="Times New Roman" w:hAnsi="Times New Roman"/>
                  <w:sz w:val="13"/>
                  <w:szCs w:val="13"/>
                  <w:color w:val="0000FF"/>
                </w:rPr>
                <w:t>Principal Accountant Fees and Services</w:t>
              </w:r>
            </w:hyperlink>
          </w:p>
        </w:tc>
        <w:tc>
          <w:tcPr>
            <w:tcW w:w="1980" w:type="dxa"/>
            <w:vAlign w:val="bottom"/>
            <w:gridSpan w:val="6"/>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102</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0000FF"/>
            </w:tcBorders>
            <w:gridSpan w:val="6"/>
          </w:tcPr>
          <w:p>
            <w:pPr>
              <w:jc w:val="center"/>
              <w:spacing w:after="0"/>
              <w:rPr>
                <w:rFonts w:ascii="Times New Roman" w:cs="Times New Roman" w:eastAsia="Times New Roman" w:hAnsi="Times New Roman"/>
                <w:sz w:val="13"/>
                <w:szCs w:val="13"/>
                <w:b w:val="1"/>
                <w:bCs w:val="1"/>
                <w:color w:val="0000FF"/>
              </w:rPr>
            </w:pPr>
            <w:hyperlink w:anchor="page103">
              <w:r>
                <w:rPr>
                  <w:rFonts w:ascii="Times New Roman" w:cs="Times New Roman" w:eastAsia="Times New Roman" w:hAnsi="Times New Roman"/>
                  <w:sz w:val="13"/>
                  <w:szCs w:val="13"/>
                  <w:b w:val="1"/>
                  <w:bCs w:val="1"/>
                  <w:color w:val="0000FF"/>
                </w:rPr>
                <w:t>PART IV</w:t>
              </w:r>
            </w:hyperlink>
          </w:p>
        </w:tc>
        <w:tc>
          <w:tcPr>
            <w:tcW w:w="1500" w:type="dxa"/>
            <w:vAlign w:val="bottom"/>
            <w:gridSpan w:val="3"/>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Item 15.</w:t>
            </w:r>
          </w:p>
        </w:tc>
        <w:tc>
          <w:tcPr>
            <w:tcW w:w="5980" w:type="dxa"/>
            <w:vAlign w:val="bottom"/>
            <w:gridSpan w:val="26"/>
          </w:tcPr>
          <w:p>
            <w:pPr>
              <w:spacing w:after="0"/>
              <w:rPr>
                <w:rFonts w:ascii="Times New Roman" w:cs="Times New Roman" w:eastAsia="Times New Roman" w:hAnsi="Times New Roman"/>
                <w:sz w:val="13"/>
                <w:szCs w:val="13"/>
                <w:color w:val="0000FF"/>
              </w:rPr>
            </w:pPr>
            <w:hyperlink w:anchor="page103">
              <w:r>
                <w:rPr>
                  <w:rFonts w:ascii="Times New Roman" w:cs="Times New Roman" w:eastAsia="Times New Roman" w:hAnsi="Times New Roman"/>
                  <w:sz w:val="13"/>
                  <w:szCs w:val="13"/>
                  <w:color w:val="0000FF"/>
                </w:rPr>
                <w:t>Exhibits and Financial Statement Schedules</w:t>
              </w:r>
            </w:hyperlink>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103</w:t>
            </w:r>
          </w:p>
        </w:tc>
        <w:tc>
          <w:tcPr>
            <w:tcW w:w="0" w:type="dxa"/>
            <w:vAlign w:val="bottom"/>
          </w:tcPr>
          <w:p>
            <w:pPr>
              <w:spacing w:after="0"/>
              <w:rPr>
                <w:sz w:val="1"/>
                <w:szCs w:val="1"/>
                <w:color w:val="auto"/>
              </w:rPr>
            </w:pPr>
          </w:p>
        </w:tc>
      </w:tr>
      <w:tr>
        <w:trPr>
          <w:trHeight w:val="340"/>
        </w:trPr>
        <w:tc>
          <w:tcPr>
            <w:tcW w:w="1080" w:type="dxa"/>
            <w:vAlign w:val="bottom"/>
          </w:tcPr>
          <w:p>
            <w:pPr>
              <w:spacing w:after="0"/>
              <w:rPr>
                <w:sz w:val="24"/>
                <w:szCs w:val="24"/>
                <w:color w:val="auto"/>
              </w:rPr>
            </w:pPr>
          </w:p>
        </w:tc>
        <w:tc>
          <w:tcPr>
            <w:tcW w:w="2320" w:type="dxa"/>
            <w:vAlign w:val="bottom"/>
            <w:tcBorders>
              <w:top w:val="single" w:sz="8" w:color="0000FF"/>
            </w:tcBorders>
            <w:gridSpan w:val="12"/>
          </w:tcPr>
          <w:p>
            <w:pPr>
              <w:spacing w:after="0"/>
              <w:rPr>
                <w:rFonts w:ascii="Times New Roman" w:cs="Times New Roman" w:eastAsia="Times New Roman" w:hAnsi="Times New Roman"/>
                <w:sz w:val="13"/>
                <w:szCs w:val="13"/>
                <w:color w:val="0000FF"/>
              </w:rPr>
            </w:pPr>
            <w:hyperlink w:anchor="page105">
              <w:r>
                <w:rPr>
                  <w:rFonts w:ascii="Times New Roman" w:cs="Times New Roman" w:eastAsia="Times New Roman" w:hAnsi="Times New Roman"/>
                  <w:sz w:val="13"/>
                  <w:szCs w:val="13"/>
                  <w:color w:val="0000FF"/>
                </w:rPr>
                <w:t>Signatures</w:t>
              </w:r>
            </w:hyperlink>
          </w:p>
        </w:tc>
        <w:tc>
          <w:tcPr>
            <w:tcW w:w="3660" w:type="dxa"/>
            <w:vAlign w:val="bottom"/>
            <w:gridSpan w:val="14"/>
          </w:tcPr>
          <w:p>
            <w:pPr>
              <w:spacing w:after="0"/>
              <w:rPr>
                <w:sz w:val="24"/>
                <w:szCs w:val="24"/>
                <w:color w:val="auto"/>
              </w:rPr>
            </w:pPr>
          </w:p>
        </w:tc>
        <w:tc>
          <w:tcPr>
            <w:tcW w:w="3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105</w:t>
            </w:r>
          </w:p>
        </w:tc>
        <w:tc>
          <w:tcPr>
            <w:tcW w:w="0" w:type="dxa"/>
            <w:vAlign w:val="bottom"/>
          </w:tcPr>
          <w:p>
            <w:pPr>
              <w:spacing w:after="0"/>
              <w:rPr>
                <w:sz w:val="1"/>
                <w:szCs w:val="1"/>
                <w:color w:val="auto"/>
              </w:rPr>
            </w:pPr>
          </w:p>
        </w:tc>
      </w:tr>
      <w:tr>
        <w:trPr>
          <w:trHeight w:val="940"/>
        </w:trPr>
        <w:tc>
          <w:tcPr>
            <w:tcW w:w="1080" w:type="dxa"/>
            <w:vAlign w:val="bottom"/>
            <w:tcBorders>
              <w:bottom w:val="single" w:sz="8" w:color="EEEEEE"/>
            </w:tcBorders>
          </w:tcPr>
          <w:p>
            <w:pPr>
              <w:spacing w:after="0"/>
              <w:rPr>
                <w:sz w:val="24"/>
                <w:szCs w:val="24"/>
                <w:color w:val="auto"/>
              </w:rPr>
            </w:pPr>
          </w:p>
        </w:tc>
        <w:tc>
          <w:tcPr>
            <w:tcW w:w="480" w:type="dxa"/>
            <w:vAlign w:val="bottom"/>
            <w:tcBorders>
              <w:top w:val="single" w:sz="8" w:color="0000FF"/>
              <w:bottom w:val="single" w:sz="8" w:color="EEEEEE"/>
            </w:tcBorders>
          </w:tcPr>
          <w:p>
            <w:pPr>
              <w:spacing w:after="0"/>
              <w:rPr>
                <w:sz w:val="24"/>
                <w:szCs w:val="24"/>
                <w:color w:val="auto"/>
              </w:rPr>
            </w:pPr>
          </w:p>
        </w:tc>
        <w:tc>
          <w:tcPr>
            <w:tcW w:w="60" w:type="dxa"/>
            <w:vAlign w:val="bottom"/>
            <w:tcBorders>
              <w:top w:val="single" w:sz="8" w:color="0000FF"/>
              <w:bottom w:val="single" w:sz="8" w:color="EEEEEE"/>
            </w:tcBorders>
          </w:tcPr>
          <w:p>
            <w:pPr>
              <w:spacing w:after="0"/>
              <w:rPr>
                <w:sz w:val="24"/>
                <w:szCs w:val="24"/>
                <w:color w:val="auto"/>
              </w:rPr>
            </w:pPr>
          </w:p>
        </w:tc>
        <w:tc>
          <w:tcPr>
            <w:tcW w:w="20" w:type="dxa"/>
            <w:vAlign w:val="bottom"/>
            <w:tcBorders>
              <w:top w:val="single" w:sz="8" w:color="0000FF"/>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35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6" w:right="68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25" w:lineRule="exact"/>
        <w:rPr>
          <w:sz w:val="20"/>
          <w:szCs w:val="20"/>
          <w:color w:val="auto"/>
        </w:rPr>
      </w:pPr>
    </w:p>
    <w:p>
      <w:pPr>
        <w:ind w:left="40" w:right="60" w:firstLine="420"/>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In this annual report on Form 10-K, or the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subsidiary,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 currency, senior secured revolving credit facility with Truist Bank (formerly SunTrust Bank), as amended and restated; “2024 Notes” refers to our 5.50% Notes due 2024; “2026 Notes” refers to our 4.50% Notes due May 2026; “2026 Notes-2” refers to our</w:t>
      </w:r>
    </w:p>
    <w:p>
      <w:pPr>
        <w:spacing w:after="0" w:line="4" w:lineRule="exact"/>
        <w:rPr>
          <w:sz w:val="20"/>
          <w:szCs w:val="20"/>
          <w:color w:val="auto"/>
        </w:rPr>
      </w:pPr>
    </w:p>
    <w:p>
      <w:pPr>
        <w:ind w:left="40" w:right="180"/>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of Risk Factors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Investing in our common stock involves a high degree of risk. Some, but not all, of the risks and uncertainties that we face are related to:</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ability to remain in compliance with the financial and operational covenants of our Truist Credit Facility;</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ability to operate in a highly competitive market for investment opportunities;</w:t>
      </w:r>
    </w:p>
    <w:p>
      <w:pPr>
        <w:spacing w:after="0" w:line="163" w:lineRule="exact"/>
        <w:rPr>
          <w:sz w:val="20"/>
          <w:szCs w:val="20"/>
          <w:color w:val="auto"/>
        </w:rPr>
      </w:pPr>
    </w:p>
    <w:p>
      <w:pPr>
        <w:ind w:left="400" w:right="240"/>
        <w:spacing w:after="0" w:line="286" w:lineRule="auto"/>
        <w:rPr>
          <w:sz w:val="20"/>
          <w:szCs w:val="20"/>
          <w:color w:val="auto"/>
        </w:rPr>
      </w:pPr>
      <w:r>
        <w:rPr>
          <w:rFonts w:ascii="Times New Roman" w:cs="Times New Roman" w:eastAsia="Times New Roman" w:hAnsi="Times New Roman"/>
          <w:sz w:val="13"/>
          <w:szCs w:val="13"/>
          <w:color w:val="auto"/>
        </w:rPr>
        <w:t>•the prospects of our portfolio companies and the ability of our portfolio companies to achieve their objectives, the decline or failure of which may result in our borrowers defaulting on their payments to us;</w:t>
      </w:r>
    </w:p>
    <w:p>
      <w:pPr>
        <w:spacing w:after="0" w:line="112" w:lineRule="exact"/>
        <w:rPr>
          <w:sz w:val="20"/>
          <w:szCs w:val="20"/>
          <w:color w:val="auto"/>
        </w:rPr>
      </w:pPr>
    </w:p>
    <w:p>
      <w:pPr>
        <w:ind w:left="400" w:right="1140"/>
        <w:spacing w:after="0" w:line="501" w:lineRule="auto"/>
        <w:rPr>
          <w:sz w:val="20"/>
          <w:szCs w:val="20"/>
          <w:color w:val="auto"/>
        </w:rPr>
      </w:pPr>
      <w:r>
        <w:rPr>
          <w:rFonts w:ascii="Times New Roman" w:cs="Times New Roman" w:eastAsia="Times New Roman" w:hAnsi="Times New Roman"/>
          <w:sz w:val="13"/>
          <w:szCs w:val="13"/>
          <w:color w:val="auto"/>
        </w:rPr>
        <w:t>•the ability of our Investment Adviser to hire and retain qualified personnel, to monitor and administer our investments and to manage our future growth effectively; •changes to the interest rate environment, including the discontinuation of LIBOR and its impact on the value of floating-rate debt securities in our portfolio or issued by us;</w:t>
      </w:r>
    </w:p>
    <w:p>
      <w:pPr>
        <w:ind w:left="400" w:right="240"/>
        <w:spacing w:after="0" w:line="520" w:lineRule="auto"/>
        <w:rPr>
          <w:sz w:val="20"/>
          <w:szCs w:val="20"/>
          <w:color w:val="auto"/>
        </w:rPr>
      </w:pPr>
      <w:r>
        <w:rPr>
          <w:rFonts w:ascii="Times New Roman" w:cs="Times New Roman" w:eastAsia="Times New Roman" w:hAnsi="Times New Roman"/>
          <w:sz w:val="13"/>
          <w:szCs w:val="13"/>
          <w:color w:val="auto"/>
        </w:rPr>
        <w:t>•our reliance on information systems, the failure of which could result in delays or other problems with our business activities, and the susceptibility of such systems to cybersecurity threats; •our ability to replicate historical performance of other investment companies and funds with which our professionals have been affiliated;</w:t>
      </w:r>
    </w:p>
    <w:p>
      <w:pPr>
        <w:ind w:left="400"/>
        <w:spacing w:after="0" w:line="286" w:lineRule="auto"/>
        <w:rPr>
          <w:sz w:val="20"/>
          <w:szCs w:val="20"/>
          <w:color w:val="auto"/>
        </w:rPr>
      </w:pPr>
      <w:r>
        <w:rPr>
          <w:rFonts w:ascii="Times New Roman" w:cs="Times New Roman" w:eastAsia="Times New Roman" w:hAnsi="Times New Roman"/>
          <w:sz w:val="13"/>
          <w:szCs w:val="13"/>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ability to comply with applicable SBA requirements;</w:t>
      </w:r>
    </w:p>
    <w:p>
      <w:pPr>
        <w:spacing w:after="0" w:line="163" w:lineRule="exact"/>
        <w:rPr>
          <w:sz w:val="20"/>
          <w:szCs w:val="20"/>
          <w:color w:val="auto"/>
        </w:rPr>
      </w:pPr>
    </w:p>
    <w:p>
      <w:pPr>
        <w:ind w:left="400" w:right="20"/>
        <w:spacing w:after="0" w:line="286" w:lineRule="auto"/>
        <w:rPr>
          <w:sz w:val="20"/>
          <w:szCs w:val="20"/>
          <w:color w:val="auto"/>
        </w:rPr>
      </w:pPr>
      <w:r>
        <w:rPr>
          <w:rFonts w:ascii="Times New Roman" w:cs="Times New Roman" w:eastAsia="Times New Roman" w:hAnsi="Times New Roman"/>
          <w:sz w:val="13"/>
          <w:szCs w:val="13"/>
          <w:color w:val="auto"/>
        </w:rPr>
        <w:t>•the use of leverage to fund our investments, including the indebtedness resulting from our Truist Credit Facility, 2026 Notes, and 2026 Notes-2, and the risk that we may fail to comply with the terms governing such indebtedness or maintain certain asset coverage ratio requirements;</w:t>
      </w:r>
    </w:p>
    <w:p>
      <w:pPr>
        <w:spacing w:after="0" w:line="112" w:lineRule="exact"/>
        <w:rPr>
          <w:sz w:val="20"/>
          <w:szCs w:val="20"/>
          <w:color w:val="auto"/>
        </w:rPr>
      </w:pPr>
    </w:p>
    <w:p>
      <w:pPr>
        <w:ind w:left="400" w:right="3300"/>
        <w:spacing w:after="0" w:line="501" w:lineRule="auto"/>
        <w:rPr>
          <w:sz w:val="20"/>
          <w:szCs w:val="20"/>
          <w:color w:val="auto"/>
        </w:rPr>
      </w:pPr>
      <w:r>
        <w:rPr>
          <w:rFonts w:ascii="Times New Roman" w:cs="Times New Roman" w:eastAsia="Times New Roman" w:hAnsi="Times New Roman"/>
          <w:sz w:val="13"/>
          <w:szCs w:val="13"/>
          <w:color w:val="auto"/>
        </w:rPr>
        <w:t>•our issuance of debt securities and/or preferred stock and the impact of such issuances on the value of our common stock or NAV; •market conditions that may make it difficult for us to refinance or extend the maturity of our existing indebtedness; •potential conflicts of interest of our Investment Adviser and Administrator;</w:t>
      </w:r>
    </w:p>
    <w:p>
      <w:pPr>
        <w:ind w:left="400"/>
        <w:spacing w:after="0"/>
        <w:rPr>
          <w:sz w:val="20"/>
          <w:szCs w:val="20"/>
          <w:color w:val="auto"/>
        </w:rPr>
      </w:pPr>
      <w:r>
        <w:rPr>
          <w:rFonts w:ascii="Times New Roman" w:cs="Times New Roman" w:eastAsia="Times New Roman" w:hAnsi="Times New Roman"/>
          <w:sz w:val="13"/>
          <w:szCs w:val="13"/>
          <w:color w:val="auto"/>
        </w:rPr>
        <w:t>•the potential dilution caused by any future issuances of subscription rights or warrants;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impact of recent financial reform legislation, and uncertainty about any future laws and regulations on our business and our portfolio companies;</w:t>
      </w:r>
    </w:p>
    <w:p>
      <w:pPr>
        <w:spacing w:after="0" w:line="163" w:lineRule="exact"/>
        <w:rPr>
          <w:sz w:val="20"/>
          <w:szCs w:val="20"/>
          <w:color w:val="auto"/>
        </w:rPr>
      </w:pPr>
    </w:p>
    <w:p>
      <w:pPr>
        <w:ind w:left="400" w:right="80"/>
        <w:spacing w:after="0" w:line="501" w:lineRule="auto"/>
        <w:rPr>
          <w:sz w:val="20"/>
          <w:szCs w:val="20"/>
          <w:color w:val="auto"/>
        </w:rPr>
      </w:pPr>
      <w:r>
        <w:rPr>
          <w:rFonts w:ascii="Times New Roman" w:cs="Times New Roman" w:eastAsia="Times New Roman" w:hAnsi="Times New Roman"/>
          <w:sz w:val="13"/>
          <w:szCs w:val="13"/>
          <w:color w:val="auto"/>
        </w:rPr>
        <w:t>•the investment objectives and decisions advanced by the board of directors or the Investment Adviser which are not subject to stockholder approval and potential activism by our shareholders; •the illiquid nature of the assets in which we invest and our valuation procedures with respect to such assets;</w:t>
      </w:r>
    </w:p>
    <w:p>
      <w:pPr>
        <w:ind w:left="400" w:right="160"/>
        <w:spacing w:after="0" w:line="286" w:lineRule="auto"/>
        <w:rPr>
          <w:sz w:val="20"/>
          <w:szCs w:val="20"/>
          <w:color w:val="auto"/>
        </w:rPr>
      </w:pPr>
      <w:r>
        <w:rPr>
          <w:rFonts w:ascii="Times New Roman" w:cs="Times New Roman" w:eastAsia="Times New Roman" w:hAnsi="Times New Roman"/>
          <w:sz w:val="13"/>
          <w:szCs w:val="13"/>
          <w:color w:val="auto"/>
        </w:rPr>
        <w:t>•making investments in first lien secured debt, second lien secured debt, subordinated debt and the equity of certain portfolio companies, and the risks of making such investments in privately held middle-market companies;</w:t>
      </w:r>
    </w:p>
    <w:p>
      <w:pPr>
        <w:spacing w:after="0" w:line="112" w:lineRule="exact"/>
        <w:rPr>
          <w:sz w:val="20"/>
          <w:szCs w:val="20"/>
          <w:color w:val="auto"/>
        </w:rPr>
      </w:pPr>
    </w:p>
    <w:p>
      <w:pPr>
        <w:ind w:left="400" w:right="360"/>
        <w:spacing w:after="0" w:line="286" w:lineRule="auto"/>
        <w:rPr>
          <w:sz w:val="20"/>
          <w:szCs w:val="20"/>
          <w:color w:val="auto"/>
        </w:rPr>
      </w:pPr>
      <w:r>
        <w:rPr>
          <w:rFonts w:ascii="Times New Roman" w:cs="Times New Roman" w:eastAsia="Times New Roman" w:hAnsi="Times New Roman"/>
          <w:sz w:val="13"/>
          <w:szCs w:val="13"/>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•our investment in derivatives and the use of leverage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•the potential dilution of our common stock which may result from issuances of our common stock below the then current NAV per share;</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59690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20" w:top="580" w:right="660" w:bottom="1440" w:gutter="0" w:footer="0" w:header="0"/>
        </w:sectPr>
      </w:pPr>
    </w:p>
    <w:bookmarkStart w:id="3" w:name="page4"/>
    <w:bookmarkEnd w:id="3"/>
    <w:p>
      <w:pPr>
        <w:ind w:left="360"/>
        <w:spacing w:after="0" w:line="286" w:lineRule="auto"/>
        <w:rPr>
          <w:sz w:val="20"/>
          <w:szCs w:val="20"/>
          <w:color w:val="auto"/>
        </w:rPr>
      </w:pPr>
      <w:r>
        <w:rPr>
          <w:rFonts w:ascii="Times New Roman" w:cs="Times New Roman" w:eastAsia="Times New Roman" w:hAnsi="Times New Roman"/>
          <w:sz w:val="13"/>
          <w:szCs w:val="13"/>
          <w:color w:val="auto"/>
        </w:rPr>
        <w:t>•our allocation of net proceeds from offering in ways which you may not agree and our inability to invest proceeds from offerings in new investment opportunities, which could negatively affect our financial performance;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•tax liabilities resulting from reinvestments in our common stock or from receiving our stock as a distribution;</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measures we have taken to deter takeover attempts, which may adversely impact the price of our common stock;</w:t>
      </w:r>
    </w:p>
    <w:p>
      <w:pPr>
        <w:spacing w:after="0" w:line="163" w:lineRule="exact"/>
        <w:rPr>
          <w:sz w:val="20"/>
          <w:szCs w:val="20"/>
          <w:color w:val="auto"/>
        </w:rPr>
      </w:pPr>
    </w:p>
    <w:p>
      <w:pPr>
        <w:ind w:left="360" w:right="300"/>
        <w:spacing w:after="0" w:line="286" w:lineRule="auto"/>
        <w:rPr>
          <w:sz w:val="20"/>
          <w:szCs w:val="20"/>
          <w:color w:val="auto"/>
        </w:rPr>
      </w:pPr>
      <w:r>
        <w:rPr>
          <w:rFonts w:ascii="Times New Roman" w:cs="Times New Roman" w:eastAsia="Times New Roman" w:hAnsi="Times New Roman"/>
          <w:sz w:val="13"/>
          <w:szCs w:val="13"/>
          <w:color w:val="auto"/>
        </w:rPr>
        <w:t>•changes to political, economic or industry conditions or conditions affecting the financial and capital markets, including changes caused by the ongoing invasion of Ukraine by Russia that could cause volatility or prolonged disruption of the capital markets and impact the value of our assets;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cash balances at financial institutions that exceeds federally insured limits and the impact of adverse developments affecting the financial services industry;</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impact of economic sanction laws in the United States and other jurisdictions which may prohibit us and our affiliates from transacting with certain countries, individuals and companies;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•potential litigation, whether initiated by shareholders or other parties; and</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impact of global climate change on the operations of our portfolio companies.</w:t>
      </w:r>
    </w:p>
    <w:p>
      <w:pPr>
        <w:spacing w:after="0" w:line="163" w:lineRule="exact"/>
        <w:rPr>
          <w:sz w:val="20"/>
          <w:szCs w:val="20"/>
          <w:color w:val="auto"/>
        </w:rPr>
      </w:pPr>
    </w:p>
    <w:p>
      <w:pPr>
        <w:jc w:val="both"/>
        <w:ind w:left="360" w:right="60"/>
        <w:spacing w:after="0" w:line="268" w:lineRule="auto"/>
        <w:rPr>
          <w:sz w:val="20"/>
          <w:szCs w:val="20"/>
          <w:color w:val="auto"/>
        </w:rPr>
      </w:pPr>
      <w:r>
        <w:rPr>
          <w:rFonts w:ascii="Times New Roman" w:cs="Times New Roman" w:eastAsia="Times New Roman" w:hAnsi="Times New Roman"/>
          <w:sz w:val="13"/>
          <w:szCs w:val="13"/>
          <w:color w:val="auto"/>
        </w:rPr>
        <w:t>•we have identified material weaknesses in our internal controls over financial reporting, and we may identify additional material weaknesses in the future or otherwise fail to maintain effective internal controls over financial reporting, which may result in future financial statements containing errors that will be undetected and could impact the operations of our business including our ability to obtain financing, the cost of any financing we obtain or require additional expenditures of resources to comply with applicable requirements.</w:t>
      </w:r>
    </w:p>
    <w:p>
      <w:pPr>
        <w:spacing w:after="0" w:line="123"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General Business of PennantPark Investment Corporation</w:t>
      </w:r>
    </w:p>
    <w:p>
      <w:pPr>
        <w:spacing w:after="0" w:line="131" w:lineRule="exact"/>
        <w:rPr>
          <w:sz w:val="20"/>
          <w:szCs w:val="20"/>
          <w:color w:val="auto"/>
        </w:rPr>
      </w:pPr>
    </w:p>
    <w:p>
      <w:pPr>
        <w:ind w:right="50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76"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98"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Investment Corporation</w:t>
      </w:r>
    </w:p>
    <w:p>
      <w:pPr>
        <w:spacing w:after="0" w:line="131"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6"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SBIC II, our wholly -owned subsidiary, was organized in Delaware as a limited partnership in July 2012. SBIC II received a license from the SBA to operate as a SBIC under Section 301(c) of the 1958 Act in 2013. SBIC II’s objectives were to generate both current income and capital appreciation through debt and equity investments generally by investing in SBA -eligible businesses that meet the investment selection criteria used by PennantPark Investment. We have repaid all outstanding debentures in connection with SBIC II, surrendered our SBA license and filed a certificate of termination.</w:t>
      </w:r>
    </w:p>
    <w:p>
      <w:pPr>
        <w:spacing w:after="0" w:line="127"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did not increase our consolidated management fee. The BNP Credit Facility allowed Funding I to borrow up to $250 million at LIBOR (or an alternative risk-free floating interest rate index) plus 260 basis points during the reinvestment period. The BNP Credit Facility was secured by all of the assets held by Funding I. Funding I is no longer a subsidiary of PennantPark Investment as a result of the joint venture described below.</w:t>
      </w:r>
    </w:p>
    <w:p>
      <w:pPr>
        <w:spacing w:after="0" w:line="130"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(“Pantheon”) entered into a limited liability company agreement to co-manage PSLF, a newly- 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82" w:right="66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 Adviser and Administrator</w:t>
      </w:r>
    </w:p>
    <w:p>
      <w:pPr>
        <w:spacing w:after="0" w:line="131"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middle- market companies across changing economic and market cycles. We believe this experience and history have resulted in a reputation as a respected partner to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$18.5 billion in 653 companies with more than 200 different financial sponsors through its managed funds, which includes investments by the Company totaling $7.6 billion in 333 companies.</w:t>
      </w:r>
    </w:p>
    <w:p>
      <w:pPr>
        <w:spacing w:after="0" w:line="98"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Market Opportunity</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We believe that the limited amount of capital available to middle-market companies, coupled with the desire of these companies for flexible sources of capital, creates an attractive investment environment for us.</w:t>
      </w:r>
    </w:p>
    <w:p>
      <w:pPr>
        <w:spacing w:after="0" w:line="74" w:lineRule="exact"/>
        <w:rPr>
          <w:sz w:val="20"/>
          <w:szCs w:val="20"/>
          <w:color w:val="auto"/>
        </w:rPr>
      </w:pPr>
    </w:p>
    <w:p>
      <w:pPr>
        <w:ind w:left="540" w:right="540"/>
        <w:spacing w:after="0" w:line="28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middle-market companies have faced difficulty raising debt in private markets.</w:t>
      </w:r>
      <w:r>
        <w:rPr>
          <w:rFonts w:ascii="Times New Roman" w:cs="Times New Roman" w:eastAsia="Times New Roman" w:hAnsi="Times New Roman"/>
          <w:sz w:val="13"/>
          <w:szCs w:val="13"/>
          <w:color w:val="auto"/>
        </w:rPr>
        <w:t xml:space="preserve"> From time to time, banks, finance companies, hedge funds and collateralized loan obligation, or CLO, funds have withdrawn, and may again withdraw, capital from the middle-market, resulting in opportunities for alternative funding sources.</w:t>
      </w:r>
    </w:p>
    <w:p>
      <w:pPr>
        <w:spacing w:after="0" w:line="72" w:lineRule="exact"/>
        <w:rPr>
          <w:sz w:val="20"/>
          <w:szCs w:val="20"/>
          <w:color w:val="auto"/>
        </w:rPr>
      </w:pPr>
    </w:p>
    <w:p>
      <w:pPr>
        <w:ind w:left="540" w:right="120"/>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middle-market companies have faced difficulty in raising debt through the capital markets.</w:t>
      </w:r>
      <w:r>
        <w:rPr>
          <w:rFonts w:ascii="Times New Roman" w:cs="Times New Roman" w:eastAsia="Times New Roman" w:hAnsi="Times New Roman"/>
          <w:sz w:val="13"/>
          <w:szCs w:val="13"/>
          <w:color w:val="auto"/>
        </w:rPr>
        <w:t xml:space="preserve"> 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6" w:lineRule="exact"/>
        <w:rPr>
          <w:sz w:val="20"/>
          <w:szCs w:val="20"/>
          <w:color w:val="auto"/>
        </w:rPr>
      </w:pPr>
    </w:p>
    <w:p>
      <w:pPr>
        <w:ind w:left="540"/>
        <w:spacing w:after="0" w:line="27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that credit market dislocation for middle -market companies improves the risk-reward on our investments.</w:t>
      </w:r>
      <w:r>
        <w:rPr>
          <w:rFonts w:ascii="Times New Roman" w:cs="Times New Roman" w:eastAsia="Times New Roman" w:hAnsi="Times New Roman"/>
          <w:sz w:val="13"/>
          <w:szCs w:val="13"/>
          <w:color w:val="auto"/>
        </w:rPr>
        <w:t xml:space="preserve"> From time to time, market participants have reduced lending to middle-market and non-investment grade borrowers. As a result, we believe there is less competition in our market, more conservative capital structures, higher yields and stronger covenants.</w:t>
      </w:r>
    </w:p>
    <w:p>
      <w:pPr>
        <w:spacing w:after="0" w:line="241" w:lineRule="exact"/>
        <w:rPr>
          <w:sz w:val="20"/>
          <w:szCs w:val="20"/>
          <w:color w:val="auto"/>
        </w:rPr>
      </w:pPr>
    </w:p>
    <w:p>
      <w:pPr>
        <w:jc w:val="both"/>
        <w:ind w:left="540" w:right="100"/>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there is a large pool of uninvested private equity capital likely to seek to combine their capital with sources of debt capital to complete private investments.</w:t>
      </w:r>
      <w:r>
        <w:rPr>
          <w:rFonts w:ascii="Times New Roman" w:cs="Times New Roman" w:eastAsia="Times New Roman" w:hAnsi="Times New Roman"/>
          <w:sz w:val="13"/>
          <w:szCs w:val="13"/>
          <w:color w:val="auto"/>
        </w:rPr>
        <w:t xml:space="preserve"> 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86" w:lineRule="exact"/>
        <w:rPr>
          <w:sz w:val="20"/>
          <w:szCs w:val="20"/>
          <w:color w:val="auto"/>
        </w:rPr>
      </w:pPr>
    </w:p>
    <w:p>
      <w:pPr>
        <w:ind w:left="540" w:right="220"/>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We believe there is substantial supply of opportunities resulting from maturing loans that seek refinancing.</w:t>
      </w:r>
      <w:r>
        <w:rPr>
          <w:rFonts w:ascii="Times New Roman" w:cs="Times New Roman" w:eastAsia="Times New Roman" w:hAnsi="Times New Roman"/>
          <w:sz w:val="13"/>
          <w:szCs w:val="13"/>
          <w:color w:val="auto"/>
        </w:rPr>
        <w:t xml:space="preserve">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 -market companies and, from time to time, the reduced supply of credit described above should increase lending opportunities for us. We believe this supply of opportunities coupled with a lack of demand offers attractive risk-reward to investors.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Competitive Advantages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believe that we have the following competitive advantages over other capital providers to middle-market companies: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a)Experienced Management Team</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middle-market companies across changing economic and market cycles. We believe this extensive experience and history have resulted in a strong reputation across the capital markets.</w:t>
      </w:r>
    </w:p>
    <w:p>
      <w:pPr>
        <w:spacing w:after="0" w:line="87"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b)Disciplined Investment Approach with Strong Value Orientation</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1" w:lineRule="exact"/>
        <w:rPr>
          <w:sz w:val="20"/>
          <w:szCs w:val="20"/>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698" w:right="660"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3"/>
          <w:szCs w:val="13"/>
          <w:color w:val="auto"/>
        </w:rPr>
        <w:t>In addition to engaging in extensive due diligence, our Investment Adviser seeks to reduce risk by focusing on businesses with:</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•strong competitive positions;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•positive cash flow that is steady and stable;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•experienced management teams with strong track records;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•potential for growth and viable exit strategies;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•capital structures offering appropriate risk-adjusted terms and covenants.</w:t>
      </w:r>
    </w:p>
    <w:p>
      <w:pPr>
        <w:spacing w:after="0" w:line="1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c)Ability to Source and Evaluate Transactions through our Investment Adviser’s Proactive, Research Capability and Established Network</w:t>
      </w:r>
    </w:p>
    <w:p>
      <w:pPr>
        <w:spacing w:after="0" w:line="131"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d)Flexible Transaction Structuring</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6"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76"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Competition</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9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Leverage</w:t>
      </w:r>
    </w:p>
    <w:p>
      <w:pPr>
        <w:spacing w:after="0" w:line="167"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As of September 30, 2023, we had the multi-currency Truist Credit Facility for up to $475.0 million (decreased from $500.0 million in September 2023), which may be further increased up to $750.0 million in borrowings with certain lenders and Truist Bank (formerly SunTrust Bank), acting as administrative agent, Regions Bank, acting as additional multicurrency lenders, and JPMorgan Chase Bank, N.A., acting as syndication agent for the lenders. As of September 30, 2023 and 2022, we had $212.4 million and $385.9 million, respectively, in outstanding borrowings under the Truist Credit Facility. The Truist Credit Facility had a weighted average interest rate of 7.7% and 5.3%, respectively, exclusive of the fee on undrawn commitment, as of September 30, 2023 and 2022. The Truist Credit Facility is a revolving facility with a stated maturity date of July 29, 2027 for $475.0 million of the total commitment and the related obligations maturing on September 4, 2024) and pricing set at 235 basis points over SOFR.As of September 30, 2023 and 2022, we had $262.6 million and $114.1 million of unused borrowing capacity under the Truist Credit Facility, respectively, subject to leverage and borrowing base restrictions. The Truist Credit Facility is secured by substantially all of our assets excluding assets held by SBIC II. As of September 30, 2023, we were in compliance with the terms of the Truist Credit Facility.</w:t>
      </w:r>
    </w:p>
    <w:p>
      <w:pPr>
        <w:spacing w:after="0" w:line="98"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As of September 30, 2023 and 2022, SBIC II had zero and $20.0 million in debt commitments, respectively, all of which was drawn, as of September 30, 2022, with a weighted average interest rate of 2.9% as of September 30, 2022, exclusive of 3.4% of upfront fees. We repaid the remaining $20 million SBA debentures during the nine months ended June 30, 2023. As of September 30, 2022, our SBA debentures had maturities between March 2026 to March 2028. SBA debentures offer competitive terms such as being non-recourse to us, a 10-year maturity, semi-annual interest payments, not requiring principal payments prior to maturity and may be prepaid at any time without penalty. The SBA debentures were secured by all the investment portfolio assets of SBIC II and had a priority claim over such assets relative to all other creditors. See “Regulation” for more information.</w:t>
      </w:r>
    </w:p>
    <w:p>
      <w:pPr>
        <w:spacing w:after="0" w:line="94"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As of September 30, 2023 and 2022, we had zero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at a rate of 5.5% per year.</w:t>
      </w:r>
    </w:p>
    <w:p>
      <w:pPr>
        <w:spacing w:after="0" w:line="8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 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96"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02" w:right="680" w:bottom="1440" w:gutter="0" w:footer="0" w:header="0"/>
        </w:sectPr>
      </w:pPr>
    </w:p>
    <w:bookmarkStart w:id="6" w:name="page7"/>
    <w:bookmarkEnd w:id="6"/>
    <w:p>
      <w:pPr>
        <w:ind w:right="200"/>
        <w:spacing w:after="0" w:line="262" w:lineRule="auto"/>
        <w:rPr>
          <w:sz w:val="20"/>
          <w:szCs w:val="20"/>
          <w:color w:val="auto"/>
        </w:rPr>
      </w:pPr>
      <w:r>
        <w:rPr>
          <w:rFonts w:ascii="Times New Roman" w:cs="Times New Roman" w:eastAsia="Times New Roman" w:hAnsi="Times New Roman"/>
          <w:sz w:val="13"/>
          <w:szCs w:val="13"/>
          <w:color w:val="auto"/>
        </w:rPr>
        <w:t>may be redeemed in whole or in part at our option subject to a make-whole premium if redeemed more than three months prior to maturity. The 2026 Notes -2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91"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See “Management’s Discussion and Analysis of Financial Condition and Results of Operations” for more information.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Policy Overview</w:t>
      </w:r>
    </w:p>
    <w:p>
      <w:pPr>
        <w:spacing w:after="0" w:line="131" w:lineRule="exact"/>
        <w:rPr>
          <w:sz w:val="20"/>
          <w:szCs w:val="20"/>
          <w:color w:val="auto"/>
        </w:rPr>
      </w:pPr>
    </w:p>
    <w:p>
      <w:pPr>
        <w:ind w:right="200" w:firstLine="420"/>
        <w:spacing w:after="0" w:line="257" w:lineRule="auto"/>
        <w:rPr>
          <w:sz w:val="20"/>
          <w:szCs w:val="20"/>
          <w:color w:val="auto"/>
        </w:rPr>
      </w:pPr>
      <w:r>
        <w:rPr>
          <w:rFonts w:ascii="Times New Roman" w:cs="Times New Roman" w:eastAsia="Times New Roman" w:hAnsi="Times New Roman"/>
          <w:sz w:val="13"/>
          <w:szCs w:val="13"/>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96"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30"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First Lien Secured Debt</w:t>
      </w:r>
    </w:p>
    <w:p>
      <w:pPr>
        <w:spacing w:after="0" w:line="16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Second Lien Secured Debt</w:t>
      </w:r>
    </w:p>
    <w:p>
      <w:pPr>
        <w:spacing w:after="0" w:line="167" w:lineRule="exact"/>
        <w:rPr>
          <w:sz w:val="20"/>
          <w:szCs w:val="20"/>
          <w:color w:val="auto"/>
        </w:rPr>
      </w:pPr>
    </w:p>
    <w:p>
      <w:pPr>
        <w:ind w:firstLine="420"/>
        <w:spacing w:after="0" w:line="260" w:lineRule="auto"/>
        <w:rPr>
          <w:sz w:val="20"/>
          <w:szCs w:val="20"/>
          <w:color w:val="auto"/>
        </w:rPr>
      </w:pPr>
      <w:r>
        <w:rPr>
          <w:rFonts w:ascii="Times New Roman" w:cs="Times New Roman" w:eastAsia="Times New Roman" w:hAnsi="Times New Roman"/>
          <w:sz w:val="13"/>
          <w:szCs w:val="13"/>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Subordinated Debt</w:t>
      </w:r>
    </w:p>
    <w:p>
      <w:pPr>
        <w:spacing w:after="0" w:line="16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Selection Criteria</w:t>
      </w:r>
    </w:p>
    <w:p>
      <w:pPr>
        <w:spacing w:after="0" w:line="131" w:lineRule="exact"/>
        <w:rPr>
          <w:sz w:val="20"/>
          <w:szCs w:val="20"/>
          <w:color w:val="auto"/>
        </w:rPr>
      </w:pPr>
    </w:p>
    <w:p>
      <w:pPr>
        <w:jc w:val="both"/>
        <w:ind w:right="60" w:firstLine="420"/>
        <w:spacing w:after="0" w:line="286" w:lineRule="auto"/>
        <w:rPr>
          <w:sz w:val="20"/>
          <w:szCs w:val="20"/>
          <w:color w:val="auto"/>
        </w:rPr>
      </w:pPr>
      <w:r>
        <w:rPr>
          <w:rFonts w:ascii="Times New Roman" w:cs="Times New Roman" w:eastAsia="Times New Roman" w:hAnsi="Times New Roman"/>
          <w:sz w:val="13"/>
          <w:szCs w:val="13"/>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76" w:lineRule="exact"/>
        <w:rPr>
          <w:sz w:val="20"/>
          <w:szCs w:val="20"/>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a)Leading and defensible competitive market positions</w:t>
      </w:r>
    </w:p>
    <w:p>
      <w:pPr>
        <w:spacing w:after="0" w:line="131"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b)Investing in stable borrowers with positive cash flow</w:t>
      </w:r>
    </w:p>
    <w:p>
      <w:pPr>
        <w:spacing w:after="0" w:line="131"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02" w:right="640" w:bottom="1440" w:gutter="0" w:footer="0" w:header="0"/>
        </w:sectPr>
      </w:pPr>
    </w:p>
    <w:bookmarkStart w:id="7" w:name="page8"/>
    <w:bookmarkEnd w:id="7"/>
    <w:p>
      <w:pPr>
        <w:ind w:right="120"/>
        <w:spacing w:after="0" w:line="286" w:lineRule="auto"/>
        <w:rPr>
          <w:sz w:val="20"/>
          <w:szCs w:val="20"/>
          <w:color w:val="auto"/>
        </w:rPr>
      </w:pPr>
      <w:r>
        <w:rPr>
          <w:rFonts w:ascii="Times New Roman" w:cs="Times New Roman" w:eastAsia="Times New Roman" w:hAnsi="Times New Roman"/>
          <w:sz w:val="13"/>
          <w:szCs w:val="13"/>
          <w:color w:val="auto"/>
        </w:rPr>
        <w:t>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c)Management teams</w:t>
      </w:r>
    </w:p>
    <w:p>
      <w:pPr>
        <w:spacing w:after="0" w:line="131"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d)Financial sponsorship</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e)Investments in different borrowers, industries and geographies</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b w:val="1"/>
          <w:bCs w:val="1"/>
          <w:i w:val="1"/>
          <w:iCs w:val="1"/>
          <w:color w:val="auto"/>
        </w:rPr>
        <w:t>f)Viable exit strategy</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Due Diligence</w:t>
      </w:r>
    </w:p>
    <w:p>
      <w:pPr>
        <w:spacing w:after="0" w:line="131" w:lineRule="exact"/>
        <w:rPr>
          <w:sz w:val="20"/>
          <w:szCs w:val="20"/>
          <w:color w:val="auto"/>
        </w:rPr>
      </w:pPr>
    </w:p>
    <w:p>
      <w:pPr>
        <w:jc w:val="both"/>
        <w:ind w:right="520" w:firstLine="420"/>
        <w:spacing w:after="0" w:line="262" w:lineRule="auto"/>
        <w:rPr>
          <w:sz w:val="20"/>
          <w:szCs w:val="20"/>
          <w:color w:val="auto"/>
        </w:rPr>
      </w:pPr>
      <w:r>
        <w:rPr>
          <w:rFonts w:ascii="Times New Roman" w:cs="Times New Roman" w:eastAsia="Times New Roman" w:hAnsi="Times New Roman"/>
          <w:sz w:val="13"/>
          <w:szCs w:val="13"/>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due diligence may include: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historical and prospective financial information;</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•research relating to the portfolio company’s management, industry, markets, products and services and competitors;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•interviews with management, employees, customers and vendors of the potential portfolio company;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•on-site visits;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loan documents;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•background checks.</w:t>
      </w:r>
    </w:p>
    <w:p>
      <w:pPr>
        <w:spacing w:after="0" w:line="127"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Additional due diligence with respect to any investment may be conducted on our behalf by attorneys and accountants prior to the closing of the investment, as well as other outside advisers, as appropriate.</w:t>
      </w:r>
    </w:p>
    <w:p>
      <w:pPr>
        <w:spacing w:after="0" w:line="76"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Structure</w:t>
      </w:r>
    </w:p>
    <w:p>
      <w:pPr>
        <w:spacing w:after="0" w:line="131"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87" w:lineRule="exact"/>
        <w:rPr>
          <w:sz w:val="20"/>
          <w:szCs w:val="20"/>
          <w:color w:val="auto"/>
        </w:rPr>
      </w:pPr>
    </w:p>
    <w:p>
      <w:pPr>
        <w:jc w:val="both"/>
        <w:ind w:firstLine="420"/>
        <w:spacing w:after="0" w:line="286" w:lineRule="auto"/>
        <w:rPr>
          <w:sz w:val="20"/>
          <w:szCs w:val="20"/>
          <w:color w:val="auto"/>
        </w:rPr>
      </w:pPr>
      <w:r>
        <w:rPr>
          <w:rFonts w:ascii="Times New Roman" w:cs="Times New Roman" w:eastAsia="Times New Roman" w:hAnsi="Times New Roman"/>
          <w:sz w:val="13"/>
          <w:szCs w:val="13"/>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76" w:lineRule="exact"/>
        <w:rPr>
          <w:sz w:val="20"/>
          <w:szCs w:val="20"/>
          <w:color w:val="auto"/>
        </w:rPr>
      </w:pPr>
    </w:p>
    <w:p>
      <w:pPr>
        <w:jc w:val="both"/>
        <w:ind w:firstLine="420"/>
        <w:spacing w:after="0" w:line="262" w:lineRule="auto"/>
        <w:rPr>
          <w:sz w:val="20"/>
          <w:szCs w:val="20"/>
          <w:color w:val="auto"/>
        </w:rPr>
      </w:pPr>
      <w:r>
        <w:rPr>
          <w:rFonts w:ascii="Times New Roman" w:cs="Times New Roman" w:eastAsia="Times New Roman" w:hAnsi="Times New Roman"/>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 only payments in the early years with cash or payment -in -kind,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02" w:right="720" w:bottom="1440" w:gutter="0" w:footer="0" w:header="0"/>
        </w:sectPr>
      </w:pPr>
    </w:p>
    <w:bookmarkStart w:id="8" w:name="page9"/>
    <w:bookmarkEnd w:id="8"/>
    <w:p>
      <w:pPr>
        <w:ind w:right="340" w:firstLine="420"/>
        <w:spacing w:after="0" w:line="268" w:lineRule="auto"/>
        <w:rPr>
          <w:sz w:val="20"/>
          <w:szCs w:val="20"/>
          <w:color w:val="auto"/>
        </w:rPr>
      </w:pPr>
      <w:r>
        <w:rPr>
          <w:rFonts w:ascii="Times New Roman" w:cs="Times New Roman" w:eastAsia="Times New Roman" w:hAnsi="Times New Roman"/>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87" w:lineRule="exact"/>
        <w:rPr>
          <w:sz w:val="20"/>
          <w:szCs w:val="20"/>
          <w:color w:val="auto"/>
        </w:rPr>
      </w:pPr>
    </w:p>
    <w:p>
      <w:pPr>
        <w:ind w:left="540" w:right="1620"/>
        <w:spacing w:after="0" w:line="443" w:lineRule="auto"/>
        <w:rPr>
          <w:sz w:val="20"/>
          <w:szCs w:val="20"/>
          <w:color w:val="auto"/>
        </w:rPr>
      </w:pPr>
      <w:r>
        <w:rPr>
          <w:rFonts w:ascii="Times New Roman" w:cs="Times New Roman" w:eastAsia="Times New Roman" w:hAnsi="Times New Roman"/>
          <w:sz w:val="13"/>
          <w:szCs w:val="13"/>
          <w:color w:val="auto"/>
        </w:rPr>
        <w:t>•requiring a total return on our investments (including both interest in the form of a floor and potential equity appreciation) that compensates us for credit risk; •incorporating “put” rights and call protection into the investment structure; and</w:t>
      </w:r>
    </w:p>
    <w:p>
      <w:pPr>
        <w:ind w:left="540" w:right="300"/>
        <w:spacing w:after="0" w:line="268" w:lineRule="auto"/>
        <w:rPr>
          <w:sz w:val="20"/>
          <w:szCs w:val="20"/>
          <w:color w:val="auto"/>
        </w:rPr>
      </w:pPr>
      <w:r>
        <w:rPr>
          <w:rFonts w:ascii="Times New Roman" w:cs="Times New Roman" w:eastAsia="Times New Roman" w:hAnsi="Times New Roman"/>
          <w:sz w:val="13"/>
          <w:szCs w:val="13"/>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8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94" w:lineRule="exact"/>
        <w:rPr>
          <w:sz w:val="20"/>
          <w:szCs w:val="20"/>
          <w:color w:val="auto"/>
        </w:rPr>
      </w:pPr>
    </w:p>
    <w:p>
      <w:pPr>
        <w:jc w:val="both"/>
        <w:ind w:firstLine="420"/>
        <w:spacing w:after="0" w:line="286" w:lineRule="auto"/>
        <w:rPr>
          <w:sz w:val="20"/>
          <w:szCs w:val="20"/>
          <w:color w:val="auto"/>
        </w:rPr>
      </w:pPr>
      <w:r>
        <w:rPr>
          <w:rFonts w:ascii="Times New Roman" w:cs="Times New Roman" w:eastAsia="Times New Roman" w:hAnsi="Times New Roman"/>
          <w:sz w:val="13"/>
          <w:szCs w:val="13"/>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Ongoing Relationships with Portfolio Companies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Monitoring</w:t>
      </w:r>
    </w:p>
    <w:p>
      <w:pPr>
        <w:spacing w:after="0" w:line="131"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Investment Adviser has several methods of evaluating and monitoring the performance and fair value of our investments, which may include the following: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•assessment of success in adhering to a portfolio company’s business plan and compliance with covenants;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•periodic or regular contact with portfolio company management and, if appropriate, the financial or strategic sponsor, to discuss financial position, requirements and accomplishments;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•comparisons to other portfolio companies in the industry, if 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•attendance at and participation in board meetings or presentations by portfolio companies;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•review of periodic financial statements and financial projections for portfolio companies.</w:t>
      </w:r>
    </w:p>
    <w:p>
      <w:pPr>
        <w:spacing w:after="0" w:line="127" w:lineRule="exact"/>
        <w:rPr>
          <w:sz w:val="20"/>
          <w:szCs w:val="20"/>
          <w:color w:val="auto"/>
        </w:rPr>
      </w:pPr>
    </w:p>
    <w:p>
      <w:pPr>
        <w:jc w:val="both"/>
        <w:ind w:firstLine="420"/>
        <w:spacing w:after="0" w:line="259" w:lineRule="auto"/>
        <w:rPr>
          <w:sz w:val="20"/>
          <w:szCs w:val="20"/>
          <w:color w:val="auto"/>
        </w:rPr>
      </w:pPr>
      <w:r>
        <w:rPr>
          <w:rFonts w:ascii="Times New Roman" w:cs="Times New Roman" w:eastAsia="Times New Roman" w:hAnsi="Times New Roman"/>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w:t>
      </w:r>
    </w:p>
    <w:p>
      <w:pPr>
        <w:spacing w:after="0" w:line="131"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offer significant managerial assistance to our portfolio companies. As a BDC, we are required to make available such significant managerial assistance within the meaning of Section 2(a) (47) of the 1940 Act. See “Regulation” for more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Staffing</w:t>
      </w:r>
    </w:p>
    <w:p>
      <w:pPr>
        <w:spacing w:after="0" w:line="131"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Corporate Information</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 xml:space="preserve">Our administrative and principal executive offices are located at 1691 Michigan Avenue, Miami Beach, Florida . Our common stock is quoted on The New York Stock Exchange under the symbol “PNNT”. Our phone number is (786) 297-9500, and our Internet website address is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xml:space="preserve"> that contains material that we file with the SEC on the Electronic Data Gathering, Analysis and Retrieval, or EDGAR, Database.</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02" w:right="72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w:t>
      </w:r>
    </w:p>
    <w:p>
      <w:pPr>
        <w:spacing w:after="0" w:line="131"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Our principal investment focus is to provide first lien secured debt, second lien secured debt and subordinated debt to U.S. middle -market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Aerospace and Defense</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Energy and Utilities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Auto Sector</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Environmental Services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Beverage, Food and Tobacco</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Financial Services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Broadcasting and Entertainment</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Grocery</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Buildings and Real Estate</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Healthcare, Education and Childcare</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Building Materials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High Tech Industries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Business Services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Home &amp; Office Furnishings, Housewares &amp; Durable Consumer Products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Cable Television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Hotels, Motels, Inns and Gaming</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Capital Equipment</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Insurance</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Cargo Transportation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Leisure, Amusement, Motion Picture, Entertainment</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Logistics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Communications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Manufacturing/Basic Industries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Consumer Products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Media</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Consumer Services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Mining, Steel, Iron and Non-Precious Metals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Containers Packaging &amp; Glass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Oil and Gas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Distribution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Media</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Diversified/Conglomerate Manufacturing</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Personal, Food and Miscellaneous Services</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Diversified/Conglomerate Services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Printing and Publishing</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Diversified Natural Resources, Precious Metals and Minerals</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Retail</w:t>
            </w:r>
          </w:p>
        </w:tc>
      </w:tr>
      <w:tr>
        <w:trPr>
          <w:trHeight w:val="180"/>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Education</w:t>
            </w:r>
          </w:p>
        </w:tc>
        <w:tc>
          <w:tcPr>
            <w:tcW w:w="110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Wholesale</w:t>
            </w:r>
          </w:p>
        </w:tc>
      </w:tr>
    </w:tbl>
    <w:p>
      <w:pPr>
        <w:spacing w:after="0" w:line="8" w:lineRule="exact"/>
        <w:rPr>
          <w:sz w:val="20"/>
          <w:szCs w:val="20"/>
          <w:color w:val="auto"/>
        </w:rPr>
      </w:pPr>
    </w:p>
    <w:p>
      <w:pPr>
        <w:ind w:left="300" w:hanging="282"/>
        <w:spacing w:after="0"/>
        <w:tabs>
          <w:tab w:leader="none" w:pos="3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Electronics</w:t>
      </w:r>
    </w:p>
    <w:p>
      <w:pPr>
        <w:spacing w:after="0" w:line="175" w:lineRule="exact"/>
        <w:rPr>
          <w:sz w:val="20"/>
          <w:szCs w:val="20"/>
          <w:color w:val="auto"/>
        </w:rPr>
      </w:pPr>
    </w:p>
    <w:p>
      <w:pPr>
        <w:ind w:right="580" w:firstLine="420"/>
        <w:spacing w:after="0" w:line="286" w:lineRule="auto"/>
        <w:rPr>
          <w:sz w:val="20"/>
          <w:szCs w:val="20"/>
          <w:color w:val="auto"/>
        </w:rPr>
      </w:pPr>
      <w:r>
        <w:rPr>
          <w:rFonts w:ascii="Times New Roman" w:cs="Times New Roman" w:eastAsia="Times New Roman" w:hAnsi="Times New Roman"/>
          <w:sz w:val="13"/>
          <w:szCs w:val="13"/>
          <w:color w:val="auto"/>
        </w:rPr>
        <w:t>Listed below are our top ten portfolio companies and industries represented as a percentage of our consolidated portfolio assets (excluding U.S. Government securities, cash and cash equivalents) as of September 30: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9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(1)</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9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xml:space="preserve">2022 </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6 %</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RAM Energy Holdings LLC</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Cartessa Aesthetics,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5 %</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AKW Holdings Limited</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Pragmatic Institute, LLC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5 %</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Cartessa Aesthetics, LLC</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Sigma Defense Systems,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4 %</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Cano Health, LLC</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Flock Financial, LLC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4 %</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Pragmatic Institute, LLC</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Cascade Environmental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4 %</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Sigma Defense Systems, LLC</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Halo Buyer, Inc.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4 %</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Flock Financial, LLC</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Exigo Intermediate II,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Cascade Environmental LLC</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MDI Buyer, Inc.</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Halo Buyer, Inc.</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Express Wash Acquisition Company, LLC</w:t>
            </w:r>
          </w:p>
        </w:tc>
        <w:tc>
          <w:tcPr>
            <w:tcW w:w="198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3 %</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Kinetic Purchaser, LLC</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6"/>
                <w:szCs w:val="16"/>
                <w:color w:val="auto"/>
              </w:rPr>
            </w:pPr>
          </w:p>
        </w:tc>
      </w:tr>
      <w:tr>
        <w:trPr>
          <w:trHeight w:val="517"/>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9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(1)</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9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 xml:space="preserve">2022 </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24"/>
                <w:szCs w:val="24"/>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1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18 %</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Business Services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98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14</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Products</w:t>
            </w: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9</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Consumer Products</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8</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Energy and Utilities</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6</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6</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Financial Services</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6</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Telecommunications</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5</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Home and Office Furnishings</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6"/>
                <w:szCs w:val="16"/>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5</w:t>
            </w:r>
          </w:p>
        </w:tc>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Media</w:t>
            </w: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5"/>
                <w:szCs w:val="15"/>
                <w:color w:val="auto"/>
              </w:rPr>
            </w:pPr>
          </w:p>
        </w:tc>
      </w:tr>
      <w:tr>
        <w:trPr>
          <w:trHeight w:val="184"/>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Auto Sector</w:t>
            </w:r>
          </w:p>
        </w:tc>
        <w:tc>
          <w:tcPr>
            <w:tcW w:w="198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w:t>
            </w:r>
          </w:p>
        </w:tc>
        <w:tc>
          <w:tcPr>
            <w:tcW w:w="32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Auto Sector</w:t>
            </w:r>
          </w:p>
        </w:tc>
        <w:tc>
          <w:tcPr>
            <w:tcW w:w="19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6"/>
                <w:szCs w:val="16"/>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Excludes investments in PSLF.</w:t>
      </w:r>
    </w:p>
    <w:p>
      <w:pPr>
        <w:spacing w:after="0" w:line="107"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 Risks Relating to our Business and Structure—There are significant potential conflicts of interest which could impact our investment returns” for more information.</w:t>
      </w:r>
    </w:p>
    <w:p>
      <w:pPr>
        <w:spacing w:after="0" w:line="10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698" w:right="6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3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We have entered into an agreement with the Investment Adviser, or the Investment Management Agreement, under which the Investment Adviser, subject to the overall supervision of our board of directors, manages the day -to-day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has provided similar services to SBIC II under its respective investment management agreement. Such investment management agreement does not affect the management or incentive fees that we pay to the Investment Adviser on a consolidated basis. Under the terms of our Investment Management Agreement, the Investment Adviser:</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•determines the composition of our portfolio, the nature and timing of the changes to our portfolio and the manner of implementing such changes;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•identifies, evaluates and negotiates the structure of the investments we make (including performing due diligence on our prospective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•closes and monitors the investments we make;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•provides us with such other investment advisory, research and related services, as we may need from time to time.</w:t>
      </w:r>
    </w:p>
    <w:p>
      <w:pPr>
        <w:spacing w:after="0" w:line="127"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Fees</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2023, 2022, and 2021, the Investment Adviser earned base management fees of $16.5 million, $19.8 million and $17.3 million, respectively, from us.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is a hypothetical example of the calculation of average adjusted gross assets: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Gross assets as of December 31, 20XX = $160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December 31, 20XX = $10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Adjusted gross assets as of December 31, 20XX = $150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Gross assets as of March 31, 20XX = $200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U.S. Treasury bills and temporary draws on credit facilities as of March 31, 20XX = $20 million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Adjusted gross assets as of March 31, 20XX = $180 million</w:t>
      </w:r>
    </w:p>
    <w:p>
      <w:pPr>
        <w:spacing w:after="0" w:line="127"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Average value of adjusted gross assets as of March 31, 20XX and December 31, 20XX, which are the two immediately preceding calendar quarters, and appropriately adjusted for any share issuances or repurchases during the current calendar quarter equals ($150 million + $180 million) / 2 = $165 million.</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right="40" w:firstLine="420"/>
        <w:spacing w:after="0" w:line="25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facilities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 Incentive Fee Net Investment Income with respect to that portion of such Pre- 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 -Incentive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For the years ended September 30, 2023, 2022 and 2021, the Investment Adviser earned $13.9million, $2.7 million, and $0.6 million, respectively, in incentive fees on net investment income from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98" w:right="680"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3"/>
          <w:szCs w:val="13"/>
          <w:color w:val="auto"/>
        </w:rPr>
        <w:t>The following is a graphical representation of the calculation of quarterly incentive fee based on Pre-Incentive Fee Net Investment Income: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Pre-Incentive Fee Net Investment Income</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101600</wp:posOffset>
            </wp:positionV>
            <wp:extent cx="2218055" cy="441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8055"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Percentage of Pre-Incentive Fee Net Investment Income</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allocated to income-related portion of incentive fee</w:t>
      </w:r>
    </w:p>
    <w:p>
      <w:pPr>
        <w:spacing w:after="0" w:line="149"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2023, 2022 and 2021, the Investment Adviser did not accrue an incentive fee on capital gains as calculated under the Investment Management Agreement (as described above).</w:t>
      </w:r>
    </w:p>
    <w:p>
      <w:pPr>
        <w:spacing w:after="0" w:line="130"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2023, 2022 and 2021, the Investment Adviser did not accrue an incentive fee on capital gains as calculated under GAAP.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Examples of Quarterly Incentive Fee Calculation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 1: Income Related Portion of Incentive Fee (*):</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1:</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1.25%</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0.375%</w:t>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0.675%</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 does not exceed the hurdle; therefore, there is no incentive fee.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2:</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2.70%</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0.375%</w:t>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2.125%</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02" w:right="700" w:bottom="1440" w:gutter="0" w:footer="0" w:header="0"/>
        </w:sectPr>
      </w:pPr>
    </w:p>
    <w:bookmarkStart w:id="12" w:name="page13"/>
    <w:bookmarkEnd w:id="12"/>
    <w:p>
      <w:pPr>
        <w:ind w:left="1080"/>
        <w:spacing w:after="0"/>
        <w:tabs>
          <w:tab w:leader="none" w:pos="2380" w:val="left"/>
        </w:tabs>
        <w:rPr>
          <w:sz w:val="20"/>
          <w:szCs w:val="20"/>
          <w:color w:val="auto"/>
        </w:rPr>
      </w:pPr>
      <w:r>
        <w:rPr>
          <w:rFonts w:ascii="Times New Roman" w:cs="Times New Roman" w:eastAsia="Times New Roman" w:hAnsi="Times New Roman"/>
          <w:sz w:val="13"/>
          <w:szCs w:val="13"/>
          <w:color w:val="auto"/>
        </w:rPr>
        <w:t>Incentive fee</w:t>
      </w:r>
      <w:r>
        <w:rPr>
          <w:sz w:val="20"/>
          <w:szCs w:val="20"/>
          <w:color w:val="auto"/>
        </w:rPr>
        <w:tab/>
      </w:r>
      <w:r>
        <w:rPr>
          <w:rFonts w:ascii="Times New Roman" w:cs="Times New Roman" w:eastAsia="Times New Roman" w:hAnsi="Times New Roman"/>
          <w:sz w:val="13"/>
          <w:szCs w:val="13"/>
          <w:color w:val="auto"/>
        </w:rPr>
        <w:t>= 17.5% x Pre-Incentive Fee Net Investment Income, subject to “catch-up”</w:t>
      </w:r>
    </w:p>
    <w:p>
      <w:pPr>
        <w:spacing w:after="0" w:line="31" w:lineRule="exact"/>
        <w:rPr>
          <w:sz w:val="20"/>
          <w:szCs w:val="20"/>
          <w:color w:val="auto"/>
        </w:rPr>
      </w:pPr>
    </w:p>
    <w:p>
      <w:pPr>
        <w:ind w:left="2520" w:hanging="113"/>
        <w:spacing w:after="0"/>
        <w:tabs>
          <w:tab w:leader="none" w:pos="25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2.125% - 1.75%</w:t>
      </w:r>
    </w:p>
    <w:p>
      <w:pPr>
        <w:spacing w:after="0" w:line="30"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0.375%</w:t>
      </w:r>
    </w:p>
    <w:p>
      <w:pPr>
        <w:spacing w:after="0" w:line="30"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x 0.375%</w:t>
      </w:r>
    </w:p>
    <w:p>
      <w:pPr>
        <w:spacing w:after="0" w:line="30"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Alternative 3:</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 (including interest, dividends, fees, etc.) = 3.00%</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Hurdle </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 1.75%</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 xml:space="preserve">Base management fee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 0.375%</w:t>
      </w:r>
    </w:p>
    <w:p>
      <w:pPr>
        <w:spacing w:after="0" w:line="1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expenses (legal, accounting, custodian, transfer agent, etc.) = 0.20%</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Pre-Incentive Fee Net Investment Income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(investment income—(base management fee + other expenses)) = 2.425%</w:t>
      </w:r>
    </w:p>
    <w:p>
      <w:pPr>
        <w:sectPr>
          <w:pgSz w:w="11900" w:h="16840" w:orient="portrait"/>
          <w:cols w:equalWidth="0" w:num="1">
            <w:col w:w="10560"/>
          </w:cols>
          <w:pgMar w:left="660" w:top="774" w:right="680" w:bottom="1440" w:gutter="0" w:footer="0" w:header="0"/>
        </w:sectPr>
      </w:pPr>
    </w:p>
    <w:p>
      <w:pPr>
        <w:spacing w:after="0" w:line="19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Incentive fee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 17.5% x Pre-Incentive Fee Net Investment Income, subject to “catch-up” </w:t>
      </w:r>
      <w:r>
        <w:rPr>
          <w:rFonts w:ascii="Times New Roman" w:cs="Times New Roman" w:eastAsia="Times New Roman" w:hAnsi="Times New Roman"/>
          <w:sz w:val="8"/>
          <w:szCs w:val="8"/>
          <w:color w:val="auto"/>
        </w:rPr>
        <w:t>(3)</w:t>
      </w:r>
    </w:p>
    <w:p>
      <w:pPr>
        <w:spacing w:after="0" w:line="42" w:lineRule="exact"/>
        <w:rPr>
          <w:sz w:val="20"/>
          <w:szCs w:val="20"/>
          <w:color w:val="auto"/>
        </w:rPr>
      </w:pPr>
    </w:p>
    <w:p>
      <w:pPr>
        <w:sectPr>
          <w:pgSz w:w="11900" w:h="16840" w:orient="portrait"/>
          <w:cols w:equalWidth="0" w:num="2">
            <w:col w:w="1760" w:space="640"/>
            <w:col w:w="8160"/>
          </w:cols>
          <w:pgMar w:left="660" w:top="774" w:right="680"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3"/>
          <w:szCs w:val="13"/>
          <w:color w:val="auto"/>
        </w:rPr>
        <w:t>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 100% x “catch-up” + (17.5% x (Pre-Incentive Fee Net Investment Income - 2.1212%))</w:t>
      </w:r>
    </w:p>
    <w:p>
      <w:pPr>
        <w:spacing w:after="0" w:line="31" w:lineRule="exact"/>
        <w:rPr>
          <w:sz w:val="20"/>
          <w:szCs w:val="20"/>
          <w:color w:val="auto"/>
        </w:rPr>
      </w:pPr>
    </w:p>
    <w:p>
      <w:pPr>
        <w:sectPr>
          <w:pgSz w:w="11900" w:h="16840" w:orient="portrait"/>
          <w:cols w:equalWidth="0" w:num="2">
            <w:col w:w="1760" w:space="640"/>
            <w:col w:w="8160"/>
          </w:cols>
          <w:pgMar w:left="660" w:top="774" w:right="680"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3"/>
          <w:szCs w:val="13"/>
          <w:color w:val="auto"/>
        </w:rPr>
        <w:t>Catch-up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 2.1212% - 1.75%</w:t>
      </w:r>
    </w:p>
    <w:p>
      <w:pPr>
        <w:spacing w:after="0" w:line="31" w:lineRule="exact"/>
        <w:rPr>
          <w:sz w:val="20"/>
          <w:szCs w:val="20"/>
          <w:color w:val="auto"/>
        </w:rPr>
      </w:pPr>
    </w:p>
    <w:p>
      <w:pPr>
        <w:sectPr>
          <w:pgSz w:w="11900" w:h="16840" w:orient="portrait"/>
          <w:cols w:equalWidth="0" w:num="2">
            <w:col w:w="1680" w:space="720"/>
            <w:col w:w="8160"/>
          </w:cols>
          <w:pgMar w:left="660" w:top="774" w:right="680" w:bottom="1440" w:gutter="0" w:footer="0" w:header="0"/>
          <w:type w:val="continuous"/>
        </w:sectPr>
      </w:pPr>
    </w:p>
    <w:p>
      <w:pPr>
        <w:ind w:left="2520" w:hanging="113"/>
        <w:spacing w:after="0"/>
        <w:tabs>
          <w:tab w:leader="none" w:pos="25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0.3712%</w:t>
      </w:r>
    </w:p>
    <w:p>
      <w:pPr>
        <w:spacing w:after="0" w:line="30"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x 0.3712%) + (17.5% x (2.425% - 2.1212%))</w:t>
      </w:r>
    </w:p>
    <w:p>
      <w:pPr>
        <w:spacing w:after="0" w:line="30"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0.3712% + (17.5% x 0.3038%)</w:t>
      </w:r>
    </w:p>
    <w:p>
      <w:pPr>
        <w:spacing w:after="0" w:line="30"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0.3712% + 0.053165%</w:t>
      </w:r>
    </w:p>
    <w:p>
      <w:pPr>
        <w:spacing w:after="0" w:line="30" w:lineRule="exact"/>
        <w:rPr>
          <w:rFonts w:ascii="Times New Roman" w:cs="Times New Roman" w:eastAsia="Times New Roman" w:hAnsi="Times New Roman"/>
          <w:sz w:val="13"/>
          <w:szCs w:val="13"/>
          <w:color w:val="auto"/>
        </w:rPr>
      </w:pPr>
    </w:p>
    <w:p>
      <w:pPr>
        <w:ind w:left="2520" w:hanging="113"/>
        <w:spacing w:after="0"/>
        <w:tabs>
          <w:tab w:leader="none" w:pos="25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0.424365%</w:t>
      </w:r>
    </w:p>
    <w:p>
      <w:pPr>
        <w:spacing w:after="0" w:line="187"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3"/>
          <w:szCs w:val="13"/>
          <w:color w:val="auto"/>
        </w:rPr>
        <w:t xml:space="preserve"> The hypothetical amount of Pre-Incentive Fee Net Investment Income shown is based on a percentage of total net assets.</w:t>
      </w:r>
    </w:p>
    <w:p>
      <w:pPr>
        <w:spacing w:after="0" w:line="35" w:lineRule="exact"/>
        <w:rPr>
          <w:rFonts w:ascii="Times New Roman" w:cs="Times New Roman" w:eastAsia="Times New Roman" w:hAnsi="Times New Roman"/>
          <w:sz w:val="13"/>
          <w:szCs w:val="13"/>
          <w:color w:val="auto"/>
        </w:rPr>
      </w:pPr>
    </w:p>
    <w:p>
      <w:pPr>
        <w:spacing w:after="0" w:line="210" w:lineRule="auto"/>
        <w:rPr>
          <w:rFonts w:ascii="Times New Roman" w:cs="Times New Roman" w:eastAsia="Times New Roman" w:hAnsi="Times New Roman"/>
          <w:sz w:val="13"/>
          <w:szCs w:val="13"/>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Represents 7.0% annualized hurdle.</w:t>
      </w:r>
    </w:p>
    <w:p>
      <w:pPr>
        <w:spacing w:after="0" w:line="18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0"/>
          <w:szCs w:val="10"/>
          <w:color w:val="auto"/>
        </w:rPr>
        <w:t>Represents 1.5% annualized base management fee.</w:t>
      </w:r>
    </w:p>
    <w:p>
      <w:pPr>
        <w:spacing w:after="0" w:line="1" w:lineRule="exact"/>
        <w:rPr>
          <w:sz w:val="20"/>
          <w:szCs w:val="20"/>
          <w:color w:val="auto"/>
        </w:rPr>
      </w:pPr>
    </w:p>
    <w:p>
      <w:pPr>
        <w:ind w:right="40"/>
        <w:spacing w:after="0" w:line="206"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Example 2: Capital Gains Portion of Incentive Fee:</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Assumptions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Year 1 = no net realized capital gains or losses</w:t>
      </w:r>
    </w:p>
    <w:p>
      <w:pPr>
        <w:spacing w:after="0" w:line="127" w:lineRule="exact"/>
        <w:rPr>
          <w:sz w:val="20"/>
          <w:szCs w:val="20"/>
          <w:color w:val="auto"/>
        </w:rPr>
      </w:pPr>
    </w:p>
    <w:p>
      <w:pPr>
        <w:ind w:left="140" w:right="460"/>
        <w:spacing w:after="0" w:line="286" w:lineRule="auto"/>
        <w:rPr>
          <w:sz w:val="20"/>
          <w:szCs w:val="20"/>
          <w:color w:val="auto"/>
        </w:rPr>
      </w:pPr>
      <w:r>
        <w:rPr>
          <w:rFonts w:ascii="Times New Roman" w:cs="Times New Roman" w:eastAsia="Times New Roman" w:hAnsi="Times New Roman"/>
          <w:sz w:val="13"/>
          <w:szCs w:val="13"/>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1900" w:h="16840" w:orient="portrait"/>
          <w:cols w:equalWidth="0" w:num="1">
            <w:col w:w="10560"/>
          </w:cols>
          <w:pgMar w:left="660" w:top="774" w:right="680" w:bottom="1440" w:gutter="0" w:footer="0" w:header="0"/>
          <w:type w:val="continuous"/>
        </w:sectPr>
      </w:pP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Year 1 incentive fee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17.5% x (0)</w:t>
      </w:r>
    </w:p>
    <w:p>
      <w:pPr>
        <w:spacing w:after="0" w:line="42" w:lineRule="exact"/>
        <w:rPr>
          <w:sz w:val="20"/>
          <w:szCs w:val="20"/>
          <w:color w:val="auto"/>
        </w:rPr>
      </w:pPr>
    </w:p>
    <w:p>
      <w:pPr>
        <w:sectPr>
          <w:pgSz w:w="11900" w:h="16840" w:orient="portrait"/>
          <w:cols w:equalWidth="0" w:num="2">
            <w:col w:w="2140" w:space="300"/>
            <w:col w:w="8120"/>
          </w:cols>
          <w:pgMar w:left="660" w:top="774" w:right="680"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3"/>
          <w:szCs w:val="13"/>
          <w:color w:val="auto"/>
        </w:rPr>
        <w:t>= 0</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color w:val="auto"/>
        </w:rPr>
        <w:t>= no incentive fee</w:t>
      </w:r>
    </w:p>
    <w:p>
      <w:pPr>
        <w:sectPr>
          <w:pgSz w:w="11900" w:h="16840" w:orient="portrait"/>
          <w:cols w:equalWidth="0" w:num="1">
            <w:col w:w="10560"/>
          </w:cols>
          <w:pgMar w:left="660" w:top="774" w:right="680" w:bottom="1440" w:gutter="0" w:footer="0" w:header="0"/>
          <w:type w:val="continuous"/>
        </w:sectPr>
      </w:pP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Year 2 incentive fee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17.5% x (6% - 1%)</w:t>
      </w:r>
    </w:p>
    <w:p>
      <w:pPr>
        <w:spacing w:after="0" w:line="31" w:lineRule="exact"/>
        <w:rPr>
          <w:sz w:val="20"/>
          <w:szCs w:val="20"/>
          <w:color w:val="auto"/>
        </w:rPr>
      </w:pPr>
    </w:p>
    <w:p>
      <w:pPr>
        <w:sectPr>
          <w:pgSz w:w="11900" w:h="16840" w:orient="portrait"/>
          <w:cols w:equalWidth="0" w:num="2">
            <w:col w:w="2140" w:space="300"/>
            <w:col w:w="8120"/>
          </w:cols>
          <w:pgMar w:left="660" w:top="774" w:right="680"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2"/>
          <w:szCs w:val="12"/>
          <w:color w:val="auto"/>
        </w:rPr>
        <w:t>= 17.5% x 5%</w:t>
      </w:r>
    </w:p>
    <w:p>
      <w:pPr>
        <w:spacing w:after="0" w:line="4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color w:val="auto"/>
        </w:rPr>
        <w:t>= 0.875%</w:t>
      </w:r>
    </w:p>
    <w:p>
      <w:pPr>
        <w:sectPr>
          <w:pgSz w:w="11900" w:h="16840" w:orient="portrait"/>
          <w:cols w:equalWidth="0" w:num="1">
            <w:col w:w="10560"/>
          </w:cols>
          <w:pgMar w:left="660" w:top="774" w:right="68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of the Investment Adviser</w:t>
      </w:r>
    </w:p>
    <w:p>
      <w:pPr>
        <w:spacing w:after="0" w:line="131" w:lineRule="exact"/>
        <w:rPr>
          <w:sz w:val="20"/>
          <w:szCs w:val="20"/>
          <w:color w:val="auto"/>
        </w:rPr>
      </w:pPr>
    </w:p>
    <w:p>
      <w:pPr>
        <w:ind w:right="68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Advisers is a registered investment adviser under the Investment Advisers Act of 1940, as amended, or the Advisers Act. The principal executive office of PennantPark Investment Advisers is located at 1691 Michigan Ave, Miami Beach, Florida 33139.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Investment Management Agreement</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Investment Management Agreement was reapproved by our board of directors, including a majority of our directors who are not interested persons of us or the Investment Adviser in February 2023. Unless terminated earlier as described below, the Investment Management Agreement will continue in effect for a period of one year through February 2024.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 -term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98"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4" w:right="68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i w:val="1"/>
          <w:iCs w:val="1"/>
          <w:color w:val="auto"/>
        </w:rPr>
        <w:t>Administration Agreement</w:t>
      </w:r>
    </w:p>
    <w:p>
      <w:pPr>
        <w:spacing w:after="0" w:line="131"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has provided similar services to SBIC II under its administration agreement with us. For providing these services, facilities and personnel, we have agreed to reimburse the Administrator for our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2023, 2022, and 2021, we recorded $1.3 million, $0.5 million and $1.5 million, respectively, including expenses the Investment Adviser incurred on behalf of the Administrator for services described above.</w:t>
      </w:r>
    </w:p>
    <w:p>
      <w:pPr>
        <w:spacing w:after="0" w:line="96"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Duration and Termination of Administration Agreement</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The Administration Agreement was reapproved by our board of directors, including a majority of our directors who are not interested persons of us, in February 2023. Unless terminated earlier as described below, our Administration Agreement will continue in effect for a period of one year through February 2024.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Indemnification</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License Agreement</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PennantPark Senior Loan Fund, LLC</w:t>
      </w:r>
    </w:p>
    <w:p>
      <w:pPr>
        <w:spacing w:after="0" w:line="155"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September 30, 2023 and 2022 PSLF had total assets of $872.8 million and $781.3 million, respectively, consisting of debt investments in 90 and 80 portfolio companies, respectively. As of September 30, 2023, at fair value, the largest investment in a single portfolio company in PSLF was $19.7 million and the five largest investments totaled $97.5 million. As of September 30, 2022, at fair value, the largest investment in a single portfolio company in PSLF was $19.9 million and the five largest investments totaled $98.5 million. PSLF invests in portfolio companies in the same industries in which we may directly invest.</w:t>
      </w:r>
    </w:p>
    <w:p>
      <w:pPr>
        <w:spacing w:after="0" w:line="94"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September 30, 2023 and 2022 we and Pantheon owned 60.5% and 39.5%, respectively, of each of the outstanding subordinated notes and equity interests of PSLF. As of September 30, 2023 and 2022, our investment in PSLF consisted of subordinated notes of $102.3 million and $88.0 million and had $13.6 million and $27.9 million unfunded commitments, respectively, and equity interests of $58.6 million and $49.4 million and had $8.8 million and $18.1 million unfunded commitments, respectively.</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Company, Regulated Investment Company Regulations and Small Business Investment Company Regulations</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1"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698" w:right="70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i w:val="1"/>
          <w:iCs w:val="1"/>
          <w:color w:val="auto"/>
        </w:rPr>
        <w:t>Qualifying Assets</w:t>
      </w:r>
    </w:p>
    <w:p>
      <w:pPr>
        <w:spacing w:after="0" w:line="131" w:lineRule="exact"/>
        <w:rPr>
          <w:sz w:val="20"/>
          <w:szCs w:val="20"/>
          <w:color w:val="auto"/>
        </w:rPr>
      </w:pPr>
    </w:p>
    <w:p>
      <w:pPr>
        <w:ind w:right="280" w:firstLine="420"/>
        <w:spacing w:after="0" w:line="286" w:lineRule="auto"/>
        <w:rPr>
          <w:sz w:val="20"/>
          <w:szCs w:val="20"/>
          <w:color w:val="auto"/>
        </w:rPr>
      </w:pPr>
      <w:r>
        <w:rPr>
          <w:rFonts w:ascii="Times New Roman" w:cs="Times New Roman" w:eastAsia="Times New Roman" w:hAnsi="Times New Roman"/>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76" w:lineRule="exact"/>
        <w:rPr>
          <w:sz w:val="20"/>
          <w:szCs w:val="20"/>
          <w:color w:val="auto"/>
        </w:rPr>
      </w:pPr>
    </w:p>
    <w:p>
      <w:pPr>
        <w:ind w:left="540" w:right="220"/>
        <w:spacing w:after="0" w:line="268" w:lineRule="auto"/>
        <w:rPr>
          <w:sz w:val="20"/>
          <w:szCs w:val="20"/>
          <w:color w:val="auto"/>
        </w:rPr>
      </w:pPr>
      <w:r>
        <w:rPr>
          <w:rFonts w:ascii="Times New Roman" w:cs="Times New Roman" w:eastAsia="Times New Roman" w:hAnsi="Times New Roman"/>
          <w:sz w:val="13"/>
          <w:szCs w:val="13"/>
          <w:color w:val="auto"/>
        </w:rPr>
        <w:t>(1)Securities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8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(a)is organized under the laws of, and has its principal place of business in, the United States;</w:t>
      </w:r>
    </w:p>
    <w:p>
      <w:pPr>
        <w:spacing w:after="0" w:line="127" w:lineRule="exact"/>
        <w:rPr>
          <w:sz w:val="20"/>
          <w:szCs w:val="20"/>
          <w:color w:val="auto"/>
        </w:rPr>
      </w:pPr>
    </w:p>
    <w:p>
      <w:pPr>
        <w:ind w:left="1080"/>
        <w:spacing w:after="0" w:line="286" w:lineRule="auto"/>
        <w:rPr>
          <w:sz w:val="20"/>
          <w:szCs w:val="20"/>
          <w:color w:val="auto"/>
        </w:rPr>
      </w:pPr>
      <w:r>
        <w:rPr>
          <w:rFonts w:ascii="Times New Roman" w:cs="Times New Roman" w:eastAsia="Times New Roman" w:hAnsi="Times New Roman"/>
          <w:sz w:val="13"/>
          <w:szCs w:val="13"/>
          <w:color w:val="auto"/>
        </w:rPr>
        <w:t>(b)is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(c)satisfies any of the following:</w:t>
      </w:r>
    </w:p>
    <w:p>
      <w:pPr>
        <w:spacing w:after="0" w:line="1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(i)does not have any class of securities listed on a national securities exchange;</w:t>
      </w:r>
    </w:p>
    <w:p>
      <w:pPr>
        <w:spacing w:after="0" w:line="1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(ii)has any class of securities listed on a national securities exchange subject to a maximum market capitalization of $250.0 million; or</w:t>
      </w:r>
    </w:p>
    <w:p>
      <w:pPr>
        <w:spacing w:after="0" w:line="127" w:lineRule="exact"/>
        <w:rPr>
          <w:sz w:val="20"/>
          <w:szCs w:val="20"/>
          <w:color w:val="auto"/>
        </w:rPr>
      </w:pPr>
    </w:p>
    <w:p>
      <w:pPr>
        <w:ind w:left="1600" w:right="100"/>
        <w:spacing w:after="0" w:line="286" w:lineRule="auto"/>
        <w:rPr>
          <w:sz w:val="20"/>
          <w:szCs w:val="20"/>
          <w:color w:val="auto"/>
        </w:rPr>
      </w:pPr>
      <w:r>
        <w:rPr>
          <w:rFonts w:ascii="Times New Roman" w:cs="Times New Roman" w:eastAsia="Times New Roman" w:hAnsi="Times New Roman"/>
          <w:sz w:val="13"/>
          <w:szCs w:val="13"/>
          <w:color w:val="auto"/>
        </w:rPr>
        <w:t>(iii)is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(2)Securities of any eligible portfolio company which we control.</w:t>
      </w:r>
    </w:p>
    <w:p>
      <w:pPr>
        <w:spacing w:after="0" w:line="127" w:lineRule="exact"/>
        <w:rPr>
          <w:sz w:val="20"/>
          <w:szCs w:val="20"/>
          <w:color w:val="auto"/>
        </w:rPr>
      </w:pPr>
    </w:p>
    <w:p>
      <w:pPr>
        <w:ind w:left="540" w:right="120"/>
        <w:spacing w:after="0" w:line="268" w:lineRule="auto"/>
        <w:rPr>
          <w:sz w:val="20"/>
          <w:szCs w:val="20"/>
          <w:color w:val="auto"/>
        </w:rPr>
      </w:pPr>
      <w:r>
        <w:rPr>
          <w:rFonts w:ascii="Times New Roman" w:cs="Times New Roman" w:eastAsia="Times New Roman" w:hAnsi="Times New Roman"/>
          <w:sz w:val="13"/>
          <w:szCs w:val="13"/>
          <w:color w:val="auto"/>
        </w:rPr>
        <w:t>(3)Securities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(4)Securities of an eligible portfolio company purchased from any person in a private transaction if there is no readily available market for such securities and we already own 60% of the outstanding equity of the eligible portfolio company.</w:t>
      </w:r>
    </w:p>
    <w:p>
      <w:pPr>
        <w:spacing w:after="0" w:line="76" w:lineRule="exact"/>
        <w:rPr>
          <w:sz w:val="20"/>
          <w:szCs w:val="20"/>
          <w:color w:val="auto"/>
        </w:rPr>
      </w:pPr>
    </w:p>
    <w:p>
      <w:pPr>
        <w:ind w:left="540" w:right="380"/>
        <w:spacing w:after="0" w:line="286" w:lineRule="auto"/>
        <w:rPr>
          <w:sz w:val="20"/>
          <w:szCs w:val="20"/>
          <w:color w:val="auto"/>
        </w:rPr>
      </w:pPr>
      <w:r>
        <w:rPr>
          <w:rFonts w:ascii="Times New Roman" w:cs="Times New Roman" w:eastAsia="Times New Roman" w:hAnsi="Times New Roman"/>
          <w:sz w:val="13"/>
          <w:szCs w:val="13"/>
          <w:color w:val="auto"/>
        </w:rPr>
        <w:t>(5)Securities received in exchange for or distributed on or with respect to securities described in (1) through (4) above, or pursuant to the exercise of warrants or rights relating to such securities.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(6)Cash, cash equivalents, U.S. government securities or high-quality debt securities maturing in one year or less from the time of investment.</w:t>
      </w:r>
    </w:p>
    <w:p>
      <w:pPr>
        <w:spacing w:after="0" w:line="127" w:lineRule="exact"/>
        <w:rPr>
          <w:sz w:val="20"/>
          <w:szCs w:val="20"/>
          <w:color w:val="auto"/>
        </w:rPr>
      </w:pPr>
    </w:p>
    <w:p>
      <w:pPr>
        <w:ind w:right="540" w:firstLine="420"/>
        <w:spacing w:after="0" w:line="286" w:lineRule="auto"/>
        <w:rPr>
          <w:sz w:val="20"/>
          <w:szCs w:val="20"/>
          <w:color w:val="auto"/>
        </w:rPr>
      </w:pPr>
      <w:r>
        <w:rPr>
          <w:rFonts w:ascii="Times New Roman" w:cs="Times New Roman" w:eastAsia="Times New Roman" w:hAnsi="Times New Roman"/>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Assistance to Portfolio Companies</w:t>
      </w:r>
    </w:p>
    <w:p>
      <w:pPr>
        <w:spacing w:after="0" w:line="131"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Temporary Investments</w:t>
      </w:r>
    </w:p>
    <w:p>
      <w:pPr>
        <w:spacing w:after="0" w:line="131"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98" w:lineRule="exact"/>
        <w:rPr>
          <w:sz w:val="20"/>
          <w:szCs w:val="20"/>
          <w:color w:val="auto"/>
        </w:rPr>
      </w:pPr>
    </w:p>
    <w:p>
      <w:pPr>
        <w:jc w:val="both"/>
        <w:ind w:right="560" w:firstLine="420"/>
        <w:spacing w:after="0" w:line="268" w:lineRule="auto"/>
        <w:rPr>
          <w:sz w:val="20"/>
          <w:szCs w:val="20"/>
          <w:color w:val="auto"/>
        </w:rPr>
      </w:pPr>
      <w:r>
        <w:rPr>
          <w:rFonts w:ascii="Times New Roman" w:cs="Times New Roman" w:eastAsia="Times New Roman" w:hAnsi="Times New Roman"/>
          <w:sz w:val="13"/>
          <w:szCs w:val="13"/>
          <w:color w:val="auto"/>
        </w:rPr>
        <w:t>Our investment in PSLF, our unconsolidated joint venture with Pantheon, is not a qualifying asset under Section 55(a) of the 1940 Act. From time to time prior to making additional investments into PSLF, PTSF II or any future joint venture, we may increase our holdings of U.S. treasury securities, cash or cash equivalents (through borrowing or otherwise) so that such investments do not result in less than 70% of our assets being invested in qualifying assets.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Senior Securities</w:t>
      </w:r>
    </w:p>
    <w:p>
      <w:pPr>
        <w:spacing w:after="0" w:line="131"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98" w:right="68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i w:val="1"/>
          <w:iCs w:val="1"/>
          <w:color w:val="auto"/>
        </w:rPr>
        <w:t>Joint Code of Ethics and Code of Conduct</w:t>
      </w:r>
    </w:p>
    <w:p>
      <w:pPr>
        <w:spacing w:after="0" w:line="13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 xml:space="preserve">We and PennantPark Investment Advisers have adopted a joint code of ethics pursuant to Rule 17j- 1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In addition, the joint code of ethics is attached as an exhibit to this Report and is available on the EDGAR Database on the SEC’s Internet site 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Proxy Voting Policies and Procedures</w:t>
      </w:r>
    </w:p>
    <w:p>
      <w:pPr>
        <w:spacing w:after="0" w:line="131" w:lineRule="exact"/>
        <w:rPr>
          <w:sz w:val="20"/>
          <w:szCs w:val="20"/>
          <w:color w:val="auto"/>
        </w:rPr>
      </w:pPr>
    </w:p>
    <w:p>
      <w:pPr>
        <w:ind w:right="280" w:firstLine="420"/>
        <w:spacing w:after="0" w:line="268" w:lineRule="auto"/>
        <w:rPr>
          <w:sz w:val="20"/>
          <w:szCs w:val="20"/>
          <w:color w:val="auto"/>
        </w:rPr>
      </w:pPr>
      <w:r>
        <w:rPr>
          <w:rFonts w:ascii="Times New Roman" w:cs="Times New Roman" w:eastAsia="Times New Roman" w:hAnsi="Times New Roman"/>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i w:val="1"/>
          <w:iCs w:val="1"/>
          <w:color w:val="auto"/>
        </w:rPr>
        <w:t>Introduction</w:t>
      </w:r>
    </w:p>
    <w:p>
      <w:pPr>
        <w:spacing w:after="0" w:line="129"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an investment adviser registered under the Advisers Act, our Investment Adviser have a fiduciary duty to act solely in the best interests of their clients. As part of this duty, our Investment Adviser recognize that they must vote client securities in a timely manner free of conflicts of interest and in the best interests of their clients.</w:t>
      </w:r>
    </w:p>
    <w:p>
      <w:pPr>
        <w:spacing w:after="0" w:line="76" w:lineRule="exact"/>
        <w:rPr>
          <w:sz w:val="20"/>
          <w:szCs w:val="20"/>
          <w:color w:val="auto"/>
        </w:rPr>
      </w:pPr>
    </w:p>
    <w:p>
      <w:pPr>
        <w:ind w:left="420" w:right="1040"/>
        <w:spacing w:after="0" w:line="443" w:lineRule="auto"/>
        <w:rPr>
          <w:sz w:val="20"/>
          <w:szCs w:val="20"/>
          <w:color w:val="auto"/>
        </w:rPr>
      </w:pPr>
      <w:r>
        <w:rPr>
          <w:rFonts w:ascii="Times New Roman" w:cs="Times New Roman" w:eastAsia="Times New Roman" w:hAnsi="Times New Roman"/>
          <w:sz w:val="13"/>
          <w:szCs w:val="13"/>
          <w:color w:val="auto"/>
        </w:rPr>
        <w:t xml:space="preserve">These policies and procedures for voting proxies for our investment advisory clients are intended to comply with Section 206 of, and Rule 206(4)-6 under, the Advisers Act. </w:t>
      </w:r>
      <w:r>
        <w:rPr>
          <w:rFonts w:ascii="Times New Roman" w:cs="Times New Roman" w:eastAsia="Times New Roman" w:hAnsi="Times New Roman"/>
          <w:sz w:val="13"/>
          <w:szCs w:val="13"/>
          <w:i w:val="1"/>
          <w:iCs w:val="1"/>
          <w:color w:val="auto"/>
        </w:rPr>
        <w:t>Proxy Policies</w:t>
      </w:r>
    </w:p>
    <w:p>
      <w:pPr>
        <w:jc w:val="both"/>
        <w:ind w:right="240" w:firstLine="420"/>
        <w:spacing w:after="0" w:line="268" w:lineRule="auto"/>
        <w:rPr>
          <w:sz w:val="20"/>
          <w:szCs w:val="20"/>
          <w:color w:val="auto"/>
        </w:rPr>
      </w:pPr>
      <w:r>
        <w:rPr>
          <w:rFonts w:ascii="Times New Roman" w:cs="Times New Roman" w:eastAsia="Times New Roman" w:hAnsi="Times New Roman"/>
          <w:sz w:val="13"/>
          <w:szCs w:val="13"/>
          <w:color w:val="auto"/>
        </w:rPr>
        <w:t>Our Investment Adviser vote proxies relating to our portfolio securities in what they perceive to be the best interests of our stockholders. Our Investment Adviser review on a case-by-case basis each proposal submitted to a stockholder vote to determine its impact on the portfolio securities held by its clients. Although our Investment Adviser will generally vote against proposals that may have a negative impact on its clients’ portfolio securities, our Investment Adviser may vote for such a proposal if there exists compelling long-term reasons to do so.</w:t>
      </w:r>
    </w:p>
    <w:p>
      <w:pPr>
        <w:spacing w:after="0" w:line="8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Our Investment Adviser proxy voting decisions are made by the senior investment professionals who are responsible for monitoring each of its clients’ investments. To ensure that the vote is not the product of a conflict of interest, our Investment Adviser requires that: (1) anyone involved in the decision making process disclose to its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i w:val="1"/>
          <w:iCs w:val="1"/>
          <w:color w:val="auto"/>
        </w:rPr>
        <w:t>Proxy Voting Records</w:t>
      </w:r>
    </w:p>
    <w:p>
      <w:pPr>
        <w:spacing w:after="0" w:line="129"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You may obtain information about how we voted proxies, free of charge, by calling us at (786) 297-9500 or by making a written request for proxy voting information to: Richard Allorto, Chief Financial Officer and Treasurer, 1691 Michigan Avenue, Miami Beach, Florida 33139.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Privacy Protection Principles</w:t>
      </w:r>
    </w:p>
    <w:p>
      <w:pPr>
        <w:spacing w:after="0" w:line="131"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6"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87"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74" w:lineRule="exact"/>
        <w:rPr>
          <w:sz w:val="20"/>
          <w:szCs w:val="20"/>
          <w:color w:val="auto"/>
        </w:rPr>
      </w:pPr>
    </w:p>
    <w:p>
      <w:pPr>
        <w:ind w:right="400" w:firstLine="420"/>
        <w:spacing w:after="0" w:line="289" w:lineRule="auto"/>
        <w:rPr>
          <w:sz w:val="20"/>
          <w:szCs w:val="20"/>
          <w:color w:val="auto"/>
        </w:rPr>
      </w:pPr>
      <w:r>
        <w:rPr>
          <w:rFonts w:ascii="Times New Roman" w:cs="Times New Roman" w:eastAsia="Times New Roman" w:hAnsi="Times New Roman"/>
          <w:sz w:val="13"/>
          <w:szCs w:val="13"/>
          <w:color w:val="auto"/>
        </w:rPr>
        <w:t xml:space="preserve">Our privacy protection policies are available, free of charge, on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color w:val="auto"/>
        </w:rPr>
        <w:t xml:space="preserve">. In addition, the privacy policy is available on the EDGAR Database on the SEC’s Internet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filed as an exhibit to our annual report on this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will be periodically examined by the SEC and SBA for compliance with the 1940 Act and 1958 Act, respectively.</w:t>
      </w:r>
    </w:p>
    <w:p>
      <w:pPr>
        <w:spacing w:after="0" w:line="12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87"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Sarbanes-Oxley Act of 2002</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The Sarbanes-Oxley Act of 2002, as amended, or the Sarbanes-Oxley Act, imposes several regulatory requirements on publicly held companies and their insiders. Many of these requirements affect us.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example:</w:t>
      </w:r>
    </w:p>
    <w:p>
      <w:pPr>
        <w:spacing w:after="0" w:line="127" w:lineRule="exact"/>
        <w:rPr>
          <w:sz w:val="20"/>
          <w:szCs w:val="20"/>
          <w:color w:val="auto"/>
        </w:rPr>
      </w:pPr>
    </w:p>
    <w:p>
      <w:pPr>
        <w:ind w:left="540" w:right="60"/>
        <w:spacing w:after="0" w:line="286" w:lineRule="auto"/>
        <w:rPr>
          <w:sz w:val="20"/>
          <w:szCs w:val="20"/>
          <w:color w:val="auto"/>
        </w:rPr>
      </w:pPr>
      <w:r>
        <w:rPr>
          <w:rFonts w:ascii="Times New Roman" w:cs="Times New Roman" w:eastAsia="Times New Roman" w:hAnsi="Times New Roman"/>
          <w:sz w:val="13"/>
          <w:szCs w:val="13"/>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698" w:right="660" w:bottom="1440" w:gutter="0" w:footer="0" w:header="0"/>
        </w:sectPr>
      </w:pPr>
    </w:p>
    <w:bookmarkStart w:id="16" w:name="page17"/>
    <w:bookmarkEnd w:id="16"/>
    <w:p>
      <w:pPr>
        <w:ind w:left="540"/>
        <w:spacing w:after="0"/>
        <w:rPr>
          <w:sz w:val="20"/>
          <w:szCs w:val="20"/>
          <w:color w:val="auto"/>
        </w:rPr>
      </w:pPr>
      <w:r>
        <w:rPr>
          <w:rFonts w:ascii="Times New Roman" w:cs="Times New Roman" w:eastAsia="Times New Roman" w:hAnsi="Times New Roman"/>
          <w:sz w:val="13"/>
          <w:szCs w:val="13"/>
          <w:color w:val="auto"/>
        </w:rPr>
        <w:t>•pursuant to Item 307 of Regulation S-K, our periodic reports must disclose our conclusions about the effectiveness of our disclosure controls and procedures;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•pursuant to Rule 13a-15 of the Exchange Act, our management must prepare an annual report regarding its assessment of our internal controls over financial reporting; and</w:t>
      </w:r>
    </w:p>
    <w:p>
      <w:pPr>
        <w:spacing w:after="0" w:line="127" w:lineRule="exact"/>
        <w:rPr>
          <w:sz w:val="20"/>
          <w:szCs w:val="20"/>
          <w:color w:val="auto"/>
        </w:rPr>
      </w:pPr>
    </w:p>
    <w:p>
      <w:pPr>
        <w:jc w:val="both"/>
        <w:ind w:left="540" w:right="440"/>
        <w:spacing w:after="0" w:line="268" w:lineRule="auto"/>
        <w:rPr>
          <w:sz w:val="20"/>
          <w:szCs w:val="20"/>
          <w:color w:val="auto"/>
        </w:rPr>
      </w:pPr>
      <w:r>
        <w:rPr>
          <w:rFonts w:ascii="Times New Roman" w:cs="Times New Roman" w:eastAsia="Times New Roman" w:hAnsi="Times New Roman"/>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Sarbanes-Oxley Act requires us to review our current policies and procedures to determine whether we comply with the Sarbanes-Oxley Act and the regulations promulgated there-under.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continue to monitor our compliance with all regulations that are adopted under the Sarbanes-Oxley Act and continue to take actions necessary to ensure that we are in compliance with that act.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Election to be Treated as a RIC</w:t>
      </w:r>
    </w:p>
    <w:p>
      <w:pPr>
        <w:spacing w:after="0" w:line="131" w:lineRule="exact"/>
        <w:rPr>
          <w:sz w:val="20"/>
          <w:szCs w:val="20"/>
          <w:color w:val="auto"/>
        </w:rPr>
      </w:pPr>
    </w:p>
    <w:p>
      <w:pPr>
        <w:ind w:right="80" w:firstLine="420"/>
        <w:spacing w:after="0" w:line="260"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order to qualify as a RIC for federal income tax purposes, we must: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•maintain an election to be treated as a BDC under the 1940 Act at all times during each taxable year;</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•diversify our holdings, or the Diversification Tests, so that at the end of each quarter of the taxable year:</w:t>
      </w:r>
    </w:p>
    <w:p>
      <w:pPr>
        <w:spacing w:after="0" w:line="127" w:lineRule="exact"/>
        <w:rPr>
          <w:sz w:val="20"/>
          <w:szCs w:val="20"/>
          <w:color w:val="auto"/>
        </w:rPr>
      </w:pPr>
    </w:p>
    <w:p>
      <w:pPr>
        <w:ind w:left="1080" w:right="120"/>
        <w:spacing w:after="0" w:line="286" w:lineRule="auto"/>
        <w:rPr>
          <w:sz w:val="20"/>
          <w:szCs w:val="20"/>
          <w:color w:val="auto"/>
        </w:rPr>
      </w:pPr>
      <w:r>
        <w:rPr>
          <w:rFonts w:ascii="Times New Roman" w:cs="Times New Roman" w:eastAsia="Times New Roman" w:hAnsi="Times New Roman"/>
          <w:sz w:val="13"/>
          <w:szCs w:val="13"/>
          <w:color w:val="auto"/>
        </w:rPr>
        <w:t>1)at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76" w:lineRule="exact"/>
        <w:rPr>
          <w:sz w:val="20"/>
          <w:szCs w:val="20"/>
          <w:color w:val="auto"/>
        </w:rPr>
      </w:pPr>
    </w:p>
    <w:p>
      <w:pPr>
        <w:jc w:val="both"/>
        <w:ind w:left="1080" w:right="40"/>
        <w:spacing w:after="0" w:line="268" w:lineRule="auto"/>
        <w:rPr>
          <w:sz w:val="20"/>
          <w:szCs w:val="20"/>
          <w:color w:val="auto"/>
        </w:rPr>
      </w:pPr>
      <w:r>
        <w:rPr>
          <w:rFonts w:ascii="Times New Roman" w:cs="Times New Roman" w:eastAsia="Times New Roman" w:hAnsi="Times New Roman"/>
          <w:sz w:val="13"/>
          <w:szCs w:val="13"/>
          <w:color w:val="auto"/>
        </w:rPr>
        <w:t>2)no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87" w:lineRule="exact"/>
        <w:rPr>
          <w:sz w:val="20"/>
          <w:szCs w:val="20"/>
          <w:color w:val="auto"/>
        </w:rPr>
      </w:pPr>
    </w:p>
    <w:p>
      <w:pPr>
        <w:ind w:right="280" w:firstLine="420"/>
        <w:spacing w:after="0" w:line="261"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Although we may distribute realized net capital gains (i.e., net long- 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98" w:lineRule="exact"/>
        <w:rPr>
          <w:sz w:val="20"/>
          <w:szCs w:val="20"/>
          <w:color w:val="auto"/>
        </w:rPr>
      </w:pPr>
    </w:p>
    <w:p>
      <w:pPr>
        <w:ind w:right="240" w:firstLine="420"/>
        <w:spacing w:after="0" w:line="262" w:lineRule="auto"/>
        <w:rPr>
          <w:sz w:val="20"/>
          <w:szCs w:val="20"/>
          <w:color w:val="auto"/>
        </w:rPr>
      </w:pPr>
      <w:r>
        <w:rPr>
          <w:rFonts w:ascii="Times New Roman" w:cs="Times New Roman" w:eastAsia="Times New Roman" w:hAnsi="Times New Roman"/>
          <w:sz w:val="13"/>
          <w:szCs w:val="13"/>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27"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as a RIC</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94"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2" w:right="66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color w:val="auto"/>
        </w:rPr>
        <w:t>in a bankruptcy or workout context are taxable. We will address these and other issues to the extent necessary in order to continue to maintain our qualification to be subject to tax as a RIC.</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Gain or loss realized by us from equity securities and warrants acquired by us, as well as any loss attributable to the lapse of such warrants, generally will be treated as capital gain or loss.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gain or loss generally will be long-term or short-term, depending on how long we held a particular warrant.</w:t>
      </w:r>
    </w:p>
    <w:p>
      <w:pPr>
        <w:spacing w:after="0" w:line="113"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94"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to Qualify as a RIC</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91"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SBA Regulations</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SBIC II was licensed to operate under the SBA as a SBIC under Section 301(c) of the 1958 Act and received its license in 2013. We have repaid all outstanding debentures in connection with SBIC II and surrendered its SBA license.</w:t>
      </w:r>
    </w:p>
    <w:p>
      <w:pPr>
        <w:spacing w:after="0" w:line="76" w:lineRule="exact"/>
        <w:rPr>
          <w:sz w:val="20"/>
          <w:szCs w:val="20"/>
          <w:color w:val="auto"/>
        </w:rPr>
      </w:pPr>
    </w:p>
    <w:p>
      <w:pPr>
        <w:ind w:right="100" w:firstLine="420"/>
        <w:spacing w:after="0" w:line="254" w:lineRule="auto"/>
        <w:rPr>
          <w:sz w:val="20"/>
          <w:szCs w:val="20"/>
          <w:color w:val="auto"/>
        </w:rPr>
      </w:pPr>
      <w:r>
        <w:rPr>
          <w:rFonts w:ascii="Times New Roman" w:cs="Times New Roman" w:eastAsia="Times New Roman" w:hAnsi="Times New Roman"/>
          <w:sz w:val="13"/>
          <w:szCs w:val="13"/>
          <w:color w:val="auto"/>
        </w:rPr>
        <w:t>SBICs are designed to stimulate the flow of capital to businesses that meet specified eligibility requirements discussed below. Under SBA regulations, SBIC II was subject to regulatory requirements including, among other things, making investments in SBA eligible “small businesses” (as defined by the SBA), investing at least 25% of regulatory capital in eligible “smaller business enterprises”, placing certain limitations on the financing terms of investments by SBICs in portfolio companies, prohibiting investing in certain industries, and meeting certain required capitalization thresholds among other regulations. Furthermore, SBIC II was subject to regulation and oversight by the SBA, including, among other things, periodic the performance of financial audits by an independent auditor and periodic examinations, including of SBIC II’s of their financial statements that are prepared on a basis of accounting other than GAAP pursuant to SBA accounting standards and financial reporting requirements for SBICs. For example, SBIC II did not use fair value accounting on its assets or liabilities under SBA valuation guidelines. If SBIC II failed to comply with applicable SBA regulations, the SBA could, depending on the severity of the violation, limit or prohibit use of SBA-guaranteed debentures, declare outstanding debentures immediately due and payable, and/or limit SBIC II from making new investments. In addition, the SBA can revoke or suspend a SBIC license for willful or repeated violation of, or willful or repeated failure to observe, any provision of the 1958 Act or any rule or regulation promulgated thereunder. These actions by the SBA would, in turn, negatively affect 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Eligible Small and Smaller Businesses</w:t>
      </w:r>
    </w:p>
    <w:p>
      <w:pPr>
        <w:spacing w:after="0" w:line="129"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Under present current SBA regulations, eligible “small business” generally include businesses that (together with their affiliates) have tangible net worth not exceeding $19.5 million and have average annual net income after U.S. federal income taxes not exceeding $6.5 million (average net income to be computed without benefit of any carryover loss) for the two most recent fiscal years. In addition, SBIC II was required to invest at least 25% of its investment capitals in “smaller” concerns enterprises”. A “smaller concern enterprise” generally includes a business (together with its affiliates) that has tangible net worth not exceeding $6.0 million and has average annual net income after U.S. federal income taxes not exceeding $2.0 million (average net income to be computed without benefit of any carryover loss) for the two most recent fiscal years. SBA regulations also provide alternative industry size standard criteria to determine eligibility for designation as an eligible small business or a smaller enterprise, which criteria depend on the primary industry in which the business is engaged and is based on the number of employees or gross revenue of the business and its affiliates or as an alternative to the aforementioned requirement, meet the size requirements based on either the number of employees or gross revenue, which is based on the industry in which the smaller concern operates. However, once an SBIC has invested in a company, it may continue to make follow-on investments in the company, regardless of the size of the business at the time of the follow-on investment, up and until the time a business offers its securities in a public market through the company’s initial public offering, if 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Financing Limitations, Terms and Changes in Control</w:t>
      </w:r>
    </w:p>
    <w:p>
      <w:pPr>
        <w:spacing w:after="0" w:line="129"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The SBA generally prohibits an SBIC from financing small businesses in certain industries, such as relending, gambling, oil and gas exploration and other passive businesses. Additional SBA prohibitions include investing outside the United States, investing more than 30% of regulatory capital in any one company and its affiliates and lending money to any officer, director or employee or to invest in any affiliate thereof. The SBA placed certain limits on the financing terms of investments by SBIC II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91"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SBA also prohibited, without prior written approval, a “change in control” of SBIC II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2" w:right="66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color w:val="auto"/>
        </w:rPr>
        <w:t>Idle Funds Limitation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SBA limits an SBIC to investing idle funds in the following types of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obligations of, or obligations guaranteed as to principal and interest by, the U.S. Government, which mature within 15 months from the date of the investment;</w:t>
      </w:r>
    </w:p>
    <w:p>
      <w:pPr>
        <w:spacing w:after="0" w:line="127" w:lineRule="exact"/>
        <w:rPr>
          <w:sz w:val="20"/>
          <w:szCs w:val="20"/>
          <w:color w:val="auto"/>
        </w:rPr>
      </w:pPr>
    </w:p>
    <w:p>
      <w:pPr>
        <w:ind w:left="540" w:right="180"/>
        <w:spacing w:after="0" w:line="286" w:lineRule="auto"/>
        <w:rPr>
          <w:sz w:val="20"/>
          <w:szCs w:val="20"/>
          <w:color w:val="auto"/>
        </w:rPr>
      </w:pPr>
      <w:r>
        <w:rPr>
          <w:rFonts w:ascii="Times New Roman" w:cs="Times New Roman" w:eastAsia="Times New Roman" w:hAnsi="Times New Roman"/>
          <w:sz w:val="13"/>
          <w:szCs w:val="13"/>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•mutual funds, securities or other instruments that exclusively consist of, or represent pooled assets of, investments described in the first and second bulleted paragraphs above;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•certificates of deposit with a maturity of one year or less, issued by a federally insured institution;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 deposit account in a federally insured institution that is subject to withdrawal restriction of one year or less.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 checking account in a federally insured institution;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 a reasonable petty cash fund.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SBA Leverage or Debentures</w:t>
      </w:r>
    </w:p>
    <w:p>
      <w:pPr>
        <w:spacing w:after="0" w:line="129"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SBA-guaranteed debentures are non-recourse to us, have a 10- 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 The SBA, as a creditor, had a superior claim to SBIC II’s assets over our stockholders in the event we liquidated SBIC II or the SBA exercises its remedies under the SBA-guaranteed debentures issued by SBIC II upon an event of default. We have repaid all outstanding debentures in connection with SBIC II and have surrendered the SBA license.</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700" w:right="80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3" w:lineRule="exact"/>
        <w:rPr>
          <w:sz w:val="20"/>
          <w:szCs w:val="20"/>
          <w:color w:val="auto"/>
        </w:rPr>
      </w:pPr>
    </w:p>
    <w:p>
      <w:pPr>
        <w:ind w:left="80" w:right="140" w:firstLine="420"/>
        <w:spacing w:after="0" w:line="260" w:lineRule="auto"/>
        <w:rPr>
          <w:sz w:val="20"/>
          <w:szCs w:val="20"/>
          <w:color w:val="auto"/>
        </w:rPr>
      </w:pPr>
      <w:r>
        <w:rPr>
          <w:rFonts w:ascii="Times New Roman" w:cs="Times New Roman" w:eastAsia="Times New Roman" w:hAnsi="Times New Roman"/>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2026 Notes, our 2026 Notes-2 or any securities we may issue, may decline, and you may lose all or part of your investment.</w:t>
      </w:r>
    </w:p>
    <w:p>
      <w:pPr>
        <w:spacing w:after="0" w:line="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RISKS RELATING TO OUR BUSINESS AND STRUCTURE</w:t>
      </w:r>
    </w:p>
    <w:p>
      <w:pPr>
        <w:spacing w:after="0" w:line="161" w:lineRule="exact"/>
        <w:rPr>
          <w:sz w:val="20"/>
          <w:szCs w:val="20"/>
          <w:color w:val="auto"/>
        </w:rPr>
      </w:pPr>
    </w:p>
    <w:p>
      <w:pPr>
        <w:ind w:left="80" w:right="3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subject to various covenants under our Truist Credit Facility which, if not complied with, could result in reduced availability and/or mandatory prepayments under our Truist Credit Facility.</w:t>
      </w:r>
    </w:p>
    <w:p>
      <w:pPr>
        <w:spacing w:after="0" w:line="108" w:lineRule="exact"/>
        <w:rPr>
          <w:sz w:val="20"/>
          <w:szCs w:val="20"/>
          <w:color w:val="auto"/>
        </w:rPr>
      </w:pPr>
    </w:p>
    <w:p>
      <w:pPr>
        <w:ind w:left="80" w:right="20" w:firstLine="420"/>
        <w:spacing w:after="0" w:line="262" w:lineRule="auto"/>
        <w:rPr>
          <w:sz w:val="20"/>
          <w:szCs w:val="20"/>
          <w:color w:val="auto"/>
        </w:rPr>
      </w:pPr>
      <w:r>
        <w:rPr>
          <w:rFonts w:ascii="Times New Roman" w:cs="Times New Roman" w:eastAsia="Times New Roman" w:hAnsi="Times New Roman"/>
          <w:sz w:val="13"/>
          <w:szCs w:val="13"/>
          <w:color w:val="auto"/>
        </w:rPr>
        <w:t>In addition to the asset coverage ratio requirements, our Truist Credit Facility contains various covenants which, if not complied with, could accelerate repayment under the Truist Credit Facility. This could have a material adverse effect on our business, financial condition and results of operations. Our borrowings under our Truist Credit Facility are collateralized by the assets in our investment portfolio, excluding those portfolio investments held by SBIC II. The agreements governing the Truist Credit Facility require us to comply with certain financial and operational covenants. These covenants include:</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to retain our status as a RIC;</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to maintain a minimum amount of stockholders’ equity; and</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•A requirement that our outstanding borrowings under the Truist Credit Facility not exceed a certain percentage of the value of our portfolio.</w:t>
      </w:r>
    </w:p>
    <w:p>
      <w:pPr>
        <w:spacing w:after="0" w:line="127" w:lineRule="exact"/>
        <w:rPr>
          <w:sz w:val="20"/>
          <w:szCs w:val="20"/>
          <w:color w:val="auto"/>
        </w:rPr>
      </w:pPr>
    </w:p>
    <w:p>
      <w:pPr>
        <w:ind w:left="80" w:right="160" w:firstLine="420"/>
        <w:spacing w:after="0" w:line="262" w:lineRule="auto"/>
        <w:rPr>
          <w:sz w:val="20"/>
          <w:szCs w:val="20"/>
          <w:color w:val="auto"/>
        </w:rPr>
      </w:pPr>
      <w:r>
        <w:rPr>
          <w:rFonts w:ascii="Times New Roman" w:cs="Times New Roman" w:eastAsia="Times New Roman" w:hAnsi="Times New Roman"/>
          <w:sz w:val="13"/>
          <w:szCs w:val="13"/>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Truist Credit Facility and could trigger mandatory prepayment obligations under the terms of the Truist Credit Facility.</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market for investment opportunities.</w:t>
      </w:r>
    </w:p>
    <w:p>
      <w:pPr>
        <w:spacing w:after="0" w:line="131" w:lineRule="exact"/>
        <w:rPr>
          <w:sz w:val="20"/>
          <w:szCs w:val="20"/>
          <w:color w:val="auto"/>
        </w:rPr>
      </w:pPr>
    </w:p>
    <w:p>
      <w:pPr>
        <w:ind w:left="80" w:right="100" w:firstLine="420"/>
        <w:spacing w:after="0" w:line="254" w:lineRule="auto"/>
        <w:rPr>
          <w:sz w:val="20"/>
          <w:szCs w:val="20"/>
          <w:color w:val="auto"/>
        </w:rPr>
      </w:pPr>
      <w:r>
        <w:rPr>
          <w:rFonts w:ascii="Times New Roman" w:cs="Times New Roman" w:eastAsia="Times New Roman" w:hAnsi="Times New Roman"/>
          <w:sz w:val="13"/>
          <w:szCs w:val="13"/>
          <w:color w:val="auto"/>
        </w:rPr>
        <w:t>A number of entities compete with us to make the types of investments that we make in middle- 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 -market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1" w:lineRule="exact"/>
        <w:rPr>
          <w:sz w:val="20"/>
          <w:szCs w:val="20"/>
          <w:color w:val="auto"/>
        </w:rPr>
      </w:pPr>
    </w:p>
    <w:p>
      <w:pPr>
        <w:ind w:left="80" w:firstLine="420"/>
        <w:spacing w:after="0" w:line="262" w:lineRule="auto"/>
        <w:rPr>
          <w:sz w:val="20"/>
          <w:szCs w:val="20"/>
          <w:color w:val="auto"/>
        </w:rPr>
      </w:pPr>
      <w:r>
        <w:rPr>
          <w:rFonts w:ascii="Times New Roman" w:cs="Times New Roman" w:eastAsia="Times New Roman" w:hAnsi="Times New Roman"/>
          <w:sz w:val="13"/>
          <w:szCs w:val="13"/>
          <w:color w:val="auto"/>
        </w:rPr>
        <w:t>Participants in our industry compete on several factors, including price, flexibility in transaction structuring, customer service, reputation, market knowledge and speed in decision- 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Our borrowers may default on their payments, which may have a materially negative effect on our financial performance.</w:t>
      </w:r>
    </w:p>
    <w:p>
      <w:pPr>
        <w:spacing w:after="0" w:line="131" w:lineRule="exact"/>
        <w:rPr>
          <w:sz w:val="20"/>
          <w:szCs w:val="20"/>
          <w:color w:val="auto"/>
        </w:rPr>
      </w:pPr>
    </w:p>
    <w:p>
      <w:pPr>
        <w:ind w:left="80" w:right="480" w:firstLine="420"/>
        <w:spacing w:after="0" w:line="286" w:lineRule="auto"/>
        <w:rPr>
          <w:sz w:val="20"/>
          <w:szCs w:val="20"/>
          <w:color w:val="auto"/>
        </w:rPr>
      </w:pPr>
      <w:r>
        <w:rPr>
          <w:rFonts w:ascii="Times New Roman" w:cs="Times New Roman" w:eastAsia="Times New Roman" w:hAnsi="Times New Roman"/>
          <w:sz w:val="13"/>
          <w:szCs w:val="13"/>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76" w:lineRule="exact"/>
        <w:rPr>
          <w:sz w:val="20"/>
          <w:szCs w:val="20"/>
          <w:color w:val="auto"/>
        </w:rPr>
      </w:pPr>
    </w:p>
    <w:p>
      <w:pPr>
        <w:ind w:left="80" w:right="20" w:firstLine="420"/>
        <w:spacing w:after="0" w:line="268" w:lineRule="auto"/>
        <w:rPr>
          <w:sz w:val="20"/>
          <w:szCs w:val="20"/>
          <w:color w:val="auto"/>
        </w:rPr>
      </w:pPr>
      <w:r>
        <w:rPr>
          <w:rFonts w:ascii="Times New Roman" w:cs="Times New Roman" w:eastAsia="Times New Roman" w:hAnsi="Times New Roman"/>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left="80" w:right="160" w:firstLine="420"/>
        <w:spacing w:after="0" w:line="254" w:lineRule="auto"/>
        <w:rPr>
          <w:sz w:val="20"/>
          <w:szCs w:val="20"/>
          <w:color w:val="auto"/>
        </w:rPr>
      </w:pPr>
      <w:r>
        <w:rPr>
          <w:rFonts w:ascii="Times New Roman" w:cs="Times New Roman" w:eastAsia="Times New Roman" w:hAnsi="Times New Roman"/>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31" w:lineRule="exact"/>
        <w:rPr>
          <w:sz w:val="20"/>
          <w:szCs w:val="20"/>
          <w:color w:val="auto"/>
        </w:rPr>
      </w:pPr>
    </w:p>
    <w:p>
      <w:pPr>
        <w:ind w:left="80" w:right="140" w:firstLine="420"/>
        <w:spacing w:after="0" w:line="262" w:lineRule="auto"/>
        <w:rPr>
          <w:sz w:val="20"/>
          <w:szCs w:val="20"/>
          <w:color w:val="auto"/>
        </w:rPr>
      </w:pPr>
      <w:r>
        <w:rPr>
          <w:rFonts w:ascii="Times New Roman" w:cs="Times New Roman" w:eastAsia="Times New Roman" w:hAnsi="Times New Roman"/>
          <w:sz w:val="13"/>
          <w:szCs w:val="13"/>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36830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580" w:right="680" w:bottom="1440" w:gutter="0" w:footer="0" w:header="0"/>
        </w:sectPr>
      </w:pPr>
    </w:p>
    <w:bookmarkStart w:id="20" w:name="page21"/>
    <w:bookmarkEnd w:id="20"/>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72"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2"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6"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exposed to risks associated with changes in interest rates that may affect our cost of capital and net investment income.</w:t>
      </w:r>
    </w:p>
    <w:p>
      <w:pPr>
        <w:spacing w:after="0" w:line="131"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01"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87"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Truist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94"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If general interest rates continue to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continued rising interest rates may increase pressure on us to provide fixed rate loans to our portfolio companies, which could adversely affect our net investment income, as any increases in our cost of borrowed funds would not be accompanied by increased interest income from such fixed-rate investments.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discontinuation and replacement of LIBOR may adversely affect the value of floating-rate debt securities in our portfolio or issued by us.</w:t>
      </w:r>
    </w:p>
    <w:p>
      <w:pPr>
        <w:spacing w:after="0" w:line="167"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As of June 30, 2023, no settings of LIBOR continue to be published on a representative basis and publication of many non-U.S. dollar LIBOR settings have been entirely discontinued. On July 29, 2021, the U.S. Federal Reserve, in conjunction with the Alternative Reference Rates Committee, a steering committee comprised of large U.S. financial institutions, recommended replacing U.S. dollar LIBOR with alternative reference rates based on the Secured Overnight Financing Rate (“SOFR”). SOFR significantly differs from LIBOR, both in the actual rate and how it is calculated. Further, on March 15, 2022, the Consolidated Appropriations Act of 2022, which includes the Adjustable Interest Rate (LIBOR) Act ("LIBOR Act"), was signed into law in the United States. This legislation established a uniform benchmark replacement process for certain financial contracts that mature after June 30, 2023 that do not contain clearly defined or practicable LIBOR fallback provisions. The legislation also created a safe harbor that shields lenders from litigation if they choose to utilize a replacement rate recommended by the Board of Governors of the U.S. Federal Reserve. In addition, the U.K. Financial Conduct Authority, which regulates the publisher of LIBOR(ICR Benchmark Administration) has announced that it will required the continued publication of one, three and six month tenors of U.S. dollar LIBOR on a non-representative synthetic basis until the end of September 2024, which may result in certain non-U.S. law-governed contracts and U.S. law-governed contracts not being covered by the federal legislation remaining on synthetic U.S. dollar LIBOR until the end of this period. The transition from LIBOR as a result of certain statutory regimes (e.g., N.Y. Gen. Oblig. Law § 18- 401 or the Adjustable Interest Rate (LIBOR) Act) or the use of synthetic LIBOR in floating-rate debt securities in our portfolio or issued by us and could have a material and adverse impact on the value or liquidity of those instruments.</w:t>
      </w:r>
    </w:p>
    <w:p>
      <w:pPr>
        <w:spacing w:after="0" w:line="132" w:lineRule="exact"/>
        <w:rPr>
          <w:sz w:val="20"/>
          <w:szCs w:val="20"/>
          <w:color w:val="auto"/>
        </w:rPr>
      </w:pPr>
    </w:p>
    <w:p>
      <w:pPr>
        <w:ind w:right="20" w:firstLine="420"/>
        <w:spacing w:after="0" w:line="258" w:lineRule="auto"/>
        <w:rPr>
          <w:sz w:val="20"/>
          <w:szCs w:val="20"/>
          <w:color w:val="auto"/>
        </w:rPr>
      </w:pPr>
      <w:r>
        <w:rPr>
          <w:rFonts w:ascii="Times New Roman" w:cs="Times New Roman" w:eastAsia="Times New Roman" w:hAnsi="Times New Roman"/>
          <w:sz w:val="13"/>
          <w:szCs w:val="13"/>
          <w:color w:val="auto"/>
        </w:rPr>
        <w:t>Given the inherent difference between LIBOR and SOFR, or any other alternative benchmark rate established, there are many uncertainties regarding a tranistion from LIBOR, including, but not limited to, the need to amend contracts which continue to reference LIBOR and how the transition from LIBOR will impact the cost of variable rate debt and certain derivative financial instruments. In addition, SOFR or other replacement rates may fail to gain market acceptance. Any failure of SOFR or alternative references rates to gain market acceptance could adversely affect the return on, value of the market for securities linked to such rates. The elimination of LIBOR, the replacement of LIBOR with any alternative reference rate, such as SOFR (or an alternative reference rate based on SOFR) or any other changes or reforms to floating rate benchmarks could have an adverse impact on the market value of and/or transfer ability of any floating-rate debt securities in our portfolio or issued by 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2" w:right="660" w:bottom="1440" w:gutter="0" w:footer="0" w:header="0"/>
        </w:sectPr>
      </w:pPr>
    </w:p>
    <w:bookmarkStart w:id="21" w:name="page22"/>
    <w:bookmarkEnd w:id="21"/>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The IRS has issued regulations regarding the tax consequences of the transition from LIBOR or another interbank offered rate (“IBOR”) to a new reference rate in debt instruments and non-debt contracts. Under the regulations, alteration or modification of the terms of a debt instrument to replace an operative rate that uses a discontinued IBOR with a qualified rate (as defined in the regulations) including true up payments equalizing the fair market value of contracts before and after such IBOR transition, to add a qualified rate as a fallback rate to a contract whose operative rate uses a discontinued IBOR or to replace a fallback rate that uses a discontinued IBOR with a qualified rate would not be taxable. The IRS may provide additional guidance, with potential retroactive effect.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financial condition and results of operation depend on our ability to manage future growth effectively.</w:t>
      </w:r>
    </w:p>
    <w:p>
      <w:pPr>
        <w:spacing w:after="0" w:line="131"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31"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Our business depends on the communications and information systems, including financial and accounting systems, of the Investment Adviser, the Administrator and our external service providers. Any failure or interruption of such systems could cause delays or other problems in our activities. This, in turn, could have a material adverse effect on our business, financial condition and results of operations.</w:t>
      </w:r>
    </w:p>
    <w:p>
      <w:pPr>
        <w:spacing w:after="0" w:line="83"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08"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the subsequent testing by our independent registered public accounting firm (when undertaken, as noted below), may reveal deficiencies in our internal controls over financial reporting that are deemed to be significant deficiencies, material weaknesses or that may require prospective or retroactive changes to our consolidated financial statements or identify other areas for further attention or improvement. Inferior internal controls could also cause investors and lenders to lose confidence in our reported financial information, which could have a negative effect on the trading price of our common stock.</w:t>
      </w:r>
    </w:p>
    <w:p>
      <w:pPr>
        <w:spacing w:after="0" w:line="92"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have identified material weaknesses in our internal control over financial reporting. If we fail to remediate these material weaknesses, our ability to report our financial condition and result of operations accurately and on a timely basis could be adversely affect.</w:t>
      </w:r>
    </w:p>
    <w:p>
      <w:pPr>
        <w:spacing w:after="0" w:line="108" w:lineRule="exact"/>
        <w:rPr>
          <w:sz w:val="20"/>
          <w:szCs w:val="20"/>
          <w:color w:val="auto"/>
        </w:rPr>
      </w:pPr>
    </w:p>
    <w:p>
      <w:pPr>
        <w:jc w:val="both"/>
        <w:ind w:right="20" w:firstLine="420"/>
        <w:spacing w:after="0" w:line="258" w:lineRule="auto"/>
        <w:rPr>
          <w:sz w:val="20"/>
          <w:szCs w:val="20"/>
          <w:color w:val="auto"/>
        </w:rPr>
      </w:pPr>
      <w:r>
        <w:rPr>
          <w:rFonts w:ascii="Times New Roman" w:cs="Times New Roman" w:eastAsia="Times New Roman" w:hAnsi="Times New Roman"/>
          <w:sz w:val="13"/>
          <w:szCs w:val="13"/>
          <w:color w:val="auto"/>
        </w:rPr>
        <w:t>We have identified material weaknesses in our internal controls over financial reporting, and management has determined that, as of September 30, 2023, we do not maintain effective internal control over financial reporting. These material weaknesses and our remediation efforts are described in Management’s Report on Internal Control Over Financial Reporting, which appears on page 61 of this Form 10-K. We cannot assure you that we will adequately remediate the material weaknesses or that additional material weaknesses in our internal controls will not be identified in the future.</w:t>
      </w:r>
    </w:p>
    <w:p>
      <w:pPr>
        <w:ind w:right="120"/>
        <w:spacing w:after="0" w:line="257" w:lineRule="auto"/>
        <w:rPr>
          <w:sz w:val="20"/>
          <w:szCs w:val="20"/>
          <w:color w:val="auto"/>
        </w:rPr>
      </w:pPr>
      <w:r>
        <w:rPr>
          <w:rFonts w:ascii="Times New Roman" w:cs="Times New Roman" w:eastAsia="Times New Roman" w:hAnsi="Times New Roman"/>
          <w:sz w:val="13"/>
          <w:szCs w:val="13"/>
          <w:color w:val="auto"/>
        </w:rPr>
        <w:t>Any failure to maintain or implement required new or improved controls, or any difficulties we encounter in their implementation, could result in additional material weaknesses, or could result in material misstatements in our financial statements. These misstatements could result in restatements of our financial statements, cause us to fail to meet our reporting obligations or cause investors to lose confidence in our reported financial information.</w:t>
      </w:r>
    </w:p>
    <w:p>
      <w:pPr>
        <w:spacing w:after="0" w:line="130" w:lineRule="exact"/>
        <w:rPr>
          <w:sz w:val="20"/>
          <w:szCs w:val="20"/>
          <w:color w:val="auto"/>
        </w:rPr>
      </w:pPr>
    </w:p>
    <w:p>
      <w:pPr>
        <w:ind w:right="60" w:firstLine="453"/>
        <w:spacing w:after="0" w:line="262" w:lineRule="auto"/>
        <w:rPr>
          <w:sz w:val="20"/>
          <w:szCs w:val="20"/>
          <w:color w:val="auto"/>
        </w:rPr>
      </w:pPr>
      <w:r>
        <w:rPr>
          <w:rFonts w:ascii="Times New Roman" w:cs="Times New Roman" w:eastAsia="Times New Roman" w:hAnsi="Times New Roman"/>
          <w:sz w:val="13"/>
          <w:szCs w:val="13"/>
          <w:color w:val="auto"/>
        </w:rPr>
        <w:t>We are in the process of remediating the identified material weaknesses in our internal controls, but we are unable at this time to estimate when the remediation effort will be completed. If we fail to remediate these material weaknesses, there will continue to be an increased risk that our future financial statements could contain errors that will be undetected. Further and continued determinations that there are material weaknesses in the effectiveness of our internal controls could impact the operations of our business including our ability to obtain financing, the cost of any financing we obtain or require additional expenditures of resources to comply with applicable requirements.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replicate the historical performance of other investment companies and funds with which our senior and other investment professionals have been or are affiliated.</w:t>
      </w:r>
    </w:p>
    <w:p>
      <w:pPr>
        <w:spacing w:after="0" w:line="131"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failure on our part to maintain our status as a BDC would reduce our operating flexibility.</w:t>
      </w:r>
    </w:p>
    <w:p>
      <w:pPr>
        <w:spacing w:after="0" w:line="131"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Loss of RIC tax status would substantially reduce our net assets and income available for debt service and distributions.</w:t>
      </w:r>
    </w:p>
    <w:p>
      <w:pPr>
        <w:spacing w:after="0" w:line="131"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are deemed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82" w:right="660" w:bottom="1440" w:gutter="0" w:footer="0" w:header="0"/>
        </w:sectPr>
      </w:pPr>
    </w:p>
    <w:bookmarkStart w:id="22" w:name="page23"/>
    <w:bookmarkEnd w:id="22"/>
    <w:p>
      <w:pPr>
        <w:ind w:right="60"/>
        <w:spacing w:after="0" w:line="286" w:lineRule="auto"/>
        <w:rPr>
          <w:sz w:val="20"/>
          <w:szCs w:val="20"/>
          <w:color w:val="auto"/>
        </w:rPr>
      </w:pPr>
      <w:r>
        <w:rPr>
          <w:rFonts w:ascii="Times New Roman" w:cs="Times New Roman" w:eastAsia="Times New Roman" w:hAnsi="Times New Roman"/>
          <w:sz w:val="13"/>
          <w:szCs w:val="13"/>
          <w:color w:val="auto"/>
        </w:rPr>
        <w:t>distributions to our stockholders. Even if we qualify as a RIC, we generally will be subject to a 4% nondeductible excise tax if we do not distribute to our stockholders in respect of each calendar year an amount at least equal to the Excise Tax Avoidance Requirement.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have difficulty paying our Annual Distribution Requirement if we recognize income before or without receiving cash representing such income.</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94"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23"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have historically depended in part on SBIC II for cash distributions to enable us to meet the distribution requirements to be subject to tax as a RIC. In this regard, SBIC II has been limited by the SBA regulations governing SBICs from making certain distributions to us that may be necessary to satisfy the requirements to be subject to tax as a RIC. In such a case, we would need to request a waiver of the SBA’s restrictions for SBIC II to make certain distributions to enable us to be subject to tax as a RIC. We cannot assure you that the SBA will grant such waiver, which may cause us to incur a corporate-level income tax.</w:t>
      </w:r>
    </w:p>
    <w:p>
      <w:pPr>
        <w:spacing w:after="0" w:line="9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Legislation enacted in 2018 allows us to incur additional leverage.</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such,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our total net assets as of the immediately preceding quarter-end.</w:t>
      </w:r>
    </w:p>
    <w:p>
      <w:pPr>
        <w:spacing w:after="0" w:line="92"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72"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8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governing our operation as a BDC will affect our ability to, and the way in which we raise additional capital.</w:t>
      </w:r>
    </w:p>
    <w:p>
      <w:pPr>
        <w:spacing w:after="0" w:line="131"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harm our business, financial condition and results of operations.</w:t>
      </w:r>
    </w:p>
    <w:p>
      <w:pPr>
        <w:spacing w:after="0" w:line="94"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Senior Securities.</w:t>
      </w:r>
      <w:r>
        <w:rPr>
          <w:rFonts w:ascii="Times New Roman" w:cs="Times New Roman" w:eastAsia="Times New Roman" w:hAnsi="Times New Roman"/>
          <w:sz w:val="13"/>
          <w:szCs w:val="13"/>
          <w:color w:val="auto"/>
        </w:rPr>
        <w:t xml:space="preserve"> As a result of issuing senior securities, we are exposed to typical risks associated with leverage, 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7" w:lineRule="exact"/>
        <w:rPr>
          <w:sz w:val="20"/>
          <w:szCs w:val="20"/>
          <w:color w:val="auto"/>
        </w:rPr>
      </w:pPr>
    </w:p>
    <w:p>
      <w:pPr>
        <w:ind w:left="540" w:right="100"/>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Additional Common Stock.</w:t>
      </w:r>
      <w:r>
        <w:rPr>
          <w:rFonts w:ascii="Times New Roman" w:cs="Times New Roman" w:eastAsia="Times New Roman" w:hAnsi="Times New Roman"/>
          <w:sz w:val="13"/>
          <w:szCs w:val="13"/>
          <w:color w:val="auto"/>
        </w:rPr>
        <w:t xml:space="preserve"> Our board of directors may decide to issue common stock to finance our operations rather than issuing debt or other 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02" w:right="680" w:bottom="1440" w:gutter="0" w:footer="0" w:header="0"/>
        </w:sectPr>
      </w:pPr>
    </w:p>
    <w:bookmarkStart w:id="23" w:name="page24"/>
    <w:bookmarkEnd w:id="23"/>
    <w:p>
      <w:pPr>
        <w:ind w:left="540" w:right="120"/>
        <w:spacing w:after="0" w:line="253" w:lineRule="auto"/>
        <w:rPr>
          <w:sz w:val="20"/>
          <w:szCs w:val="20"/>
          <w:color w:val="auto"/>
        </w:rPr>
      </w:pPr>
      <w:r>
        <w:rPr>
          <w:rFonts w:ascii="Times New Roman" w:cs="Times New Roman" w:eastAsia="Times New Roman" w:hAnsi="Times New Roman"/>
          <w:sz w:val="13"/>
          <w:szCs w:val="13"/>
          <w:color w:val="auto"/>
        </w:rPr>
        <w:t>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S- 3.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98"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Securitization.</w:t>
      </w:r>
      <w:r>
        <w:rPr>
          <w:rFonts w:ascii="Times New Roman" w:cs="Times New Roman" w:eastAsia="Times New Roman" w:hAnsi="Times New Roman"/>
          <w:sz w:val="13"/>
          <w:szCs w:val="13"/>
          <w:color w:val="auto"/>
        </w:rPr>
        <w:t xml:space="preserve"> In addition to issuing securities to raise capital as described above, we anticipate that in the future, as market conditions and the rules 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92" w:lineRule="exact"/>
        <w:rPr>
          <w:sz w:val="20"/>
          <w:szCs w:val="20"/>
          <w:color w:val="auto"/>
        </w:rPr>
      </w:pPr>
    </w:p>
    <w:p>
      <w:pPr>
        <w:ind w:left="540" w:right="220"/>
        <w:spacing w:after="0" w:line="26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SBA Debentures.</w:t>
      </w:r>
      <w:r>
        <w:rPr>
          <w:rFonts w:ascii="Times New Roman" w:cs="Times New Roman" w:eastAsia="Times New Roman" w:hAnsi="Times New Roman"/>
          <w:sz w:val="13"/>
          <w:szCs w:val="13"/>
          <w:color w:val="auto"/>
        </w:rPr>
        <w:t xml:space="preserve"> In addition to issuing securities and using securitizations to raise capital as described above, we have historically issued and may in the future issue, as permitted under SBA regulations and through our wholly-owned subsidiary, SBIC II, and any future SBIC subsidiary, SBA debentures to generate cash for funding new investments. To issue SBA debentures, we may request commitments for debt capital from the SBA. SBIC II is, and any future SBIC subsidiary has historically been exposed to any losses on its portfolio of loans;, however, such debentures are non-recourse to us.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SBIC II may be unable to make distributions to us that will enable us to meet or maintain RIC tax status.</w:t>
      </w:r>
    </w:p>
    <w:p>
      <w:pPr>
        <w:spacing w:after="0" w:line="167"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SBIC II, each taxable year as dividends to our stockholders. As noted above, we have historically been dependent in part on SBIC II for cash distributions to enable us to meet the RIC distribution requirements. SBIC II was limited by SBA regulations governing SBICs from making certain distributions to us if it does not have sufficient capital in accordance with SBA regulations, that which may be necessary to maintain our tax status as a RIC. We may have to request a waiver of the SBA’s restrictions limitations for SBIC II to make certain distributions to maintain our tax status. We cannot assure you that the SBA will grant such waiver and, if SBIC II is unable to obtain a waiver, compliance with the SBA regulations may result in not being able to meet the distribution requirements to maintain our RIC tax treatment corporate level income tax on us.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SBIC II was licensed by the SBA.</w:t>
      </w:r>
    </w:p>
    <w:p>
      <w:pPr>
        <w:spacing w:after="0" w:line="131" w:lineRule="exact"/>
        <w:rPr>
          <w:sz w:val="20"/>
          <w:szCs w:val="20"/>
          <w:color w:val="auto"/>
        </w:rPr>
      </w:pPr>
    </w:p>
    <w:p>
      <w:pPr>
        <w:ind w:right="120" w:firstLine="432"/>
        <w:spacing w:after="0" w:line="286" w:lineRule="auto"/>
        <w:rPr>
          <w:sz w:val="20"/>
          <w:szCs w:val="20"/>
          <w:color w:val="auto"/>
        </w:rPr>
      </w:pPr>
      <w:r>
        <w:rPr>
          <w:rFonts w:ascii="Times New Roman" w:cs="Times New Roman" w:eastAsia="Times New Roman" w:hAnsi="Times New Roman"/>
          <w:sz w:val="13"/>
          <w:szCs w:val="13"/>
          <w:color w:val="auto"/>
        </w:rPr>
        <w:t>SBIC II, our wholly-owned subsidiary, received a license to operate as a SBIC under the 1958 Act and is that made it subject to regulation and oversight by the SBA. The SBA places certain limitations on the financing terms of investments by SBICs in portfolio companies and regulates the types of financings and prohibits investing in certain industries.</w:t>
      </w:r>
    </w:p>
    <w:p>
      <w:pPr>
        <w:spacing w:after="0" w:line="76"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3"/>
          <w:szCs w:val="13"/>
          <w:color w:val="auto"/>
        </w:rPr>
        <w:t>SBA regulations require that a licensed SBIC be periodically examined and audited by the SBA to determine its compliance with the relevant regulations. If SBIC II failed to comply with applicable regulations, the SBA could, depending on the severity of the violation, limit or prohibit its use of debentures, and/or limit it from making new investments. These actions by the SBA could, in turn, negatively affect us because SBIC II is our wholly-owned subsidiary or could impact our ability to participate in SBA-regulated programs in the future.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currently use borrowed funds to make investments and are exposed to the typical risks associated with leverage.</w:t>
      </w:r>
    </w:p>
    <w:p>
      <w:pPr>
        <w:spacing w:after="0" w:line="131"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8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Our current debt is governed by the terms of our Facilities, 2026 Notes, and 2026 Notes-2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9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Additionally, we may in the future, through one or more of our subsidiaries, receive funds from the SBA through its debenture program. In connection with the filing of its initial SBA license application, PennantPark Investment received exemptive relief, in 2011, from the SEC to permit us to exclude the debt of our SBICs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incur additional debt, it could increase the risk of investing in our shares.</w:t>
      </w:r>
    </w:p>
    <w:p>
      <w:pPr>
        <w:spacing w:after="0" w:line="167"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We have indebtedness outstanding pursuant to our Truist Credit Facility, 2026 Notes, and 2026 Notes- 2 and expect in the future to borrow additional amounts under our Truist Credit Facility or otherwise, subject to market availability, and, may increase the size of our Truist Credit Facility. We cannot assure you that our leverage will</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2" w:right="660" w:bottom="1440" w:gutter="0" w:footer="0" w:header="0"/>
        </w:sectPr>
      </w:pPr>
    </w:p>
    <w:bookmarkStart w:id="24" w:name="page25"/>
    <w:bookmarkEnd w:id="24"/>
    <w:p>
      <w:pPr>
        <w:ind w:right="40"/>
        <w:spacing w:after="0" w:line="255" w:lineRule="auto"/>
        <w:rPr>
          <w:sz w:val="20"/>
          <w:szCs w:val="20"/>
          <w:color w:val="auto"/>
        </w:rPr>
      </w:pPr>
      <w:r>
        <w:rPr>
          <w:rFonts w:ascii="Times New Roman" w:cs="Times New Roman" w:eastAsia="Times New Roman" w:hAnsi="Times New Roman"/>
          <w:sz w:val="13"/>
          <w:szCs w:val="13"/>
          <w:color w:val="auto"/>
        </w:rPr>
        <w:t>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Truist Credit Facility. In the case of a liquidation event, those lenders would receive proceeds before our stockholders. Any future debt issuance will increase our leverage and may be subordinate to our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34"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since February 5, 2019, the asset coverage requirement applicable to us for senior securities was reduced from 200% to 150%, so long as we comply with the applicable disclosure requirements, which may increase the risk of investing in us.</w:t>
      </w:r>
    </w:p>
    <w:p>
      <w:pPr>
        <w:spacing w:after="0" w:line="123"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As of September 30, 2023 and 2022, our asset coverage ratio, as computed in accordance with the 1940 Act, was 195% and 186%, respectively. Since our leverage, including SBA debentures outstanding, was 105% and 119% of our net assets as of September 30, 2023 and 2022, respectively, we would have to receive an annual return of at least 2.5% and 2.6%, respectively, to cover annual interest payments.</w:t>
      </w:r>
    </w:p>
    <w:p>
      <w:pPr>
        <w:spacing w:after="0" w:line="123"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2023, we had outstanding borrowings of $212.4 million under our Truist Credit Facility, $150.0 million of 2026 Notes and $165.0 million of 2026 Notes-2. Our consolidated debt outstanding was $527.4 million and had a weighted average annual interest rate at the time of 6.0%, exclusive of the fee on undrawn commitment on our Truist Credit Facility. This example is for illustrative purposes only, and actual interest rates on our Truist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2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following table is designed to illustrate the effect on the return to a holder of our common stock of the leverage created by our use of borrowing as of September 30, 2023 of 45% of total assets (including such borrowed funds), at the current interest rate at the time of 6.0%,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Assumed return on portfolio (net of expenses) </w:t>
            </w:r>
            <w:r>
              <w:rPr>
                <w:rFonts w:ascii="Times New Roman" w:cs="Times New Roman" w:eastAsia="Times New Roman" w:hAnsi="Times New Roman"/>
                <w:sz w:val="16"/>
                <w:szCs w:val="16"/>
                <w:color w:val="auto"/>
                <w:vertAlign w:val="superscript"/>
              </w:rPr>
              <w:t>(1)</w:t>
            </w:r>
          </w:p>
        </w:tc>
        <w:tc>
          <w:tcPr>
            <w:tcW w:w="1820" w:type="dxa"/>
            <w:vAlign w:val="bottom"/>
          </w:tcPr>
          <w:p>
            <w:pPr>
              <w:jc w:val="right"/>
              <w:ind w:right="434"/>
              <w:spacing w:after="0"/>
              <w:rPr>
                <w:sz w:val="20"/>
                <w:szCs w:val="20"/>
                <w:color w:val="auto"/>
              </w:rPr>
            </w:pPr>
            <w:r>
              <w:rPr>
                <w:rFonts w:ascii="Times New Roman" w:cs="Times New Roman" w:eastAsia="Times New Roman" w:hAnsi="Times New Roman"/>
                <w:sz w:val="13"/>
                <w:szCs w:val="13"/>
                <w:color w:val="auto"/>
              </w:rPr>
              <w:t>(10.0 )%</w:t>
            </w:r>
          </w:p>
        </w:tc>
        <w:tc>
          <w:tcPr>
            <w:tcW w:w="150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(5.0 )%</w:t>
            </w:r>
          </w:p>
        </w:tc>
        <w:tc>
          <w:tcPr>
            <w:tcW w:w="14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0 %</w:t>
            </w: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5.0 %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80"/>
        </w:trPr>
        <w:tc>
          <w:tcPr>
            <w:tcW w:w="348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Corresponding return to common stockholders </w:t>
            </w:r>
            <w:r>
              <w:rPr>
                <w:rFonts w:ascii="Times New Roman" w:cs="Times New Roman" w:eastAsia="Times New Roman" w:hAnsi="Times New Roman"/>
                <w:sz w:val="16"/>
                <w:szCs w:val="16"/>
                <w:color w:val="auto"/>
                <w:vertAlign w:val="superscript"/>
              </w:rPr>
              <w:t>(2)</w:t>
            </w:r>
          </w:p>
        </w:tc>
        <w:tc>
          <w:tcPr>
            <w:tcW w:w="1820" w:type="dxa"/>
            <w:vAlign w:val="bottom"/>
            <w:shd w:val="clear" w:color="auto" w:fill="CCECFF"/>
          </w:tcPr>
          <w:p>
            <w:pPr>
              <w:jc w:val="right"/>
              <w:ind w:right="434"/>
              <w:spacing w:after="0"/>
              <w:rPr>
                <w:sz w:val="20"/>
                <w:szCs w:val="20"/>
                <w:color w:val="auto"/>
              </w:rPr>
            </w:pPr>
            <w:r>
              <w:rPr>
                <w:rFonts w:ascii="Times New Roman" w:cs="Times New Roman" w:eastAsia="Times New Roman" w:hAnsi="Times New Roman"/>
                <w:sz w:val="13"/>
                <w:szCs w:val="13"/>
                <w:color w:val="auto"/>
              </w:rPr>
              <w:t>(22.2 )%</w:t>
            </w:r>
          </w:p>
        </w:tc>
        <w:tc>
          <w:tcPr>
            <w:tcW w:w="1500" w:type="dxa"/>
            <w:vAlign w:val="bottom"/>
            <w:shd w:val="clear" w:color="auto" w:fill="CCECFF"/>
          </w:tcPr>
          <w:p>
            <w:pPr>
              <w:jc w:val="right"/>
              <w:ind w:right="474"/>
              <w:spacing w:after="0"/>
              <w:rPr>
                <w:sz w:val="20"/>
                <w:szCs w:val="20"/>
                <w:color w:val="auto"/>
              </w:rPr>
            </w:pPr>
            <w:r>
              <w:rPr>
                <w:rFonts w:ascii="Times New Roman" w:cs="Times New Roman" w:eastAsia="Times New Roman" w:hAnsi="Times New Roman"/>
                <w:sz w:val="13"/>
                <w:szCs w:val="13"/>
                <w:color w:val="auto"/>
              </w:rPr>
              <w:t>(13.4 )%</w:t>
            </w:r>
          </w:p>
        </w:tc>
        <w:tc>
          <w:tcPr>
            <w:tcW w:w="1460" w:type="dxa"/>
            <w:vAlign w:val="bottom"/>
            <w:shd w:val="clear" w:color="auto" w:fill="CCECFF"/>
          </w:tcPr>
          <w:p>
            <w:pPr>
              <w:jc w:val="right"/>
              <w:ind w:right="454"/>
              <w:spacing w:after="0"/>
              <w:rPr>
                <w:sz w:val="20"/>
                <w:szCs w:val="20"/>
                <w:color w:val="auto"/>
              </w:rPr>
            </w:pPr>
            <w:r>
              <w:rPr>
                <w:rFonts w:ascii="Times New Roman" w:cs="Times New Roman" w:eastAsia="Times New Roman" w:hAnsi="Times New Roman"/>
                <w:sz w:val="13"/>
                <w:szCs w:val="13"/>
                <w:color w:val="auto"/>
              </w:rPr>
              <w:t>(4.5 )%</w:t>
            </w:r>
          </w:p>
        </w:tc>
        <w:tc>
          <w:tcPr>
            <w:tcW w:w="1440" w:type="dxa"/>
            <w:vAlign w:val="bottom"/>
            <w:shd w:val="clear" w:color="auto" w:fill="CCECFF"/>
          </w:tcPr>
          <w:p>
            <w:pPr>
              <w:jc w:val="right"/>
              <w:ind w:right="474"/>
              <w:spacing w:after="0"/>
              <w:rPr>
                <w:sz w:val="20"/>
                <w:szCs w:val="20"/>
                <w:color w:val="auto"/>
              </w:rPr>
            </w:pPr>
            <w:r>
              <w:rPr>
                <w:rFonts w:ascii="Times New Roman" w:cs="Times New Roman" w:eastAsia="Times New Roman" w:hAnsi="Times New Roman"/>
                <w:sz w:val="13"/>
                <w:szCs w:val="13"/>
                <w:color w:val="auto"/>
              </w:rPr>
              <w:t>13.1 %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40" w:type="dxa"/>
            <w:vAlign w:val="bottom"/>
          </w:tcPr>
          <w:p>
            <w:pPr>
              <w:spacing w:after="0"/>
              <w:rPr>
                <w:sz w:val="15"/>
                <w:szCs w:val="15"/>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assumed portfolio return is required by regulation of the SEC and is not a prediction of, and does not represent, our projected or actual performance.</w:t>
      </w:r>
    </w:p>
    <w:p>
      <w:pPr>
        <w:ind w:right="120"/>
        <w:spacing w:after="0" w:line="213"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8"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72"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 the future determine to fund a portion of our investments with debt securities, which would magnify the potential for loss and the risks of investing in us.</w:t>
      </w:r>
    </w:p>
    <w:p>
      <w:pPr>
        <w:spacing w:after="0" w:line="131" w:lineRule="exact"/>
        <w:rPr>
          <w:sz w:val="20"/>
          <w:szCs w:val="20"/>
          <w:color w:val="auto"/>
        </w:rPr>
      </w:pPr>
    </w:p>
    <w:p>
      <w:pPr>
        <w:ind w:right="240" w:firstLine="420"/>
        <w:spacing w:after="0" w:line="257" w:lineRule="auto"/>
        <w:rPr>
          <w:sz w:val="20"/>
          <w:szCs w:val="20"/>
          <w:color w:val="auto"/>
        </w:rPr>
      </w:pPr>
      <w:r>
        <w:rPr>
          <w:rFonts w:ascii="Times New Roman" w:cs="Times New Roman" w:eastAsia="Times New Roman" w:hAnsi="Times New Roman"/>
          <w:sz w:val="13"/>
          <w:szCs w:val="13"/>
          <w:color w:val="auto"/>
        </w:rPr>
        <w:t>As a result of the issuance of our SBA debentures, borrowings under our Truist Credit Facility, and issuance of our 2026 Notes and 2026 Notes-2,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credit ratings may not reflect all risks of an investment in our debt securities.</w:t>
      </w:r>
    </w:p>
    <w:p>
      <w:pPr>
        <w:spacing w:after="0" w:line="131" w:lineRule="exact"/>
        <w:rPr>
          <w:sz w:val="20"/>
          <w:szCs w:val="20"/>
          <w:color w:val="auto"/>
        </w:rPr>
      </w:pPr>
    </w:p>
    <w:p>
      <w:pPr>
        <w:jc w:val="both"/>
        <w:ind w:right="220" w:firstLine="420"/>
        <w:spacing w:after="0" w:line="262" w:lineRule="auto"/>
        <w:rPr>
          <w:sz w:val="20"/>
          <w:szCs w:val="20"/>
          <w:color w:val="auto"/>
        </w:rPr>
      </w:pPr>
      <w:r>
        <w:rPr>
          <w:rFonts w:ascii="Times New Roman" w:cs="Times New Roman" w:eastAsia="Times New Roman" w:hAnsi="Times New Roman"/>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123"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 downgrade, suspension or withdrawal of the credit rating assigned by a rating agency to us, our 2026 Notes or our 2026 Notes-2, if any, or change in the debt markets could cause the liquidity or market value of our 2026 Notes or our 2026 Notes-2 to decline significantly.</w:t>
      </w:r>
    </w:p>
    <w:p>
      <w:pPr>
        <w:spacing w:after="0" w:line="108"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Our credit ratings are an assessment by rating agencies of our ability to pay our debts when due. Consequently, real or anticipated changes in our credit ratings will generally affect the market value of our 2026 Notes or our 2026 Notes-2. Our credit ratings may not reflect the potential impact of risks relating to the structure or marketing of our 2026 Notes or our 2026 Notes-2.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2026 Notes or our 2026 Notes-2 of any changes in our credit ratings. There can be no assurance that our credit ratings will remain for any given period of time or that such credit ratings will not be lowered or withdrawn entirely by any of the rating agencies if in their respective judgments future circumstances relating to the basis of the credit rating, such as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82" w:right="6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color w:val="auto"/>
        </w:rPr>
        <w:t>adverse changes in our Company, so warrant. The conditions of the financial markets and prevailing interest rates have fluctuated in the past and are likely to fluctuate in the future.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67"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Our Truist Credit Facility matures in July 2027, our 2026 Notes mature in November 2026 and our 2026 Notes-2 mature in May 2026. Additionally, our SBA debentures mature between March 2026 and March 2028. We utilize proceeds from the Truist Credit Facility, our 2026 Notes, our 2026 Notes -2 and our SBA debentures to make investments in our portfolio companies. The duration of many of our investments exceeds the duration of our indebtedness under our Truist Credit Facility, our 2026 Notes, our 2026 Notes-2 and certain of our SBA debentures. This means that we will have to extend the maturity of our Truist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Truist Credit Facility, our 2026 Notes, our 2026 Notes -2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are significant potential conflicts of interest which could impact our investment returns.</w:t>
      </w:r>
    </w:p>
    <w:p>
      <w:pPr>
        <w:spacing w:after="0" w:line="131"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96"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94"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91"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risks associated with cybersecurity and cyber incidents.</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continues to be a key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experience fluctuations in our quarterly results.</w:t>
      </w:r>
    </w:p>
    <w:p>
      <w:pPr>
        <w:spacing w:after="0" w:line="131"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Truist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Truist Credit Facility. This is expected to mitigate volatility in our earnings and NAV. As a result, results for any period should not be relied upon as being indicative of future performance.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Holders of any preferred stock that we may issue will have the right to elect members of the board of directors and have class voting rights on certain matters.</w:t>
      </w:r>
    </w:p>
    <w:p>
      <w:pPr>
        <w:spacing w:after="0" w:line="131" w:lineRule="exact"/>
        <w:rPr>
          <w:sz w:val="20"/>
          <w:szCs w:val="20"/>
          <w:color w:val="auto"/>
        </w:rPr>
      </w:pPr>
    </w:p>
    <w:p>
      <w:pPr>
        <w:ind w:right="400" w:firstLine="420"/>
        <w:spacing w:after="0" w:line="262" w:lineRule="auto"/>
        <w:rPr>
          <w:sz w:val="20"/>
          <w:szCs w:val="20"/>
          <w:color w:val="auto"/>
        </w:rPr>
      </w:pPr>
      <w:r>
        <w:rPr>
          <w:rFonts w:ascii="Times New Roman" w:cs="Times New Roman" w:eastAsia="Times New Roman" w:hAnsi="Times New Roman"/>
          <w:sz w:val="13"/>
          <w:szCs w:val="13"/>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82" w:right="660" w:bottom="1440" w:gutter="0" w:footer="0" w:header="0"/>
        </w:sectPr>
      </w:pPr>
    </w:p>
    <w:bookmarkStart w:id="26" w:name="page27"/>
    <w:bookmarkEnd w:id="26"/>
    <w:p>
      <w:pPr>
        <w:ind w:right="180"/>
        <w:spacing w:after="0" w:line="286" w:lineRule="auto"/>
        <w:rPr>
          <w:sz w:val="20"/>
          <w:szCs w:val="20"/>
          <w:color w:val="auto"/>
        </w:rPr>
      </w:pPr>
      <w:r>
        <w:rPr>
          <w:rFonts w:ascii="Times New Roman" w:cs="Times New Roman" w:eastAsia="Times New Roman" w:hAnsi="Times New Roman"/>
          <w:sz w:val="13"/>
          <w:szCs w:val="13"/>
          <w:color w:val="auto"/>
        </w:rPr>
        <w:t>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preferred stock, debt securities or convertible debt securities, the NAV and market value of our common stock may become more volatile.</w:t>
      </w:r>
    </w:p>
    <w:p>
      <w:pPr>
        <w:spacing w:after="0" w:line="131"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6"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trading market or market value of any publicly issued debt or convertible debt securities may be volatile.</w:t>
      </w:r>
    </w:p>
    <w:p>
      <w:pPr>
        <w:spacing w:after="0" w:line="131"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These factors include the following:</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time remaining to the maturity of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outstanding principal amount of debt securities with terms identical or similar to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supply of debt securities trading in the secondary market, if any;</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redemption, repayment or convertible features, if any, of these debt securities;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level, direction and volatility of market interest rates;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•market rates of interest higher or lower than rates borne by the debt securities.</w:t>
      </w:r>
    </w:p>
    <w:p>
      <w:pPr>
        <w:spacing w:after="0" w:line="127"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Terms relating to debt redemption may have a material adverse effect on the return on any debt securities.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issue subscription rights or warrants for our common stock, your interest in us may be diluted as a result of such rights or warrants offering.</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8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laws or regulations governing our operations or those of our portfolio companies may adversely affect our business.</w:t>
      </w:r>
    </w:p>
    <w:p>
      <w:pPr>
        <w:spacing w:after="0" w:line="19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come into effect. Accordingly, any change in law and regulations, changes in administration or control U.S. Congress, changes in interpretations, or newly enacted laws or regulations could have a material adverse effect on our business or the business of our portfolio companies. See "Business —Regulation" for more information.</w:t>
      </w:r>
    </w:p>
    <w:p>
      <w:pPr>
        <w:spacing w:after="0" w:line="127"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Over the past several years, there also has been increasing regulatory attention to the extension of credit outside of the traditional banking sector, raising the possibility that some portion of the non-bank financial sector may be subject to new regulation. While it cannot be known at this time whether any regulation will be implemented or what form it will take, increased regulation of non-bank lending could be materially adverse to our business, financial conditions and result of operations. We may experience fluctuations in our quarterly results.</w:t>
      </w:r>
    </w:p>
    <w:p>
      <w:pPr>
        <w:spacing w:after="0" w:line="123"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material adverse effect on our business, financial condition and results of operations.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02" w:right="68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i w:val="1"/>
          <w:iCs w:val="1"/>
          <w:color w:val="auto"/>
        </w:rPr>
        <w:t>Our board of directors may change our investment objectives, operating policies and strategies without prior notice or stockholder approval.</w:t>
      </w:r>
    </w:p>
    <w:p>
      <w:pPr>
        <w:spacing w:after="0" w:line="131"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has the authority to modify or waive certain of our operating policies and strategies without prior notice and without stockholder approval (except as required by the 1940 Act) .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8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72"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impacted the BDC space.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THE ILLIQUID NATURE OF OUR PORTFOLIO ASSETS</w:t>
      </w:r>
    </w:p>
    <w:p>
      <w:pPr>
        <w:spacing w:after="0" w:line="125"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72"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Truist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borrowings under our Truist Credit Facility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 -binding nature of consensus pricing and/or quotes accompanied by such a disclaimer materially reduces the reliability of such information. As a result, there will be uncertainty as to the value of our portfolio investments.</w:t>
      </w:r>
    </w:p>
    <w:p>
      <w:pPr>
        <w:spacing w:after="0" w:line="96"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96"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lack of liquidity in our investments may adversely affect our business.</w:t>
      </w:r>
    </w:p>
    <w:p>
      <w:pPr>
        <w:spacing w:after="0" w:line="131" w:lineRule="exact"/>
        <w:rPr>
          <w:sz w:val="20"/>
          <w:szCs w:val="20"/>
          <w:color w:val="auto"/>
        </w:rPr>
      </w:pPr>
    </w:p>
    <w:p>
      <w:pPr>
        <w:jc w:val="both"/>
        <w:ind w:right="320" w:firstLine="420"/>
        <w:spacing w:after="0" w:line="268" w:lineRule="auto"/>
        <w:rPr>
          <w:sz w:val="20"/>
          <w:szCs w:val="20"/>
          <w:color w:val="auto"/>
        </w:rPr>
      </w:pPr>
      <w:r>
        <w:rPr>
          <w:rFonts w:ascii="Times New Roman" w:cs="Times New Roman" w:eastAsia="Times New Roman" w:hAnsi="Times New Roman"/>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8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9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general disruption in the credit markets could materially damage our business.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are susceptible to the risk of significant loss if we are forced to discount the value of our investments in order to provide liquidity to meet our debt maturities. Our borrowings under our Truist Credit Facility are collateralized by the assets in our investment portfolio (excluding assets held by SBIC II).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1"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Truist Credit Facility. These situations may arise due to circumstances that we may be unable to control, such as a general disruption in the credit markets, a severe decline in the value of the U.S. dollar, an economic downturn or recession or an operational problem that affects our counterparties or us, and could materially damage our business.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698" w:right="66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invest in over-the-counter securities, which have and may continue to face liquidity constraints, to provide us with liquidity.</w:t>
      </w:r>
    </w:p>
    <w:p>
      <w:pPr>
        <w:spacing w:after="0" w:line="131"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The market for over- the -counter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OUR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prospective portfolio companies may be risky, and you could lose all or part of your investment.</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invest primarily in first lien secured debt, second lien secured debt, subordinated debt and selected equity investments issued by U.S. and foreign middle-market companies.</w:t>
      </w:r>
    </w:p>
    <w:p>
      <w:pPr>
        <w:spacing w:after="0" w:line="123"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3"/>
          <w:szCs w:val="13"/>
          <w:b w:val="1"/>
          <w:bCs w:val="1"/>
          <w:i w:val="1"/>
          <w:iCs w:val="1"/>
          <w:color w:val="auto"/>
        </w:rPr>
        <w:t>First Lien Secured Debt:</w:t>
      </w:r>
      <w:r>
        <w:rPr>
          <w:rFonts w:ascii="Times New Roman" w:cs="Times New Roman" w:eastAsia="Times New Roman" w:hAnsi="Times New Roman"/>
          <w:sz w:val="13"/>
          <w:szCs w:val="13"/>
          <w:color w:val="auto"/>
        </w:rPr>
        <w:t xml:space="preserve"> When we extend first lien secured debt, we will generally take a security interest in the 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92" w:lineRule="exact"/>
        <w:rPr>
          <w:sz w:val="20"/>
          <w:szCs w:val="20"/>
          <w:color w:val="auto"/>
        </w:rPr>
      </w:pPr>
    </w:p>
    <w:p>
      <w:pPr>
        <w:ind w:left="540" w:right="60"/>
        <w:spacing w:after="0" w:line="259" w:lineRule="auto"/>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b w:val="1"/>
          <w:bCs w:val="1"/>
          <w:i w:val="1"/>
          <w:iCs w:val="1"/>
          <w:color w:val="auto"/>
        </w:rPr>
        <w:t>Second Lien Secured Debt:</w:t>
      </w:r>
      <w:r>
        <w:rPr>
          <w:rFonts w:ascii="Times New Roman" w:cs="Times New Roman" w:eastAsia="Times New Roman" w:hAnsi="Times New Roman"/>
          <w:sz w:val="13"/>
          <w:szCs w:val="13"/>
          <w:color w:val="auto"/>
        </w:rPr>
        <w:t xml:space="preserve"> Our 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 cash income. Since we may not receive cash interest or principal prior to the maturity of some of our second lien secured debt investments, such investments may be of greater risk than cash paying loans.</w:t>
      </w:r>
    </w:p>
    <w:p>
      <w:pPr>
        <w:spacing w:after="0" w:line="250" w:lineRule="exact"/>
        <w:rPr>
          <w:sz w:val="20"/>
          <w:szCs w:val="20"/>
          <w:color w:val="auto"/>
        </w:rPr>
      </w:pPr>
    </w:p>
    <w:p>
      <w:pPr>
        <w:ind w:left="540" w:right="40"/>
        <w:spacing w:after="0" w:line="261" w:lineRule="auto"/>
        <w:rPr>
          <w:sz w:val="20"/>
          <w:szCs w:val="20"/>
          <w:color w:val="auto"/>
        </w:rPr>
      </w:pPr>
      <w:r>
        <w:rPr>
          <w:rFonts w:ascii="Times New Roman" w:cs="Times New Roman" w:eastAsia="Times New Roman" w:hAnsi="Times New Roman"/>
          <w:sz w:val="13"/>
          <w:szCs w:val="13"/>
          <w:color w:val="auto"/>
        </w:rPr>
        <w:t>3.</w:t>
      </w:r>
      <w:r>
        <w:rPr>
          <w:rFonts w:ascii="Times New Roman" w:cs="Times New Roman" w:eastAsia="Times New Roman" w:hAnsi="Times New Roman"/>
          <w:sz w:val="13"/>
          <w:szCs w:val="13"/>
          <w:b w:val="1"/>
          <w:bCs w:val="1"/>
          <w:i w:val="1"/>
          <w:iCs w:val="1"/>
          <w:color w:val="auto"/>
        </w:rPr>
        <w:t>Subordinated Debt:</w:t>
      </w:r>
      <w:r>
        <w:rPr>
          <w:rFonts w:ascii="Times New Roman" w:cs="Times New Roman" w:eastAsia="Times New Roman" w:hAnsi="Times New Roman"/>
          <w:sz w:val="13"/>
          <w:szCs w:val="13"/>
          <w:color w:val="auto"/>
        </w:rPr>
        <w:t xml:space="preserve"> Our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7" w:lineRule="exact"/>
        <w:rPr>
          <w:sz w:val="20"/>
          <w:szCs w:val="20"/>
          <w:color w:val="auto"/>
        </w:rPr>
      </w:pPr>
    </w:p>
    <w:p>
      <w:pPr>
        <w:ind w:left="540" w:right="60"/>
        <w:spacing w:after="0" w:line="257" w:lineRule="auto"/>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3"/>
          <w:szCs w:val="13"/>
          <w:b w:val="1"/>
          <w:bCs w:val="1"/>
          <w:i w:val="1"/>
          <w:iCs w:val="1"/>
          <w:color w:val="auto"/>
        </w:rPr>
        <w:t>Equity Investments:</w:t>
      </w:r>
      <w:r>
        <w:rPr>
          <w:rFonts w:ascii="Times New Roman" w:cs="Times New Roman" w:eastAsia="Times New Roman" w:hAnsi="Times New Roman"/>
          <w:sz w:val="13"/>
          <w:szCs w:val="13"/>
          <w:color w:val="auto"/>
        </w:rPr>
        <w:t xml:space="preserve"> We have made and expect to continue to make select equity investments, all of which are subordinated to debt investments. 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investing in middle-market companies involves a number of significant risks, including:</w:t>
      </w:r>
    </w:p>
    <w:p>
      <w:pPr>
        <w:spacing w:after="0" w:line="127" w:lineRule="exact"/>
        <w:rPr>
          <w:sz w:val="20"/>
          <w:szCs w:val="20"/>
          <w:color w:val="auto"/>
        </w:rPr>
      </w:pPr>
    </w:p>
    <w:p>
      <w:pPr>
        <w:jc w:val="both"/>
        <w:ind w:left="540" w:right="140"/>
        <w:spacing w:after="0" w:line="286" w:lineRule="auto"/>
        <w:rPr>
          <w:sz w:val="20"/>
          <w:szCs w:val="20"/>
          <w:color w:val="auto"/>
        </w:rPr>
      </w:pPr>
      <w:r>
        <w:rPr>
          <w:rFonts w:ascii="Times New Roman" w:cs="Times New Roman" w:eastAsia="Times New Roman" w:hAnsi="Times New Roman"/>
          <w:sz w:val="13"/>
          <w:szCs w:val="13"/>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6" w:lineRule="exact"/>
        <w:rPr>
          <w:sz w:val="20"/>
          <w:szCs w:val="20"/>
          <w:color w:val="auto"/>
        </w:rPr>
      </w:pPr>
    </w:p>
    <w:p>
      <w:pPr>
        <w:ind w:left="540" w:right="320"/>
        <w:spacing w:after="0" w:line="286" w:lineRule="auto"/>
        <w:rPr>
          <w:sz w:val="20"/>
          <w:szCs w:val="20"/>
          <w:color w:val="auto"/>
        </w:rPr>
      </w:pPr>
      <w:r>
        <w:rPr>
          <w:rFonts w:ascii="Times New Roman" w:cs="Times New Roman" w:eastAsia="Times New Roman" w:hAnsi="Times New Roman"/>
          <w:sz w:val="13"/>
          <w:szCs w:val="13"/>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76" w:lineRule="exact"/>
        <w:rPr>
          <w:sz w:val="20"/>
          <w:szCs w:val="20"/>
          <w:color w:val="auto"/>
        </w:rPr>
      </w:pPr>
    </w:p>
    <w:p>
      <w:pPr>
        <w:ind w:left="540" w:right="100"/>
        <w:spacing w:after="0" w:line="286" w:lineRule="auto"/>
        <w:rPr>
          <w:sz w:val="20"/>
          <w:szCs w:val="20"/>
          <w:color w:val="auto"/>
        </w:rPr>
      </w:pPr>
      <w:r>
        <w:rPr>
          <w:rFonts w:ascii="Times New Roman" w:cs="Times New Roman" w:eastAsia="Times New Roman" w:hAnsi="Times New Roman"/>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6" w:lineRule="exact"/>
        <w:rPr>
          <w:sz w:val="20"/>
          <w:szCs w:val="20"/>
          <w:color w:val="auto"/>
        </w:rPr>
      </w:pPr>
    </w:p>
    <w:p>
      <w:pPr>
        <w:jc w:val="both"/>
        <w:ind w:left="540" w:right="160"/>
        <w:spacing w:after="0" w:line="268" w:lineRule="auto"/>
        <w:rPr>
          <w:sz w:val="20"/>
          <w:szCs w:val="20"/>
          <w:color w:val="auto"/>
        </w:rPr>
      </w:pPr>
      <w:r>
        <w:rPr>
          <w:rFonts w:ascii="Times New Roman" w:cs="Times New Roman" w:eastAsia="Times New Roman" w:hAnsi="Times New Roman"/>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•they may have difficulty accessing the capital markets to meet future capital needs, which may limit their ability to grow or to refinance their outstanding indebtedness upon maturity.</w:t>
      </w:r>
    </w:p>
    <w:p>
      <w:pPr>
        <w:spacing w:after="0" w:line="123"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72"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91" w:lineRule="exact"/>
        <w:rPr>
          <w:sz w:val="20"/>
          <w:szCs w:val="20"/>
          <w:color w:val="auto"/>
        </w:rPr>
      </w:pPr>
    </w:p>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698" w:right="660" w:bottom="1440" w:gutter="0" w:footer="0" w:header="0"/>
        </w:sectPr>
      </w:pPr>
    </w:p>
    <w:bookmarkStart w:id="29" w:name="page30"/>
    <w:bookmarkEnd w:id="29"/>
    <w:p>
      <w:pPr>
        <w:ind w:right="20"/>
        <w:spacing w:after="0" w:line="262" w:lineRule="auto"/>
        <w:rPr>
          <w:sz w:val="20"/>
          <w:szCs w:val="20"/>
          <w:color w:val="auto"/>
        </w:rPr>
      </w:pPr>
      <w:r>
        <w:rPr>
          <w:rFonts w:ascii="Times New Roman" w:cs="Times New Roman" w:eastAsia="Times New Roman" w:hAnsi="Times New Roman"/>
          <w:sz w:val="13"/>
          <w:szCs w:val="13"/>
          <w:color w:val="auto"/>
        </w:rPr>
        <w:t>assets at the time of a proposed investment, we will be prohibited from making any additional investment that is not a qualifying asset and could be forced to forgo attractive investment opportunities. Similarly, these rules could prevent us from making follow -on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1" w:lineRule="exact"/>
        <w:rPr>
          <w:sz w:val="20"/>
          <w:szCs w:val="20"/>
          <w:color w:val="auto"/>
        </w:rPr>
      </w:pPr>
    </w:p>
    <w:p>
      <w:pPr>
        <w:jc w:val="both"/>
        <w:ind w:right="600" w:firstLine="420"/>
        <w:spacing w:after="0" w:line="268" w:lineRule="auto"/>
        <w:rPr>
          <w:sz w:val="20"/>
          <w:szCs w:val="20"/>
          <w:color w:val="auto"/>
        </w:rPr>
      </w:pPr>
      <w:r>
        <w:rPr>
          <w:rFonts w:ascii="Times New Roman" w:cs="Times New Roman" w:eastAsia="Times New Roman" w:hAnsi="Times New Roman"/>
          <w:sz w:val="13"/>
          <w:szCs w:val="13"/>
          <w:color w:val="auto"/>
        </w:rPr>
        <w:t>Our investment in PSLF, our unconsolidated joint venture with Pantheon, is not a qualifying asset under Section 55(a) of the 1940 Act. From time to time prior to making additional investments into PSLF, PTSF II or any future joint venture, we may increase our holdings of U.S. treasury securities, cash or cash equivalents (through borrowing or otherwise) so that such investments do not result in less than 70% of our assets being invested in qualifying assets.</w:t>
      </w:r>
    </w:p>
    <w:p>
      <w:pPr>
        <w:spacing w:after="0" w:line="8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are a non- diversified investment company within the meaning of the 1940 Act, and therefore we generally are not limited with respect to the proportion of our assets that may be invested in securities of a single issuer.</w:t>
      </w:r>
    </w:p>
    <w:p>
      <w:pPr>
        <w:spacing w:after="0" w:line="72"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recessions or downturns could impair our portfolio companies and harm our operating results.</w:t>
      </w:r>
    </w:p>
    <w:p>
      <w:pPr>
        <w:spacing w:after="0" w:line="13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94"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fail to make follow-on investments in our portfolio companies, this could materially impair the value of our portfolio.</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Following an initial investment in a portfolio company, we may make additional investments in that portfolio company as “follow-on” investments, in order to:</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•increase or maintain in whole or in part our equity ownership percentage;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•exercise warrants, options or convertible securities that were acquired in the original or subsequent financing;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•attempt to preserve or enhance the value of our investment.</w:t>
      </w:r>
    </w:p>
    <w:p>
      <w:pPr>
        <w:spacing w:after="0" w:line="12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90"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Because we generally do not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72"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Because we generally do not hold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87" w:lineRule="exact"/>
        <w:rPr>
          <w:sz w:val="20"/>
          <w:szCs w:val="20"/>
          <w:color w:val="auto"/>
        </w:rPr>
      </w:pPr>
    </w:p>
    <w:p>
      <w:pPr>
        <w:ind w:right="64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2"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02" w:right="68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i w:val="1"/>
          <w:iCs w:val="1"/>
          <w:color w:val="auto"/>
        </w:rPr>
        <w:t>Our portfolio companies may incur debt that ranks equally with, or senior to, our investments in such companies and our portfolio companies may be highly leveraged.</w:t>
      </w:r>
    </w:p>
    <w:p>
      <w:pPr>
        <w:spacing w:after="0" w:line="131"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We invest primarily in first lien secured debt, second lien secured debt,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incentive fee may induce the Investment Adviser to make speculative investments.</w:t>
      </w:r>
    </w:p>
    <w:p>
      <w:pPr>
        <w:spacing w:after="0" w:line="131"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6"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investments in distressed debt may not produce income and may require us to bear large expenses in order to protect and recover our investment.</w:t>
      </w:r>
    </w:p>
    <w:p>
      <w:pPr>
        <w:spacing w:after="0" w:line="131"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investments in foreign securities may involve significant risks in addition to the risks inherent in U.S. investments.</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4" w:lineRule="exact"/>
        <w:rPr>
          <w:sz w:val="20"/>
          <w:szCs w:val="20"/>
          <w:color w:val="auto"/>
        </w:rPr>
      </w:pPr>
    </w:p>
    <w:p>
      <w:pPr>
        <w:jc w:val="both"/>
        <w:ind w:right="220" w:firstLine="420"/>
        <w:spacing w:after="0" w:line="262" w:lineRule="auto"/>
        <w:rPr>
          <w:sz w:val="20"/>
          <w:szCs w:val="20"/>
          <w:color w:val="auto"/>
        </w:rPr>
      </w:pPr>
      <w:r>
        <w:rPr>
          <w:rFonts w:ascii="Times New Roman" w:cs="Times New Roman" w:eastAsia="Times New Roman" w:hAnsi="Times New Roman"/>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our Truist Credit Facility’ multicurrency capability to minimize these risks, but we can offer no assurance that we will, in fact, hedge currency risk or, that if we do, such strategies will be effective.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31"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obligated to pay our Investment Adviser incentive compensation even if we incur a loss.</w:t>
      </w:r>
    </w:p>
    <w:p>
      <w:pPr>
        <w:spacing w:after="0" w:line="131"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26"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may invest in derivatives or other assets that expose us to certain risks, including market risk, liquidity risk, counterparty risk, operational and legal risk and other risks similar to those associated with the use of leverage.</w:t>
      </w:r>
    </w:p>
    <w:p>
      <w:pPr>
        <w:spacing w:after="0" w:line="108" w:lineRule="exact"/>
        <w:rPr>
          <w:sz w:val="20"/>
          <w:szCs w:val="20"/>
          <w:color w:val="auto"/>
        </w:rPr>
      </w:pPr>
    </w:p>
    <w:p>
      <w:pPr>
        <w:jc w:val="both"/>
        <w:ind w:right="140" w:firstLine="420"/>
        <w:spacing w:after="0" w:line="268" w:lineRule="auto"/>
        <w:rPr>
          <w:sz w:val="20"/>
          <w:szCs w:val="20"/>
          <w:color w:val="auto"/>
        </w:rPr>
      </w:pPr>
      <w:r>
        <w:rPr>
          <w:rFonts w:ascii="Times New Roman" w:cs="Times New Roman" w:eastAsia="Times New Roman" w:hAnsi="Times New Roman"/>
          <w:sz w:val="13"/>
          <w:szCs w:val="13"/>
          <w:color w:val="auto"/>
        </w:rPr>
        <w:t>The Company may invest in derivatives and other assets that are subject to many of the same types of risks related to the use of leverage. Derivative transactions, if any, will generally create leverage for the Company and involve significant risks. The primary risks related to derivative transactions include counterparty, correlation, liquidity, leverage, volatility, over-the-counter trading, operational and legal risks. In addition, a small investment in derivatives could have a large potential impact on our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98" w:right="680" w:bottom="1440" w:gutter="0" w:footer="0" w:header="0"/>
        </w:sectPr>
      </w:pPr>
    </w:p>
    <w:bookmarkStart w:id="31" w:name="page32"/>
    <w:bookmarkEnd w:id="31"/>
    <w:p>
      <w:pPr>
        <w:ind w:right="420"/>
        <w:spacing w:after="0" w:line="286" w:lineRule="auto"/>
        <w:rPr>
          <w:sz w:val="20"/>
          <w:szCs w:val="20"/>
          <w:color w:val="auto"/>
        </w:rPr>
      </w:pPr>
      <w:r>
        <w:rPr>
          <w:rFonts w:ascii="Times New Roman" w:cs="Times New Roman" w:eastAsia="Times New Roman" w:hAnsi="Times New Roman"/>
          <w:sz w:val="13"/>
          <w:szCs w:val="13"/>
          <w:color w:val="auto"/>
        </w:rPr>
        <w:t>performance, effecting a form of investment leverage on our portfolio. In certain types of derivative transactions, the Company could lose the entire amount of its investment; in other types of derivative transactions the potential loss is theoretically unlimited.</w:t>
      </w:r>
    </w:p>
    <w:p>
      <w:pPr>
        <w:spacing w:after="0" w:line="112"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Under SEC Rule 18f-4 under the 1940 Act ("Rule 18f- 4"), related to use of derivatives, short sales, reverse repurchase agreements and certain other transactions by registered investment companies, the Company is permitted to enter into derivatives and other transactions that create future payment or delivery obligations, including short sales, notwithstanding the senior security provision of the 1940 Act if its complies with certain value-at-risk leverage limits and derivatives risk management program and board oversight and reporting requirements or comply with a "limited derivatives users" exception. Rule 18f-4 also permits the Company to enter into reverse repurchase agreements or similar financing transactions notwithstanding the senior security provision of the 1940 Act if the Company aggregates the amount of indebtedness associated with our reverse repurchase agreements or similar financing transactions with the aggregate amount of any other senior securities representing indebtedness when calculating the asset coverage ratios as discussed herein. In addition, the Company is permitted to invest in a security on a when-issued or forward-settling basis, or with a non-standard settlement cycle, and the transaction will be deemed not to involve a senior security under the 1940 Act, provided that (i) the Company intends to physically settle the transaction and (ii) the transaction will settle within 35 days of its trade date (the "Delayed-Settlement Securities Provision"). The Company may otherwise engage in such transaction as a "derivatives transaction" for purposes of compliance with the rule. Furthermore, the Company is permitted to enter into an unfunded commitment agreement, and such unfunded commitment agreement will not be subject to the asset coverage requirements under the 1940 Act, if the Company reasonably believes, at the time it enters into such agreement, that it will have sufficient cash and cash equivalents to meet its obligations with respect to all such agreements as they come due. The Company cannot predict the effects of these requirements</w:t>
      </w:r>
    </w:p>
    <w:p>
      <w:pPr>
        <w:spacing w:after="0" w:line="132"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The Company has adopted updated policies and procedures in compliance with Rule 18f-4. The Company expects to qualify as a “limited derivatives user.” Future legislation or rules may modify how the Company treats derivatives and other financial arrangements for purposes of the Company’s compliance with the leverage limitations of the 1940 Act. Future legislation or rules, may modify how leverage is calculated under the 1940 Act and, therefore, may increase or decrease the amount of leverage currently available to the Company under the 1940 Act, which may be materially adverse to the Company and the Company’s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AN INVESTMENT IN OUR COMMON STOCK</w:t>
      </w:r>
    </w:p>
    <w:p>
      <w:pPr>
        <w:spacing w:after="0" w:line="1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86"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87"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96"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stockholders may not receive distributions or that our distributions may not grow over time.</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Investing in our shares may involve an above average degree of risk.</w:t>
      </w:r>
    </w:p>
    <w:p>
      <w:pPr>
        <w:spacing w:after="0" w:line="131"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of substantial amounts of our securities may have an adverse effect on the market price of our securities.</w:t>
      </w:r>
    </w:p>
    <w:p>
      <w:pPr>
        <w:spacing w:after="0" w:line="131"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allocate the net proceeds from any offering of our securities in ways with which you may not agree.</w:t>
      </w:r>
    </w:p>
    <w:p>
      <w:pPr>
        <w:spacing w:after="0" w:line="131"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shares may trade at discounts from NAV or at premiums that are unsustainable over the long term.</w:t>
      </w:r>
    </w:p>
    <w:p>
      <w:pPr>
        <w:spacing w:after="0" w:line="167"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Shares of BDCs may trade at a market price that is less than the NAV that is attributable to those shares. Our shares have traded above and below our NAV. Our shares closed on The New York Stock Exchange at $6.58 and $5.46 on September 30, 2023 and 2022, respectively. Our NAV per share was $7.70 and $8.98, respectively,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82" w:right="70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i w:val="1"/>
          <w:iCs w:val="1"/>
          <w:color w:val="auto"/>
        </w:rPr>
        <w:t>The market price of our common stock may fluctuate significantly.</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540" w:right="120"/>
        <w:spacing w:after="0" w:line="286" w:lineRule="auto"/>
        <w:rPr>
          <w:sz w:val="20"/>
          <w:szCs w:val="20"/>
          <w:color w:val="auto"/>
        </w:rPr>
      </w:pPr>
      <w:r>
        <w:rPr>
          <w:rFonts w:ascii="Times New Roman" w:cs="Times New Roman" w:eastAsia="Times New Roman" w:hAnsi="Times New Roman"/>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regulatory policies or tax guidelines, particularly with respect to RICs, BDCs or SBICs;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•any loss of our BDC or RIC status;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earnings or variations in operating results;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prevailing interest rates;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•changes in the value of our portfolio of investments;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•any shortfall in revenue or net income or any increase in losses from levels expected by investors or securities analysts;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of our Investment Adviser to employ additional experienced investment professionals or the departure of any of the Investment Adviser’s key personnel;</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•operating performance of companies comparable to us;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•general national and international economic trends and other external factors;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•general price and volume fluctuations in the stock markets, including as a result of short sales;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•conversion features of subscription rights, warrants or convertible debt;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•loss of a major funding source.</w:t>
      </w:r>
    </w:p>
    <w:p>
      <w:pPr>
        <w:spacing w:after="0" w:line="127" w:lineRule="exact"/>
        <w:rPr>
          <w:sz w:val="20"/>
          <w:szCs w:val="20"/>
          <w:color w:val="auto"/>
        </w:rPr>
      </w:pPr>
    </w:p>
    <w:p>
      <w:pPr>
        <w:jc w:val="both"/>
        <w:ind w:right="160" w:firstLine="420"/>
        <w:spacing w:after="0" w:line="268" w:lineRule="auto"/>
        <w:rPr>
          <w:sz w:val="20"/>
          <w:szCs w:val="20"/>
          <w:color w:val="auto"/>
        </w:rPr>
      </w:pPr>
      <w:r>
        <w:rPr>
          <w:rFonts w:ascii="Times New Roman" w:cs="Times New Roman" w:eastAsia="Times New Roman" w:hAnsi="Times New Roman"/>
          <w:sz w:val="13"/>
          <w:szCs w:val="13"/>
          <w:color w:val="auto"/>
        </w:rPr>
        <w:t>Since our initial listing on The Nasdaq Global Select Market to our voluntarily withdrawal of the principal listing of common shares from the Nasdaq Stock Market LLC effective at market close on April 13, 2022 and subsequent listing and trading of the Company's common stock on the New York Stock Exchange, which commenced April 14, 2022, our shares of common stock have traded at a wide range of prices. We can offer no assurance that our shares of common stock will not display similar volatility in future periods.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Truist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 may have current tax liabilities on distributions you reinvest in our common stock.</w:t>
      </w:r>
    </w:p>
    <w:p>
      <w:pPr>
        <w:spacing w:after="0" w:line="13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a risk that our common stockholders may receive our stock as distributions in which case they may be required to pay taxes in excess of the cash they receive.</w:t>
      </w:r>
    </w:p>
    <w:p>
      <w:pPr>
        <w:spacing w:after="0" w:line="131"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20% of such dividend)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4"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98" w:right="68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color w:val="auto"/>
        </w:rPr>
        <w:t>issuance of additional shares of our stock, and to amend our charter, without stockholder approval, to increase or decrease the number of shares of stock that we have authority to issue.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These anti-takeover provisions may inhibit a change of control in circumstances that could give our stockholders the opportunity to realize a premium over the market price for our common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RELATING TO AN INVESTMENT IN OUR DEBT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2026 Notes and the 2026 Notes-2 are unsecured and therefore are effectively subordinated to any secured indebtedness we have currently incurred or may incur in the future.</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2026 Notes and the 2026- 2 Notes are not secured by any of our assets or any of the assets of our subsidiaries. As a result, the 2026 Notes and the 2026-2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2026 Notes and the 2026-2 Notes. As of September 30, 2023, we had $212.4 million in outstanding borrowings under the Truist Credit Facility. The Truist Credit Facility is secured by substantially all of our assets excluding assets held by SBIC II. The indebtedness under the Truist Credit Facility is therefore effectively senior in right of payment to our 2026 Notes and our 2026-2 Notes to the extent of the value of such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2026 Notes and the 2026-2 Notes are structurally subordinated to the indebtedness and other liabilities of our subsidiaries.</w:t>
      </w:r>
    </w:p>
    <w:p>
      <w:pPr>
        <w:spacing w:after="0" w:line="13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The 2026 Notes and the 2026-2 Notes are obligations exclusively of PennantPark Investment Corporation and not of any of our subsidiaries. None of our subsidiaries is or acts as a guarantor of the 2026 Notes or the 2026-2 Notes and the 2026 Notes and the 2026-2 Notes are not required to be guaranteed by any subsidiaries we may acquire or create in the future. The assets of any such subsidiaries are not directly available to satisfy the claims of our creditors, including holders of our 2026 Notes and our 2026-2 Notes.</w:t>
      </w:r>
    </w:p>
    <w:p>
      <w:pPr>
        <w:spacing w:after="0" w:line="123"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2026 Notes and the 2026 Notes-2)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2026 Notes and the 2026 Notes-2 are structurally subordinated to all indebtedness and other liabilities (including trade payables) of our subsidiaries and any subsidiaries that we may in the future acquire or establish as financing vehicles or otherwise. All of such indebtedness is structurally senior to the 2026 Notes and the 2026 Notes-2. In addition, our subsidiaries may incur substantial additional indebtedness in the future, all of which would be structurally senior to the 2026 Notes and the 2026 Notes-2.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indenture under which each of the 2026 Notes and the 2026-2 Notes were issued contains limited protection for their respective holders.</w:t>
      </w:r>
    </w:p>
    <w:p>
      <w:pPr>
        <w:spacing w:after="0" w:line="16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The indenture under which each of the 2026 Notes and the 2026 Notes-2 were issued offers limited protection to holders. The terms of the indenture and each of the 2026 Notes and the 2026 Notes-2 do not restrict our or any of our subsidiaries’ ability to engage in, or otherwise be a party to, a variety of corporate transactions, circumstances or events that could have an adverse impact on each holder’s investment in the 2026 Notes and the 2026 Notes-2. In particular, the terms of the indenture and each of the 2026 Notes and the 2026 Notes-2 will not place any restrictions on our or our subsidiaries’ ability to:</w:t>
      </w:r>
    </w:p>
    <w:p>
      <w:pPr>
        <w:spacing w:after="0" w:line="91" w:lineRule="exact"/>
        <w:rPr>
          <w:sz w:val="20"/>
          <w:szCs w:val="20"/>
          <w:color w:val="auto"/>
        </w:rPr>
      </w:pPr>
    </w:p>
    <w:p>
      <w:pPr>
        <w:ind w:left="580" w:right="60"/>
        <w:spacing w:after="0" w:line="256" w:lineRule="auto"/>
        <w:rPr>
          <w:sz w:val="20"/>
          <w:szCs w:val="20"/>
          <w:color w:val="auto"/>
        </w:rPr>
      </w:pPr>
      <w:r>
        <w:rPr>
          <w:rFonts w:ascii="Times New Roman" w:cs="Times New Roman" w:eastAsia="Times New Roman" w:hAnsi="Times New Roman"/>
          <w:sz w:val="13"/>
          <w:szCs w:val="13"/>
          <w:color w:val="auto"/>
        </w:rPr>
        <w:t>•issue securities or otherwise incur additional indebtedness or other obligations, including (1) any indebtedness or other obligations that would be equal in right of payment to each of the 2026 Notes and the 2026 Notes-2, (2) any indebtedness or other obligations that would be secured and therefore rank effectively senior in right of payment to each of the 2026 Notes and the 2026 Notes-2 to the extent of the values of the assets securing such debt, (3) indebtedness of ours that is guaranteed by one or more of our subsidiaries and which therefore would rank structurally senior to each of the 2026 Notes and the 2026 Notes -2 and (4) securities, indebtedness or other obligations issued or incurred by our subsidiaries that would be senior in right of payment to our equity interests in our subsidiaries and therefore would rank structurally senior in right of payment to each of the 2026 Notes and the 2026 Notes -2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•pay dividends on, or purchase or redeem or make any payments in respect of, capital stock or other securities ranking junior in right of payment to the 2026 Notes and the 2026 Notes-2;</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•sell assets (other than certain limited restrictions on our ability to consolidate, merge or sell all or substantially all of our assets);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•enter into transactions with affiliates;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•create liens (including liens on the shares of our subsidiaries) or enter into sale and leaseback transactions;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•make investments; or</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•create restrictions on the payment of dividends or other amounts to us from our subsidiaries.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the indenture will not require us to offer to purchase the Notes in connection with a change of control or any other event.</w:t>
      </w:r>
    </w:p>
    <w:p>
      <w:pPr>
        <w:spacing w:after="0" w:line="163"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Furthermore, the terms of the indenture and each of the 2026 Notes and the 2026 Notes-2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23"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Our ability to recapitalize, incur additional debt and take a number of other actions that are not limited by the terms of the 2026 Notes and the 2026 Notes-2 may have important consequences for their holders, including making it more difficult for us to satisfy our obligations with respect to the 2026 Notes and the 2026 Notes-2 or negatively affecting their trading value.</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2" w:right="660" w:bottom="1440" w:gutter="0" w:footer="0" w:header="0"/>
        </w:sectPr>
      </w:pPr>
    </w:p>
    <w:bookmarkStart w:id="34" w:name="page35"/>
    <w:bookmarkEnd w:id="34"/>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Certain of our current debt instruments include more protections for their respective holders than the indenture and each of the 2026 Notes and the 2026 Notes-2. In addition, other debt we issue or incur in the future could contain more protections for its holders than the indenture and each of the 2026 Notes, including additional covenants and events of default. The issuance or incurrence of any such debt with incremental protections could affect the market for and trading levels and prices of the 2026 Notes and the 2026 Notes-2, if 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optional redemption provision may materially adversely affect your return on the 2026 Notes and the 2026 Notes-2.</w:t>
      </w:r>
    </w:p>
    <w:p>
      <w:pPr>
        <w:spacing w:after="0" w:line="167"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The 2026 Notes and the 2026 Notes-2 may be redeemable in whole or in part upon certain conditions at any time, or from time to time, at our option on or after October 15, 2026 or February 1, 2026, respectively. We may choose to redeem the 2026 Notes or the 2026 Notes -2 at times when prevailing interest rates are lower than the interest rate paid on the Notes. In this circumstance, you may not be able to reinvest the redemption proceeds in a comparable security at an effective interest rate as high as the 2026 Notes or the 2026 Notes-2 being redeemed.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is no active trading market for the Notes. If an active trading market does not develop for the Notes, you may not be able to sell them.</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default on our obligations to pay our other indebtedness, we may not be able to make payments on the 2026 Notes or the 2026 Notes-2.</w:t>
      </w:r>
    </w:p>
    <w:p>
      <w:pPr>
        <w:spacing w:after="0" w:line="167" w:lineRule="exact"/>
        <w:rPr>
          <w:sz w:val="20"/>
          <w:szCs w:val="20"/>
          <w:color w:val="auto"/>
        </w:rPr>
      </w:pPr>
    </w:p>
    <w:p>
      <w:pPr>
        <w:ind w:right="20" w:firstLine="420"/>
        <w:spacing w:after="0" w:line="253" w:lineRule="auto"/>
        <w:rPr>
          <w:sz w:val="20"/>
          <w:szCs w:val="20"/>
          <w:color w:val="auto"/>
        </w:rPr>
      </w:pPr>
      <w:r>
        <w:rPr>
          <w:rFonts w:ascii="Times New Roman" w:cs="Times New Roman" w:eastAsia="Times New Roman" w:hAnsi="Times New Roman"/>
          <w:sz w:val="13"/>
          <w:szCs w:val="13"/>
          <w:color w:val="auto"/>
        </w:rPr>
        <w:t>Any default under the agreements governing our indebtedness, including a default under our Truist Credit Facility or under other indebtedness to which we may be a party that is not waived by the required lenders or holders, and the remedies sought by the holders of such indebtedness could make us unable to pay principal, premium, if any, and interest on the 2026 Notes or the 2026 Notes-2 and substantially decrease the market value of such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Truist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Truist Credit Facility or other debt that we may incur in the future to avoid being in default. If we breach our covenants under our Truist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Truist Credit Facility, could proceed against the collateral securing the debt. Because our Truist Credit Facility have, and any future debt will likely have, customary cross-default provisions, if the indebtedness thereunder or under any future credit facility is accelerated, we may be unable to repay or finance the amounts due.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FATCA withholding may apply to payments to certain foreign entities.</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Payments made under the 2026 Notes or the 2026 Notes-2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2026 Notes or the 2026 Notes-2 as well as scheduled payments of principal, early redemption, or sale of the 2026 Notes or the 2026 Notes-2, unless the foreign financial institution or non -financial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Proposed Treasury Regulations, if finalized in their present form, would eliminate the application of this 30% U.S. withholding tax in respect of payments of certain gross proceeds. Pursuant to these proposed Treasury Regulations, we and any other applicable withholding agent may (but are not required to) rely on this proposed change to FATCA withholding until final regulations are issued or until such proposed Treasury Regulations are rescinded. Holders of the 2026 Notes and the 2026 Notes-2 should consult their own tax advisors regarding FATCA and how it may affect their investment in the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RISK FACTORS</w:t>
      </w:r>
    </w:p>
    <w:p>
      <w:pPr>
        <w:spacing w:after="0" w:line="16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The ongoing invasion of Ukraine by Russia and related sanctions have increased global political and economic uncertainty, which may have a material impact on the Company's portfolio and the value of an investment in the Company.</w:t>
      </w:r>
    </w:p>
    <w:p>
      <w:pPr>
        <w:spacing w:after="0" w:line="108" w:lineRule="exact"/>
        <w:rPr>
          <w:sz w:val="20"/>
          <w:szCs w:val="20"/>
          <w:color w:val="auto"/>
        </w:rPr>
      </w:pPr>
    </w:p>
    <w:p>
      <w:pPr>
        <w:ind w:right="220" w:firstLine="420"/>
        <w:spacing w:after="0" w:line="257" w:lineRule="auto"/>
        <w:rPr>
          <w:sz w:val="20"/>
          <w:szCs w:val="20"/>
          <w:color w:val="auto"/>
        </w:rPr>
      </w:pPr>
      <w:r>
        <w:rPr>
          <w:rFonts w:ascii="Times New Roman" w:cs="Times New Roman" w:eastAsia="Times New Roman" w:hAnsi="Times New Roman"/>
          <w:sz w:val="13"/>
          <w:szCs w:val="13"/>
          <w:color w:val="auto"/>
        </w:rPr>
        <w:t>The ongoing invasion of Ukraine by Russia and related sanctions have increased global political and economic uncertainty. In February 2022, Russia invaded Ukraine and, in response, the United States and many other countries placed economic sanctions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an investment in the Company. Because this is an uncertain and evolving situation, its full impact is unknown at this time.</w:t>
      </w:r>
    </w:p>
    <w:p>
      <w:pPr>
        <w:spacing w:after="0" w:line="128" w:lineRule="exact"/>
        <w:rPr>
          <w:sz w:val="20"/>
          <w:szCs w:val="20"/>
          <w:color w:val="auto"/>
        </w:rPr>
      </w:pPr>
    </w:p>
    <w:p>
      <w:pPr>
        <w:ind w:right="400"/>
        <w:spacing w:after="0" w:line="292" w:lineRule="auto"/>
        <w:rPr>
          <w:sz w:val="20"/>
          <w:szCs w:val="20"/>
          <w:color w:val="auto"/>
        </w:rPr>
      </w:pPr>
      <w:r>
        <w:rPr>
          <w:rFonts w:ascii="Times New Roman" w:cs="Times New Roman" w:eastAsia="Times New Roman" w:hAnsi="Times New Roman"/>
          <w:sz w:val="13"/>
          <w:szCs w:val="13"/>
          <w:b w:val="1"/>
          <w:bCs w:val="1"/>
          <w:i w:val="1"/>
          <w:iCs w:val="1"/>
          <w:color w:val="auto"/>
        </w:rPr>
        <w:t>We and our portfolio companies may maintain cash balances at financial institutions and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spacing w:after="0" w:line="108"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Our cash is held in accounts at U.S. banking institutions that we believe are of high quality. Cash held by us and by our portfolio companies in non-interest-bearing and interest-bearing operating accounts may exceed the Federal Deposit Insurance Corporation (“FDIC”) insurance limits. If such banking institutions were to fail, we or our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portfolio companies’ business, financial condition, results of operations, or prospects.</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82" w:right="660" w:bottom="1440" w:gutter="0" w:footer="0" w:header="0"/>
        </w:sectPr>
      </w:pPr>
    </w:p>
    <w:bookmarkStart w:id="35" w:name="page36"/>
    <w:bookmarkEnd w:id="35"/>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Although we assess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or our portfolio companies, the financial institutions with which we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portfolio companies have financial or business relationships, but could also include factors involving financial markets or the financial services industry generally.</w:t>
      </w:r>
    </w:p>
    <w:p>
      <w:pPr>
        <w:spacing w:after="0" w:line="132"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or our portfolio companies to acquire financing on acceptable terms or at all.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Inflation may adversely affect the business, results of operations and financial condition of our portfolio companies.</w:t>
      </w:r>
    </w:p>
    <w:p>
      <w:pPr>
        <w:spacing w:after="0" w:line="167" w:lineRule="exact"/>
        <w:rPr>
          <w:sz w:val="20"/>
          <w:szCs w:val="20"/>
          <w:color w:val="auto"/>
        </w:rPr>
      </w:pPr>
    </w:p>
    <w:p>
      <w:pPr>
        <w:jc w:val="both"/>
        <w:ind w:right="160" w:firstLine="420"/>
        <w:spacing w:after="0" w:line="262" w:lineRule="auto"/>
        <w:rPr>
          <w:sz w:val="20"/>
          <w:szCs w:val="20"/>
          <w:color w:val="auto"/>
        </w:rPr>
      </w:pPr>
      <w:r>
        <w:rPr>
          <w:rFonts w:ascii="Times New Roman" w:cs="Times New Roman" w:eastAsia="Times New Roman" w:hAnsi="Times New Roman"/>
          <w:sz w:val="13"/>
          <w:szCs w:val="13"/>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23"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3"/>
          <w:szCs w:val="13"/>
          <w:b w:val="1"/>
          <w:bCs w:val="1"/>
          <w:i w:val="1"/>
          <w:iCs w:val="1"/>
          <w:color w:val="auto"/>
        </w:rPr>
        <w:t>Global capital markets could enter a period of severe disruption and instability due to future recessions, disease pandemics and other serious health events, political instability, geopolitical turmoil and 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2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 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Volatility or a prolonged disruption in the credit markets could materially damage our business.</w:t>
      </w:r>
    </w:p>
    <w:p>
      <w:pPr>
        <w:spacing w:after="0" w:line="131" w:lineRule="exact"/>
        <w:rPr>
          <w:sz w:val="20"/>
          <w:szCs w:val="20"/>
          <w:color w:val="auto"/>
        </w:rPr>
      </w:pPr>
    </w:p>
    <w:p>
      <w:pPr>
        <w:ind w:right="100" w:firstLine="420"/>
        <w:spacing w:after="0" w:line="255" w:lineRule="auto"/>
        <w:rPr>
          <w:sz w:val="20"/>
          <w:szCs w:val="20"/>
          <w:color w:val="auto"/>
        </w:rPr>
      </w:pPr>
      <w:r>
        <w:rPr>
          <w:rFonts w:ascii="Times New Roman" w:cs="Times New Roman" w:eastAsia="Times New Roman" w:hAnsi="Times New Roman"/>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Truist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98"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Any public health emergency, any outbreak of existing or new diseases, and the resulting financial and economic market uncertainty could have a significant adverse impact on us.</w:t>
      </w:r>
    </w:p>
    <w:p>
      <w:pPr>
        <w:spacing w:after="0" w:line="167"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3"/>
          <w:szCs w:val="13"/>
          <w:color w:val="auto"/>
        </w:rPr>
        <w:t>The extent of the impact of any public health emergency,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investor liquidity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halted, as a result of government quarantine measures, restrictions on travel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Any public health emergency any outbreak of existing or new epidemic diseases, or the threat thereof, and the resulting financial and economic market uncertainty could have a significant adverse impact on us and the fair value of our investments and our portfolio companies.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8" w:right="660" w:bottom="1440" w:gutter="0" w:footer="0" w:header="0"/>
        </w:sectPr>
      </w:pPr>
    </w:p>
    <w:bookmarkStart w:id="36" w:name="page37"/>
    <w:bookmarkEnd w:id="36"/>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31" w:lineRule="exact"/>
        <w:rPr>
          <w:sz w:val="20"/>
          <w:szCs w:val="20"/>
          <w:color w:val="auto"/>
        </w:rPr>
      </w:pPr>
    </w:p>
    <w:p>
      <w:pPr>
        <w:ind w:left="80" w:right="180" w:firstLine="420"/>
        <w:spacing w:after="0" w:line="259" w:lineRule="auto"/>
        <w:rPr>
          <w:sz w:val="20"/>
          <w:szCs w:val="20"/>
          <w:color w:val="auto"/>
        </w:rPr>
      </w:pPr>
      <w:r>
        <w:rPr>
          <w:rFonts w:ascii="Times New Roman" w:cs="Times New Roman" w:eastAsia="Times New Roman" w:hAnsi="Times New Roman"/>
          <w:sz w:val="13"/>
          <w:szCs w:val="13"/>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94" w:lineRule="exact"/>
        <w:rPr>
          <w:sz w:val="20"/>
          <w:szCs w:val="20"/>
          <w:color w:val="auto"/>
        </w:rPr>
      </w:pPr>
    </w:p>
    <w:p>
      <w:pPr>
        <w:ind w:left="80" w:firstLine="420"/>
        <w:spacing w:after="0" w:line="256" w:lineRule="auto"/>
        <w:rPr>
          <w:sz w:val="20"/>
          <w:szCs w:val="20"/>
          <w:color w:val="auto"/>
        </w:rPr>
      </w:pPr>
      <w:r>
        <w:rPr>
          <w:rFonts w:ascii="Times New Roman" w:cs="Times New Roman" w:eastAsia="Times New Roman" w:hAnsi="Times New Roman"/>
          <w:sz w:val="13"/>
          <w:szCs w:val="13"/>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We may be the target of litigation.</w:t>
      </w:r>
    </w:p>
    <w:p>
      <w:pPr>
        <w:spacing w:after="0" w:line="131" w:lineRule="exact"/>
        <w:rPr>
          <w:sz w:val="20"/>
          <w:szCs w:val="20"/>
          <w:color w:val="auto"/>
        </w:rPr>
      </w:pPr>
    </w:p>
    <w:p>
      <w:pPr>
        <w:ind w:left="80" w:right="180" w:firstLine="420"/>
        <w:spacing w:after="0" w:line="268" w:lineRule="auto"/>
        <w:rPr>
          <w:sz w:val="20"/>
          <w:szCs w:val="20"/>
          <w:color w:val="auto"/>
        </w:rPr>
      </w:pPr>
      <w:r>
        <w:rPr>
          <w:rFonts w:ascii="Times New Roman" w:cs="Times New Roman" w:eastAsia="Times New Roman" w:hAnsi="Times New Roman"/>
          <w:sz w:val="13"/>
          <w:szCs w:val="13"/>
          <w:color w:val="auto"/>
        </w:rPr>
        <w:t>We may be the target of securities litigation in the future, particularly if the trading price of our common stock, our 2026 Notes or our 2026-2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The effect of global climate change may impact the operations of our portfolio companies.</w:t>
      </w:r>
    </w:p>
    <w:p>
      <w:pPr>
        <w:spacing w:after="0" w:line="131" w:lineRule="exact"/>
        <w:rPr>
          <w:sz w:val="20"/>
          <w:szCs w:val="20"/>
          <w:color w:val="auto"/>
        </w:rPr>
      </w:pPr>
    </w:p>
    <w:p>
      <w:pPr>
        <w:ind w:left="80" w:right="120" w:firstLine="420"/>
        <w:spacing w:after="0" w:line="259" w:lineRule="auto"/>
        <w:rPr>
          <w:sz w:val="20"/>
          <w:szCs w:val="20"/>
          <w:color w:val="auto"/>
        </w:rPr>
      </w:pPr>
      <w:r>
        <w:rPr>
          <w:rFonts w:ascii="Times New Roman" w:cs="Times New Roman" w:eastAsia="Times New Roman" w:hAnsi="Times New Roman"/>
          <w:sz w:val="13"/>
          <w:szCs w:val="13"/>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1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Legislative or regulatory tax changes could adversely affect investors.</w:t>
      </w:r>
    </w:p>
    <w:p>
      <w:pPr>
        <w:spacing w:after="0" w:line="167" w:lineRule="exact"/>
        <w:rPr>
          <w:sz w:val="20"/>
          <w:szCs w:val="20"/>
          <w:color w:val="auto"/>
        </w:rPr>
      </w:pPr>
    </w:p>
    <w:p>
      <w:pPr>
        <w:ind w:left="80" w:right="100" w:firstLine="420"/>
        <w:spacing w:after="0" w:line="259" w:lineRule="auto"/>
        <w:rPr>
          <w:sz w:val="20"/>
          <w:szCs w:val="20"/>
          <w:color w:val="auto"/>
        </w:rPr>
      </w:pPr>
      <w:r>
        <w:rPr>
          <w:rFonts w:ascii="Times New Roman" w:cs="Times New Roman" w:eastAsia="Times New Roman" w:hAnsi="Times New Roman"/>
          <w:sz w:val="13"/>
          <w:szCs w:val="13"/>
          <w:color w:val="auto"/>
        </w:rPr>
        <w:t>At any time, the federal income tax laws governing RICs or the administrative interpretations of those laws or regulations may be amended. The Biden Administration has enacted significant changes to the existing U.S. tax rules that include, among others, a minimum tax on book income and profits of certain multinational corporations, and there are a number of proposals in the U.S. Congress that would similarly modify the existing U.S. tax rules. The likelihood of any new legislation being enacted is uncertain. Any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shares or the value or the resale potential of our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1B. Unresolved Staff Comments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1C. Cybersecurity</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Not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Properties</w:t>
      </w:r>
    </w:p>
    <w:p>
      <w:pPr>
        <w:spacing w:after="0" w:line="129" w:lineRule="exact"/>
        <w:rPr>
          <w:sz w:val="20"/>
          <w:szCs w:val="20"/>
          <w:color w:val="auto"/>
        </w:rPr>
      </w:pPr>
    </w:p>
    <w:p>
      <w:pPr>
        <w:jc w:val="both"/>
        <w:ind w:left="80" w:right="6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Legal Proceedings</w:t>
      </w:r>
    </w:p>
    <w:p>
      <w:pPr>
        <w:spacing w:after="0" w:line="129" w:lineRule="exact"/>
        <w:rPr>
          <w:sz w:val="20"/>
          <w:szCs w:val="20"/>
          <w:color w:val="auto"/>
        </w:rPr>
      </w:pPr>
    </w:p>
    <w:p>
      <w:pPr>
        <w:jc w:val="both"/>
        <w:ind w:left="80" w:right="80"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Not applicable.</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59690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698" w:right="680" w:bottom="1440" w:gutter="0" w:footer="0" w:header="0"/>
        </w:sectPr>
      </w:pPr>
    </w:p>
    <w:bookmarkStart w:id="37" w:name="page38"/>
    <w:bookmarkEnd w:id="37"/>
    <w:p>
      <w:pPr>
        <w:ind w:left="512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Market for Registrant’s Common Equity, Related Stockholder Matters and Issuer Purchases of Equity Securities</w:t>
      </w:r>
    </w:p>
    <w:p>
      <w:pPr>
        <w:spacing w:after="0" w:line="1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PRICE RANGE OF COMMON STOCK</w:t>
      </w:r>
    </w:p>
    <w:p>
      <w:pPr>
        <w:spacing w:after="0" w:line="165" w:lineRule="exact"/>
        <w:rPr>
          <w:sz w:val="20"/>
          <w:szCs w:val="20"/>
          <w:color w:val="auto"/>
        </w:rPr>
      </w:pPr>
    </w:p>
    <w:p>
      <w:pPr>
        <w:ind w:left="80" w:right="40" w:firstLine="420"/>
        <w:spacing w:after="0" w:line="262" w:lineRule="auto"/>
        <w:rPr>
          <w:sz w:val="20"/>
          <w:szCs w:val="20"/>
          <w:color w:val="auto"/>
        </w:rPr>
      </w:pPr>
      <w:r>
        <w:rPr>
          <w:rFonts w:ascii="Times New Roman" w:cs="Times New Roman" w:eastAsia="Times New Roman" w:hAnsi="Times New Roman"/>
          <w:sz w:val="13"/>
          <w:szCs w:val="13"/>
          <w:color w:val="auto"/>
        </w:rPr>
        <w:t>On April 4, 2007, we closed our initial public offering. On April 14, 2022, listing and trading of the Company’s common stock commenced on the New York Stock Exchange after the Company voluntarily withdrew the principal listing of its common stock from the Nasdaq Stock Market effective at market close on April 13, 2022. Our common stock trades on the New York Stock Exchange under the symbol “PNNT”. The following table lists the high and low closing sale prices for our common stock, the closing sale prices as a premium or (discount) to our NAV per share and distributions per share for each full quarterly period within the fiscal years ended September 30, 2023 and 2022.</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150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Premium /</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50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Closing Sale Prices</w:t>
            </w:r>
          </w:p>
        </w:tc>
        <w:tc>
          <w:tcPr>
            <w:tcW w:w="880" w:type="dxa"/>
            <w:vAlign w:val="bottom"/>
          </w:tcPr>
          <w:p>
            <w:pPr>
              <w:spacing w:after="0"/>
              <w:rPr>
                <w:sz w:val="14"/>
                <w:szCs w:val="14"/>
                <w:color w:val="auto"/>
              </w:rPr>
            </w:pPr>
          </w:p>
        </w:tc>
        <w:tc>
          <w:tcPr>
            <w:tcW w:w="146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of High Sale</w:t>
            </w:r>
          </w:p>
        </w:tc>
        <w:tc>
          <w:tcPr>
            <w:tcW w:w="1500" w:type="dxa"/>
            <w:vAlign w:val="bottom"/>
          </w:tcPr>
          <w:p>
            <w:pPr>
              <w:jc w:val="center"/>
              <w:ind w:right="334"/>
              <w:spacing w:after="0"/>
              <w:rPr>
                <w:sz w:val="20"/>
                <w:szCs w:val="20"/>
                <w:color w:val="auto"/>
              </w:rPr>
            </w:pPr>
            <w:r>
              <w:rPr>
                <w:rFonts w:ascii="Times New Roman" w:cs="Times New Roman" w:eastAsia="Times New Roman" w:hAnsi="Times New Roman"/>
                <w:sz w:val="13"/>
                <w:szCs w:val="13"/>
                <w:b w:val="1"/>
                <w:bCs w:val="1"/>
                <w:color w:val="auto"/>
              </w:rPr>
              <w:t>of Low Sale</w:t>
            </w:r>
          </w:p>
        </w:tc>
        <w:tc>
          <w:tcPr>
            <w:tcW w:w="10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0" w:type="dxa"/>
            <w:vAlign w:val="bottom"/>
          </w:tcPr>
          <w:p>
            <w:pPr>
              <w:spacing w:after="0"/>
              <w:rPr>
                <w:sz w:val="1"/>
                <w:szCs w:val="1"/>
                <w:color w:val="auto"/>
              </w:rPr>
            </w:pPr>
          </w:p>
        </w:tc>
      </w:tr>
      <w:tr>
        <w:trPr>
          <w:trHeight w:val="193"/>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500" w:type="dxa"/>
            <w:vAlign w:val="bottom"/>
          </w:tcPr>
          <w:p>
            <w:pPr>
              <w:spacing w:after="0"/>
              <w:rPr>
                <w:sz w:val="16"/>
                <w:szCs w:val="16"/>
                <w:color w:val="auto"/>
              </w:rPr>
            </w:pPr>
          </w:p>
        </w:tc>
        <w:tc>
          <w:tcPr>
            <w:tcW w:w="1060" w:type="dxa"/>
            <w:vAlign w:val="bottom"/>
          </w:tcPr>
          <w:p>
            <w:pPr>
              <w:jc w:val="right"/>
              <w:ind w:right="417"/>
              <w:spacing w:after="0" w:line="192" w:lineRule="exact"/>
              <w:rPr>
                <w:sz w:val="20"/>
                <w:szCs w:val="20"/>
                <w:color w:val="auto"/>
              </w:rPr>
            </w:pPr>
            <w:r>
              <w:rPr>
                <w:rFonts w:ascii="Times New Roman" w:cs="Times New Roman" w:eastAsia="Times New Roman" w:hAnsi="Times New Roman"/>
                <w:sz w:val="22"/>
                <w:szCs w:val="22"/>
                <w:b w:val="1"/>
                <w:bCs w:val="1"/>
                <w:color w:val="auto"/>
                <w:vertAlign w:val="subscript"/>
              </w:rPr>
              <w:t>NAV</w:t>
            </w:r>
            <w:r>
              <w:rPr>
                <w:rFonts w:ascii="Times New Roman" w:cs="Times New Roman" w:eastAsia="Times New Roman" w:hAnsi="Times New Roman"/>
                <w:sz w:val="8"/>
                <w:szCs w:val="8"/>
                <w:b w:val="1"/>
                <w:bCs w:val="1"/>
                <w:color w:val="auto"/>
              </w:rPr>
              <w:t xml:space="preserve"> (1)</w:t>
            </w:r>
          </w:p>
        </w:tc>
        <w:tc>
          <w:tcPr>
            <w:tcW w:w="380" w:type="dxa"/>
            <w:vAlign w:val="bottom"/>
          </w:tcPr>
          <w:p>
            <w:pPr>
              <w:spacing w:after="0"/>
              <w:rPr>
                <w:sz w:val="16"/>
                <w:szCs w:val="16"/>
                <w:color w:val="auto"/>
              </w:rPr>
            </w:pPr>
          </w:p>
        </w:tc>
        <w:tc>
          <w:tcPr>
            <w:tcW w:w="10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High</w:t>
            </w:r>
          </w:p>
        </w:tc>
        <w:tc>
          <w:tcPr>
            <w:tcW w:w="540" w:type="dxa"/>
            <w:vAlign w:val="bottom"/>
          </w:tcPr>
          <w:p>
            <w:pPr>
              <w:spacing w:after="0"/>
              <w:rPr>
                <w:sz w:val="16"/>
                <w:szCs w:val="16"/>
                <w:color w:val="auto"/>
              </w:rPr>
            </w:pPr>
          </w:p>
        </w:tc>
        <w:tc>
          <w:tcPr>
            <w:tcW w:w="88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Low</w:t>
            </w:r>
          </w:p>
        </w:tc>
        <w:tc>
          <w:tcPr>
            <w:tcW w:w="146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9"/>
              </w:rPr>
              <w:t xml:space="preserve">Price to NAV </w:t>
            </w:r>
            <w:r>
              <w:rPr>
                <w:rFonts w:ascii="Times New Roman" w:cs="Times New Roman" w:eastAsia="Times New Roman" w:hAnsi="Times New Roman"/>
                <w:sz w:val="16"/>
                <w:szCs w:val="16"/>
                <w:b w:val="1"/>
                <w:bCs w:val="1"/>
                <w:color w:val="auto"/>
                <w:w w:val="99"/>
                <w:vertAlign w:val="superscript"/>
              </w:rPr>
              <w:t>(2)</w:t>
            </w:r>
          </w:p>
        </w:tc>
        <w:tc>
          <w:tcPr>
            <w:tcW w:w="1500" w:type="dxa"/>
            <w:vAlign w:val="bottom"/>
          </w:tcPr>
          <w:p>
            <w:pPr>
              <w:jc w:val="center"/>
              <w:ind w:right="354"/>
              <w:spacing w:after="0"/>
              <w:rPr>
                <w:sz w:val="20"/>
                <w:szCs w:val="20"/>
                <w:color w:val="auto"/>
              </w:rPr>
            </w:pPr>
            <w:r>
              <w:rPr>
                <w:rFonts w:ascii="Times New Roman" w:cs="Times New Roman" w:eastAsia="Times New Roman" w:hAnsi="Times New Roman"/>
                <w:sz w:val="13"/>
                <w:szCs w:val="13"/>
                <w:b w:val="1"/>
                <w:bCs w:val="1"/>
                <w:color w:val="auto"/>
                <w:w w:val="97"/>
              </w:rPr>
              <w:t xml:space="preserve">Price to NAV </w:t>
            </w:r>
            <w:r>
              <w:rPr>
                <w:rFonts w:ascii="Times New Roman" w:cs="Times New Roman" w:eastAsia="Times New Roman" w:hAnsi="Times New Roman"/>
                <w:sz w:val="16"/>
                <w:szCs w:val="16"/>
                <w:b w:val="1"/>
                <w:bCs w:val="1"/>
                <w:color w:val="auto"/>
                <w:w w:val="97"/>
                <w:vertAlign w:val="superscript"/>
              </w:rPr>
              <w:t>(2)</w:t>
            </w: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Declared</w:t>
            </w:r>
          </w:p>
        </w:tc>
        <w:tc>
          <w:tcPr>
            <w:tcW w:w="0" w:type="dxa"/>
            <w:vAlign w:val="bottom"/>
          </w:tcPr>
          <w:p>
            <w:pPr>
              <w:spacing w:after="0"/>
              <w:rPr>
                <w:sz w:val="1"/>
                <w:szCs w:val="1"/>
                <w:color w:val="auto"/>
              </w:rPr>
            </w:pPr>
          </w:p>
        </w:tc>
      </w:tr>
      <w:tr>
        <w:trPr>
          <w:trHeight w:val="180"/>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September 30, 2023</w:t>
            </w:r>
          </w:p>
        </w:tc>
        <w:tc>
          <w:tcPr>
            <w:tcW w:w="5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1460" w:type="dxa"/>
            <w:vAlign w:val="bottom"/>
            <w:shd w:val="clear" w:color="auto" w:fill="CCECFF"/>
          </w:tcPr>
          <w:p>
            <w:pPr>
              <w:spacing w:after="0"/>
              <w:rPr>
                <w:sz w:val="15"/>
                <w:szCs w:val="15"/>
                <w:color w:val="auto"/>
              </w:rPr>
            </w:pPr>
          </w:p>
        </w:tc>
        <w:tc>
          <w:tcPr>
            <w:tcW w:w="150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Fourth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7.70</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6.92</w:t>
            </w: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5.95</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(10 )%</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0.21</w:t>
            </w:r>
          </w:p>
        </w:tc>
        <w:tc>
          <w:tcPr>
            <w:tcW w:w="0" w:type="dxa"/>
            <w:vAlign w:val="bottom"/>
          </w:tcPr>
          <w:p>
            <w:pPr>
              <w:spacing w:after="0"/>
              <w:rPr>
                <w:sz w:val="1"/>
                <w:szCs w:val="1"/>
                <w:color w:val="auto"/>
              </w:rPr>
            </w:pPr>
          </w:p>
        </w:tc>
      </w:tr>
      <w:tr>
        <w:trPr>
          <w:trHeight w:val="136"/>
        </w:trPr>
        <w:tc>
          <w:tcPr>
            <w:tcW w:w="2140" w:type="dxa"/>
            <w:vAlign w:val="bottom"/>
            <w:shd w:val="clear" w:color="auto" w:fill="CCECFF"/>
          </w:tcPr>
          <w:p>
            <w:pPr>
              <w:ind w:left="20"/>
              <w:spacing w:after="0" w:line="136" w:lineRule="exact"/>
              <w:rPr>
                <w:sz w:val="20"/>
                <w:szCs w:val="20"/>
                <w:color w:val="auto"/>
              </w:rPr>
            </w:pPr>
            <w:r>
              <w:rPr>
                <w:rFonts w:ascii="Times New Roman" w:cs="Times New Roman" w:eastAsia="Times New Roman" w:hAnsi="Times New Roman"/>
                <w:sz w:val="13"/>
                <w:szCs w:val="13"/>
                <w:color w:val="auto"/>
              </w:rPr>
              <w:t>Third quarter</w:t>
            </w:r>
          </w:p>
        </w:tc>
        <w:tc>
          <w:tcPr>
            <w:tcW w:w="500" w:type="dxa"/>
            <w:vAlign w:val="bottom"/>
            <w:shd w:val="clear" w:color="auto" w:fill="CCECFF"/>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vMerge w:val="restart"/>
            <w:shd w:val="clear" w:color="auto" w:fill="CCECFF"/>
          </w:tcPr>
          <w:p>
            <w:pPr>
              <w:jc w:val="right"/>
              <w:ind w:right="57"/>
              <w:spacing w:after="0"/>
              <w:rPr>
                <w:sz w:val="20"/>
                <w:szCs w:val="20"/>
                <w:color w:val="auto"/>
              </w:rPr>
            </w:pPr>
            <w:r>
              <w:rPr>
                <w:rFonts w:ascii="Times New Roman" w:cs="Times New Roman" w:eastAsia="Times New Roman" w:hAnsi="Times New Roman"/>
                <w:sz w:val="13"/>
                <w:szCs w:val="13"/>
                <w:color w:val="auto"/>
              </w:rPr>
              <w:t>7.72</w:t>
            </w:r>
          </w:p>
        </w:tc>
        <w:tc>
          <w:tcPr>
            <w:tcW w:w="380" w:type="dxa"/>
            <w:vAlign w:val="bottom"/>
            <w:shd w:val="clear" w:color="auto" w:fill="CCECFF"/>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6.00</w:t>
            </w:r>
          </w:p>
        </w:tc>
        <w:tc>
          <w:tcPr>
            <w:tcW w:w="540" w:type="dxa"/>
            <w:vAlign w:val="bottom"/>
            <w:shd w:val="clear" w:color="auto" w:fill="CCECFF"/>
          </w:tcPr>
          <w:p>
            <w:pPr>
              <w:jc w:val="right"/>
              <w:ind w:right="2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4.76</w:t>
            </w:r>
          </w:p>
        </w:tc>
        <w:tc>
          <w:tcPr>
            <w:tcW w:w="1460" w:type="dxa"/>
            <w:vAlign w:val="bottom"/>
            <w:shd w:val="clear" w:color="auto" w:fill="CCECFF"/>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080" w:type="dxa"/>
            <w:vAlign w:val="bottom"/>
            <w:vMerge w:val="restart"/>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68"/>
        </w:trPr>
        <w:tc>
          <w:tcPr>
            <w:tcW w:w="214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1060" w:type="dxa"/>
            <w:vAlign w:val="bottom"/>
            <w:vMerge w:val="continue"/>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020" w:type="dxa"/>
            <w:vAlign w:val="bottom"/>
            <w:vMerge w:val="continue"/>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880" w:type="dxa"/>
            <w:vAlign w:val="bottom"/>
            <w:vMerge w:val="continue"/>
            <w:shd w:val="clear" w:color="auto" w:fill="CCECFF"/>
          </w:tcPr>
          <w:p>
            <w:pPr>
              <w:spacing w:after="0"/>
              <w:rPr>
                <w:sz w:val="14"/>
                <w:szCs w:val="14"/>
                <w:color w:val="auto"/>
              </w:rPr>
            </w:pPr>
          </w:p>
        </w:tc>
        <w:tc>
          <w:tcPr>
            <w:tcW w:w="146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(22</w:t>
            </w:r>
          </w:p>
        </w:tc>
        <w:tc>
          <w:tcPr>
            <w:tcW w:w="1500" w:type="dxa"/>
            <w:vAlign w:val="bottom"/>
            <w:shd w:val="clear" w:color="auto" w:fill="CCECFF"/>
          </w:tcPr>
          <w:p>
            <w:pPr>
              <w:jc w:val="right"/>
              <w:ind w:right="314"/>
              <w:spacing w:after="0"/>
              <w:rPr>
                <w:sz w:val="20"/>
                <w:szCs w:val="20"/>
                <w:color w:val="auto"/>
              </w:rPr>
            </w:pPr>
            <w:r>
              <w:rPr>
                <w:rFonts w:ascii="Times New Roman" w:cs="Times New Roman" w:eastAsia="Times New Roman" w:hAnsi="Times New Roman"/>
                <w:sz w:val="13"/>
                <w:szCs w:val="13"/>
                <w:color w:val="auto"/>
              </w:rPr>
              <w:t>(38</w:t>
            </w:r>
          </w:p>
        </w:tc>
        <w:tc>
          <w:tcPr>
            <w:tcW w:w="1080" w:type="dxa"/>
            <w:vAlign w:val="bottom"/>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7.60</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6.25</w:t>
            </w: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4.99</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(18 )%</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0.19</w:t>
            </w:r>
          </w:p>
        </w:tc>
        <w:tc>
          <w:tcPr>
            <w:tcW w:w="0" w:type="dxa"/>
            <w:vAlign w:val="bottom"/>
          </w:tcPr>
          <w:p>
            <w:pPr>
              <w:spacing w:after="0"/>
              <w:rPr>
                <w:sz w:val="1"/>
                <w:szCs w:val="1"/>
                <w:color w:val="auto"/>
              </w:rPr>
            </w:pPr>
          </w:p>
        </w:tc>
      </w:tr>
      <w:tr>
        <w:trPr>
          <w:trHeight w:val="184"/>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quarter</w:t>
            </w:r>
          </w:p>
        </w:tc>
        <w:tc>
          <w:tcPr>
            <w:tcW w:w="5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57"/>
              <w:spacing w:after="0"/>
              <w:rPr>
                <w:sz w:val="20"/>
                <w:szCs w:val="20"/>
                <w:color w:val="auto"/>
              </w:rPr>
            </w:pPr>
            <w:r>
              <w:rPr>
                <w:rFonts w:ascii="Times New Roman" w:cs="Times New Roman" w:eastAsia="Times New Roman" w:hAnsi="Times New Roman"/>
                <w:sz w:val="13"/>
                <w:szCs w:val="13"/>
                <w:color w:val="auto"/>
              </w:rPr>
              <w:t>7.71</w:t>
            </w:r>
          </w:p>
        </w:tc>
        <w:tc>
          <w:tcPr>
            <w:tcW w:w="3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6.30</w:t>
            </w:r>
          </w:p>
        </w:tc>
        <w:tc>
          <w:tcPr>
            <w:tcW w:w="54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5.45</w:t>
            </w:r>
          </w:p>
        </w:tc>
        <w:tc>
          <w:tcPr>
            <w:tcW w:w="14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(18 )%</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(29 )% $</w:t>
            </w: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0.17</w:t>
            </w:r>
          </w:p>
        </w:tc>
        <w:tc>
          <w:tcPr>
            <w:tcW w:w="0" w:type="dxa"/>
            <w:vAlign w:val="bottom"/>
          </w:tcPr>
          <w:p>
            <w:pPr>
              <w:spacing w:after="0"/>
              <w:rPr>
                <w:sz w:val="1"/>
                <w:szCs w:val="1"/>
                <w:color w:val="auto"/>
              </w:rPr>
            </w:pPr>
          </w:p>
        </w:tc>
      </w:tr>
      <w:tr>
        <w:trPr>
          <w:trHeight w:val="177"/>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September 30, 2022</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Fourth quarter</w:t>
            </w:r>
          </w:p>
        </w:tc>
        <w:tc>
          <w:tcPr>
            <w:tcW w:w="5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57"/>
              <w:spacing w:after="0"/>
              <w:rPr>
                <w:sz w:val="20"/>
                <w:szCs w:val="20"/>
                <w:color w:val="auto"/>
              </w:rPr>
            </w:pPr>
            <w:r>
              <w:rPr>
                <w:rFonts w:ascii="Times New Roman" w:cs="Times New Roman" w:eastAsia="Times New Roman" w:hAnsi="Times New Roman"/>
                <w:sz w:val="13"/>
                <w:szCs w:val="13"/>
                <w:color w:val="auto"/>
              </w:rPr>
              <w:t>8.98</w:t>
            </w:r>
          </w:p>
        </w:tc>
        <w:tc>
          <w:tcPr>
            <w:tcW w:w="3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6.67</w:t>
            </w:r>
          </w:p>
        </w:tc>
        <w:tc>
          <w:tcPr>
            <w:tcW w:w="54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5.46</w:t>
            </w:r>
          </w:p>
        </w:tc>
        <w:tc>
          <w:tcPr>
            <w:tcW w:w="14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(26 )%</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(39 )% $</w:t>
            </w: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Third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9.65</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7.98</w:t>
            </w: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6.00</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(17 )%</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84"/>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quarter</w:t>
            </w:r>
          </w:p>
        </w:tc>
        <w:tc>
          <w:tcPr>
            <w:tcW w:w="5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77"/>
              <w:spacing w:after="0"/>
              <w:rPr>
                <w:sz w:val="20"/>
                <w:szCs w:val="20"/>
                <w:color w:val="auto"/>
              </w:rPr>
            </w:pPr>
            <w:r>
              <w:rPr>
                <w:rFonts w:ascii="Times New Roman" w:cs="Times New Roman" w:eastAsia="Times New Roman" w:hAnsi="Times New Roman"/>
                <w:sz w:val="13"/>
                <w:szCs w:val="13"/>
                <w:color w:val="auto"/>
              </w:rPr>
              <w:t>10.05</w:t>
            </w:r>
          </w:p>
        </w:tc>
        <w:tc>
          <w:tcPr>
            <w:tcW w:w="3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7.85</w:t>
            </w:r>
          </w:p>
        </w:tc>
        <w:tc>
          <w:tcPr>
            <w:tcW w:w="54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6.66</w:t>
            </w:r>
          </w:p>
        </w:tc>
        <w:tc>
          <w:tcPr>
            <w:tcW w:w="14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(22 )%</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(34 )% $</w:t>
            </w: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32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quarter</w:t>
            </w: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10.11</w:t>
            </w:r>
          </w:p>
        </w:tc>
        <w:tc>
          <w:tcPr>
            <w:tcW w:w="3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7.18</w:t>
            </w: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6.49</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 xml:space="preserve">(29 </w:t>
            </w:r>
            <w:r>
              <w:rPr>
                <w:rFonts w:ascii="Times New Roman" w:cs="Times New Roman" w:eastAsia="Times New Roman" w:hAnsi="Times New Roman"/>
                <w:sz w:val="26"/>
                <w:szCs w:val="26"/>
                <w:color w:val="auto"/>
                <w:vertAlign w:val="superscript"/>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26"/>
                <w:szCs w:val="26"/>
                <w:color w:val="auto"/>
                <w:vertAlign w:val="superscript"/>
              </w:rPr>
              <w:t>)% $</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0.12</w:t>
            </w:r>
          </w:p>
        </w:tc>
        <w:tc>
          <w:tcPr>
            <w:tcW w:w="0" w:type="dxa"/>
            <w:vAlign w:val="bottom"/>
          </w:tcPr>
          <w:p>
            <w:pPr>
              <w:spacing w:after="0"/>
              <w:rPr>
                <w:sz w:val="1"/>
                <w:szCs w:val="1"/>
                <w:color w:val="auto"/>
              </w:rPr>
            </w:pPr>
          </w:p>
        </w:tc>
      </w:tr>
    </w:tbl>
    <w:p>
      <w:pPr>
        <w:ind w:left="80"/>
        <w:spacing w:after="0" w:line="187" w:lineRule="auto"/>
        <w:rPr>
          <w:sz w:val="20"/>
          <w:szCs w:val="20"/>
          <w:color w:val="auto"/>
        </w:rPr>
      </w:pP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0"/>
          <w:szCs w:val="10"/>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Calculated as the respective high or low closing sales price less NAV per share, divided by the quarter-end NAV per share.</w:t>
      </w:r>
    </w:p>
    <w:p>
      <w:pPr>
        <w:spacing w:after="0" w:line="71" w:lineRule="exact"/>
        <w:rPr>
          <w:sz w:val="20"/>
          <w:szCs w:val="20"/>
          <w:color w:val="auto"/>
        </w:rPr>
      </w:pPr>
    </w:p>
    <w:p>
      <w:pPr>
        <w:ind w:left="80" w:right="20" w:firstLine="420"/>
        <w:spacing w:after="0" w:line="262" w:lineRule="auto"/>
        <w:rPr>
          <w:sz w:val="20"/>
          <w:szCs w:val="20"/>
          <w:color w:val="auto"/>
        </w:rPr>
      </w:pPr>
      <w:r>
        <w:rPr>
          <w:rFonts w:ascii="Times New Roman" w:cs="Times New Roman" w:eastAsia="Times New Roman" w:hAnsi="Times New Roman"/>
          <w:sz w:val="13"/>
          <w:szCs w:val="13"/>
          <w:color w:val="auto"/>
        </w:rPr>
        <w:t>Shares of BDCs may trade at a market price both above and below the NAV that is attributable to those shares. During the periods covered in the above table, our shares have traded below our NAV. Our shares closed on the New York Stock Exchange at $6.58 and $5.46 as of September 30, 2023 and 2022, respectively. Our NAV per share was $7.70 and $ 8.98 as of September 30, 2023 and 2022,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2023, we had seven stockholders of record.</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Sale of Unregistered Securities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did not engage in any sales of unregistered securities during the year ended September 30, 2023.</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Issuer Purchases of Equity Securities</w:t>
      </w:r>
    </w:p>
    <w:p>
      <w:pPr>
        <w:spacing w:after="0" w:line="167" w:lineRule="exact"/>
        <w:rPr>
          <w:sz w:val="20"/>
          <w:szCs w:val="20"/>
          <w:color w:val="auto"/>
        </w:rPr>
      </w:pPr>
    </w:p>
    <w:p>
      <w:pPr>
        <w:ind w:left="80" w:right="40" w:firstLine="420"/>
        <w:spacing w:after="0" w:line="268" w:lineRule="auto"/>
        <w:rPr>
          <w:sz w:val="20"/>
          <w:szCs w:val="20"/>
          <w:color w:val="auto"/>
        </w:rPr>
      </w:pPr>
      <w:r>
        <w:rPr>
          <w:rFonts w:ascii="Times New Roman" w:cs="Times New Roman" w:eastAsia="Times New Roman" w:hAnsi="Times New Roman"/>
          <w:sz w:val="13"/>
          <w:szCs w:val="13"/>
          <w:color w:val="auto"/>
        </w:rPr>
        <w:t>During the year ended September 30, 2023, we did not make any repurchase of our common shares. On February 9, 2022, we announced a share repurchase program which allows us to repurchase up to $25 million of our outstanding common stock in the open market at prices below our net asset value as reported in our then most recently published consolidated financial statements. The program expired on March 31, 2023. Repurchases of our common stock under our share repurchase program were as follows: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Approximate Dollar Value</w:t>
            </w:r>
          </w:p>
        </w:tc>
      </w:tr>
      <w:tr>
        <w:trPr>
          <w:trHeight w:val="156"/>
        </w:trPr>
        <w:tc>
          <w:tcPr>
            <w:tcW w:w="2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of Shares that May Yet Be</w:t>
            </w:r>
          </w:p>
        </w:tc>
      </w:tr>
      <w:tr>
        <w:trPr>
          <w:trHeight w:val="156"/>
        </w:trPr>
        <w:tc>
          <w:tcPr>
            <w:tcW w:w="2860" w:type="dxa"/>
            <w:vAlign w:val="bottom"/>
          </w:tcPr>
          <w:p>
            <w:pPr>
              <w:spacing w:after="0"/>
              <w:rPr>
                <w:sz w:val="13"/>
                <w:szCs w:val="13"/>
                <w:color w:val="auto"/>
              </w:rPr>
            </w:pPr>
          </w:p>
        </w:tc>
        <w:tc>
          <w:tcPr>
            <w:tcW w:w="21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Announced Plans or</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Under the Plans</w:t>
            </w:r>
          </w:p>
        </w:tc>
      </w:tr>
      <w:tr>
        <w:trPr>
          <w:trHeight w:val="174"/>
        </w:trPr>
        <w:tc>
          <w:tcPr>
            <w:tcW w:w="286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1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200" w:type="dxa"/>
            <w:vAlign w:val="bottom"/>
          </w:tcPr>
          <w:p>
            <w:pPr>
              <w:spacing w:after="0"/>
              <w:rPr>
                <w:sz w:val="15"/>
                <w:szCs w:val="15"/>
                <w:color w:val="auto"/>
              </w:rPr>
            </w:pPr>
          </w:p>
        </w:tc>
        <w:tc>
          <w:tcPr>
            <w:tcW w:w="16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Average Price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 xml:space="preserve">Programs </w:t>
            </w:r>
            <w:r>
              <w:rPr>
                <w:rFonts w:ascii="Times New Roman" w:cs="Times New Roman" w:eastAsia="Times New Roman" w:hAnsi="Times New Roman"/>
                <w:sz w:val="7"/>
                <w:szCs w:val="7"/>
                <w:b w:val="1"/>
                <w:bCs w:val="1"/>
                <w:color w:val="auto"/>
                <w:w w:val="99"/>
              </w:rPr>
              <w:t>(1)</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or Programs (in thousands)</w:t>
            </w:r>
          </w:p>
        </w:tc>
      </w:tr>
      <w:tr>
        <w:trPr>
          <w:trHeight w:val="184"/>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2022 through March 31, 2022</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913,454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7.72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913,454</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17,944</w:t>
            </w: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April 1, 2022 through June 30,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717,709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6.91</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1,631,163</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12,986</w:t>
            </w: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1, 2022 through September 30, 2022</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189,442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6.52</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October 1, 2022 through December 31, 2022</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11,751</w:t>
            </w: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 1, 2023 through March 31, 2023</w:t>
            </w:r>
          </w:p>
        </w:tc>
        <w:tc>
          <w:tcPr>
            <w:tcW w:w="21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1,820,605</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1,820,605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7.28</w:t>
            </w:r>
          </w:p>
        </w:tc>
        <w:tc>
          <w:tcPr>
            <w:tcW w:w="190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r>
      <w:tr>
        <w:trPr>
          <w:trHeight w:val="167"/>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ind w:left="80"/>
        <w:spacing w:after="0" w:line="237" w:lineRule="auto"/>
        <w:rPr>
          <w:sz w:val="20"/>
          <w:szCs w:val="20"/>
          <w:color w:val="auto"/>
        </w:rPr>
      </w:pPr>
      <w:r>
        <w:rPr>
          <w:rFonts w:ascii="Times New Roman" w:cs="Times New Roman" w:eastAsia="Times New Roman" w:hAnsi="Times New Roman"/>
          <w:sz w:val="10"/>
          <w:szCs w:val="10"/>
          <w:color w:val="auto"/>
        </w:rPr>
        <w:t>(1)The program expired on March 31, 2023 and we purchased $1.8 million shares of our common stock in open market transaction while the program was in effect for an aggregate cost (including transaction costs) of $13.2 million.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59690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580" w:right="680"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129" w:lineRule="exact"/>
        <w:rPr>
          <w:sz w:val="20"/>
          <w:szCs w:val="20"/>
          <w:color w:val="auto"/>
        </w:rPr>
      </w:pPr>
    </w:p>
    <w:p>
      <w:pPr>
        <w:ind w:firstLine="420"/>
        <w:spacing w:after="0" w:line="265" w:lineRule="auto"/>
        <w:rPr>
          <w:sz w:val="20"/>
          <w:szCs w:val="20"/>
          <w:color w:val="auto"/>
        </w:rPr>
      </w:pPr>
      <w:r>
        <w:rPr>
          <w:rFonts w:ascii="Times New Roman" w:cs="Times New Roman" w:eastAsia="Times New Roman" w:hAnsi="Times New Roman"/>
          <w:sz w:val="13"/>
          <w:szCs w:val="13"/>
          <w:color w:val="auto"/>
        </w:rPr>
        <w:t>We intend to continue making distributions to our stockholders. The timing and amount of our distributions, if any, is determined by our board of directors. Any distributions to our stockholders are declared out of assets legally available for distribution. We monitor available net taxable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285"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In January 2024, a Form 1099 -DIV will be sent to stockholders subject to information reporting that will state the amount and composition of distributions and provide information with respect to appropriate tax treatment of our distributions.</w:t>
      </w:r>
    </w:p>
    <w:p>
      <w:pPr>
        <w:spacing w:after="0" w:line="76"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tax characteristics of distributions declared, in accordance with Section 19(a) of the 1940 Act, during the years ended September 30, 2023 and 2022 from ordinary income (including short-term gains), if any, totaled $49.6 million and $36.6 million, or $0.76 and $0.56 per share, respectively, based on the weighted average shares outstanding for the respective years. Additionally, for both years ended September 30, 2023 and 2022, we did not pay any distribution from long-term capital gains.</w:t>
      </w:r>
    </w:p>
    <w:p>
      <w:pPr>
        <w:spacing w:after="0" w:line="87"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76"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Stock Performance Graph</w:t>
      </w:r>
    </w:p>
    <w:p>
      <w:pPr>
        <w:spacing w:after="0" w:line="131"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This graph compares the return on our common stock with that of the Standard &amp; Poor’s 500 Stock Index (the "S&amp;P Index") and the Russell 2000 Financial Services Index, for the last five fiscal years. The graph assumes that, on September 30, 2018,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632450" cy="3338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2450" cy="3338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80" w:right="70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3"/>
          <w:szCs w:val="13"/>
          <w:b w:val="1"/>
          <w:bCs w:val="1"/>
          <w:color w:val="auto"/>
        </w:rPr>
        <w:t>Fees and Expenses</w:t>
      </w:r>
    </w:p>
    <w:p>
      <w:pPr>
        <w:spacing w:after="0" w:line="129"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following table is being provided to update, as of September 30, 2023, certain information in our registration statement on Form N-2 (File No. 333-263564), most recently declared effective by the SEC on April 28, 2022. 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 transaction expenses</w:t>
            </w:r>
          </w:p>
        </w:tc>
        <w:tc>
          <w:tcPr>
            <w:tcW w:w="25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Sales load (as a percentage of offering price)</w:t>
            </w:r>
          </w:p>
        </w:tc>
        <w:tc>
          <w:tcPr>
            <w:tcW w:w="2820" w:type="dxa"/>
            <w:vAlign w:val="bottom"/>
            <w:gridSpan w:val="2"/>
            <w:shd w:val="clear" w:color="auto" w:fill="CCECFF"/>
          </w:tcPr>
          <w:p>
            <w:pPr>
              <w:jc w:val="right"/>
              <w:ind w:right="58"/>
              <w:spacing w:after="0" w:line="184"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8"/>
                <w:szCs w:val="8"/>
                <w:color w:val="auto"/>
              </w:rPr>
              <w:t>(1)</w:t>
            </w: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Offering expenses (as a percentage of offering price)</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w:t>
            </w:r>
          </w:p>
        </w:tc>
      </w:tr>
      <w:tr>
        <w:trPr>
          <w:trHeight w:val="184"/>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Dividend reinvestment plan expenses</w:t>
            </w:r>
          </w:p>
        </w:tc>
        <w:tc>
          <w:tcPr>
            <w:tcW w:w="2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8"/>
                <w:szCs w:val="8"/>
                <w:color w:val="auto"/>
              </w:rPr>
              <w:t>(3)</w:t>
            </w: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stockholder expenses (as a percentage of offering price)</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r>
      <w:tr>
        <w:trPr>
          <w:trHeight w:val="184"/>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Estimated annual expenses (as a percentage of average net assets attributable to common shares)</w:t>
            </w:r>
            <w:r>
              <w:rPr>
                <w:rFonts w:ascii="Times New Roman" w:cs="Times New Roman" w:eastAsia="Times New Roman" w:hAnsi="Times New Roman"/>
                <w:sz w:val="16"/>
                <w:szCs w:val="16"/>
                <w:b w:val="1"/>
                <w:bCs w:val="1"/>
                <w:color w:val="auto"/>
                <w:vertAlign w:val="superscript"/>
              </w:rPr>
              <w:t>(4)</w:t>
            </w:r>
          </w:p>
        </w:tc>
        <w:tc>
          <w:tcPr>
            <w:tcW w:w="25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(5)</w:t>
            </w:r>
          </w:p>
        </w:tc>
      </w:tr>
      <w:tr>
        <w:trPr>
          <w:trHeight w:val="184"/>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Incentive fees</w:t>
            </w:r>
          </w:p>
        </w:tc>
        <w:tc>
          <w:tcPr>
            <w:tcW w:w="2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26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8"/>
                <w:szCs w:val="8"/>
                <w:color w:val="auto"/>
              </w:rPr>
              <w:t>(6)</w:t>
            </w: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on borrowed funds</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(7)</w:t>
            </w:r>
          </w:p>
        </w:tc>
      </w:tr>
      <w:tr>
        <w:trPr>
          <w:trHeight w:val="184"/>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Acquired fund fees and expenses</w:t>
            </w:r>
          </w:p>
        </w:tc>
        <w:tc>
          <w:tcPr>
            <w:tcW w:w="2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260" w:type="dxa"/>
            <w:vAlign w:val="bottom"/>
            <w:shd w:val="clear" w:color="auto" w:fill="CCECFF"/>
          </w:tcPr>
          <w:p>
            <w:pPr>
              <w:jc w:val="right"/>
              <w:ind w:right="58"/>
              <w:spacing w:after="0"/>
              <w:rPr>
                <w:sz w:val="20"/>
                <w:szCs w:val="20"/>
                <w:color w:val="auto"/>
              </w:rPr>
            </w:pPr>
            <w:r>
              <w:rPr>
                <w:rFonts w:ascii="Times New Roman" w:cs="Times New Roman" w:eastAsia="Times New Roman" w:hAnsi="Times New Roman"/>
                <w:sz w:val="8"/>
                <w:szCs w:val="8"/>
                <w:color w:val="auto"/>
              </w:rPr>
              <w:t>(8)</w:t>
            </w: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(9)</w:t>
            </w:r>
          </w:p>
        </w:tc>
      </w:tr>
      <w:tr>
        <w:trPr>
          <w:trHeight w:val="184"/>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Total estimated annual expenses</w:t>
            </w:r>
          </w:p>
        </w:tc>
        <w:tc>
          <w:tcPr>
            <w:tcW w:w="2820" w:type="dxa"/>
            <w:vAlign w:val="bottom"/>
            <w:gridSpan w:val="2"/>
            <w:shd w:val="clear" w:color="auto" w:fill="CCECFF"/>
          </w:tcPr>
          <w:p>
            <w:pPr>
              <w:jc w:val="right"/>
              <w:ind w:right="18"/>
              <w:spacing w:after="0"/>
              <w:rPr>
                <w:sz w:val="20"/>
                <w:szCs w:val="20"/>
                <w:color w:val="auto"/>
              </w:rPr>
            </w:pPr>
            <w:r>
              <w:rPr>
                <w:rFonts w:ascii="Times New Roman" w:cs="Times New Roman" w:eastAsia="Times New Roman" w:hAnsi="Times New Roman"/>
                <w:sz w:val="13"/>
                <w:szCs w:val="13"/>
                <w:color w:val="auto"/>
              </w:rPr>
              <w:t>23.40 %</w:t>
            </w:r>
            <w:r>
              <w:rPr>
                <w:rFonts w:ascii="Times New Roman" w:cs="Times New Roman" w:eastAsia="Times New Roman" w:hAnsi="Times New Roman"/>
                <w:sz w:val="16"/>
                <w:szCs w:val="16"/>
                <w:color w:val="auto"/>
                <w:vertAlign w:val="superscript"/>
              </w:rPr>
              <w:t>(10)</w:t>
            </w:r>
          </w:p>
        </w:tc>
      </w:tr>
      <w:tr>
        <w:trPr>
          <w:trHeight w:val="120"/>
        </w:trPr>
        <w:tc>
          <w:tcPr>
            <w:tcW w:w="77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(1)In the event that the securities to which any applicable prospectus relates are sold to or through underwriters or agents, a corresponding prospectus supplement will disclose the applicable sales load.</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1"/>
          <w:szCs w:val="11"/>
          <w:color w:val="auto"/>
        </w:rPr>
        <w:t>(2)In the event that we conduct an offering of our securities, a corresponding prospectus supplement will disclose the estimated amount of offering expenses, the offering price and the offering expenses borne by us as a percentage of the offering price.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(3)The expenses of the dividend reinvestment plan are included in “Other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(4)Net assets attributable to common shares equals average net assets as of September 30, 2023.</w:t>
      </w:r>
    </w:p>
    <w:p>
      <w:pPr>
        <w:spacing w:after="0" w:line="10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1"/>
          <w:szCs w:val="11"/>
          <w:color w:val="auto"/>
        </w:rPr>
        <w:t>(5)The contractual management fee is calculated at an annual rate of 1.50% of our average adjusted gross assets up to 200% of the Company’s total net assets as of the immediately preceding quarter-end and 1.00% for amounts that exceed such amount on September 30, 2023. See “Business—Investment Management Agreement” and “Business—Management Fees” for more information.</w:t>
      </w:r>
    </w:p>
    <w:p>
      <w:pPr>
        <w:spacing w:after="0" w:line="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1"/>
          <w:szCs w:val="11"/>
          <w:color w:val="auto"/>
        </w:rPr>
        <w:t>(6)The portion of incentive fees paid with respect to net investment income and capital gains, if any, is based on actual amounts incurred during the fiscal year ended September 30, 2023 .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2023. For more detailed information about the incentive fee, please see “Business—Investment Management Agreement” and “Business—Management Fees” for more information.</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1"/>
          <w:szCs w:val="11"/>
          <w:color w:val="auto"/>
        </w:rPr>
        <w:t>(7)As of September 30, 2023, we had $262.6 million of unused borrowing capacity, subject to maintenance of the applicable total assets to debt ratio, under the 1940 Act. As of such date, we had $212.4 million in borrowings outstanding under our $475.0 million Truist Credit Facility, $150.0 million in aggregate principal of 2026 Notes and $165.0 million in aggregate principal of 2026-2 Notes. As of September 30, 2023, we repaid the remaining $20.0 million SBA debentures that are non-recourse to us and may be prepaid at any time without penalty. We may use proceeds of any offering of securities under any applicable registration statement to repay outstanding obligations under our Truist Credit Facility. After completing any such offering, we may continue to borrow under our Truist Credit Facility to finance our investment objectives. Annual interest expense on borrowed funds represents actual interest expense incurred for the fiscal year ended September 30, 2023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8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1"/>
          <w:szCs w:val="11"/>
          <w:color w:val="auto"/>
        </w:rPr>
        <w:t>(8)Our stockholders indirectly bear 60.5% of the expenses of our investment in PSLF. No management fee is charged by PennantPark Investment Advisers in connection with PSLF. PSLF pays the Administrator an annual fee of 0.25% of average gross assets under management. For this chart, PSLF fees and operating expenses are based on our share of the actual fees and operating expenses of PSLF for the fiscal year ended September 30, 2023. Expenses for PSLF may fluctuate over time and may be substantially higher or lower in the future.</w:t>
      </w:r>
    </w:p>
    <w:p>
      <w:pPr>
        <w:spacing w:after="0" w:line="1" w:lineRule="exact"/>
        <w:rPr>
          <w:sz w:val="20"/>
          <w:szCs w:val="20"/>
          <w:color w:val="auto"/>
        </w:rPr>
      </w:pPr>
    </w:p>
    <w:p>
      <w:pPr>
        <w:ind w:left="360" w:right="20"/>
        <w:spacing w:after="0" w:line="255" w:lineRule="auto"/>
        <w:rPr>
          <w:sz w:val="20"/>
          <w:szCs w:val="20"/>
          <w:color w:val="auto"/>
        </w:rPr>
      </w:pPr>
      <w:r>
        <w:rPr>
          <w:rFonts w:ascii="Times New Roman" w:cs="Times New Roman" w:eastAsia="Times New Roman" w:hAnsi="Times New Roman"/>
          <w:sz w:val="11"/>
          <w:szCs w:val="11"/>
          <w:color w:val="auto"/>
        </w:rPr>
        <w:t>Our stockholders indirectly bear 23.1% of the expenses of our investment in PTSF II. A management fee equal to 0.50% per annum of the gross assets of PTSF II and its subsidiaries is charged by PennantPark Investment Advisers in connection with PTSF II. For this chart, PTSF II fees and operating expenses are based on our share of the actual fees and operating expenses of PTSF II for the fiscal year ended September 30, 2023. Expenses for PTSF II may fluctuate over time and may be substantially higher or lower in the future.</w:t>
      </w:r>
    </w:p>
    <w:p>
      <w:pPr>
        <w:spacing w:after="0" w:line="8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1"/>
          <w:szCs w:val="11"/>
          <w:color w:val="auto"/>
        </w:rPr>
        <w:t>(9)“Other expenses” includes our general and administrative expenses, professional fees, directors’ fees, insurance costs, taxes, expenses of our dividend reinvestment plan and the expenses of the Investment Adviser reimbursable under our Investment Management Agreement and of the Administrator reimbursable under our Administration Agreement.</w:t>
      </w:r>
    </w:p>
    <w:p>
      <w:pPr>
        <w:spacing w:after="0" w:line="6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1"/>
          <w:szCs w:val="11"/>
          <w:color w:val="auto"/>
        </w:rPr>
        <w:t>(10)“Total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10.2% of average total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80" w:right="66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color w:val="auto"/>
        </w:rPr>
        <w:t>Example</w:t>
      </w:r>
    </w:p>
    <w:p>
      <w:pPr>
        <w:spacing w:after="0" w:line="105" w:lineRule="exact"/>
        <w:rPr>
          <w:sz w:val="20"/>
          <w:szCs w:val="20"/>
          <w:color w:val="auto"/>
        </w:rPr>
      </w:pPr>
    </w:p>
    <w:p>
      <w:pPr>
        <w:jc w:val="both"/>
        <w:ind w:right="100" w:firstLine="432"/>
        <w:spacing w:after="0" w:line="268" w:lineRule="auto"/>
        <w:rPr>
          <w:sz w:val="20"/>
          <w:szCs w:val="20"/>
          <w:color w:val="auto"/>
        </w:rPr>
      </w:pPr>
      <w:r>
        <w:rPr>
          <w:rFonts w:ascii="Times New Roman" w:cs="Times New Roman" w:eastAsia="Times New Roman" w:hAnsi="Times New Roman"/>
          <w:sz w:val="13"/>
          <w:szCs w:val="13"/>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11.40% of average net assets attributable to common shares as set forth in the table above (other than performance-based incentive fees) and (3) a 5% annual return.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You would pay the following expenses on a $1,000 common stock investment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 Years</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 Years</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10 Years</w:t>
            </w:r>
          </w:p>
        </w:tc>
      </w:tr>
      <w:tr>
        <w:trPr>
          <w:trHeight w:val="176"/>
        </w:trPr>
        <w:tc>
          <w:tcPr>
            <w:tcW w:w="6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Assuming a 5% annual return (assumes no return from net realized capital gains or net</w:t>
            </w:r>
          </w:p>
        </w:tc>
        <w:tc>
          <w:tcPr>
            <w:tcW w:w="7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r>
      <w:tr>
        <w:trPr>
          <w:trHeight w:val="188"/>
        </w:trPr>
        <w:tc>
          <w:tcPr>
            <w:tcW w:w="62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unrealized capital appreciation)</w:t>
            </w:r>
          </w:p>
        </w:tc>
        <w:tc>
          <w:tcPr>
            <w:tcW w:w="78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2"/>
              </w:rPr>
              <w:t>219</w:t>
            </w:r>
          </w:p>
        </w:tc>
        <w:tc>
          <w:tcPr>
            <w:tcW w:w="760" w:type="dxa"/>
            <w:vAlign w:val="bottom"/>
            <w:shd w:val="clear" w:color="auto" w:fill="CCECFF"/>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2"/>
              </w:rPr>
              <w:t>506</w:t>
            </w:r>
          </w:p>
        </w:tc>
        <w:tc>
          <w:tcPr>
            <w:tcW w:w="760" w:type="dxa"/>
            <w:vAlign w:val="bottom"/>
            <w:shd w:val="clear" w:color="auto" w:fill="CCECFF"/>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w w:val="92"/>
              </w:rPr>
              <w:t>709</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995</w:t>
            </w:r>
          </w:p>
        </w:tc>
      </w:tr>
      <w:tr>
        <w:trPr>
          <w:trHeight w:val="172"/>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Assuming a 5% annual return (assumes return only from realized capital gains and thus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subject to the capital gains incentive fee)</w:t>
            </w:r>
          </w:p>
        </w:tc>
        <w:tc>
          <w:tcPr>
            <w:tcW w:w="78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2"/>
              </w:rPr>
              <w:t>227</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2"/>
              </w:rPr>
              <w:t>521</w:t>
            </w:r>
          </w:p>
        </w:tc>
        <w:tc>
          <w:tcPr>
            <w:tcW w:w="760" w:type="dxa"/>
            <w:vAlign w:val="bottom"/>
          </w:tcPr>
          <w:p>
            <w:pPr>
              <w:jc w:val="right"/>
              <w:ind w:right="49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2"/>
              </w:rPr>
              <w:t>724</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999</w:t>
            </w:r>
          </w:p>
        </w:tc>
      </w:tr>
    </w:tbl>
    <w:p>
      <w:pPr>
        <w:spacing w:after="0" w:line="200"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41" w:name="page42"/>
    <w:bookmarkEnd w:id="41"/>
    <w:p>
      <w:pPr>
        <w:jc w:val="center"/>
        <w:ind w:right="8140"/>
        <w:spacing w:after="0"/>
        <w:rPr>
          <w:sz w:val="20"/>
          <w:szCs w:val="20"/>
          <w:color w:val="auto"/>
        </w:rPr>
      </w:pPr>
      <w:r>
        <w:rPr>
          <w:rFonts w:ascii="Times New Roman" w:cs="Times New Roman" w:eastAsia="Times New Roman" w:hAnsi="Times New Roman"/>
          <w:sz w:val="13"/>
          <w:szCs w:val="13"/>
          <w:b w:val="1"/>
          <w:bCs w:val="1"/>
          <w:color w:val="auto"/>
        </w:rPr>
        <w:t>Item 6. Selected Financial Data</w:t>
      </w:r>
    </w:p>
    <w:p>
      <w:pPr>
        <w:spacing w:after="0" w:line="129" w:lineRule="exact"/>
        <w:rPr>
          <w:sz w:val="20"/>
          <w:szCs w:val="20"/>
          <w:color w:val="auto"/>
        </w:rPr>
      </w:pPr>
    </w:p>
    <w:p>
      <w:pPr>
        <w:jc w:val="center"/>
        <w:ind w:right="8080"/>
        <w:spacing w:after="0"/>
        <w:rPr>
          <w:sz w:val="20"/>
          <w:szCs w:val="20"/>
          <w:color w:val="auto"/>
        </w:rPr>
      </w:pPr>
      <w:r>
        <w:rPr>
          <w:rFonts w:ascii="Times New Roman" w:cs="Times New Roman" w:eastAsia="Times New Roman" w:hAnsi="Times New Roman"/>
          <w:sz w:val="13"/>
          <w:szCs w:val="13"/>
          <w:color w:val="auto"/>
        </w:rPr>
        <w:t>Not applicable</w:t>
      </w:r>
    </w:p>
    <w:p>
      <w:pPr>
        <w:spacing w:after="0" w:line="199"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59690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580" w:right="1440" w:bottom="1440" w:gutter="0" w:footer="0" w:header="0"/>
        </w:sectPr>
      </w:pPr>
    </w:p>
    <w:bookmarkStart w:id="42" w:name="page43"/>
    <w:bookmarkEnd w:id="42"/>
    <w:p>
      <w:pPr>
        <w:ind w:right="3280"/>
        <w:spacing w:after="0" w:line="444" w:lineRule="auto"/>
        <w:rPr>
          <w:sz w:val="20"/>
          <w:szCs w:val="20"/>
          <w:color w:val="auto"/>
        </w:rPr>
      </w:pPr>
      <w:r>
        <w:rPr>
          <w:rFonts w:ascii="Times New Roman" w:cs="Times New Roman" w:eastAsia="Times New Roman" w:hAnsi="Times New Roman"/>
          <w:sz w:val="13"/>
          <w:szCs w:val="13"/>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27"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the interest rate environment or conditions affecting the financial and capital markets that could result in changes to the value of our assets;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•our expected financings and investments;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impact of the ongoing invasion of Ukraine by Russia, and other world economic and political issues;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27"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87"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91"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249"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7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31" w:lineRule="exact"/>
        <w:rPr>
          <w:sz w:val="20"/>
          <w:szCs w:val="20"/>
          <w:color w:val="auto"/>
        </w:rPr>
      </w:pPr>
    </w:p>
    <w:p>
      <w:pPr>
        <w:ind w:right="48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76"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43" w:name="page44"/>
    <w:bookmarkEnd w:id="43"/>
    <w:p>
      <w:pPr>
        <w:ind w:right="340"/>
        <w:spacing w:after="0" w:line="286" w:lineRule="auto"/>
        <w:rPr>
          <w:sz w:val="20"/>
          <w:szCs w:val="20"/>
          <w:color w:val="auto"/>
        </w:rPr>
      </w:pPr>
      <w:r>
        <w:rPr>
          <w:rFonts w:ascii="Times New Roman" w:cs="Times New Roman" w:eastAsia="Times New Roman" w:hAnsi="Times New Roman"/>
          <w:sz w:val="13"/>
          <w:szCs w:val="13"/>
          <w:color w:val="auto"/>
        </w:rPr>
        <w:t>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6"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Investment Corporation</w:t>
      </w:r>
    </w:p>
    <w:p>
      <w:pPr>
        <w:spacing w:after="0" w:line="131"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6"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SBIC II, our wholly-owned subsidiary, was organized as a Delaware limited partnership in 2012. SBIC II received a license from the SBA to operate as a SBIC under Section 301(c) of the 1958 Act. SBIC II’s objectives were to generate both current income and capital appreciation through debt and equity investments generally by investing with us in SBA eligible businesses that meet the investment selection criteria used by PennantPark Investment. We have repaid all outstanding debentures in connection with SBIC II, have surrendered our SBA license and filed a certificates of termination.</w:t>
      </w:r>
    </w:p>
    <w:p>
      <w:pPr>
        <w:spacing w:after="0" w:line="91"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had provided similar services to SBIC II under its investment management agreement. SBIC II’s investment management agreement has no effect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PennantPark Investment, through the Administrator, has provided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31"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31" w:lineRule="exact"/>
        <w:rPr>
          <w:sz w:val="20"/>
          <w:szCs w:val="20"/>
          <w:color w:val="auto"/>
        </w:rPr>
      </w:pPr>
    </w:p>
    <w:p>
      <w:pPr>
        <w:ind w:right="24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calculating our net asset value, including the cost of any third-party valuation services;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27" w:lineRule="exact"/>
        <w:rPr>
          <w:sz w:val="20"/>
          <w:szCs w:val="20"/>
          <w:color w:val="auto"/>
        </w:rPr>
      </w:pPr>
    </w:p>
    <w:p>
      <w:pPr>
        <w:ind w:left="540" w:right="2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76" w:lineRule="exact"/>
        <w:rPr>
          <w:sz w:val="20"/>
          <w:szCs w:val="20"/>
          <w:color w:val="auto"/>
        </w:rPr>
      </w:pPr>
    </w:p>
    <w:p>
      <w:pPr>
        <w:ind w:left="540" w:right="440"/>
        <w:spacing w:after="0" w:line="286" w:lineRule="auto"/>
        <w:rPr>
          <w:sz w:val="20"/>
          <w:szCs w:val="20"/>
          <w:color w:val="auto"/>
        </w:rPr>
      </w:pPr>
      <w:r>
        <w:rPr>
          <w:rFonts w:ascii="Times New Roman" w:cs="Times New Roman" w:eastAsia="Times New Roman" w:hAnsi="Times New Roman"/>
          <w:sz w:val="13"/>
          <w:szCs w:val="13"/>
          <w:color w:val="auto"/>
        </w:rPr>
        <w:t>expenses incurred by the Investment Adviser in performing due diligence and reviews of investments; including expenses incurred by the Investment Adviser payable to third parties (including agents and consultants) in monitoring financial and legal affairs for the Company and in monitoring the Company's investments;</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the 1958 Act and applicable federal and state securities laws; and</w:t>
      </w:r>
    </w:p>
    <w:p>
      <w:pPr>
        <w:spacing w:after="0" w:line="127" w:lineRule="exact"/>
        <w:rPr>
          <w:sz w:val="20"/>
          <w:szCs w:val="20"/>
          <w:color w:val="auto"/>
        </w:rPr>
      </w:pPr>
    </w:p>
    <w:p>
      <w:pPr>
        <w:ind w:left="540" w:right="60"/>
        <w:spacing w:after="0" w:line="286"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2" w:right="660" w:bottom="1440" w:gutter="0" w:footer="0" w:header="0"/>
        </w:sectPr>
      </w:pPr>
    </w:p>
    <w:bookmarkStart w:id="44" w:name="page45"/>
    <w:bookmarkEnd w:id="44"/>
    <w:p>
      <w:pPr>
        <w:ind w:left="540" w:right="120"/>
        <w:spacing w:after="0" w:line="286" w:lineRule="auto"/>
        <w:rPr>
          <w:sz w:val="20"/>
          <w:szCs w:val="20"/>
          <w:color w:val="auto"/>
        </w:rPr>
      </w:pPr>
      <w:r>
        <w:rPr>
          <w:rFonts w:ascii="Times New Roman" w:cs="Times New Roman" w:eastAsia="Times New Roman" w:hAnsi="Times New Roman"/>
          <w:sz w:val="13"/>
          <w:szCs w:val="13"/>
          <w:color w:val="auto"/>
        </w:rPr>
        <w:t>Administration Agreement, including rent and our allocable portion of the costs of compensation and related expenses of our Chief Compliance Officer, Chief Financial Officer, Corporate Counsel and their respective staffs.</w:t>
      </w:r>
    </w:p>
    <w:p>
      <w:pPr>
        <w:spacing w:after="0" w:line="76"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Restatement of Previously Issued Financial Statement</w:t>
      </w:r>
    </w:p>
    <w:p>
      <w:pPr>
        <w:spacing w:after="0" w:line="131"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The impact of the error correction is reflected in a $2.1 million increase in cash and cash equivalents and offsetting increase in due to affiliates on the consolidated statements of assets and liabilities as of September 30, 2022 and an increase in due to affiliates within operating activities on the consolidated statement of cash flows totaling $2.1 million for the year ended September 30, 2022. There was no impact to the statements of cash flows for the year ended September 30, 2021. There was no impact from the error correction to total net assets and net asset value per share as reported on the consolidated statement of assets and liabilities as of September 30, 2022. In addition, there was no impact from the error correction on net investment income or net increase (decrease) in net assets resulting from operations for the years ended September 30, 2022 and 2021. The corrections were reported in the year ended September 30, 2023.</w:t>
      </w:r>
    </w:p>
    <w:p>
      <w:pPr>
        <w:spacing w:after="0" w:line="98"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As a result of the error in the classification and presentation of cash described above, we conducted an analysis to determine whether incentive-based compensation was erroneously awarded, thereby necessitating recovery under the Clawback Policy we adopted effective December 1, 2023. Because we do not pay or otherwise award incentive-based compensation too the Company's executives, we concluded that error did not result in erroneously-awarded incentive-based compensation, and therefore no compensation recovery is required.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29" w:lineRule="exact"/>
        <w:rPr>
          <w:sz w:val="20"/>
          <w:szCs w:val="20"/>
          <w:color w:val="auto"/>
        </w:rPr>
      </w:pPr>
    </w:p>
    <w:p>
      <w:pPr>
        <w:ind w:right="80" w:firstLine="420"/>
        <w:spacing w:after="0" w:line="258" w:lineRule="auto"/>
        <w:rPr>
          <w:sz w:val="20"/>
          <w:szCs w:val="20"/>
          <w:color w:val="auto"/>
        </w:rPr>
      </w:pPr>
      <w:r>
        <w:rPr>
          <w:rFonts w:ascii="Times New Roman" w:cs="Times New Roman" w:eastAsia="Times New Roman" w:hAnsi="Times New Roman"/>
          <w:sz w:val="13"/>
          <w:szCs w:val="13"/>
          <w:color w:val="auto"/>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had a weighted average yield on interest bearing debt investments of 13.0%.</w:t>
      </w:r>
    </w:p>
    <w:p>
      <w:pPr>
        <w:spacing w:after="0" w:line="253"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As of September 30, 2022, our portfolio totaled $1,226.3 million and consisted of $631.0 million or 51% of first lien secured debt, $129.9 million or 11% of second lien secured debt, $141.3 million or 12% of subordinated debt (including $88.0 million or 7% in PSLF) and $324.1 million or 26% of preferred and common equity (including $51.1 million or 4% in PSLF). Our interest bearing debt portfolio consisted of 96% variable-rate investments and 4% fixed -rate investments. As of September 30, 2022, we had one portfolio company on non-accrual, representing 1.2% and zero percent of our overall portfolio on a cost and fair value basis, respectively. Overall, the portfolio had net unrealized depreciation of $(75.7) million as of September 30, 2022. Our overall portfolio consisted of 123 companies with an average investment size of $10.0 million, had a weighted average yield on interest bearing debt investments of 10.8%.</w:t>
      </w:r>
    </w:p>
    <w:p>
      <w:pPr>
        <w:spacing w:after="0" w:line="94"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2023, we invested $275.4 million of investments in 17 new and 69 existing portfolio companies with a weighted average yield on debt investments of 12.0 %. Sales and repayments of investments for the same period totaled $418.6 million (excluding U.S. Government Securities).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year ended September 30, 2022, we invested $933.8 million of investments in 40 new and 122 existing portfolio companies with a weighted average yield on debt investments of 8.4%.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Sales and repayments of investments for the same period totaled $911.6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29"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2023, PSLF’s portfolio totaled $804.2 million, consisted of 90 companies with an average investment size of $8.9 million and had a weighted average yield interest bearing debt investments of 12.1%. As of September 30, 2023, all of the investments held by PSLF were first lien secured debt. For the year ended September 30, 2023, PSLF invested $176.2 million (of which $ 127.8 million was purchased from the Company) in 21 new and 23 existing portfolio companies with a weighted average yield on debt investments of 11.8%. PSLF’s sales and repayments of investments for the same period totaled $106.6 million.</w:t>
      </w:r>
    </w:p>
    <w:p>
      <w:pPr>
        <w:spacing w:after="0" w:line="91" w:lineRule="exact"/>
        <w:rPr>
          <w:sz w:val="20"/>
          <w:szCs w:val="20"/>
          <w:color w:val="auto"/>
        </w:rPr>
      </w:pPr>
    </w:p>
    <w:p>
      <w:pPr>
        <w:ind w:right="22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2022, PSLF’s portfolio totaled $730.1 million, consisted of 80 companies with an average investment size of $9.1 million and had a weighted average yield on debt investments of 9.4%. As of September 30, 2022, all of the investments held by PSLF were first lien secured debt. For the year ended September 30, 2022, PSLF invested $ 431.2 million (of which $395.3 million was purchased from the Company) in 39 new and 28 existing portfolio companies with a weighted average yield on debt investments of 7.8%. PSLF’s sales and repayments of investments for the same period totaled $100.5 million.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29"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31"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02" w:right="700" w:bottom="1440" w:gutter="0" w:footer="0" w:header="0"/>
        </w:sectPr>
      </w:pPr>
    </w:p>
    <w:bookmarkStart w:id="45" w:name="page46"/>
    <w:bookmarkEnd w:id="45"/>
    <w:p>
      <w:pPr>
        <w:ind w:right="200"/>
        <w:spacing w:after="0" w:line="286" w:lineRule="auto"/>
        <w:rPr>
          <w:sz w:val="20"/>
          <w:szCs w:val="20"/>
          <w:color w:val="auto"/>
        </w:rPr>
      </w:pPr>
      <w:r>
        <w:rPr>
          <w:rFonts w:ascii="Times New Roman" w:cs="Times New Roman" w:eastAsia="Times New Roman" w:hAnsi="Times New Roman"/>
          <w:sz w:val="13"/>
          <w:szCs w:val="13"/>
          <w:color w:val="auto"/>
        </w:rPr>
        <w:t>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76"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1"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Truist Credit Facility, 2026 Notes and 2026-2 Notes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02" w:right="680" w:bottom="1440" w:gutter="0" w:footer="0" w:header="0"/>
        </w:sectPr>
      </w:pPr>
    </w:p>
    <w:bookmarkStart w:id="46" w:name="page47"/>
    <w:bookmarkEnd w:id="46"/>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2026 Notes, 2026-2 Notes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7"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825 -10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expenses of zero, $5.1 million, and zero relating to amendment costs on the Truist Credit Facility during the years ended September 30, 2023, 2022 and 2021, respectively.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are reported in our Consolidated Statements of Operations. We elect not to apply ASC 825-10 to any other financial assets or liabilities, 2026 Notes, and 2026 Notes-2.</w:t>
      </w:r>
    </w:p>
    <w:p>
      <w:pPr>
        <w:spacing w:after="0" w:line="98" w:lineRule="exact"/>
        <w:rPr>
          <w:sz w:val="20"/>
          <w:szCs w:val="20"/>
          <w:color w:val="auto"/>
        </w:rPr>
      </w:pPr>
    </w:p>
    <w:p>
      <w:pPr>
        <w:ind w:right="440" w:firstLine="420"/>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2023, 2022, and 2021 the Truist Credit Facility had a net change in unrealized depreciation (appreciation) of $(3.8) million, $7.5 million and $(17.8) million, respectively. As of September 30, 2023 and 2022, the net unrealized depreciation on our Truist Credit Facility totaled $5.5 million and $9.2 million. We use a nationally recognized independent valuation service to measure the fair value of our Truist Credit Facility in a manner consistent with the valuation process that the board of directors uses to value our investments.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31" w:lineRule="exact"/>
        <w:rPr>
          <w:sz w:val="20"/>
          <w:szCs w:val="20"/>
          <w:color w:val="auto"/>
        </w:rPr>
      </w:pPr>
    </w:p>
    <w:p>
      <w:pPr>
        <w:ind w:right="12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31"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27"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Payment-in-Kind, or, PIK Interest</w:t>
      </w:r>
    </w:p>
    <w:p>
      <w:pPr>
        <w:spacing w:after="0" w:line="13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31"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 -of-income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91" w:lineRule="exact"/>
        <w:rPr>
          <w:sz w:val="20"/>
          <w:szCs w:val="20"/>
          <w:color w:val="auto"/>
        </w:rPr>
      </w:pPr>
    </w:p>
    <w:p>
      <w:pPr>
        <w:ind w:right="140" w:firstLine="420"/>
        <w:spacing w:after="0" w:line="256"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32" w:lineRule="exact"/>
        <w:rPr>
          <w:sz w:val="20"/>
          <w:szCs w:val="20"/>
          <w:color w:val="auto"/>
        </w:rPr>
      </w:pPr>
    </w:p>
    <w:p>
      <w:pPr>
        <w:ind w:right="38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2" w:right="660" w:bottom="1440" w:gutter="0" w:footer="0" w:header="0"/>
        </w:sectPr>
      </w:pPr>
    </w:p>
    <w:bookmarkStart w:id="47" w:name="page48"/>
    <w:bookmarkEnd w:id="47"/>
    <w:p>
      <w:pPr>
        <w:ind w:right="2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2023, 2022 and 2021, we recorded a provision for taxes on net investment income of $4.3 million, $0.8 million and $0.6 million, respectively, pertaining to federal excise tax.</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12"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For the years ended September 30, 2023, 2022 and 2021 the Company recognized a provision for taxes of $5.0 million, $6.2 million, and zero respectively, on net realized gain on investments by the Taxable Subsidiary. For the years ended September 30, 2023, 2022, and 2021 the Company recognized a provision for taxes of $(1.6) million, $0.9 million and zero,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the fiscal year and (ii) the expected tax benefit resulting from the use of loss carryforwards to offset such gains.</w:t>
      </w:r>
    </w:p>
    <w:p>
      <w:pPr>
        <w:spacing w:after="0" w:line="127"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During the year ended September 30, 2023, 2022 and 2021 the Company paid zero, $4.0 million, and zero respectively, in federal taxes on realized gains on the sale of investments held by the Taxable Subsidiary. The state and local tax liability of $3.3 million as of September 30, 2023 is included under accrued other expenses in the consolidated statement of assets and liabilities.</w:t>
      </w:r>
    </w:p>
    <w:p>
      <w:pPr>
        <w:spacing w:after="0" w:line="112"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82" w:right="72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29" w:lineRule="exact"/>
        <w:rPr>
          <w:sz w:val="20"/>
          <w:szCs w:val="20"/>
          <w:color w:val="auto"/>
        </w:rPr>
      </w:pPr>
    </w:p>
    <w:p>
      <w:pPr>
        <w:ind w:right="80" w:firstLine="420"/>
        <w:spacing w:after="0" w:line="286" w:lineRule="auto"/>
        <w:rPr>
          <w:sz w:val="20"/>
          <w:szCs w:val="20"/>
          <w:color w:val="auto"/>
        </w:rPr>
      </w:pPr>
      <w:r>
        <w:rPr>
          <w:rFonts w:ascii="Times New Roman" w:cs="Times New Roman" w:eastAsia="Times New Roman" w:hAnsi="Times New Roman"/>
          <w:sz w:val="13"/>
          <w:szCs w:val="13"/>
          <w:color w:val="auto"/>
        </w:rPr>
        <w:t>Set forth below are the results of operations for the years ended September 30, 2023 and 2022. For information regarding results of operations for the year ended September 30, 2021, see the Company's Form 10-K for the fiscal year ended September 30, 2022, as filed with the SEC on November 17,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31"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Investment income for the year ended September 30, 2023 was $145.4 million and was attributable to $97.2 million from first lien secured debt, $13.8 million from second lien secured debt and $4.7 million from subordinated debt and $29.7 from preferred and common equity. The increase in investment income compared to the same periods in the prior year was primarily due to an increase in SOFR base rates.</w:t>
      </w:r>
    </w:p>
    <w:p>
      <w:pPr>
        <w:spacing w:after="0" w:line="87"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Investment income for the year ended September 30, 2022 was $ 105.0 million and was attributable to $74.4 million from first lien secured debt, $17.0 million from second lien secured debt and $3.7 million from subordinated debt and $9.9 million from preferred and common equity.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Net expenses for the year ended September 30, 2023 totaled $79.8 million. Base management fee for the same period totaled $ 16.5 million, incentive fee totaled $13.9 million, debt related interest and other financing expenses totaled $39.4 million and general and administrative expenses totaled $5.7 million and provision for taxes and totaled $4.3 million. The increase in expenses over the prior year was primarily due to an increase in debt related interest and other financing expenses and an increase in incentive fees.</w:t>
      </w:r>
    </w:p>
    <w:p>
      <w:pPr>
        <w:spacing w:after="0" w:line="87"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Net expenses for the year ended September 30, 2022 totaled $ 61.0 million. Base management fee for the same period totaled $19.8 million, incentive fee totaled $2.7 million, debt related interest and other financing expenses totaled $33.8 million (including one-time debt related costs of $5.1 million) and general and administrative expenses totaled $3.9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31"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2023 and 2022 net investment income totaled $65.5 million, or $1.00 per share, and $43.9 million, or $0.66 per share, respectively. The increase in net investment income per share compared to the prior year was primarily due to an increase in investment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31"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2023 and 2022 net realized gain (loss) totaled $(156.8) million and $34.8 million, respectively. The change in realized gains/losses was primarily due to changes in market conditions of our investments and the values at which they were realized, primarily due to the realization of RAM Energy Holdings LLC, and the fluctuations in the market and in the economy, as discussed above under “Forward-Looking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For the years ended September 30, 2023 and 2022, we reported net unrealized appreciation (depreciation) on investments of $59.6 million and $(110.0) million, respectively. As of September 30, 2023 and 2022, our net unrealized appreciation (depreciation) on investments totaled $(16.3) million and $(75.7) million, respectively. The net change in unrealized appreciation/depreciation on our investments for the year ended September 30, 2023 compared to the prior year was primarily due to changes in the capital market conditions of our investments and the values at which they were realized, as well as due to the realization of RAM Energy Holdings LLC and the fluctuation in the market and in the economy, as discussed above under the “Forward-Looking Statements” section above.</w:t>
      </w:r>
    </w:p>
    <w:p>
      <w:pPr>
        <w:spacing w:after="0" w:line="94"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2023 and 2022, we reported a net unrealized appreciation (depreciation) in our Truist Credit Facility of $(3.8) million and $7.5 million, respectively. As of September 30, 2023 and 2022, our net unrealized appreciation (depreciation) on our Truist Credit Facility totaled $5.5 million and $9.2 million, respectively. The net change in unrealized depreciation for the year ended September 30, 2023 compared to the prior year was primarily due to changes in the capital markets, as further discussed above under “Forward-Looking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31"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Net change in net assets resulting from operations totaled $(33.8) million, or $ (0.52) per share, and $ (24.7) million, or $(0.37) per share, for the years ended September 30, 2023 and 2022, respectively. The decrease in net assets from operations for the year ended September 30, 2023 compared to the prior year was primarily due to depreciation of the portfolio primarily driven by changes in market conditions, as discussed above under “Forward-Looking Statements”.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80" w:right="72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29" w:lineRule="exact"/>
        <w:rPr>
          <w:sz w:val="20"/>
          <w:szCs w:val="20"/>
          <w:color w:val="auto"/>
        </w:rPr>
      </w:pPr>
    </w:p>
    <w:p>
      <w:pPr>
        <w:ind w:right="200" w:firstLine="420"/>
        <w:spacing w:after="0" w:line="257"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As of September 30, 2023,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spacing w:after="0" w:line="96" w:lineRule="exact"/>
        <w:rPr>
          <w:sz w:val="20"/>
          <w:szCs w:val="20"/>
          <w:color w:val="auto"/>
        </w:rPr>
      </w:pPr>
    </w:p>
    <w:p>
      <w:pPr>
        <w:ind w:right="28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and 2022, our asset coverage ratio, as computed in accordance with the 1940 Act, was 195% and 186%, respectively.</w:t>
      </w:r>
    </w:p>
    <w:p>
      <w:pPr>
        <w:spacing w:after="0" w:line="127"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2023 and 2022, inclusive of the fee on the undrawn commitment and amendment costs on the Truist Credit Facility, was 6.0% and 4.8%, respectively.</w:t>
      </w:r>
    </w:p>
    <w:p>
      <w:pPr>
        <w:spacing w:after="0" w:line="76"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As of September 30, 2023, we had the multi-currency Truist Credit Facility for up to $475.0 million (decreased from $500.0 million in September 2023),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September 30, 2023 and 2022, we had $212.4 million and $ 385.9 million, respectively, in outstanding borrowings under the Truist Credit Facility. The Truist Credit Facility had a weighted average interest rate of 7.7% and 5.3%, respectively, exclusive of the fee on undrawn commitments, as of September 30, 2023 and 2022. The Truist Credit Facility is a revolving facility with a stated maturity date of July 29, 2027 for $475.0 million of commitment and the related obligations maturing on September 4, 2024) and pricing set at 235 basis points over SOFR. As of September 30, 2023 and 2022, we had $262.6 million and $114.1 million of unused borrowing capacity under the Truist Credit Facility, respectively, subject to leverage and borrowing base restrictions. The Truist Credit Facility is secured by substantially all of our assets excluding assets held by SBIC II. As of September 30, 2023, we were in compliance with the terms of the Truist Credit Facility.</w:t>
      </w:r>
    </w:p>
    <w:p>
      <w:pPr>
        <w:spacing w:after="0" w:line="98"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As of September 30, 2023, we had zero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at a rate of 5.5% per year.</w:t>
      </w:r>
    </w:p>
    <w:p>
      <w:pPr>
        <w:spacing w:after="0" w:line="8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2023,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pari passu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As of September 30, 2023, we had $165.0 million in aggregate principal amount of 2026 Notes- 2 outstanding. Interest on the 2026 Notes is paid semi-annually on May 1 and November 1, at a rate of 4.0% per year, commencing May 1, 2022. The 2026 Notes-2 mature on November 1, 2026,and may be redeemed in whole or in part at our option subject to a make-whole premium if redeemed more than three months prior to maturity. The 2026 Notes-2 are direct unsecured obligations and rank pari passu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91"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and 2026 Notes-2.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stock repurchase program.</w:t>
      </w:r>
    </w:p>
    <w:p>
      <w:pPr>
        <w:spacing w:after="0" w:line="94"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2023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91"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February 2023, the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252"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3"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SBIC II was previously able to borrow funds from the SBA against regulatory capital (which approximates equity capital) that is paid-in and is subject to customary regulatory requirements including an examination by the SBA. We previously funded SBIC II with $75.0 million of equity capital and it had SBA debentures outstanding of zero and $ 20.0 million, as of September 30, 2023 and 2022, respectively. The SBA debentures were non-recourse to us and could be prepaid at any time without penalty. We repaid the remaining $20.0 million SBA debentures during the nine months ended June 30, 2023. The interest rate of SBA debentures is fixed at the time of issuance, often referred to as pooling, at a market-driven spread over 10-year U.S. Treasury Notes. Under current SBA regulation, an SBIC may individually borrow up to a maximum of $175.0 million, which is up to twice its potential regulatory capital, and as part of a group of SBICs under common control may borrow a maximum of $350 million in the aggregate.</w:t>
      </w: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00" w:right="660" w:bottom="1440" w:gutter="0" w:footer="0" w:header="0"/>
        </w:sectPr>
      </w:pPr>
    </w:p>
    <w:bookmarkStart w:id="50" w:name="page51"/>
    <w:bookmarkEnd w:id="50"/>
    <w:p>
      <w:pPr>
        <w:ind w:right="340" w:firstLine="420"/>
        <w:spacing w:after="0" w:line="268" w:lineRule="auto"/>
        <w:rPr>
          <w:sz w:val="20"/>
          <w:szCs w:val="20"/>
          <w:color w:val="auto"/>
        </w:rPr>
      </w:pPr>
      <w:r>
        <w:rPr>
          <w:rFonts w:ascii="Times New Roman" w:cs="Times New Roman" w:eastAsia="Times New Roman" w:hAnsi="Times New Roman"/>
          <w:sz w:val="13"/>
          <w:szCs w:val="13"/>
          <w:color w:val="auto"/>
        </w:rPr>
        <w:t>As of September 30, 2023 and 2022, SBIC II had zero and $20.0 million in debt commitments, respectively, all of which was drawn as of September 30, 2022. We repaid the remaining $20.0 million SBA debentures during the nine months ended June 30, 2023. As of September 30, 2023 and 2022, the unamortized fees on the SBA debentures were zero and $0.3 million, respectively. The SBA debentures’ upfront fees of 3.4% consist of a commitment fee of 1.0% and an issuance discount of 2.4%, which are being amortized.</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fixed-rate SBA debentures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40" w:type="dxa"/>
            <w:vAlign w:val="bottom"/>
            <w:vMerge w:val="restart"/>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rPr>
              <w:t xml:space="preserve">Fixed All-in Coupon Rate </w:t>
            </w:r>
            <w:r>
              <w:rPr>
                <w:rFonts w:ascii="Times New Roman" w:cs="Times New Roman" w:eastAsia="Times New Roman" w:hAnsi="Times New Roman"/>
                <w:sz w:val="16"/>
                <w:szCs w:val="16"/>
                <w:b w:val="1"/>
                <w:bCs w:val="1"/>
                <w:color w:val="auto"/>
                <w:vertAlign w:val="superscript"/>
              </w:rPr>
              <w:t>(1)</w:t>
            </w:r>
          </w:p>
        </w:tc>
        <w:tc>
          <w:tcPr>
            <w:tcW w:w="226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As of September 30, 2022</w:t>
            </w:r>
          </w:p>
        </w:tc>
        <w:tc>
          <w:tcPr>
            <w:tcW w:w="0" w:type="dxa"/>
            <w:vAlign w:val="bottom"/>
          </w:tcPr>
          <w:p>
            <w:pPr>
              <w:spacing w:after="0"/>
              <w:rPr>
                <w:sz w:val="1"/>
                <w:szCs w:val="1"/>
                <w:color w:val="auto"/>
              </w:rPr>
            </w:pPr>
          </w:p>
        </w:tc>
      </w:tr>
      <w:tr>
        <w:trPr>
          <w:trHeight w:val="182"/>
        </w:trPr>
        <w:tc>
          <w:tcPr>
            <w:tcW w:w="272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Issuance Dates</w:t>
            </w:r>
          </w:p>
        </w:tc>
        <w:tc>
          <w:tcPr>
            <w:tcW w:w="2540" w:type="dxa"/>
            <w:vAlign w:val="bottom"/>
          </w:tcPr>
          <w:p>
            <w:pPr>
              <w:ind w:left="140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3040" w:type="dxa"/>
            <w:vAlign w:val="bottom"/>
            <w:vMerge w:val="continue"/>
          </w:tcPr>
          <w:p>
            <w:pPr>
              <w:spacing w:after="0"/>
              <w:rPr>
                <w:sz w:val="15"/>
                <w:szCs w:val="15"/>
                <w:color w:val="auto"/>
              </w:rPr>
            </w:pPr>
          </w:p>
        </w:tc>
        <w:tc>
          <w:tcPr>
            <w:tcW w:w="226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Principal Balance</w:t>
            </w:r>
          </w:p>
        </w:tc>
        <w:tc>
          <w:tcPr>
            <w:tcW w:w="0" w:type="dxa"/>
            <w:vAlign w:val="bottom"/>
          </w:tcPr>
          <w:p>
            <w:pPr>
              <w:spacing w:after="0"/>
              <w:rPr>
                <w:sz w:val="1"/>
                <w:szCs w:val="1"/>
                <w:color w:val="auto"/>
              </w:rPr>
            </w:pPr>
          </w:p>
        </w:tc>
      </w:tr>
      <w:tr>
        <w:trPr>
          <w:trHeight w:val="18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September 20, 2017</w:t>
            </w:r>
          </w:p>
        </w:tc>
        <w:tc>
          <w:tcPr>
            <w:tcW w:w="25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3"/>
                <w:szCs w:val="13"/>
                <w:color w:val="auto"/>
              </w:rPr>
              <w:t>September 1, 2027</w:t>
            </w:r>
          </w:p>
        </w:tc>
        <w:tc>
          <w:tcPr>
            <w:tcW w:w="304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2.9 %</w:t>
            </w:r>
          </w:p>
        </w:tc>
        <w:tc>
          <w:tcPr>
            <w:tcW w:w="22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20,000,000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Excluding 3.4% of upfront fees.</w:t>
      </w:r>
    </w:p>
    <w:p>
      <w:pPr>
        <w:spacing w:after="0" w:line="73"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The SBIC program was designed to stimulate the flow of capital into eligible businesses. Under SBA regulations, SBIC II was historically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130"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In accordance with the 1940 Act, with certain limited exceptions, PennantPark Investment is only allowed to borrow amounts such that our required 150% asset coverage ratio is met after such borrowing. As of September 30, 2023 and 2022,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27"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we had cash and cash equivalents of $38.8 million and $54.8 million, respectively, available for investing and general corporate purposes. We believe our liquidity and capital resources are sufficient to allow us to effectively operate our business.</w:t>
      </w:r>
    </w:p>
    <w:p>
      <w:pPr>
        <w:spacing w:after="0" w:line="7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operating activities provided cash of $222.9 million for the year ended September 30, 2023, and our financing activities used cash of $239.2 million for the same period. Our operating activities used cash primarily for our investment activities and our financing activities used cash primarily from repayments under our Truist Credit Facility.</w:t>
      </w:r>
    </w:p>
    <w:p>
      <w:pPr>
        <w:spacing w:after="0" w:line="76" w:lineRule="exact"/>
        <w:rPr>
          <w:sz w:val="20"/>
          <w:szCs w:val="20"/>
          <w:color w:val="auto"/>
        </w:rPr>
      </w:pPr>
    </w:p>
    <w:p>
      <w:pPr>
        <w:jc w:val="both"/>
        <w:ind w:right="360" w:firstLine="420"/>
        <w:spacing w:after="0" w:line="268" w:lineRule="auto"/>
        <w:rPr>
          <w:sz w:val="20"/>
          <w:szCs w:val="20"/>
          <w:color w:val="auto"/>
        </w:rPr>
      </w:pPr>
      <w:r>
        <w:rPr>
          <w:rFonts w:ascii="Times New Roman" w:cs="Times New Roman" w:eastAsia="Times New Roman" w:hAnsi="Times New Roman"/>
          <w:sz w:val="13"/>
          <w:szCs w:val="13"/>
          <w:color w:val="auto"/>
        </w:rPr>
        <w:t>Our operating activities used cash of $17.3 million for the year ended September 30, 2022, and our financing activities provided cash of $52.0 million for the same period. Our operating activities used cash primarily for our investment activities and our financing activities provided cash primarily from the issuance of our 2026-2 Notes and net repayments under our Truist Credit Facility and repayment of our SBA debentures.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more information regarding our borrowing arrangements, see “Business—Leverage” above.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2" w:right="68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color w:val="auto"/>
        </w:rPr>
        <w:t>Senior Securities</w:t>
      </w:r>
    </w:p>
    <w:p>
      <w:pPr>
        <w:spacing w:after="0" w:line="165"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Information about our senior securities is shown in the following table as of September 30, 2023, 2022, 2021, 2020, 2019, 2018, 2017, 2016, 2015, and 2014. The report of RSM US LLP, an independent registered public accounting firm, on the Senior Securities table as of September 30, 2023, is attached as an exhibit to this Report.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460" w:type="dxa"/>
            <w:vAlign w:val="bottom"/>
          </w:tcPr>
          <w:p>
            <w:pPr>
              <w:spacing w:after="0"/>
              <w:rPr>
                <w:sz w:val="13"/>
                <w:szCs w:val="13"/>
                <w:color w:val="auto"/>
              </w:rPr>
            </w:pPr>
          </w:p>
        </w:tc>
      </w:tr>
      <w:tr>
        <w:trPr>
          <w:trHeight w:val="145"/>
        </w:trPr>
        <w:tc>
          <w:tcPr>
            <w:tcW w:w="2240" w:type="dxa"/>
            <w:vAlign w:val="bottom"/>
          </w:tcPr>
          <w:p>
            <w:pPr>
              <w:spacing w:after="0"/>
              <w:rPr>
                <w:sz w:val="12"/>
                <w:szCs w:val="12"/>
                <w:color w:val="auto"/>
              </w:rPr>
            </w:pPr>
          </w:p>
        </w:tc>
        <w:tc>
          <w:tcPr>
            <w:tcW w:w="2560" w:type="dxa"/>
            <w:vAlign w:val="bottom"/>
          </w:tcPr>
          <w:p>
            <w:pPr>
              <w:ind w:left="1640"/>
              <w:spacing w:after="0" w:line="145" w:lineRule="exact"/>
              <w:rPr>
                <w:sz w:val="20"/>
                <w:szCs w:val="20"/>
                <w:color w:val="auto"/>
              </w:rPr>
            </w:pPr>
            <w:r>
              <w:rPr>
                <w:rFonts w:ascii="Times New Roman" w:cs="Times New Roman" w:eastAsia="Times New Roman" w:hAnsi="Times New Roman"/>
                <w:sz w:val="13"/>
                <w:szCs w:val="13"/>
                <w:b w:val="1"/>
                <w:bCs w:val="1"/>
                <w:color w:val="auto"/>
              </w:rPr>
              <w:t>Total Amount</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tcPr>
          <w:p>
            <w:pPr>
              <w:jc w:val="right"/>
              <w:ind w:right="654"/>
              <w:spacing w:after="0" w:line="145" w:lineRule="exact"/>
              <w:rPr>
                <w:sz w:val="20"/>
                <w:szCs w:val="20"/>
                <w:color w:val="auto"/>
              </w:rPr>
            </w:pPr>
            <w:r>
              <w:rPr>
                <w:rFonts w:ascii="Times New Roman" w:cs="Times New Roman" w:eastAsia="Times New Roman" w:hAnsi="Times New Roman"/>
                <w:sz w:val="13"/>
                <w:szCs w:val="13"/>
                <w:b w:val="1"/>
                <w:bCs w:val="1"/>
                <w:color w:val="auto"/>
              </w:rPr>
              <w:t>Asset Coverage</w:t>
            </w:r>
          </w:p>
        </w:tc>
        <w:tc>
          <w:tcPr>
            <w:tcW w:w="520" w:type="dxa"/>
            <w:vAlign w:val="bottom"/>
          </w:tcPr>
          <w:p>
            <w:pPr>
              <w:spacing w:after="0"/>
              <w:rPr>
                <w:sz w:val="12"/>
                <w:szCs w:val="12"/>
                <w:color w:val="auto"/>
              </w:rPr>
            </w:pPr>
          </w:p>
        </w:tc>
        <w:tc>
          <w:tcPr>
            <w:tcW w:w="1800" w:type="dxa"/>
            <w:vAlign w:val="bottom"/>
          </w:tcPr>
          <w:p>
            <w:pPr>
              <w:jc w:val="right"/>
              <w:ind w:right="654"/>
              <w:spacing w:after="0" w:line="145"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460" w:type="dxa"/>
            <w:vAlign w:val="bottom"/>
          </w:tcPr>
          <w:p>
            <w:pPr>
              <w:spacing w:after="0"/>
              <w:rPr>
                <w:sz w:val="12"/>
                <w:szCs w:val="12"/>
                <w:color w:val="auto"/>
              </w:rPr>
            </w:pPr>
          </w:p>
        </w:tc>
      </w:tr>
      <w:tr>
        <w:trPr>
          <w:trHeight w:val="221"/>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Class and Year</w:t>
            </w:r>
          </w:p>
        </w:tc>
        <w:tc>
          <w:tcPr>
            <w:tcW w:w="256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color w:val="auto"/>
              </w:rPr>
              <w:t xml:space="preserve">Outstanding </w:t>
            </w:r>
            <w:r>
              <w:rPr>
                <w:rFonts w:ascii="Times New Roman" w:cs="Times New Roman" w:eastAsia="Times New Roman" w:hAnsi="Times New Roman"/>
                <w:sz w:val="16"/>
                <w:szCs w:val="16"/>
                <w:b w:val="1"/>
                <w:bCs w:val="1"/>
                <w:color w:val="auto"/>
                <w:vertAlign w:val="superscript"/>
              </w:rPr>
              <w:t>(1)</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 xml:space="preserve">Per Unit </w:t>
            </w:r>
            <w:r>
              <w:rPr>
                <w:rFonts w:ascii="Times New Roman" w:cs="Times New Roman" w:eastAsia="Times New Roman" w:hAnsi="Times New Roman"/>
                <w:sz w:val="16"/>
                <w:szCs w:val="16"/>
                <w:b w:val="1"/>
                <w:bCs w:val="1"/>
                <w:color w:val="auto"/>
                <w:vertAlign w:val="superscript"/>
              </w:rPr>
              <w:t>(2), (3)</w:t>
            </w:r>
          </w:p>
        </w:tc>
        <w:tc>
          <w:tcPr>
            <w:tcW w:w="520" w:type="dxa"/>
            <w:vAlign w:val="bottom"/>
          </w:tcPr>
          <w:p>
            <w:pPr>
              <w:spacing w:after="0"/>
              <w:rPr>
                <w:sz w:val="19"/>
                <w:szCs w:val="19"/>
                <w:color w:val="auto"/>
              </w:rPr>
            </w:pPr>
          </w:p>
        </w:tc>
        <w:tc>
          <w:tcPr>
            <w:tcW w:w="1800" w:type="dxa"/>
            <w:vAlign w:val="bottom"/>
          </w:tcPr>
          <w:p>
            <w:pPr>
              <w:jc w:val="right"/>
              <w:ind w:right="794"/>
              <w:spacing w:after="0"/>
              <w:rPr>
                <w:sz w:val="20"/>
                <w:szCs w:val="20"/>
                <w:color w:val="auto"/>
              </w:rPr>
            </w:pPr>
            <w:r>
              <w:rPr>
                <w:rFonts w:ascii="Times New Roman" w:cs="Times New Roman" w:eastAsia="Times New Roman" w:hAnsi="Times New Roman"/>
                <w:sz w:val="13"/>
                <w:szCs w:val="13"/>
                <w:b w:val="1"/>
                <w:bCs w:val="1"/>
                <w:color w:val="auto"/>
              </w:rPr>
              <w:t>Per Unit</w:t>
            </w:r>
          </w:p>
        </w:tc>
        <w:tc>
          <w:tcPr>
            <w:tcW w:w="460" w:type="dxa"/>
            <w:vAlign w:val="bottom"/>
          </w:tcPr>
          <w:p>
            <w:pPr>
              <w:spacing w:after="0"/>
              <w:rPr>
                <w:sz w:val="19"/>
                <w:szCs w:val="19"/>
                <w:color w:val="auto"/>
              </w:rPr>
            </w:pPr>
          </w:p>
        </w:tc>
      </w:tr>
      <w:tr>
        <w:trPr>
          <w:trHeight w:val="20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Truist Credit Facility</w:t>
            </w:r>
          </w:p>
        </w:tc>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4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560" w:type="dxa"/>
            <w:vAlign w:val="bottom"/>
            <w:shd w:val="clear" w:color="auto" w:fill="CCECFF"/>
          </w:tcPr>
          <w:p>
            <w:pPr>
              <w:jc w:val="right"/>
              <w:ind w:right="143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212,420</w:t>
            </w:r>
          </w:p>
        </w:tc>
        <w:tc>
          <w:tcPr>
            <w:tcW w:w="46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1,952</w:t>
            </w:r>
          </w:p>
        </w:tc>
        <w:tc>
          <w:tcPr>
            <w:tcW w:w="520" w:type="dxa"/>
            <w:vAlign w:val="bottom"/>
            <w:shd w:val="clear" w:color="auto" w:fill="CCECFF"/>
          </w:tcPr>
          <w:p>
            <w:pPr>
              <w:spacing w:after="0"/>
              <w:rPr>
                <w:sz w:val="21"/>
                <w:szCs w:val="21"/>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21"/>
                <w:szCs w:val="21"/>
                <w:color w:val="auto"/>
              </w:rPr>
            </w:pPr>
          </w:p>
        </w:tc>
      </w:tr>
      <w:tr>
        <w:trPr>
          <w:trHeight w:val="23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560" w:type="dxa"/>
            <w:vAlign w:val="bottom"/>
          </w:tcPr>
          <w:p>
            <w:pPr>
              <w:spacing w:after="0"/>
              <w:rPr>
                <w:sz w:val="20"/>
                <w:szCs w:val="20"/>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385,920</w:t>
            </w:r>
          </w:p>
        </w:tc>
        <w:tc>
          <w:tcPr>
            <w:tcW w:w="460" w:type="dxa"/>
            <w:vAlign w:val="bottom"/>
          </w:tcPr>
          <w:p>
            <w:pPr>
              <w:spacing w:after="0"/>
              <w:rPr>
                <w:sz w:val="20"/>
                <w:szCs w:val="20"/>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1,855</w:t>
            </w:r>
          </w:p>
        </w:tc>
        <w:tc>
          <w:tcPr>
            <w:tcW w:w="5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20"/>
                <w:szCs w:val="20"/>
                <w:color w:val="auto"/>
              </w:rPr>
            </w:pPr>
          </w:p>
        </w:tc>
      </w:tr>
      <w:tr>
        <w:trPr>
          <w:trHeight w:val="24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560" w:type="dxa"/>
            <w:vAlign w:val="bottom"/>
            <w:shd w:val="clear" w:color="auto" w:fill="CCECFF"/>
          </w:tcPr>
          <w:p>
            <w:pPr>
              <w:spacing w:after="0"/>
              <w:rPr>
                <w:sz w:val="21"/>
                <w:szCs w:val="21"/>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316,545</w:t>
            </w:r>
          </w:p>
        </w:tc>
        <w:tc>
          <w:tcPr>
            <w:tcW w:w="460" w:type="dxa"/>
            <w:vAlign w:val="bottom"/>
            <w:shd w:val="clear" w:color="auto" w:fill="CCECFF"/>
          </w:tcPr>
          <w:p>
            <w:pPr>
              <w:spacing w:after="0"/>
              <w:rPr>
                <w:sz w:val="21"/>
                <w:szCs w:val="21"/>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2,208</w:t>
            </w:r>
          </w:p>
        </w:tc>
        <w:tc>
          <w:tcPr>
            <w:tcW w:w="520" w:type="dxa"/>
            <w:vAlign w:val="bottom"/>
            <w:shd w:val="clear" w:color="auto" w:fill="CCECFF"/>
          </w:tcPr>
          <w:p>
            <w:pPr>
              <w:spacing w:after="0"/>
              <w:rPr>
                <w:sz w:val="21"/>
                <w:szCs w:val="21"/>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21"/>
                <w:szCs w:val="21"/>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2020</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388,252</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2,078</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301,636</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2,066</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2018</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80,520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2,919</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2017</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79,393</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2,998</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50,340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2,794</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136,864</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2,586</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2014</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55,226</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3,215</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BNP Credit Facility</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171,000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2,066</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24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2019 Notes</w:t>
            </w:r>
          </w:p>
        </w:tc>
        <w:tc>
          <w:tcPr>
            <w:tcW w:w="256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c>
          <w:tcPr>
            <w:tcW w:w="180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1800" w:type="dxa"/>
            <w:vAlign w:val="bottom"/>
            <w:shd w:val="clear" w:color="auto" w:fill="CCECFF"/>
          </w:tcPr>
          <w:p>
            <w:pPr>
              <w:spacing w:after="0"/>
              <w:rPr>
                <w:sz w:val="21"/>
                <w:szCs w:val="21"/>
                <w:color w:val="auto"/>
              </w:rPr>
            </w:pPr>
          </w:p>
        </w:tc>
        <w:tc>
          <w:tcPr>
            <w:tcW w:w="460" w:type="dxa"/>
            <w:vAlign w:val="bottom"/>
            <w:shd w:val="clear" w:color="auto" w:fill="CCECFF"/>
          </w:tcPr>
          <w:p>
            <w:pPr>
              <w:spacing w:after="0"/>
              <w:rPr>
                <w:sz w:val="21"/>
                <w:szCs w:val="21"/>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2018</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2,919</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2017</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2,998</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2,794</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2,586</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2014</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250,000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3,215</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2024 Notes</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86,250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2,208</w:t>
            </w:r>
          </w:p>
        </w:tc>
        <w:tc>
          <w:tcPr>
            <w:tcW w:w="52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(4)</w:t>
            </w: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2020</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86,250</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2,078</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460" w:type="dxa"/>
            <w:vAlign w:val="bottom"/>
            <w:shd w:val="clear" w:color="auto" w:fill="CCECFF"/>
          </w:tcPr>
          <w:p>
            <w:pPr>
              <w:jc w:val="right"/>
              <w:ind w:right="258"/>
              <w:spacing w:after="0"/>
              <w:rPr>
                <w:sz w:val="20"/>
                <w:szCs w:val="20"/>
                <w:color w:val="auto"/>
              </w:rPr>
            </w:pPr>
            <w:r>
              <w:rPr>
                <w:rFonts w:ascii="Times New Roman" w:cs="Times New Roman" w:eastAsia="Times New Roman" w:hAnsi="Times New Roman"/>
                <w:sz w:val="8"/>
                <w:szCs w:val="8"/>
                <w:color w:val="auto"/>
              </w:rPr>
              <w:t>(4)</w:t>
            </w: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2019</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75,000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2,066</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(4)</w:t>
            </w: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2025 Notes</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2016</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71,250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2,794</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(5)</w:t>
            </w: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2015</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71,250</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2,586</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460" w:type="dxa"/>
            <w:vAlign w:val="bottom"/>
            <w:shd w:val="clear" w:color="auto" w:fill="CCECFF"/>
          </w:tcPr>
          <w:p>
            <w:pPr>
              <w:jc w:val="right"/>
              <w:ind w:right="258"/>
              <w:spacing w:after="0"/>
              <w:rPr>
                <w:sz w:val="20"/>
                <w:szCs w:val="20"/>
                <w:color w:val="auto"/>
              </w:rPr>
            </w:pPr>
            <w:r>
              <w:rPr>
                <w:rFonts w:ascii="Times New Roman" w:cs="Times New Roman" w:eastAsia="Times New Roman" w:hAnsi="Times New Roman"/>
                <w:sz w:val="8"/>
                <w:szCs w:val="8"/>
                <w:color w:val="auto"/>
              </w:rPr>
              <w:t>(5)</w:t>
            </w: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2014</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71,250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3,215</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46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(5)</w:t>
            </w: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2013</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71,250</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4,205</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24.79</w:t>
            </w:r>
          </w:p>
        </w:tc>
        <w:tc>
          <w:tcPr>
            <w:tcW w:w="460" w:type="dxa"/>
            <w:vAlign w:val="bottom"/>
            <w:shd w:val="clear" w:color="auto" w:fill="CCECFF"/>
          </w:tcPr>
          <w:p>
            <w:pPr>
              <w:jc w:val="right"/>
              <w:ind w:right="258"/>
              <w:spacing w:after="0"/>
              <w:rPr>
                <w:sz w:val="20"/>
                <w:szCs w:val="20"/>
                <w:color w:val="auto"/>
              </w:rPr>
            </w:pPr>
            <w:r>
              <w:rPr>
                <w:rFonts w:ascii="Times New Roman" w:cs="Times New Roman" w:eastAsia="Times New Roman" w:hAnsi="Times New Roman"/>
                <w:sz w:val="8"/>
                <w:szCs w:val="8"/>
                <w:color w:val="auto"/>
              </w:rPr>
              <w:t>(5)</w:t>
            </w:r>
          </w:p>
        </w:tc>
      </w:tr>
      <w:tr>
        <w:trPr>
          <w:trHeight w:val="177"/>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2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3"/>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560" w:type="dxa"/>
            <w:vAlign w:val="bottom"/>
            <w:shd w:val="clear" w:color="auto" w:fill="CCECFF"/>
          </w:tcPr>
          <w:p>
            <w:pPr>
              <w:spacing w:after="0"/>
              <w:rPr>
                <w:sz w:val="15"/>
                <w:szCs w:val="15"/>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150,000</w:t>
            </w:r>
          </w:p>
        </w:tc>
        <w:tc>
          <w:tcPr>
            <w:tcW w:w="460" w:type="dxa"/>
            <w:vAlign w:val="bottom"/>
            <w:shd w:val="clear" w:color="auto" w:fill="CCECFF"/>
          </w:tcPr>
          <w:p>
            <w:pPr>
              <w:spacing w:after="0"/>
              <w:rPr>
                <w:sz w:val="15"/>
                <w:szCs w:val="15"/>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1,952</w:t>
            </w:r>
          </w:p>
        </w:tc>
        <w:tc>
          <w:tcPr>
            <w:tcW w:w="520" w:type="dxa"/>
            <w:vAlign w:val="bottom"/>
            <w:shd w:val="clear" w:color="auto" w:fill="CCECFF"/>
          </w:tcPr>
          <w:p>
            <w:pPr>
              <w:spacing w:after="0"/>
              <w:rPr>
                <w:sz w:val="15"/>
                <w:szCs w:val="15"/>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5"/>
                <w:szCs w:val="15"/>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150,000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1,855</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2021</w:t>
            </w: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150,000</w:t>
            </w: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2,208</w:t>
            </w: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6"/>
                <w:szCs w:val="16"/>
                <w:color w:val="auto"/>
              </w:rPr>
            </w:pPr>
          </w:p>
        </w:tc>
      </w:tr>
      <w:tr>
        <w:trPr>
          <w:trHeight w:val="177"/>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2026-2 Notes</w:t>
            </w:r>
          </w:p>
        </w:tc>
        <w:tc>
          <w:tcPr>
            <w:tcW w:w="2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3"/>
        </w:trPr>
        <w:tc>
          <w:tcPr>
            <w:tcW w:w="2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Fiscal 2023</w:t>
            </w:r>
          </w:p>
        </w:tc>
        <w:tc>
          <w:tcPr>
            <w:tcW w:w="2560" w:type="dxa"/>
            <w:vAlign w:val="bottom"/>
            <w:shd w:val="clear" w:color="auto" w:fill="CCECFF"/>
          </w:tcPr>
          <w:p>
            <w:pPr>
              <w:spacing w:after="0"/>
              <w:rPr>
                <w:sz w:val="15"/>
                <w:szCs w:val="15"/>
                <w:color w:val="auto"/>
              </w:rPr>
            </w:pPr>
          </w:p>
        </w:tc>
        <w:tc>
          <w:tcPr>
            <w:tcW w:w="72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165,000</w:t>
            </w:r>
          </w:p>
        </w:tc>
        <w:tc>
          <w:tcPr>
            <w:tcW w:w="460" w:type="dxa"/>
            <w:vAlign w:val="bottom"/>
            <w:shd w:val="clear" w:color="auto" w:fill="CCECFF"/>
          </w:tcPr>
          <w:p>
            <w:pPr>
              <w:spacing w:after="0"/>
              <w:rPr>
                <w:sz w:val="15"/>
                <w:szCs w:val="15"/>
                <w:color w:val="auto"/>
              </w:rPr>
            </w:pPr>
          </w:p>
        </w:tc>
        <w:tc>
          <w:tcPr>
            <w:tcW w:w="1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1,952</w:t>
            </w:r>
          </w:p>
        </w:tc>
        <w:tc>
          <w:tcPr>
            <w:tcW w:w="520" w:type="dxa"/>
            <w:vAlign w:val="bottom"/>
            <w:shd w:val="clear" w:color="auto" w:fill="CCECFF"/>
          </w:tcPr>
          <w:p>
            <w:pPr>
              <w:spacing w:after="0"/>
              <w:rPr>
                <w:sz w:val="15"/>
                <w:szCs w:val="15"/>
                <w:color w:val="auto"/>
              </w:rPr>
            </w:pPr>
          </w:p>
        </w:tc>
        <w:tc>
          <w:tcPr>
            <w:tcW w:w="1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shd w:val="clear" w:color="auto" w:fill="CCECFF"/>
          </w:tcPr>
          <w:p>
            <w:pPr>
              <w:spacing w:after="0"/>
              <w:rPr>
                <w:sz w:val="15"/>
                <w:szCs w:val="15"/>
                <w:color w:val="auto"/>
              </w:rPr>
            </w:pPr>
          </w:p>
        </w:tc>
      </w:tr>
      <w:tr>
        <w:trPr>
          <w:trHeight w:val="17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Fiscal 2022</w:t>
            </w:r>
          </w:p>
        </w:tc>
        <w:tc>
          <w:tcPr>
            <w:tcW w:w="2560" w:type="dxa"/>
            <w:vAlign w:val="bottom"/>
          </w:tcPr>
          <w:p>
            <w:pPr>
              <w:spacing w:after="0"/>
              <w:rPr>
                <w:sz w:val="15"/>
                <w:szCs w:val="15"/>
                <w:color w:val="auto"/>
              </w:rPr>
            </w:pP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165,000</w:t>
            </w:r>
          </w:p>
        </w:tc>
        <w:tc>
          <w:tcPr>
            <w:tcW w:w="460" w:type="dxa"/>
            <w:vAlign w:val="bottom"/>
          </w:tcPr>
          <w:p>
            <w:pPr>
              <w:spacing w:after="0"/>
              <w:rPr>
                <w:sz w:val="15"/>
                <w:szCs w:val="15"/>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1,855</w:t>
            </w:r>
          </w:p>
        </w:tc>
        <w:tc>
          <w:tcPr>
            <w:tcW w:w="5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60" w:type="dxa"/>
            <w:vAlign w:val="bottom"/>
          </w:tcPr>
          <w:p>
            <w:pPr>
              <w:spacing w:after="0"/>
              <w:rPr>
                <w:sz w:val="15"/>
                <w:szCs w:val="15"/>
                <w:color w:val="auto"/>
              </w:rPr>
            </w:pPr>
          </w:p>
        </w:tc>
      </w:tr>
      <w:tr>
        <w:trPr>
          <w:trHeight w:val="184"/>
        </w:trPr>
        <w:tc>
          <w:tcPr>
            <w:tcW w:w="2240" w:type="dxa"/>
            <w:vAlign w:val="bottom"/>
            <w:shd w:val="clear" w:color="auto" w:fill="CCECFF"/>
          </w:tcPr>
          <w:p>
            <w:pPr>
              <w:spacing w:after="0"/>
              <w:rPr>
                <w:sz w:val="16"/>
                <w:szCs w:val="16"/>
                <w:color w:val="auto"/>
              </w:rPr>
            </w:pPr>
          </w:p>
        </w:tc>
        <w:tc>
          <w:tcPr>
            <w:tcW w:w="256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460" w:type="dxa"/>
            <w:vAlign w:val="bottom"/>
            <w:shd w:val="clear" w:color="auto" w:fill="CCECFF"/>
          </w:tcPr>
          <w:p>
            <w:pPr>
              <w:spacing w:after="0"/>
              <w:rPr>
                <w:sz w:val="16"/>
                <w:szCs w:val="16"/>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Total cost of each class of senior securities outstanding at the end of the period presented in thousands (000s).</w:t>
      </w:r>
    </w:p>
    <w:p>
      <w:pPr>
        <w:spacing w:after="0" w:line="59"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These amounts exclude SBA debentures from our total amount outstanding and asset coverage per unit computation pursuant to an exemptive relief letter provided by the SEC in June 2011.</w:t>
      </w:r>
    </w:p>
    <w:p>
      <w:pPr>
        <w:spacing w:after="0" w:line="59" w:lineRule="exact"/>
        <w:rPr>
          <w:sz w:val="20"/>
          <w:szCs w:val="20"/>
          <w:color w:val="auto"/>
        </w:rPr>
      </w:pPr>
    </w:p>
    <w:p>
      <w:pPr>
        <w:ind w:right="360"/>
        <w:spacing w:after="0" w:line="224"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89"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53"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September 30, 2023 and 2022 PSLF had total assets of $872.8 million and $ 781.3 million, respectively. PSLF’s portfolio consisted of debt investments in 90 and 80 portfolio companies as of September 30, 2023 and 2022, respectively. As of the same dates, we and Pantheon had remaining commitments to fund first lien secured debt of $22.4 million and $46.1 million, respectively, and equity interests of $14.5 million and $29.9 million, respectively, in PSLF. As of September 30, 2023, at fair value, the largest investment in a single portfolio company in PSLF was $19.7 million and the five largest investments totaled $97.5 million. As of September 30, 2022 at fair value, the largest investment in a single portfolio company in PSLF was $19.9 million and the five largest investments totaled $98.5 million. PSLF invests in portfolio companies in the same industries in which we may directly invest.</w:t>
      </w:r>
    </w:p>
    <w:p>
      <w:pPr>
        <w:spacing w:after="0" w:line="96"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September 30, 2023 and 2022, we and Pantheon owned 60.5% and 39.5%, respectively, of each of the outstanding subordinated notes and equity interests of PSLF. As of September 30, 2023 and 2022, our investment in PSLF consisted of subordinated notes of $102.3 million and $88.0 million, respectively, and equity interests of $58.6 million and $51.1 million, respectively.</w:t>
      </w:r>
    </w:p>
    <w:p>
      <w:pPr>
        <w:spacing w:after="0" w:line="8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32" w:lineRule="exact"/>
        <w:rPr>
          <w:sz w:val="20"/>
          <w:szCs w:val="20"/>
          <w:color w:val="auto"/>
        </w:rPr>
      </w:pPr>
    </w:p>
    <w:p>
      <w:pPr>
        <w:jc w:val="both"/>
        <w:ind w:right="80" w:firstLine="420"/>
        <w:spacing w:after="0" w:line="268" w:lineRule="auto"/>
        <w:rPr>
          <w:sz w:val="20"/>
          <w:szCs w:val="20"/>
          <w:color w:val="auto"/>
        </w:rPr>
      </w:pPr>
      <w:r>
        <w:rPr>
          <w:rFonts w:ascii="Times New Roman" w:cs="Times New Roman" w:eastAsia="Times New Roman" w:hAnsi="Times New Roman"/>
          <w:sz w:val="13"/>
          <w:szCs w:val="13"/>
          <w:color w:val="auto"/>
        </w:rPr>
        <w:t>Additionally, PSLF, through its wholly -owned subsidiary, or PSLF Subsidiary, has entered into a $325 million (increased from $225.0 million on September 2, 2022) senior secured revolving credit facility which bears interest at SOFR (or an alternative risk-free interest rate index) plus 260 basis points during the investment period, or the PSLF Credit Facility, with BNP Paribas, subject to leverage and borrowing base restrictions.</w:t>
      </w:r>
    </w:p>
    <w:p>
      <w:pPr>
        <w:spacing w:after="0" w:line="8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a wholly owned subsidiary of PSLF 100% of the Subordinated Notes issued by PennantPark CLO IV, LLC.</w:t>
      </w:r>
    </w:p>
    <w:p>
      <w:pPr>
        <w:spacing w:after="0" w:line="94"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 -1a Notes maturing 2035, which bear interest at the three -month SOFR plus 2.7%, (ii) $ 20.0 million Class A-1b Loans 2035, which bear interest at 6.5%, (iii) $12.0 million Class A- 2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September 30, 2023 there was $246.0 million of external 2035 Asset-Backed Debt and there was $2.3 million of un-amortized financing costs. As of September 30, 2023 the weighted average interest rate was 8.6%.</w:t>
      </w: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3100" w:type="dxa"/>
            <w:vAlign w:val="bottom"/>
          </w:tcPr>
          <w:p>
            <w:pPr>
              <w:spacing w:after="0"/>
              <w:rPr>
                <w:sz w:val="15"/>
                <w:szCs w:val="15"/>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84"/>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804,187</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730,108</w:t>
            </w:r>
          </w:p>
        </w:tc>
        <w:tc>
          <w:tcPr>
            <w:tcW w:w="40" w:type="dxa"/>
            <w:vAlign w:val="bottom"/>
          </w:tcPr>
          <w:p>
            <w:pPr>
              <w:spacing w:after="0"/>
              <w:rPr>
                <w:sz w:val="16"/>
                <w:szCs w:val="16"/>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3100" w:type="dxa"/>
            <w:vAlign w:val="bottom"/>
          </w:tcPr>
          <w:p>
            <w:pPr>
              <w:spacing w:after="0"/>
              <w:rPr>
                <w:sz w:val="15"/>
                <w:szCs w:val="15"/>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12.1 %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9.4 %</w:t>
            </w:r>
          </w:p>
        </w:tc>
      </w:tr>
      <w:tr>
        <w:trPr>
          <w:trHeight w:val="184"/>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3100" w:type="dxa"/>
            <w:vAlign w:val="bottom"/>
            <w:shd w:val="clear" w:color="auto" w:fill="CCECFF"/>
          </w:tcPr>
          <w:p>
            <w:pPr>
              <w:spacing w:after="0"/>
              <w:rPr>
                <w:sz w:val="16"/>
                <w:szCs w:val="16"/>
                <w:color w:val="auto"/>
              </w:rPr>
            </w:pP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90</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w:t>
            </w:r>
          </w:p>
        </w:tc>
        <w:tc>
          <w:tcPr>
            <w:tcW w:w="40" w:type="dxa"/>
            <w:vAlign w:val="bottom"/>
          </w:tcPr>
          <w:p>
            <w:pPr>
              <w:spacing w:after="0"/>
              <w:rPr>
                <w:sz w:val="16"/>
                <w:szCs w:val="16"/>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3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19,737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19,906</w:t>
            </w:r>
          </w:p>
        </w:tc>
        <w:tc>
          <w:tcPr>
            <w:tcW w:w="40" w:type="dxa"/>
            <w:vAlign w:val="bottom"/>
          </w:tcPr>
          <w:p>
            <w:pPr>
              <w:spacing w:after="0"/>
              <w:rPr>
                <w:sz w:val="15"/>
                <w:szCs w:val="15"/>
                <w:color w:val="auto"/>
              </w:rPr>
            </w:pPr>
          </w:p>
        </w:tc>
      </w:tr>
      <w:tr>
        <w:trPr>
          <w:trHeight w:val="184"/>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3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97,526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98,502</w:t>
            </w:r>
          </w:p>
        </w:tc>
        <w:tc>
          <w:tcPr>
            <w:tcW w:w="40" w:type="dxa"/>
            <w:vAlign w:val="bottom"/>
          </w:tcPr>
          <w:p>
            <w:pPr>
              <w:spacing w:after="0"/>
              <w:rPr>
                <w:sz w:val="16"/>
                <w:szCs w:val="16"/>
                <w:color w:val="auto"/>
              </w:rPr>
            </w:pPr>
          </w:p>
        </w:tc>
      </w:tr>
      <w:tr>
        <w:trPr>
          <w:trHeight w:val="688"/>
        </w:trPr>
        <w:tc>
          <w:tcPr>
            <w:tcW w:w="4300" w:type="dxa"/>
            <w:vAlign w:val="bottom"/>
          </w:tcPr>
          <w:p>
            <w:pPr>
              <w:spacing w:after="0"/>
              <w:rPr>
                <w:sz w:val="24"/>
                <w:szCs w:val="24"/>
                <w:color w:val="auto"/>
              </w:rPr>
            </w:pPr>
          </w:p>
        </w:tc>
        <w:tc>
          <w:tcPr>
            <w:tcW w:w="3100" w:type="dxa"/>
            <w:vAlign w:val="bottom"/>
          </w:tcPr>
          <w:p>
            <w:pPr>
              <w:jc w:val="right"/>
              <w:ind w:right="1974"/>
              <w:spacing w:after="0"/>
              <w:rPr>
                <w:sz w:val="20"/>
                <w:szCs w:val="20"/>
                <w:color w:val="auto"/>
              </w:rPr>
            </w:pPr>
            <w:r>
              <w:rPr>
                <w:rFonts w:ascii="Times New Roman" w:cs="Times New Roman" w:eastAsia="Times New Roman" w:hAnsi="Times New Roman"/>
                <w:sz w:val="13"/>
                <w:szCs w:val="13"/>
                <w:color w:val="auto"/>
              </w:rPr>
              <w:t>53</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4"/>
        </w:trPr>
        <w:tc>
          <w:tcPr>
            <w:tcW w:w="4300" w:type="dxa"/>
            <w:vAlign w:val="bottom"/>
            <w:tcBorders>
              <w:bottom w:val="single" w:sz="8" w:color="EEEEEE"/>
            </w:tcBorders>
          </w:tcPr>
          <w:p>
            <w:pPr>
              <w:spacing w:after="0"/>
              <w:rPr>
                <w:sz w:val="9"/>
                <w:szCs w:val="9"/>
                <w:color w:val="auto"/>
              </w:rPr>
            </w:pPr>
          </w:p>
        </w:tc>
        <w:tc>
          <w:tcPr>
            <w:tcW w:w="3100" w:type="dxa"/>
            <w:vAlign w:val="bottom"/>
            <w:tcBorders>
              <w:bottom w:val="single" w:sz="8" w:color="EEEEEE"/>
            </w:tcBorders>
          </w:tcPr>
          <w:p>
            <w:pPr>
              <w:spacing w:after="0"/>
              <w:rPr>
                <w:sz w:val="9"/>
                <w:szCs w:val="9"/>
                <w:color w:val="auto"/>
              </w:rPr>
            </w:pPr>
          </w:p>
        </w:tc>
        <w:tc>
          <w:tcPr>
            <w:tcW w:w="154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1420" w:type="dxa"/>
            <w:vAlign w:val="bottom"/>
            <w:tcBorders>
              <w:bottom w:val="single" w:sz="8" w:color="EEEEEE"/>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80" w:right="640"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2023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000" w:type="dxa"/>
            <w:vAlign w:val="bottom"/>
            <w:vMerge w:val="restart"/>
          </w:tcPr>
          <w:p>
            <w:pPr>
              <w:jc w:val="center"/>
              <w:ind w:left="192"/>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320" w:type="dxa"/>
            <w:vAlign w:val="bottom"/>
            <w:vMerge w:val="restart"/>
          </w:tcPr>
          <w:p>
            <w:pPr>
              <w:ind w:left="9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2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9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Above</w:t>
            </w:r>
          </w:p>
        </w:tc>
        <w:tc>
          <w:tcPr>
            <w:tcW w:w="740" w:type="dxa"/>
            <w:vAlign w:val="bottom"/>
            <w:vMerge w:val="restart"/>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Par</w:t>
            </w:r>
          </w:p>
        </w:tc>
        <w:tc>
          <w:tcPr>
            <w:tcW w:w="220" w:type="dxa"/>
            <w:vAlign w:val="bottom"/>
          </w:tcPr>
          <w:p>
            <w:pPr>
              <w:spacing w:after="0"/>
              <w:rPr>
                <w:sz w:val="15"/>
                <w:szCs w:val="15"/>
                <w:color w:val="auto"/>
              </w:rPr>
            </w:pPr>
          </w:p>
        </w:tc>
        <w:tc>
          <w:tcPr>
            <w:tcW w:w="62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840" w:type="dxa"/>
            <w:vAlign w:val="bottom"/>
            <w:gridSpan w:val="2"/>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7"/>
        </w:trPr>
        <w:tc>
          <w:tcPr>
            <w:tcW w:w="2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92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40" w:type="dxa"/>
            <w:vAlign w:val="bottom"/>
          </w:tcPr>
          <w:p>
            <w:pPr>
              <w:jc w:val="center"/>
              <w:ind w:right="71"/>
              <w:spacing w:after="0" w:line="167"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3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12/22/28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14,668</w:t>
            </w:r>
          </w:p>
        </w:tc>
        <w:tc>
          <w:tcPr>
            <w:tcW w:w="26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05/07/26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11.65 %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76"/>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1000" w:type="dxa"/>
            <w:vAlign w:val="bottom"/>
            <w:tcBorders>
              <w:bottom w:val="single" w:sz="8" w:color="CCECFF"/>
            </w:tcBorders>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11/30/26</w:t>
            </w:r>
          </w:p>
        </w:tc>
        <w:tc>
          <w:tcPr>
            <w:tcW w:w="23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20" w:type="dxa"/>
            <w:vAlign w:val="bottom"/>
            <w:tcBorders>
              <w:bottom w:val="single" w:sz="8" w:color="CCECFF"/>
            </w:tcBorders>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11.26 %</w:t>
            </w:r>
          </w:p>
        </w:tc>
        <w:tc>
          <w:tcPr>
            <w:tcW w:w="940" w:type="dxa"/>
            <w:vAlign w:val="bottom"/>
            <w:tcBorders>
              <w:bottom w:val="single" w:sz="8" w:color="CCECFF"/>
            </w:tcBorders>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14,837</w:t>
            </w:r>
          </w:p>
        </w:tc>
        <w:tc>
          <w:tcPr>
            <w:tcW w:w="22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14,528</w:t>
            </w:r>
          </w:p>
        </w:tc>
        <w:tc>
          <w:tcPr>
            <w:tcW w:w="26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06/10/25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05/23/24</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14,354</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14,319</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07/21/27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10,847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07/31/25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10.52 %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6,424</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07/31/25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11.11 %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3,316</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07/31/25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10.76 %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09"/>
        </w:trPr>
        <w:tc>
          <w:tcPr>
            <w:tcW w:w="2960" w:type="dxa"/>
            <w:vAlign w:val="bottom"/>
          </w:tcPr>
          <w:p>
            <w:pPr>
              <w:ind w:left="20"/>
              <w:spacing w:after="0" w:line="109" w:lineRule="exact"/>
              <w:rPr>
                <w:sz w:val="20"/>
                <w:szCs w:val="20"/>
                <w:color w:val="auto"/>
              </w:rPr>
            </w:pPr>
            <w:r>
              <w:rPr>
                <w:rFonts w:ascii="Times New Roman" w:cs="Times New Roman" w:eastAsia="Times New Roman" w:hAnsi="Times New Roman"/>
                <w:sz w:val="10"/>
                <w:szCs w:val="10"/>
                <w:color w:val="auto"/>
              </w:rPr>
              <w:t>Applied Technical Services, LLC</w:t>
            </w:r>
          </w:p>
        </w:tc>
        <w:tc>
          <w:tcPr>
            <w:tcW w:w="1000" w:type="dxa"/>
            <w:vAlign w:val="bottom"/>
          </w:tcPr>
          <w:p>
            <w:pPr>
              <w:jc w:val="center"/>
              <w:ind w:left="192"/>
              <w:spacing w:after="0" w:line="109" w:lineRule="exact"/>
              <w:rPr>
                <w:sz w:val="20"/>
                <w:szCs w:val="20"/>
                <w:color w:val="auto"/>
              </w:rPr>
            </w:pPr>
            <w:r>
              <w:rPr>
                <w:rFonts w:ascii="Times New Roman" w:cs="Times New Roman" w:eastAsia="Times New Roman" w:hAnsi="Times New Roman"/>
                <w:sz w:val="10"/>
                <w:szCs w:val="10"/>
                <w:color w:val="auto"/>
              </w:rPr>
              <w:t>12/29/26</w:t>
            </w:r>
          </w:p>
        </w:tc>
        <w:tc>
          <w:tcPr>
            <w:tcW w:w="2320" w:type="dxa"/>
            <w:vAlign w:val="bottom"/>
          </w:tcPr>
          <w:p>
            <w:pPr>
              <w:jc w:val="center"/>
              <w:spacing w:after="0" w:line="109" w:lineRule="exact"/>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tcPr>
          <w:p>
            <w:pPr>
              <w:jc w:val="right"/>
              <w:ind w:right="51"/>
              <w:spacing w:after="0" w:line="109" w:lineRule="exact"/>
              <w:rPr>
                <w:sz w:val="20"/>
                <w:szCs w:val="20"/>
                <w:color w:val="auto"/>
              </w:rPr>
            </w:pPr>
            <w:r>
              <w:rPr>
                <w:rFonts w:ascii="Times New Roman" w:cs="Times New Roman" w:eastAsia="Times New Roman" w:hAnsi="Times New Roman"/>
                <w:sz w:val="10"/>
                <w:szCs w:val="10"/>
                <w:color w:val="auto"/>
              </w:rPr>
              <w:t>11.51 %</w:t>
            </w:r>
          </w:p>
        </w:tc>
        <w:tc>
          <w:tcPr>
            <w:tcW w:w="940" w:type="dxa"/>
            <w:vAlign w:val="bottom"/>
          </w:tcPr>
          <w:p>
            <w:pPr>
              <w:ind w:left="320"/>
              <w:spacing w:after="0" w:line="109" w:lineRule="exact"/>
              <w:rPr>
                <w:sz w:val="20"/>
                <w:szCs w:val="20"/>
                <w:color w:val="auto"/>
              </w:rPr>
            </w:pPr>
            <w:r>
              <w:rPr>
                <w:rFonts w:ascii="Times New Roman" w:cs="Times New Roman" w:eastAsia="Times New Roman" w:hAnsi="Times New Roman"/>
                <w:sz w:val="10"/>
                <w:szCs w:val="10"/>
                <w:color w:val="auto"/>
              </w:rPr>
              <w:t>SOFR+575</w:t>
            </w:r>
          </w:p>
        </w:tc>
        <w:tc>
          <w:tcPr>
            <w:tcW w:w="740" w:type="dxa"/>
            <w:vAlign w:val="bottom"/>
          </w:tcPr>
          <w:p>
            <w:pPr>
              <w:jc w:val="right"/>
              <w:ind w:right="72"/>
              <w:spacing w:after="0" w:line="109" w:lineRule="exact"/>
              <w:rPr>
                <w:sz w:val="20"/>
                <w:szCs w:val="20"/>
                <w:color w:val="auto"/>
              </w:rPr>
            </w:pPr>
            <w:r>
              <w:rPr>
                <w:rFonts w:ascii="Times New Roman" w:cs="Times New Roman" w:eastAsia="Times New Roman" w:hAnsi="Times New Roman"/>
                <w:sz w:val="10"/>
                <w:szCs w:val="10"/>
                <w:color w:val="auto"/>
              </w:rPr>
              <w:t>11,394</w:t>
            </w:r>
          </w:p>
        </w:tc>
        <w:tc>
          <w:tcPr>
            <w:tcW w:w="220" w:type="dxa"/>
            <w:vAlign w:val="bottom"/>
          </w:tcPr>
          <w:p>
            <w:pPr>
              <w:spacing w:after="0"/>
              <w:rPr>
                <w:sz w:val="9"/>
                <w:szCs w:val="9"/>
                <w:color w:val="auto"/>
              </w:rPr>
            </w:pPr>
          </w:p>
        </w:tc>
        <w:tc>
          <w:tcPr>
            <w:tcW w:w="620" w:type="dxa"/>
            <w:vAlign w:val="bottom"/>
          </w:tcPr>
          <w:p>
            <w:pPr>
              <w:jc w:val="right"/>
              <w:ind w:right="72"/>
              <w:spacing w:after="0" w:line="109" w:lineRule="exact"/>
              <w:rPr>
                <w:sz w:val="20"/>
                <w:szCs w:val="20"/>
                <w:color w:val="auto"/>
              </w:rPr>
            </w:pPr>
            <w:r>
              <w:rPr>
                <w:rFonts w:ascii="Times New Roman" w:cs="Times New Roman" w:eastAsia="Times New Roman" w:hAnsi="Times New Roman"/>
                <w:sz w:val="10"/>
                <w:szCs w:val="10"/>
                <w:color w:val="auto"/>
              </w:rPr>
              <w:t>11,271</w:t>
            </w:r>
          </w:p>
        </w:tc>
        <w:tc>
          <w:tcPr>
            <w:tcW w:w="260" w:type="dxa"/>
            <w:vAlign w:val="bottom"/>
          </w:tcPr>
          <w:p>
            <w:pPr>
              <w:spacing w:after="0"/>
              <w:rPr>
                <w:sz w:val="9"/>
                <w:szCs w:val="9"/>
                <w:color w:val="auto"/>
              </w:rPr>
            </w:pPr>
          </w:p>
        </w:tc>
        <w:tc>
          <w:tcPr>
            <w:tcW w:w="58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79"/>
        </w:trPr>
        <w:tc>
          <w:tcPr>
            <w:tcW w:w="2960" w:type="dxa"/>
            <w:vAlign w:val="bottom"/>
          </w:tcPr>
          <w:p>
            <w:pPr>
              <w:ind w:left="20"/>
              <w:spacing w:after="0" w:line="179"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6"/>
                <w:szCs w:val="16"/>
                <w:color w:val="auto"/>
                <w:vertAlign w:val="superscript"/>
              </w:rPr>
              <w:t>(3)</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12/29/26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513</w:t>
            </w:r>
          </w:p>
        </w:tc>
        <w:tc>
          <w:tcPr>
            <w:tcW w:w="22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08/03/29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11.62 %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11,820</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07/01/29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14,604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01/31/28</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11.83 %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8,874</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09/17/24</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17,823</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17,588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12/04/25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11.50 %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09/26/29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06/14/28</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17,013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08/20/26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2,921</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07/13/27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11.16 %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8,808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08/16/27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2,575</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08/31/27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10,834</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40"/>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000" w:type="dxa"/>
            <w:vAlign w:val="bottom"/>
            <w:vMerge w:val="restart"/>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12/21/28</w:t>
            </w:r>
          </w:p>
        </w:tc>
        <w:tc>
          <w:tcPr>
            <w:tcW w:w="23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vMerge w:val="restart"/>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vMerge w:val="restart"/>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4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22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3,959</w:t>
            </w:r>
          </w:p>
        </w:tc>
        <w:tc>
          <w:tcPr>
            <w:tcW w:w="26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92"/>
        </w:trPr>
        <w:tc>
          <w:tcPr>
            <w:tcW w:w="2960" w:type="dxa"/>
            <w:vAlign w:val="bottom"/>
            <w:shd w:val="clear" w:color="auto" w:fill="CCECFF"/>
          </w:tcPr>
          <w:p>
            <w:pPr>
              <w:spacing w:after="0"/>
              <w:rPr>
                <w:sz w:val="8"/>
                <w:szCs w:val="8"/>
                <w:color w:val="auto"/>
              </w:rPr>
            </w:pPr>
          </w:p>
        </w:tc>
        <w:tc>
          <w:tcPr>
            <w:tcW w:w="1000" w:type="dxa"/>
            <w:vAlign w:val="bottom"/>
            <w:vMerge w:val="continue"/>
            <w:shd w:val="clear" w:color="auto" w:fill="CCECFF"/>
          </w:tcPr>
          <w:p>
            <w:pPr>
              <w:spacing w:after="0"/>
              <w:rPr>
                <w:sz w:val="8"/>
                <w:szCs w:val="8"/>
                <w:color w:val="auto"/>
              </w:rPr>
            </w:pPr>
          </w:p>
        </w:tc>
        <w:tc>
          <w:tcPr>
            <w:tcW w:w="2320" w:type="dxa"/>
            <w:vAlign w:val="bottom"/>
            <w:vMerge w:val="continue"/>
            <w:shd w:val="clear" w:color="auto" w:fill="CCECFF"/>
          </w:tcPr>
          <w:p>
            <w:pPr>
              <w:spacing w:after="0"/>
              <w:rPr>
                <w:sz w:val="8"/>
                <w:szCs w:val="8"/>
                <w:color w:val="auto"/>
              </w:rPr>
            </w:pPr>
          </w:p>
        </w:tc>
        <w:tc>
          <w:tcPr>
            <w:tcW w:w="920" w:type="dxa"/>
            <w:vAlign w:val="bottom"/>
            <w:vMerge w:val="continue"/>
            <w:shd w:val="clear" w:color="auto" w:fill="CCECFF"/>
          </w:tcPr>
          <w:p>
            <w:pPr>
              <w:spacing w:after="0"/>
              <w:rPr>
                <w:sz w:val="8"/>
                <w:szCs w:val="8"/>
                <w:color w:val="auto"/>
              </w:rPr>
            </w:pPr>
          </w:p>
        </w:tc>
        <w:tc>
          <w:tcPr>
            <w:tcW w:w="940" w:type="dxa"/>
            <w:vAlign w:val="bottom"/>
            <w:vMerge w:val="continue"/>
            <w:shd w:val="clear" w:color="auto" w:fill="CCECFF"/>
          </w:tcPr>
          <w:p>
            <w:pPr>
              <w:spacing w:after="0"/>
              <w:rPr>
                <w:sz w:val="8"/>
                <w:szCs w:val="8"/>
                <w:color w:val="auto"/>
              </w:rPr>
            </w:pPr>
          </w:p>
        </w:tc>
        <w:tc>
          <w:tcPr>
            <w:tcW w:w="740" w:type="dxa"/>
            <w:vAlign w:val="bottom"/>
            <w:vMerge w:val="continue"/>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20" w:type="dxa"/>
            <w:vAlign w:val="bottom"/>
            <w:vMerge w:val="continue"/>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58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11/03/25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14,395</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14,345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06/30/24</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11.93 %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8,635</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01/10/29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6,148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01/17/24</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3,712</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3,665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05/29/29</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11.89 %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12,171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03/15/27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06/17/28</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10.40 %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02/23/28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12.43 %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4,373</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4,291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03/16/26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11.96 %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7,027</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8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08/10/27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shd w:val="clear" w:color="auto" w:fill="CCECFF"/>
          </w:tcPr>
          <w:p>
            <w:pPr>
              <w:jc w:val="right"/>
              <w:ind w:right="51"/>
              <w:spacing w:after="0" w:line="184" w:lineRule="exact"/>
              <w:rPr>
                <w:sz w:val="20"/>
                <w:szCs w:val="20"/>
                <w:color w:val="auto"/>
              </w:rPr>
            </w:pPr>
            <w:r>
              <w:rPr>
                <w:rFonts w:ascii="Times New Roman" w:cs="Times New Roman" w:eastAsia="Times New Roman" w:hAnsi="Times New Roman"/>
                <w:sz w:val="10"/>
                <w:szCs w:val="10"/>
                <w:color w:val="auto"/>
              </w:rPr>
              <w:t xml:space="preserve">10.99 </w:t>
            </w:r>
            <w:r>
              <w:rPr>
                <w:rFonts w:ascii="Times New Roman" w:cs="Times New Roman" w:eastAsia="Times New Roman" w:hAnsi="Times New Roman"/>
                <w:sz w:val="19"/>
                <w:szCs w:val="19"/>
                <w:color w:val="auto"/>
                <w:vertAlign w:val="subscript"/>
              </w:rPr>
              <w:t>%</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w:t>
            </w:r>
          </w:p>
        </w:tc>
        <w:tc>
          <w:tcPr>
            <w:tcW w:w="220" w:type="dxa"/>
            <w:vAlign w:val="bottom"/>
            <w:shd w:val="clear" w:color="auto" w:fill="CCECFF"/>
          </w:tcPr>
          <w:p>
            <w:pPr>
              <w:spacing w:after="0"/>
              <w:rPr>
                <w:sz w:val="16"/>
                <w:szCs w:val="16"/>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1,925</w:t>
            </w:r>
          </w:p>
        </w:tc>
        <w:tc>
          <w:tcPr>
            <w:tcW w:w="260" w:type="dxa"/>
            <w:vAlign w:val="bottom"/>
            <w:shd w:val="clear" w:color="auto" w:fill="CCECFF"/>
          </w:tcPr>
          <w:p>
            <w:pPr>
              <w:spacing w:after="0"/>
              <w:rPr>
                <w:sz w:val="16"/>
                <w:szCs w:val="16"/>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12/31/26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11/23/28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11.32 %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19,388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12/17/26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15,140</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12/10/24</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14,250</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14,171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09/22/28</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11.45 %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4,355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11/15/27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10.72 %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5,565</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12/31/24</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12.50 %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19,410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12/28/28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12.24 %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10,867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11/01/26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08/27/26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11.57 %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19,701</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19,639</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12/20/23</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13.42 %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SOFR+800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11/10/27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16,920</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16,641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10/31/24</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11.46 %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4,631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02/18/27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12.13 %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19,723</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19,565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02/03/26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12,218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01/31/30</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6,318</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6,206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04/01/27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7,601</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7,153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07/31/28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3,785</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05/14/26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10,885</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04/16/27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7,780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36"/>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vMerge w:val="restart"/>
          </w:tcPr>
          <w:p>
            <w:pPr>
              <w:jc w:val="center"/>
              <w:ind w:left="192"/>
              <w:spacing w:after="0"/>
              <w:rPr>
                <w:sz w:val="20"/>
                <w:szCs w:val="20"/>
                <w:color w:val="auto"/>
              </w:rPr>
            </w:pPr>
            <w:r>
              <w:rPr>
                <w:rFonts w:ascii="Times New Roman" w:cs="Times New Roman" w:eastAsia="Times New Roman" w:hAnsi="Times New Roman"/>
                <w:sz w:val="10"/>
                <w:szCs w:val="10"/>
                <w:color w:val="auto"/>
              </w:rPr>
              <w:t>12/10/27</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20" w:type="dxa"/>
            <w:vAlign w:val="bottom"/>
            <w:vMerge w:val="restart"/>
          </w:tcPr>
          <w:p>
            <w:pPr>
              <w:jc w:val="right"/>
              <w:ind w:right="51"/>
              <w:spacing w:after="0"/>
              <w:rPr>
                <w:sz w:val="20"/>
                <w:szCs w:val="20"/>
                <w:color w:val="auto"/>
              </w:rPr>
            </w:pPr>
            <w:r>
              <w:rPr>
                <w:rFonts w:ascii="Times New Roman" w:cs="Times New Roman" w:eastAsia="Times New Roman" w:hAnsi="Times New Roman"/>
                <w:sz w:val="10"/>
                <w:szCs w:val="10"/>
                <w:color w:val="auto"/>
              </w:rPr>
              <w:t>10.58 %</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220" w:type="dxa"/>
            <w:vAlign w:val="bottom"/>
          </w:tcPr>
          <w:p>
            <w:pPr>
              <w:spacing w:after="0"/>
              <w:rPr>
                <w:sz w:val="11"/>
                <w:szCs w:val="11"/>
                <w:color w:val="auto"/>
              </w:rPr>
            </w:pPr>
          </w:p>
        </w:tc>
        <w:tc>
          <w:tcPr>
            <w:tcW w:w="6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2,911</w:t>
            </w:r>
          </w:p>
        </w:tc>
        <w:tc>
          <w:tcPr>
            <w:tcW w:w="260" w:type="dxa"/>
            <w:vAlign w:val="bottom"/>
          </w:tcPr>
          <w:p>
            <w:pPr>
              <w:spacing w:after="0"/>
              <w:rPr>
                <w:sz w:val="11"/>
                <w:szCs w:val="11"/>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3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10/01/27</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5,975</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5,860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08/19/26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7,429</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7,369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05/09/29</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11.97 %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7,910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05/07/27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11.68 %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8,311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02/04/28</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05/18/26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12.90 %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4,378</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12/02/26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11,474</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11,267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11/09/27</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12.42 %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7,930</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7,818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7,137</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05/08/26</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10.92 %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2,551</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11/19/26</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3,314</w:t>
            </w:r>
          </w:p>
        </w:tc>
        <w:tc>
          <w:tcPr>
            <w:tcW w:w="22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3,267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3,264</w:t>
            </w:r>
          </w:p>
        </w:tc>
        <w:tc>
          <w:tcPr>
            <w:tcW w:w="0" w:type="dxa"/>
            <w:vAlign w:val="bottom"/>
          </w:tcPr>
          <w:p>
            <w:pPr>
              <w:spacing w:after="0"/>
              <w:rPr>
                <w:sz w:val="1"/>
                <w:szCs w:val="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0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rPr>
              <w:t>03/31/25</w:t>
            </w: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2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12,703</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12,641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12,576</w:t>
            </w:r>
          </w:p>
        </w:tc>
        <w:tc>
          <w:tcPr>
            <w:tcW w:w="0" w:type="dxa"/>
            <w:vAlign w:val="bottom"/>
          </w:tcPr>
          <w:p>
            <w:pPr>
              <w:spacing w:after="0"/>
              <w:rPr>
                <w:sz w:val="1"/>
                <w:szCs w:val="1"/>
                <w:color w:val="auto"/>
              </w:rPr>
            </w:pPr>
          </w:p>
        </w:tc>
      </w:tr>
      <w:tr>
        <w:trPr>
          <w:trHeight w:val="136"/>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rPr>
              <w:t>12/18/25</w:t>
            </w:r>
          </w:p>
        </w:tc>
        <w:tc>
          <w:tcPr>
            <w:tcW w:w="23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5,603</w:t>
            </w:r>
          </w:p>
        </w:tc>
        <w:tc>
          <w:tcPr>
            <w:tcW w:w="220" w:type="dxa"/>
            <w:vAlign w:val="bottom"/>
          </w:tcPr>
          <w:p>
            <w:pPr>
              <w:spacing w:after="0"/>
              <w:rPr>
                <w:sz w:val="11"/>
                <w:szCs w:val="11"/>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5,603</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-5215255</wp:posOffset>
            </wp:positionV>
            <wp:extent cx="6707505" cy="91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2" w:right="68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5"/>
              </w:rPr>
              <w:t>Above</w:t>
            </w:r>
          </w:p>
        </w:tc>
        <w:tc>
          <w:tcPr>
            <w:tcW w:w="840" w:type="dxa"/>
            <w:vAlign w:val="bottom"/>
            <w:vMerge w:val="restart"/>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Par</w:t>
            </w:r>
          </w:p>
        </w:tc>
        <w:tc>
          <w:tcPr>
            <w:tcW w:w="120" w:type="dxa"/>
            <w:vAlign w:val="bottom"/>
          </w:tcPr>
          <w:p>
            <w:pPr>
              <w:spacing w:after="0"/>
              <w:rPr>
                <w:sz w:val="15"/>
                <w:szCs w:val="15"/>
                <w:color w:val="auto"/>
              </w:rPr>
            </w:pPr>
          </w:p>
        </w:tc>
        <w:tc>
          <w:tcPr>
            <w:tcW w:w="520" w:type="dxa"/>
            <w:vAlign w:val="bottom"/>
            <w:vMerge w:val="restart"/>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232"/>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04/28/28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5,000</w:t>
            </w:r>
          </w:p>
        </w:tc>
        <w:tc>
          <w:tcPr>
            <w:tcW w:w="1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4,937</w:t>
            </w:r>
          </w:p>
        </w:tc>
        <w:tc>
          <w:tcPr>
            <w:tcW w:w="36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01/29/26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12.54 %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9,750</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12/20/24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14,389</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06/20/25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3,176</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03/10/25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10,895</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10,786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06/16/29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11.52 %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3,749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01/03/25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6,859</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12/20/24</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jc w:val="right"/>
              <w:ind w:right="51"/>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auto"/>
              </w:rPr>
              <w:t>SOFR+750</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0"/>
                <w:szCs w:val="10"/>
                <w:color w:val="auto"/>
              </w:rPr>
              <w:t>4,872</w:t>
            </w: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12.92</w:t>
            </w:r>
          </w:p>
        </w:tc>
        <w:tc>
          <w:tcPr>
            <w:tcW w:w="9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06/13/29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14,850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05/03/24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11,201</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05/17/28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9.93 %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1,300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07/17/25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12.37 %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03/01/28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9,607</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12/11/26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12,099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11/24/28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10.43 %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3,572</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08/16/27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15,966</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11/24/28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2,688</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07/18/25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2,936</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10/31/25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11,095</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07/27/26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12.79 %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7,855</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08/31/27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SOFR+635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7,690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11/24/25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10.68 %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5,479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06/06/25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7,177</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04/03/28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10.90 %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06/15/26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3,860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02/27/26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11,386</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03/01/24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12.67 %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19,682</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120" w:type="dxa"/>
            <w:vAlign w:val="bottom"/>
            <w:shd w:val="clear" w:color="auto" w:fill="CCECFF"/>
          </w:tcPr>
          <w:p>
            <w:pPr>
              <w:spacing w:after="0"/>
              <w:rPr>
                <w:sz w:val="15"/>
                <w:szCs w:val="15"/>
                <w:color w:val="auto"/>
              </w:rPr>
            </w:pPr>
          </w:p>
        </w:tc>
        <w:tc>
          <w:tcPr>
            <w:tcW w:w="200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1120" w:type="dxa"/>
            <w:vAlign w:val="bottom"/>
            <w:shd w:val="clear" w:color="auto" w:fill="CCECFF"/>
          </w:tcPr>
          <w:p>
            <w:pPr>
              <w:spacing w:after="0"/>
              <w:rPr>
                <w:sz w:val="16"/>
                <w:szCs w:val="16"/>
                <w:color w:val="auto"/>
              </w:rPr>
            </w:pPr>
          </w:p>
        </w:tc>
        <w:tc>
          <w:tcPr>
            <w:tcW w:w="200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120" w:type="dxa"/>
            <w:vAlign w:val="bottom"/>
            <w:shd w:val="clear" w:color="auto" w:fill="CCECFF"/>
          </w:tcPr>
          <w:p>
            <w:pPr>
              <w:spacing w:after="0"/>
              <w:rPr>
                <w:sz w:val="16"/>
                <w:szCs w:val="16"/>
                <w:color w:val="auto"/>
              </w:rPr>
            </w:pPr>
          </w:p>
        </w:tc>
        <w:tc>
          <w:tcPr>
            <w:tcW w:w="200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112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(760,665 )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Represents the puchase of a security with delayed settlement or a revolving line of credit that is currently an unfunded investment. This secuirty does not earn a basis point spread above an index while it is unfunded.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40" w:right="680"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of:September 30, 2022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60" w:type="dxa"/>
            <w:vAlign w:val="bottom"/>
            <w:vMerge w:val="restart"/>
          </w:tcPr>
          <w:p>
            <w:pPr>
              <w:jc w:val="center"/>
              <w:ind w:left="13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80" w:type="dxa"/>
            <w:vAlign w:val="bottom"/>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71"/>
              <w:spacing w:after="0" w:line="167"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3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- 864.4%</w:t>
            </w:r>
          </w:p>
        </w:tc>
        <w:tc>
          <w:tcPr>
            <w:tcW w:w="9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05/06/26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280" w:type="dxa"/>
            <w:vAlign w:val="bottom"/>
            <w:shd w:val="clear" w:color="auto" w:fill="CCECFF"/>
          </w:tcPr>
          <w:p>
            <w:pPr>
              <w:jc w:val="right"/>
              <w:ind w:right="6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11/30/26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8.69 %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L+800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9,785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Technologies,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07/24/25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10.81 %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12/21/23</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7.79 %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19,906</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19,868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9"/>
              </w:rPr>
              <w:t>Amsive Holding Corporation (f/k/a Vision Purchaser Corporation)</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06/10/25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13,968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13,892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05/23/24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15,084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07/21/27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7.98 %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9,942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6.25 %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6,502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6.55 %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3,307</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6.50 %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7,607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7,608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9.42 %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8,602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03/07/28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8.99 %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11,940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11,721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07/01/29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7.56 %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09/17/24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8.57 %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17,993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17,772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12/02/22</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7.39 %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05/13/28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9.55 %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17,456</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17,131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08/20/26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9.08 %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07/13/27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8.42 %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9,029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08/31/27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9.42 %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6,435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6,339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12/21/28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8.37 %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2,776</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11/03/25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14,658</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06/30/24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8.62 %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8,139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7,944</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10.62 %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4,558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ECM Industries,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12/23/25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6.32 %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2,689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03/15/27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9,726</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06/17/28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7.63 %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6M L+475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03/16/26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8.74 %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7,013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08/10/27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8.00 %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1,895</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12/31/26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8.67 %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6,835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6,835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6,733</w:t>
            </w:r>
          </w:p>
        </w:tc>
        <w:tc>
          <w:tcPr>
            <w:tcW w:w="0" w:type="dxa"/>
            <w:vAlign w:val="bottom"/>
          </w:tcPr>
          <w:p>
            <w:pPr>
              <w:spacing w:after="0"/>
              <w:rPr>
                <w:sz w:val="1"/>
                <w:szCs w:val="1"/>
                <w:color w:val="auto"/>
              </w:rPr>
            </w:pPr>
          </w:p>
        </w:tc>
      </w:tr>
      <w:tr>
        <w:trPr>
          <w:trHeight w:val="20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11/23/28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line="204" w:lineRule="exact"/>
              <w:rPr>
                <w:sz w:val="20"/>
                <w:szCs w:val="20"/>
                <w:color w:val="auto"/>
              </w:rPr>
            </w:pPr>
            <w:r>
              <w:rPr>
                <w:rFonts w:ascii="Times New Roman" w:cs="Times New Roman" w:eastAsia="Times New Roman" w:hAnsi="Times New Roman"/>
                <w:sz w:val="10"/>
                <w:szCs w:val="10"/>
                <w:color w:val="auto"/>
              </w:rPr>
              <w:t xml:space="preserve">10.17 </w:t>
            </w:r>
            <w:r>
              <w:rPr>
                <w:rFonts w:ascii="Times New Roman" w:cs="Times New Roman" w:eastAsia="Times New Roman" w:hAnsi="Times New Roman"/>
                <w:sz w:val="19"/>
                <w:szCs w:val="19"/>
                <w:color w:val="auto"/>
                <w:vertAlign w:val="superscript"/>
              </w:rPr>
              <w:t>%</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L+800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19,915</w:t>
            </w:r>
          </w:p>
        </w:tc>
        <w:tc>
          <w:tcPr>
            <w:tcW w:w="240" w:type="dxa"/>
            <w:vAlign w:val="bottom"/>
          </w:tcPr>
          <w:p>
            <w:pPr>
              <w:spacing w:after="0"/>
              <w:rPr>
                <w:sz w:val="17"/>
                <w:szCs w:val="17"/>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19,535</w:t>
            </w:r>
          </w:p>
        </w:tc>
        <w:tc>
          <w:tcPr>
            <w:tcW w:w="2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19,516</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12/17/26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15,255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15,045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14,721</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6.00 %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L+700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14,303</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14,257</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III, LP</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6.87 %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1,705</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IDC Infusion Services,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12/30/26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L+750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17,154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16,617</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09/22/28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9.45 %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4,473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4,388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0" w:type="dxa"/>
            <w:vAlign w:val="bottom"/>
          </w:tcPr>
          <w:p>
            <w:pPr>
              <w:spacing w:after="0"/>
              <w:rPr>
                <w:sz w:val="1"/>
                <w:szCs w:val="1"/>
                <w:color w:val="auto"/>
              </w:rPr>
            </w:pPr>
          </w:p>
        </w:tc>
      </w:tr>
      <w:tr>
        <w:trPr>
          <w:trHeight w:val="152"/>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11/15/27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6.91 %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5,636</w:t>
            </w:r>
          </w:p>
        </w:tc>
        <w:tc>
          <w:tcPr>
            <w:tcW w:w="240" w:type="dxa"/>
            <w:vAlign w:val="bottom"/>
          </w:tcPr>
          <w:p>
            <w:pPr>
              <w:spacing w:after="0"/>
              <w:rPr>
                <w:sz w:val="13"/>
                <w:szCs w:val="13"/>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5,534</w:t>
            </w:r>
          </w:p>
        </w:tc>
        <w:tc>
          <w:tcPr>
            <w:tcW w:w="280" w:type="dxa"/>
            <w:vAlign w:val="bottom"/>
          </w:tcPr>
          <w:p>
            <w:pPr>
              <w:spacing w:after="0"/>
              <w:rPr>
                <w:sz w:val="13"/>
                <w:szCs w:val="1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12/07/23</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9.96 %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19,545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11/01/26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9.42 %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08/27/25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9.21 %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19,954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19,866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19,754</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0" w:type="dxa"/>
            <w:vAlign w:val="bottom"/>
          </w:tcPr>
          <w:p>
            <w:pPr>
              <w:spacing w:after="0"/>
              <w:rPr>
                <w:sz w:val="1"/>
                <w:szCs w:val="1"/>
                <w:color w:val="auto"/>
              </w:rPr>
            </w:pPr>
          </w:p>
        </w:tc>
      </w:tr>
      <w:tr>
        <w:trPr>
          <w:trHeight w:val="137"/>
        </w:trPr>
        <w:tc>
          <w:tcPr>
            <w:tcW w:w="27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6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10/31/24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2,137</w:t>
            </w: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2,129</w:t>
            </w: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02/18/27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19,925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19,708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02/03/26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12,345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12,119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11,944</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04/01/27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5,570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5,128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5,069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7.87 %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2,826</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05/14/26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8.62 %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7,861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04/16/27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8.56 %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7,332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2,953</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09/28/27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7.25 %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4,164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08/19/26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7.80 %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7,426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7,505</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OIS Management Services,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07/09/26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9.45 %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5,257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5,257</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02/04/28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8.41 %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3,874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05/18/26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8.32 %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4,962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11/09/27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9.62 %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8,489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05/08/26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11/19/26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9.92 %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3,335</w:t>
            </w:r>
          </w:p>
        </w:tc>
        <w:tc>
          <w:tcPr>
            <w:tcW w:w="0" w:type="dxa"/>
            <w:vAlign w:val="bottom"/>
          </w:tcPr>
          <w:p>
            <w:pPr>
              <w:spacing w:after="0"/>
              <w:rPr>
                <w:sz w:val="1"/>
                <w:szCs w:val="1"/>
                <w:color w:val="auto"/>
              </w:rPr>
            </w:pPr>
          </w:p>
        </w:tc>
      </w:tr>
      <w:tr>
        <w:trPr>
          <w:trHeight w:val="148"/>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Quantic Electronics, LLC - Unfunded Term Loan </w:t>
            </w:r>
            <w:r>
              <w:rPr>
                <w:rFonts w:ascii="Times New Roman" w:cs="Times New Roman" w:eastAsia="Times New Roman" w:hAnsi="Times New Roman"/>
                <w:sz w:val="12"/>
                <w:szCs w:val="12"/>
                <w:color w:val="auto"/>
                <w:vertAlign w:val="superscript"/>
              </w:rPr>
              <w:t>(3)</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11/19/26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03/31/25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9.46 %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12,757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12/18/25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7.75 %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1M L+450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02/28/28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9.13 %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01/29/26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9.92 %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L+700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9,718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9,505</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8.84 %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14,542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14,440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13,070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06/20/25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7.74 %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3,192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03/10/25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9,949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9,872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01/03/25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6,859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6,779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6,791</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7.15 %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5,031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06/13/29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7.90 %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14,794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05/03/24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10.17 %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1M L+450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11,951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11,879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11,861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01/17/24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11"/>
              <w:spacing w:after="0"/>
              <w:rPr>
                <w:sz w:val="20"/>
                <w:szCs w:val="20"/>
                <w:color w:val="auto"/>
              </w:rPr>
            </w:pPr>
            <w:r>
              <w:rPr>
                <w:rFonts w:ascii="Times New Roman" w:cs="Times New Roman" w:eastAsia="Times New Roman" w:hAnsi="Times New Roman"/>
                <w:sz w:val="10"/>
                <w:szCs w:val="10"/>
                <w:color w:val="auto"/>
              </w:rPr>
              <w:t>6M L+675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11,386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11,113</w:t>
            </w: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12/11/26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8.37 %</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12,099</w:t>
            </w:r>
          </w:p>
        </w:tc>
        <w:tc>
          <w:tcPr>
            <w:tcW w:w="240" w:type="dxa"/>
            <w:vAlign w:val="bottom"/>
          </w:tcPr>
          <w:p>
            <w:pPr>
              <w:spacing w:after="0"/>
              <w:rPr>
                <w:sz w:val="11"/>
                <w:szCs w:val="11"/>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12,031</w:t>
            </w:r>
          </w:p>
        </w:tc>
        <w:tc>
          <w:tcPr>
            <w:tcW w:w="28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8" w:right="68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100" w:type="dxa"/>
            <w:vAlign w:val="bottom"/>
            <w:vMerge w:val="restart"/>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5"/>
                <w:szCs w:val="15"/>
                <w:color w:val="auto"/>
              </w:rPr>
            </w:pPr>
          </w:p>
        </w:tc>
        <w:tc>
          <w:tcPr>
            <w:tcW w:w="56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68"/>
              <w:spacing w:after="0" w:line="168"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8.73 %</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SOFR+600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16,128</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15,785</w:t>
            </w:r>
          </w:p>
        </w:tc>
        <w:tc>
          <w:tcPr>
            <w:tcW w:w="360" w:type="dxa"/>
            <w:vAlign w:val="bottom"/>
            <w:gridSpan w:val="2"/>
          </w:tcPr>
          <w:p>
            <w:pPr>
              <w:jc w:val="right"/>
              <w:ind w:right="66"/>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15,870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7.73 %</w:t>
            </w:r>
          </w:p>
        </w:tc>
        <w:tc>
          <w:tcPr>
            <w:tcW w:w="108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0"/>
                <w:szCs w:val="10"/>
                <w:color w:val="auto"/>
              </w:rPr>
              <w:t>3M L+525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3,474</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3,435</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3,271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3M L+600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11,208</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11,102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0"/>
                <w:szCs w:val="10"/>
                <w:color w:val="auto"/>
              </w:rPr>
              <w:t>3M L+650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5,502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5,549</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8.62 %</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3M L+550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4,531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7.78 %</w:t>
            </w:r>
          </w:p>
        </w:tc>
        <w:tc>
          <w:tcPr>
            <w:tcW w:w="108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0"/>
                <w:szCs w:val="10"/>
                <w:color w:val="auto"/>
              </w:rPr>
              <w:t>3M L+525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5,536</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5,392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5,370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3/26/2026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3M L+600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17,381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8.76 %</w:t>
            </w:r>
          </w:p>
        </w:tc>
        <w:tc>
          <w:tcPr>
            <w:tcW w:w="108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0"/>
                <w:szCs w:val="10"/>
                <w:color w:val="auto"/>
              </w:rPr>
              <w:t>3M L+625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7,949</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7,917</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7,910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7.76 %</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3M L+550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12,064</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UBEO,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4/3/2024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Printing and Publishing</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8.17 %</w:t>
            </w:r>
          </w:p>
        </w:tc>
        <w:tc>
          <w:tcPr>
            <w:tcW w:w="108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0"/>
                <w:szCs w:val="10"/>
                <w:color w:val="auto"/>
              </w:rPr>
              <w:t>3M L+450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4,674</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4,657</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Unique Indoor Comfort,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5/24/2027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8.95 %</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3M L+525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9,975</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9,840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9.45 %</w:t>
            </w:r>
          </w:p>
        </w:tc>
        <w:tc>
          <w:tcPr>
            <w:tcW w:w="108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0"/>
                <w:szCs w:val="10"/>
                <w:color w:val="auto"/>
              </w:rPr>
              <w:t>SOFR+575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11,506</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11,420</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10.24 %</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0"/>
                <w:szCs w:val="10"/>
                <w:color w:val="auto"/>
              </w:rPr>
              <w:t>3M L+725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19,998</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738,219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- 864.4%</w:t>
            </w:r>
          </w:p>
        </w:tc>
        <w:tc>
          <w:tcPr>
            <w:tcW w:w="84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- 48.5%</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4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- 912.9%</w:t>
            </w:r>
          </w:p>
        </w:tc>
        <w:tc>
          <w:tcPr>
            <w:tcW w:w="840" w:type="dxa"/>
            <w:vAlign w:val="bottom"/>
            <w:tcBorders>
              <w:bottom w:val="single" w:sz="8" w:color="CCECFF"/>
            </w:tcBorders>
            <w:shd w:val="clear" w:color="auto" w:fill="CCECFF"/>
          </w:tcPr>
          <w:p>
            <w:pPr>
              <w:spacing w:after="0"/>
              <w:rPr>
                <w:sz w:val="16"/>
                <w:szCs w:val="16"/>
                <w:color w:val="auto"/>
              </w:rPr>
            </w:pPr>
          </w:p>
        </w:tc>
        <w:tc>
          <w:tcPr>
            <w:tcW w:w="2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779,164</w:t>
            </w: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771,053</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(812.9)%</w:t>
            </w: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(686,591 )</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840" w:type="dxa"/>
            <w:vAlign w:val="bottom"/>
            <w:tcBorders>
              <w:bottom w:val="single" w:sz="8" w:color="CCECFF"/>
            </w:tcBorders>
            <w:shd w:val="clear" w:color="auto" w:fill="CCECFF"/>
          </w:tcPr>
          <w:p>
            <w:pPr>
              <w:spacing w:after="0"/>
              <w:rPr>
                <w:sz w:val="16"/>
                <w:szCs w:val="16"/>
                <w:color w:val="auto"/>
              </w:rPr>
            </w:pPr>
          </w:p>
        </w:tc>
        <w:tc>
          <w:tcPr>
            <w:tcW w:w="2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84,462</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Represents the puchase of a security with delayed settlement or a revolving line of credit that is currently an unfunded investment. This secuirty does not earn a basis point spread above an index while it is unfunded.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2" w:right="68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2"/>
        </w:trPr>
        <w:tc>
          <w:tcPr>
            <w:tcW w:w="59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PSLF ($ in thousands):</w:t>
            </w: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48"/>
        </w:trPr>
        <w:tc>
          <w:tcPr>
            <w:tcW w:w="59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84"/>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cost—$810,737 and $738,219, respectively)</w:t>
            </w:r>
          </w:p>
        </w:tc>
        <w:tc>
          <w:tcPr>
            <w:tcW w:w="1640" w:type="dxa"/>
            <w:vAlign w:val="bottom"/>
            <w:shd w:val="clear" w:color="auto" w:fill="CCECFF"/>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6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80" w:type="dxa"/>
            <w:vAlign w:val="bottom"/>
            <w:shd w:val="clear" w:color="auto" w:fill="CCECFF"/>
          </w:tcPr>
          <w:p>
            <w:pPr>
              <w:spacing w:after="0"/>
              <w:rPr>
                <w:sz w:val="16"/>
                <w:szCs w:val="16"/>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(cost—$59,096 and $40,945, respectively)</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80" w:type="dxa"/>
            <w:vAlign w:val="bottom"/>
          </w:tcPr>
          <w:p>
            <w:pPr>
              <w:spacing w:after="0"/>
              <w:rPr>
                <w:sz w:val="15"/>
                <w:szCs w:val="15"/>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64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80" w:type="dxa"/>
            <w:vAlign w:val="bottom"/>
            <w:shd w:val="clear" w:color="auto" w:fill="CCECFF"/>
          </w:tcPr>
          <w:p>
            <w:pPr>
              <w:spacing w:after="0"/>
              <w:rPr>
                <w:sz w:val="16"/>
                <w:szCs w:val="16"/>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4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80" w:type="dxa"/>
            <w:vAlign w:val="bottom"/>
            <w:shd w:val="clear" w:color="auto" w:fill="CCECFF"/>
          </w:tcPr>
          <w:p>
            <w:pPr>
              <w:spacing w:after="0"/>
              <w:rPr>
                <w:sz w:val="16"/>
                <w:szCs w:val="16"/>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80" w:type="dxa"/>
            <w:vAlign w:val="bottom"/>
          </w:tcPr>
          <w:p>
            <w:pPr>
              <w:spacing w:after="0"/>
              <w:rPr>
                <w:sz w:val="15"/>
                <w:szCs w:val="15"/>
                <w:color w:val="auto"/>
              </w:rPr>
            </w:pPr>
          </w:p>
        </w:tc>
      </w:tr>
      <w:tr>
        <w:trPr>
          <w:trHeight w:val="184"/>
        </w:trPr>
        <w:tc>
          <w:tcPr>
            <w:tcW w:w="59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4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80" w:type="dxa"/>
            <w:vAlign w:val="bottom"/>
            <w:shd w:val="clear" w:color="auto" w:fill="CCECFF"/>
          </w:tcPr>
          <w:p>
            <w:pPr>
              <w:spacing w:after="0"/>
              <w:rPr>
                <w:sz w:val="16"/>
                <w:szCs w:val="16"/>
                <w:color w:val="auto"/>
              </w:rPr>
            </w:pPr>
          </w:p>
        </w:tc>
      </w:tr>
      <w:tr>
        <w:trPr>
          <w:trHeight w:val="177"/>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1640" w:type="dxa"/>
            <w:vAlign w:val="bottom"/>
            <w:shd w:val="clear" w:color="auto" w:fill="CCECFF"/>
          </w:tcPr>
          <w:p>
            <w:pPr>
              <w:spacing w:after="0"/>
              <w:rPr>
                <w:sz w:val="15"/>
                <w:szCs w:val="15"/>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3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243,896</w:t>
            </w:r>
          </w:p>
        </w:tc>
        <w:tc>
          <w:tcPr>
            <w:tcW w:w="80" w:type="dxa"/>
            <w:vAlign w:val="bottom"/>
            <w:shd w:val="clear" w:color="auto" w:fill="CCECFF"/>
          </w:tcPr>
          <w:p>
            <w:pPr>
              <w:spacing w:after="0"/>
              <w:rPr>
                <w:sz w:val="15"/>
                <w:szCs w:val="15"/>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64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145,472</w:t>
            </w:r>
          </w:p>
        </w:tc>
        <w:tc>
          <w:tcPr>
            <w:tcW w:w="80" w:type="dxa"/>
            <w:vAlign w:val="bottom"/>
            <w:shd w:val="clear" w:color="auto" w:fill="CCECFF"/>
          </w:tcPr>
          <w:p>
            <w:pPr>
              <w:spacing w:after="0"/>
              <w:rPr>
                <w:sz w:val="16"/>
                <w:szCs w:val="16"/>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257,600</w:t>
            </w:r>
          </w:p>
        </w:tc>
        <w:tc>
          <w:tcPr>
            <w:tcW w:w="80" w:type="dxa"/>
            <w:vAlign w:val="bottom"/>
          </w:tcPr>
          <w:p>
            <w:pPr>
              <w:spacing w:after="0"/>
              <w:rPr>
                <w:sz w:val="15"/>
                <w:szCs w:val="15"/>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64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80" w:type="dxa"/>
            <w:vAlign w:val="bottom"/>
            <w:shd w:val="clear" w:color="auto" w:fill="CCECFF"/>
          </w:tcPr>
          <w:p>
            <w:pPr>
              <w:spacing w:after="0"/>
              <w:rPr>
                <w:sz w:val="16"/>
                <w:szCs w:val="16"/>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Pr>
          <w:p>
            <w:pPr>
              <w:spacing w:after="0"/>
              <w:rPr>
                <w:sz w:val="15"/>
                <w:szCs w:val="15"/>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64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80" w:type="dxa"/>
            <w:vAlign w:val="bottom"/>
            <w:shd w:val="clear" w:color="auto" w:fill="CCECFF"/>
          </w:tcPr>
          <w:p>
            <w:pPr>
              <w:spacing w:after="0"/>
              <w:rPr>
                <w:sz w:val="16"/>
                <w:szCs w:val="16"/>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37,658</w:t>
            </w:r>
          </w:p>
        </w:tc>
        <w:tc>
          <w:tcPr>
            <w:tcW w:w="80" w:type="dxa"/>
            <w:vAlign w:val="bottom"/>
          </w:tcPr>
          <w:p>
            <w:pPr>
              <w:spacing w:after="0"/>
              <w:rPr>
                <w:sz w:val="15"/>
                <w:szCs w:val="15"/>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640" w:type="dxa"/>
            <w:vAlign w:val="bottom"/>
            <w:shd w:val="clear" w:color="auto" w:fill="CCECFF"/>
          </w:tcPr>
          <w:p>
            <w:pPr>
              <w:spacing w:after="0"/>
              <w:rPr>
                <w:sz w:val="16"/>
                <w:szCs w:val="16"/>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80" w:type="dxa"/>
            <w:vAlign w:val="bottom"/>
            <w:shd w:val="clear" w:color="auto" w:fill="CCECFF"/>
          </w:tcPr>
          <w:p>
            <w:pPr>
              <w:spacing w:after="0"/>
              <w:rPr>
                <w:sz w:val="16"/>
                <w:szCs w:val="16"/>
                <w:color w:val="auto"/>
              </w:rPr>
            </w:pPr>
          </w:p>
        </w:tc>
      </w:tr>
      <w:tr>
        <w:trPr>
          <w:trHeight w:val="177"/>
        </w:trPr>
        <w:tc>
          <w:tcPr>
            <w:tcW w:w="59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696,825</w:t>
            </w:r>
          </w:p>
        </w:tc>
        <w:tc>
          <w:tcPr>
            <w:tcW w:w="80" w:type="dxa"/>
            <w:vAlign w:val="bottom"/>
          </w:tcPr>
          <w:p>
            <w:pPr>
              <w:spacing w:after="0"/>
              <w:rPr>
                <w:sz w:val="15"/>
                <w:szCs w:val="15"/>
                <w:color w:val="auto"/>
              </w:rPr>
            </w:pPr>
          </w:p>
        </w:tc>
      </w:tr>
      <w:tr>
        <w:trPr>
          <w:trHeight w:val="18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640" w:type="dxa"/>
            <w:vAlign w:val="bottom"/>
            <w:shd w:val="clear" w:color="auto" w:fill="CCECFF"/>
          </w:tcPr>
          <w:p>
            <w:pPr>
              <w:spacing w:after="0"/>
              <w:rPr>
                <w:sz w:val="15"/>
                <w:szCs w:val="15"/>
                <w:color w:val="auto"/>
              </w:rPr>
            </w:pPr>
          </w:p>
        </w:tc>
        <w:tc>
          <w:tcPr>
            <w:tcW w:w="4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7"/>
        </w:trPr>
        <w:tc>
          <w:tcPr>
            <w:tcW w:w="59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6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80" w:type="dxa"/>
            <w:vAlign w:val="bottom"/>
          </w:tcPr>
          <w:p>
            <w:pPr>
              <w:spacing w:after="0"/>
              <w:rPr>
                <w:sz w:val="15"/>
                <w:szCs w:val="15"/>
                <w:color w:val="auto"/>
              </w:rPr>
            </w:pPr>
          </w:p>
        </w:tc>
      </w:tr>
      <w:tr>
        <w:trPr>
          <w:trHeight w:val="220"/>
        </w:trPr>
        <w:tc>
          <w:tcPr>
            <w:tcW w:w="59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640" w:type="dxa"/>
            <w:vAlign w:val="bottom"/>
            <w:shd w:val="clear" w:color="auto" w:fill="CCECFF"/>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6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80" w:type="dxa"/>
            <w:vAlign w:val="bottom"/>
            <w:shd w:val="clear" w:color="auto" w:fill="CCECFF"/>
          </w:tcPr>
          <w:p>
            <w:pPr>
              <w:spacing w:after="0"/>
              <w:rPr>
                <w:sz w:val="19"/>
                <w:szCs w:val="19"/>
                <w:color w:val="auto"/>
              </w:rPr>
            </w:pPr>
          </w:p>
        </w:tc>
      </w:tr>
      <w:tr>
        <w:trPr>
          <w:trHeight w:val="191"/>
        </w:trPr>
        <w:tc>
          <w:tcPr>
            <w:tcW w:w="594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1"/>
                <w:szCs w:val="11"/>
                <w:color w:val="auto"/>
                <w:w w:val="97"/>
              </w:rPr>
              <w:t>* As of September 30, 2023 and 2022, PSLF had $0.5 million and zero million unfunded commitments to fund investments, respectively.</w:t>
            </w:r>
          </w:p>
        </w:tc>
        <w:tc>
          <w:tcPr>
            <w:tcW w:w="16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40" w:type="dxa"/>
            <w:vAlign w:val="bottom"/>
            <w:tcBorders>
              <w:top w:val="single" w:sz="8" w:color="CCEC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80" w:type="dxa"/>
            <w:vAlign w:val="bottom"/>
            <w:tcBorders>
              <w:top w:val="single" w:sz="8" w:color="CCECFF"/>
            </w:tcBorders>
          </w:tcPr>
          <w:p>
            <w:pPr>
              <w:spacing w:after="0"/>
              <w:rPr>
                <w:sz w:val="16"/>
                <w:szCs w:val="16"/>
                <w:color w:val="auto"/>
              </w:rPr>
            </w:pPr>
          </w:p>
        </w:tc>
      </w:tr>
      <w:tr>
        <w:trPr>
          <w:trHeight w:val="308"/>
        </w:trPr>
        <w:tc>
          <w:tcPr>
            <w:tcW w:w="59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88,280</w:t>
            </w:r>
          </w:p>
        </w:tc>
        <w:tc>
          <w:tcPr>
            <w:tcW w:w="300" w:type="dxa"/>
            <w:vAlign w:val="bottom"/>
            <w:shd w:val="clear" w:color="auto" w:fill="CCECFF"/>
          </w:tcPr>
          <w:p>
            <w:pPr>
              <w:spacing w:after="0"/>
              <w:rPr>
                <w:sz w:val="16"/>
                <w:szCs w:val="16"/>
                <w:color w:val="auto"/>
              </w:rPr>
            </w:pPr>
          </w:p>
        </w:tc>
        <w:tc>
          <w:tcPr>
            <w:tcW w:w="1120" w:type="dxa"/>
            <w:vAlign w:val="bottom"/>
            <w:shd w:val="clear" w:color="auto" w:fill="CCECFF"/>
          </w:tcPr>
          <w:p>
            <w:pPr>
              <w:jc w:val="right"/>
              <w:ind w:right="97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37,905</w:t>
            </w:r>
          </w:p>
        </w:tc>
        <w:tc>
          <w:tcPr>
            <w:tcW w:w="80" w:type="dxa"/>
            <w:vAlign w:val="bottom"/>
            <w:shd w:val="clear" w:color="auto" w:fill="CCECFF"/>
          </w:tcPr>
          <w:p>
            <w:pPr>
              <w:spacing w:after="0"/>
              <w:rPr>
                <w:sz w:val="16"/>
                <w:szCs w:val="16"/>
                <w:color w:val="auto"/>
              </w:rPr>
            </w:pPr>
          </w:p>
        </w:tc>
      </w:tr>
      <w:tr>
        <w:trPr>
          <w:trHeight w:val="176"/>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5"/>
                <w:szCs w:val="15"/>
                <w:color w:val="auto"/>
              </w:rPr>
            </w:pPr>
          </w:p>
        </w:tc>
      </w:tr>
      <w:tr>
        <w:trPr>
          <w:trHeight w:val="184"/>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72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89,690</w:t>
            </w:r>
          </w:p>
        </w:tc>
        <w:tc>
          <w:tcPr>
            <w:tcW w:w="30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38,151</w:t>
            </w:r>
          </w:p>
        </w:tc>
        <w:tc>
          <w:tcPr>
            <w:tcW w:w="80" w:type="dxa"/>
            <w:vAlign w:val="bottom"/>
            <w:shd w:val="clear" w:color="auto" w:fill="CCECFF"/>
          </w:tcPr>
          <w:p>
            <w:pPr>
              <w:spacing w:after="0"/>
              <w:rPr>
                <w:sz w:val="16"/>
                <w:szCs w:val="16"/>
                <w:color w:val="auto"/>
              </w:rPr>
            </w:pPr>
          </w:p>
        </w:tc>
      </w:tr>
      <w:tr>
        <w:trPr>
          <w:trHeight w:val="177"/>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720" w:type="dxa"/>
            <w:vAlign w:val="bottom"/>
            <w:shd w:val="clear" w:color="auto" w:fill="CCECFF"/>
          </w:tcPr>
          <w:p>
            <w:pPr>
              <w:spacing w:after="0"/>
              <w:rPr>
                <w:sz w:val="15"/>
                <w:szCs w:val="15"/>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30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11,023</w:t>
            </w:r>
          </w:p>
        </w:tc>
        <w:tc>
          <w:tcPr>
            <w:tcW w:w="80" w:type="dxa"/>
            <w:vAlign w:val="bottom"/>
            <w:shd w:val="clear" w:color="auto" w:fill="CCECFF"/>
          </w:tcPr>
          <w:p>
            <w:pPr>
              <w:spacing w:after="0"/>
              <w:rPr>
                <w:sz w:val="15"/>
                <w:szCs w:val="15"/>
                <w:color w:val="auto"/>
              </w:rPr>
            </w:pPr>
          </w:p>
        </w:tc>
      </w:tr>
      <w:tr>
        <w:trPr>
          <w:trHeight w:val="176"/>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11,692</w:t>
            </w:r>
          </w:p>
        </w:tc>
        <w:tc>
          <w:tcPr>
            <w:tcW w:w="80" w:type="dxa"/>
            <w:vAlign w:val="bottom"/>
          </w:tcPr>
          <w:p>
            <w:pPr>
              <w:spacing w:after="0"/>
              <w:rPr>
                <w:sz w:val="15"/>
                <w:szCs w:val="15"/>
                <w:color w:val="auto"/>
              </w:rPr>
            </w:pPr>
          </w:p>
        </w:tc>
      </w:tr>
      <w:tr>
        <w:trPr>
          <w:trHeight w:val="184"/>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72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30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80" w:type="dxa"/>
            <w:vAlign w:val="bottom"/>
            <w:shd w:val="clear" w:color="auto" w:fill="CCECFF"/>
          </w:tcPr>
          <w:p>
            <w:pPr>
              <w:spacing w:after="0"/>
              <w:rPr>
                <w:sz w:val="16"/>
                <w:szCs w:val="16"/>
                <w:color w:val="auto"/>
              </w:rPr>
            </w:pPr>
          </w:p>
        </w:tc>
      </w:tr>
      <w:tr>
        <w:trPr>
          <w:trHeight w:val="176"/>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Pr>
          <w:p>
            <w:pPr>
              <w:spacing w:after="0"/>
              <w:rPr>
                <w:sz w:val="15"/>
                <w:szCs w:val="15"/>
                <w:color w:val="auto"/>
              </w:rPr>
            </w:pPr>
          </w:p>
        </w:tc>
      </w:tr>
      <w:tr>
        <w:trPr>
          <w:trHeight w:val="184"/>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72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61,952</w:t>
            </w:r>
          </w:p>
        </w:tc>
        <w:tc>
          <w:tcPr>
            <w:tcW w:w="30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24,333</w:t>
            </w:r>
          </w:p>
        </w:tc>
        <w:tc>
          <w:tcPr>
            <w:tcW w:w="80" w:type="dxa"/>
            <w:vAlign w:val="bottom"/>
            <w:shd w:val="clear" w:color="auto" w:fill="CCECFF"/>
          </w:tcPr>
          <w:p>
            <w:pPr>
              <w:spacing w:after="0"/>
              <w:rPr>
                <w:sz w:val="16"/>
                <w:szCs w:val="16"/>
                <w:color w:val="auto"/>
              </w:rPr>
            </w:pPr>
          </w:p>
        </w:tc>
      </w:tr>
      <w:tr>
        <w:trPr>
          <w:trHeight w:val="177"/>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80" w:type="dxa"/>
            <w:vAlign w:val="bottom"/>
          </w:tcPr>
          <w:p>
            <w:pPr>
              <w:spacing w:after="0"/>
              <w:rPr>
                <w:sz w:val="15"/>
                <w:szCs w:val="15"/>
                <w:color w:val="auto"/>
              </w:rPr>
            </w:pPr>
          </w:p>
        </w:tc>
      </w:tr>
      <w:tr>
        <w:trPr>
          <w:trHeight w:val="183"/>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72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7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(498 )</w:t>
            </w: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Pr>
          <w:p>
            <w:pPr>
              <w:spacing w:after="0"/>
              <w:rPr>
                <w:sz w:val="15"/>
                <w:szCs w:val="15"/>
                <w:color w:val="auto"/>
              </w:rPr>
            </w:pPr>
          </w:p>
        </w:tc>
      </w:tr>
      <w:tr>
        <w:trPr>
          <w:trHeight w:val="184"/>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720" w:type="dxa"/>
            <w:vAlign w:val="bottom"/>
            <w:shd w:val="clear" w:color="auto" w:fill="CCECFF"/>
          </w:tcPr>
          <w:p>
            <w:pPr>
              <w:spacing w:after="0"/>
              <w:rPr>
                <w:sz w:val="16"/>
                <w:szCs w:val="16"/>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30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(8,334 )</w:t>
            </w:r>
          </w:p>
        </w:tc>
      </w:tr>
      <w:tr>
        <w:trPr>
          <w:trHeight w:val="177"/>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(7,958 )</w:t>
            </w:r>
          </w:p>
        </w:tc>
      </w:tr>
      <w:tr>
        <w:trPr>
          <w:trHeight w:val="220"/>
        </w:trPr>
        <w:tc>
          <w:tcPr>
            <w:tcW w:w="7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720" w:type="dxa"/>
            <w:vAlign w:val="bottom"/>
            <w:tcBorders>
              <w:bottom w:val="single" w:sz="8" w:color="auto"/>
            </w:tcBorders>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30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auto"/>
            </w:tcBorders>
            <w:shd w:val="clear" w:color="auto" w:fill="CCECFF"/>
          </w:tcPr>
          <w:p>
            <w:pPr>
              <w:jc w:val="right"/>
              <w:ind w:right="97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No management or incentive fees are payable by PSLF.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31"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8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 -term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94"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During the years ended September 30, 2023 and 2022, we declared distributions of $0.76 per share and $0.56 per share, respectively, for total distributions of $49.6 million and $36.6 million. We monitor available net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make monthly distributions to our stockholders. Our monthly distributions, if any, are determined by our board of directors.</w:t>
      </w:r>
    </w:p>
    <w:p>
      <w:pPr>
        <w:spacing w:after="0" w:line="127" w:lineRule="exact"/>
        <w:rPr>
          <w:sz w:val="20"/>
          <w:szCs w:val="20"/>
          <w:color w:val="auto"/>
        </w:rPr>
      </w:pPr>
    </w:p>
    <w:p>
      <w:pPr>
        <w:ind w:right="460" w:firstLine="420"/>
        <w:spacing w:after="0" w:line="286" w:lineRule="auto"/>
        <w:rPr>
          <w:sz w:val="20"/>
          <w:szCs w:val="20"/>
          <w:color w:val="auto"/>
        </w:rPr>
      </w:pPr>
      <w:r>
        <w:rPr>
          <w:rFonts w:ascii="Times New Roman" w:cs="Times New Roman" w:eastAsia="Times New Roman" w:hAnsi="Times New Roman"/>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8" w:right="680" w:bottom="1440" w:gutter="0" w:footer="0" w:header="0"/>
        </w:sectPr>
      </w:pPr>
    </w:p>
    <w:bookmarkStart w:id="58" w:name="page59"/>
    <w:bookmarkEnd w:id="58"/>
    <w:p>
      <w:pPr>
        <w:ind w:left="80" w:right="8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left="80"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September 30, 2023. The FASB approved an (optional) two year extension to December 31, 2024, for transitioning away from LIBOR. The Company utilized the optional expedients and exceptions provided by ASU 2020-04 during the year ended September 30, 2023, the effect of which was not material to the consolidated financial statements and the notes thereo.</w:t>
      </w:r>
    </w:p>
    <w:p>
      <w:pPr>
        <w:spacing w:after="0" w:line="130" w:lineRule="exact"/>
        <w:rPr>
          <w:sz w:val="20"/>
          <w:szCs w:val="20"/>
          <w:color w:val="auto"/>
        </w:rPr>
      </w:pPr>
    </w:p>
    <w:p>
      <w:pPr>
        <w:ind w:left="80"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130" w:lineRule="exact"/>
        <w:rPr>
          <w:sz w:val="20"/>
          <w:szCs w:val="20"/>
          <w:color w:val="auto"/>
        </w:rPr>
      </w:pPr>
    </w:p>
    <w:p>
      <w:pPr>
        <w:ind w:left="80" w:right="10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129" w:lineRule="exact"/>
        <w:rPr>
          <w:sz w:val="20"/>
          <w:szCs w:val="20"/>
          <w:color w:val="auto"/>
        </w:rPr>
      </w:pPr>
    </w:p>
    <w:p>
      <w:pPr>
        <w:ind w:left="80"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September 30, 2023, our debt portfolio consisted of 95% variable- rate investments and 5% fixed -rate investments. The variable-rate loans are usually based on a SOFR (or an alternative risk -free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4" w:lineRule="exact"/>
        <w:rPr>
          <w:sz w:val="20"/>
          <w:szCs w:val="20"/>
          <w:color w:val="auto"/>
        </w:rPr>
      </w:pPr>
    </w:p>
    <w:p>
      <w:pPr>
        <w:ind w:left="80" w:right="34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156"/>
        </w:trPr>
        <w:tc>
          <w:tcPr>
            <w:tcW w:w="2940" w:type="dxa"/>
            <w:vAlign w:val="bottom"/>
          </w:tcPr>
          <w:p>
            <w:pPr>
              <w:spacing w:after="0"/>
              <w:rPr>
                <w:sz w:val="13"/>
                <w:szCs w:val="13"/>
                <w:color w:val="auto"/>
              </w:rPr>
            </w:pPr>
          </w:p>
        </w:tc>
        <w:tc>
          <w:tcPr>
            <w:tcW w:w="31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jc w:val="center"/>
              <w:ind w:right="49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r>
      <w:tr>
        <w:trPr>
          <w:trHeight w:val="156"/>
        </w:trPr>
        <w:tc>
          <w:tcPr>
            <w:tcW w:w="2940" w:type="dxa"/>
            <w:vAlign w:val="bottom"/>
          </w:tcPr>
          <w:p>
            <w:pPr>
              <w:spacing w:after="0"/>
              <w:rPr>
                <w:sz w:val="13"/>
                <w:szCs w:val="13"/>
                <w:color w:val="auto"/>
              </w:rPr>
            </w:pPr>
          </w:p>
        </w:tc>
        <w:tc>
          <w:tcPr>
            <w:tcW w:w="31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jc w:val="center"/>
              <w:ind w:right="494"/>
              <w:spacing w:after="0"/>
              <w:rPr>
                <w:sz w:val="20"/>
                <w:szCs w:val="20"/>
                <w:color w:val="auto"/>
              </w:rPr>
            </w:pPr>
            <w:r>
              <w:rPr>
                <w:rFonts w:ascii="Times New Roman" w:cs="Times New Roman" w:eastAsia="Times New Roman" w:hAnsi="Times New Roman"/>
                <w:sz w:val="13"/>
                <w:szCs w:val="13"/>
                <w:b w:val="1"/>
                <w:bCs w:val="1"/>
                <w:color w:val="auto"/>
              </w:rPr>
              <w:t>Net of Interest</w:t>
            </w:r>
          </w:p>
        </w:tc>
      </w:tr>
      <w:tr>
        <w:trPr>
          <w:trHeight w:val="178"/>
        </w:trPr>
        <w:tc>
          <w:tcPr>
            <w:tcW w:w="294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1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Expense Per Share</w:t>
            </w:r>
          </w:p>
        </w:tc>
      </w:tr>
      <w:tr>
        <w:trPr>
          <w:trHeight w:val="184"/>
        </w:trPr>
        <w:tc>
          <w:tcPr>
            <w:tcW w:w="294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rPr>
              <w:t>Down 1%</w:t>
            </w:r>
          </w:p>
        </w:tc>
        <w:tc>
          <w:tcPr>
            <w:tcW w:w="3180" w:type="dxa"/>
            <w:vAlign w:val="bottom"/>
            <w:shd w:val="clear" w:color="auto" w:fill="CCECFF"/>
          </w:tcPr>
          <w:p>
            <w:pPr>
              <w:jc w:val="right"/>
              <w:ind w:right="245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(5,373 )</w:t>
            </w:r>
          </w:p>
        </w:tc>
        <w:tc>
          <w:tcPr>
            <w:tcW w:w="56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(0.08 )</w:t>
            </w:r>
          </w:p>
        </w:tc>
      </w:tr>
      <w:tr>
        <w:trPr>
          <w:trHeight w:val="188"/>
        </w:trPr>
        <w:tc>
          <w:tcPr>
            <w:tcW w:w="294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rPr>
              <w:t>Up 1%</w:t>
            </w:r>
          </w:p>
        </w:tc>
        <w:tc>
          <w:tcPr>
            <w:tcW w:w="3180" w:type="dxa"/>
            <w:vAlign w:val="bottom"/>
          </w:tcPr>
          <w:p>
            <w:pPr>
              <w:spacing w:after="0"/>
              <w:rPr>
                <w:sz w:val="16"/>
                <w:szCs w:val="16"/>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5,373</w:t>
            </w:r>
          </w:p>
        </w:tc>
        <w:tc>
          <w:tcPr>
            <w:tcW w:w="560" w:type="dxa"/>
            <w:vAlign w:val="bottom"/>
          </w:tcPr>
          <w:p>
            <w:pPr>
              <w:spacing w:after="0"/>
              <w:rPr>
                <w:sz w:val="16"/>
                <w:szCs w:val="16"/>
                <w:color w:val="auto"/>
              </w:rPr>
            </w:pPr>
          </w:p>
        </w:tc>
        <w:tc>
          <w:tcPr>
            <w:tcW w:w="2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0.08</w:t>
            </w:r>
          </w:p>
        </w:tc>
      </w:tr>
      <w:tr>
        <w:trPr>
          <w:trHeight w:val="184"/>
        </w:trPr>
        <w:tc>
          <w:tcPr>
            <w:tcW w:w="294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rPr>
              <w:t>Up 2%</w:t>
            </w:r>
          </w:p>
        </w:tc>
        <w:tc>
          <w:tcPr>
            <w:tcW w:w="3180" w:type="dxa"/>
            <w:vAlign w:val="bottom"/>
            <w:shd w:val="clear" w:color="auto" w:fill="CCECFF"/>
          </w:tcPr>
          <w:p>
            <w:pPr>
              <w:spacing w:after="0"/>
              <w:rPr>
                <w:sz w:val="16"/>
                <w:szCs w:val="16"/>
                <w:color w:val="auto"/>
              </w:rPr>
            </w:pPr>
          </w:p>
        </w:tc>
        <w:tc>
          <w:tcPr>
            <w:tcW w:w="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10,746</w:t>
            </w:r>
          </w:p>
        </w:tc>
        <w:tc>
          <w:tcPr>
            <w:tcW w:w="560" w:type="dxa"/>
            <w:vAlign w:val="bottom"/>
            <w:shd w:val="clear" w:color="auto" w:fill="CCECFF"/>
          </w:tcPr>
          <w:p>
            <w:pPr>
              <w:spacing w:after="0"/>
              <w:rPr>
                <w:sz w:val="16"/>
                <w:szCs w:val="16"/>
                <w:color w:val="auto"/>
              </w:rPr>
            </w:pPr>
          </w:p>
        </w:tc>
        <w:tc>
          <w:tcPr>
            <w:tcW w:w="28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0.16</w:t>
            </w:r>
          </w:p>
        </w:tc>
      </w:tr>
      <w:tr>
        <w:trPr>
          <w:trHeight w:val="176"/>
        </w:trPr>
        <w:tc>
          <w:tcPr>
            <w:tcW w:w="294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rPr>
              <w:t>Up 3%</w:t>
            </w:r>
          </w:p>
        </w:tc>
        <w:tc>
          <w:tcPr>
            <w:tcW w:w="3180" w:type="dxa"/>
            <w:vAlign w:val="bottom"/>
          </w:tcPr>
          <w:p>
            <w:pPr>
              <w:spacing w:after="0"/>
              <w:rPr>
                <w:sz w:val="15"/>
                <w:szCs w:val="15"/>
                <w:color w:val="auto"/>
              </w:rPr>
            </w:pPr>
          </w:p>
        </w:tc>
        <w:tc>
          <w:tcPr>
            <w:tcW w:w="8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16,120</w:t>
            </w:r>
          </w:p>
        </w:tc>
        <w:tc>
          <w:tcPr>
            <w:tcW w:w="560" w:type="dxa"/>
            <w:vAlign w:val="bottom"/>
          </w:tcPr>
          <w:p>
            <w:pPr>
              <w:spacing w:after="0"/>
              <w:rPr>
                <w:sz w:val="15"/>
                <w:szCs w:val="15"/>
                <w:color w:val="auto"/>
              </w:rPr>
            </w:pPr>
          </w:p>
        </w:tc>
        <w:tc>
          <w:tcPr>
            <w:tcW w:w="2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0.25</w:t>
            </w:r>
          </w:p>
        </w:tc>
      </w:tr>
      <w:tr>
        <w:trPr>
          <w:trHeight w:val="184"/>
        </w:trPr>
        <w:tc>
          <w:tcPr>
            <w:tcW w:w="294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rPr>
              <w:t>Up 4%</w:t>
            </w:r>
          </w:p>
        </w:tc>
        <w:tc>
          <w:tcPr>
            <w:tcW w:w="3180" w:type="dxa"/>
            <w:vAlign w:val="bottom"/>
            <w:shd w:val="clear" w:color="auto" w:fill="CCECFF"/>
          </w:tcPr>
          <w:p>
            <w:pPr>
              <w:jc w:val="right"/>
              <w:ind w:right="245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21,497</w:t>
            </w:r>
          </w:p>
        </w:tc>
        <w:tc>
          <w:tcPr>
            <w:tcW w:w="56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0.33</w:t>
            </w:r>
          </w:p>
        </w:tc>
      </w:tr>
    </w:tbl>
    <w:p>
      <w:pPr>
        <w:spacing w:after="0" w:line="144" w:lineRule="exact"/>
        <w:rPr>
          <w:sz w:val="20"/>
          <w:szCs w:val="20"/>
          <w:color w:val="auto"/>
        </w:rPr>
      </w:pPr>
    </w:p>
    <w:p>
      <w:pPr>
        <w:ind w:left="80" w:right="28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87" w:lineRule="exact"/>
        <w:rPr>
          <w:sz w:val="20"/>
          <w:szCs w:val="20"/>
          <w:color w:val="auto"/>
        </w:rPr>
      </w:pPr>
    </w:p>
    <w:p>
      <w:pPr>
        <w:ind w:left="80" w:right="4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87" w:lineRule="exact"/>
        <w:rPr>
          <w:sz w:val="20"/>
          <w:szCs w:val="20"/>
          <w:color w:val="auto"/>
        </w:rPr>
      </w:pPr>
    </w:p>
    <w:p>
      <w:pPr>
        <w:jc w:val="both"/>
        <w:ind w:left="80" w:right="60"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59690</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580" w:top="702" w:right="66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4"/>
        </w:trPr>
        <w:tc>
          <w:tcPr>
            <w:tcW w:w="80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Item 8. Consolidated Financial Statements and Supplementary Data</w:t>
            </w:r>
          </w:p>
        </w:tc>
        <w:tc>
          <w:tcPr>
            <w:tcW w:w="264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52"/>
        </w:trPr>
        <w:tc>
          <w:tcPr>
            <w:tcW w:w="100" w:type="dxa"/>
            <w:vAlign w:val="bottom"/>
          </w:tcPr>
          <w:p>
            <w:pPr>
              <w:spacing w:after="0"/>
              <w:rPr>
                <w:sz w:val="13"/>
                <w:szCs w:val="13"/>
                <w:color w:val="auto"/>
              </w:rPr>
            </w:pPr>
          </w:p>
        </w:tc>
        <w:tc>
          <w:tcPr>
            <w:tcW w:w="35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rPr>
            </w:pPr>
            <w:hyperlink w:anchor="page61">
              <w:r>
                <w:rPr>
                  <w:rFonts w:ascii="Times New Roman" w:cs="Times New Roman" w:eastAsia="Times New Roman" w:hAnsi="Times New Roman"/>
                  <w:sz w:val="13"/>
                  <w:szCs w:val="13"/>
                  <w:color w:val="0000FF"/>
                </w:rPr>
                <w:t>Management’s Report on Internal Control over Financial Reporting</w:t>
              </w:r>
            </w:hyperlink>
          </w:p>
        </w:tc>
        <w:tc>
          <w:tcPr>
            <w:tcW w:w="4320" w:type="dxa"/>
            <w:vAlign w:val="bottom"/>
            <w:gridSpan w:val="8"/>
          </w:tcPr>
          <w:p>
            <w:pPr>
              <w:spacing w:after="0"/>
              <w:rPr>
                <w:sz w:val="13"/>
                <w:szCs w:val="13"/>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340"/>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2">
              <w:r>
                <w:rPr>
                  <w:rFonts w:ascii="Times New Roman" w:cs="Times New Roman" w:eastAsia="Times New Roman" w:hAnsi="Times New Roman"/>
                  <w:sz w:val="13"/>
                  <w:szCs w:val="13"/>
                  <w:color w:val="0000FF"/>
                </w:rPr>
                <w:t>Report of Independent Registered Public Accounting Firm on Internal Control over Financial Reporting</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340"/>
        </w:trPr>
        <w:tc>
          <w:tcPr>
            <w:tcW w:w="100" w:type="dxa"/>
            <w:vAlign w:val="bottom"/>
          </w:tcPr>
          <w:p>
            <w:pPr>
              <w:spacing w:after="0"/>
              <w:rPr>
                <w:sz w:val="24"/>
                <w:szCs w:val="24"/>
                <w:color w:val="auto"/>
              </w:rPr>
            </w:pPr>
          </w:p>
        </w:tc>
        <w:tc>
          <w:tcPr>
            <w:tcW w:w="5480" w:type="dxa"/>
            <w:vAlign w:val="bottom"/>
            <w:tcBorders>
              <w:top w:val="single" w:sz="8" w:color="0000FF"/>
            </w:tcBorders>
            <w:gridSpan w:val="8"/>
          </w:tcPr>
          <w:p>
            <w:pPr>
              <w:spacing w:after="0"/>
              <w:rPr>
                <w:rFonts w:ascii="Times New Roman" w:cs="Times New Roman" w:eastAsia="Times New Roman" w:hAnsi="Times New Roman"/>
                <w:sz w:val="13"/>
                <w:szCs w:val="13"/>
                <w:color w:val="0000FF"/>
              </w:rPr>
            </w:pPr>
            <w:hyperlink w:anchor="page63">
              <w:r>
                <w:rPr>
                  <w:rFonts w:ascii="Times New Roman" w:cs="Times New Roman" w:eastAsia="Times New Roman" w:hAnsi="Times New Roman"/>
                  <w:sz w:val="13"/>
                  <w:szCs w:val="13"/>
                  <w:color w:val="0000FF"/>
                </w:rPr>
                <w:t>Report of Independent Registered Public Accounting Firm (PCAOB ID - 49)</w:t>
              </w:r>
            </w:hyperlink>
          </w:p>
        </w:tc>
        <w:tc>
          <w:tcPr>
            <w:tcW w:w="2420" w:type="dxa"/>
            <w:vAlign w:val="bottom"/>
            <w:gridSpan w:val="2"/>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20"/>
        </w:trPr>
        <w:tc>
          <w:tcPr>
            <w:tcW w:w="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0"/>
        </w:trPr>
        <w:tc>
          <w:tcPr>
            <w:tcW w:w="100" w:type="dxa"/>
            <w:vAlign w:val="bottom"/>
          </w:tcPr>
          <w:p>
            <w:pPr>
              <w:spacing w:after="0"/>
              <w:rPr>
                <w:sz w:val="24"/>
                <w:szCs w:val="24"/>
                <w:color w:val="auto"/>
              </w:rPr>
            </w:pPr>
          </w:p>
        </w:tc>
        <w:tc>
          <w:tcPr>
            <w:tcW w:w="452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rPr>
            </w:pPr>
            <w:hyperlink w:anchor="page65">
              <w:r>
                <w:rPr>
                  <w:rFonts w:ascii="Times New Roman" w:cs="Times New Roman" w:eastAsia="Times New Roman" w:hAnsi="Times New Roman"/>
                  <w:sz w:val="13"/>
                  <w:szCs w:val="13"/>
                  <w:color w:val="0000FF"/>
                </w:rPr>
                <w:t>Consolidated Statements of Assets and Liabilities as of September 30, 2023 and 2022</w:t>
              </w:r>
            </w:hyperlink>
          </w:p>
        </w:tc>
        <w:tc>
          <w:tcPr>
            <w:tcW w:w="3380" w:type="dxa"/>
            <w:vAlign w:val="bottom"/>
            <w:gridSpan w:val="5"/>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340"/>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6">
              <w:r>
                <w:rPr>
                  <w:rFonts w:ascii="Times New Roman" w:cs="Times New Roman" w:eastAsia="Times New Roman" w:hAnsi="Times New Roman"/>
                  <w:sz w:val="13"/>
                  <w:szCs w:val="13"/>
                  <w:color w:val="0000FF"/>
                </w:rPr>
                <w:t>Consolidated Statements of Operations for the years ended September 30, 2023, 2022 and 2021</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0"/>
        </w:trPr>
        <w:tc>
          <w:tcPr>
            <w:tcW w:w="10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40"/>
        </w:trPr>
        <w:tc>
          <w:tcPr>
            <w:tcW w:w="100" w:type="dxa"/>
            <w:vAlign w:val="bottom"/>
          </w:tcPr>
          <w:p>
            <w:pPr>
              <w:spacing w:after="0"/>
              <w:rPr>
                <w:sz w:val="24"/>
                <w:szCs w:val="24"/>
                <w:color w:val="auto"/>
              </w:rPr>
            </w:pPr>
          </w:p>
        </w:tc>
        <w:tc>
          <w:tcPr>
            <w:tcW w:w="566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67">
              <w:r>
                <w:rPr>
                  <w:rFonts w:ascii="Times New Roman" w:cs="Times New Roman" w:eastAsia="Times New Roman" w:hAnsi="Times New Roman"/>
                  <w:sz w:val="13"/>
                  <w:szCs w:val="13"/>
                  <w:color w:val="0000FF"/>
                </w:rPr>
                <w:t>Consolidated Statements of Changes in Net Assets for the years ended September 30, 2023, 2022 and 2021</w:t>
              </w:r>
            </w:hyperlink>
          </w:p>
        </w:tc>
        <w:tc>
          <w:tcPr>
            <w:tcW w:w="22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340"/>
        </w:trPr>
        <w:tc>
          <w:tcPr>
            <w:tcW w:w="100" w:type="dxa"/>
            <w:vAlign w:val="bottom"/>
          </w:tcPr>
          <w:p>
            <w:pPr>
              <w:spacing w:after="0"/>
              <w:rPr>
                <w:sz w:val="24"/>
                <w:szCs w:val="24"/>
                <w:color w:val="auto"/>
              </w:rPr>
            </w:pPr>
          </w:p>
        </w:tc>
        <w:tc>
          <w:tcPr>
            <w:tcW w:w="7900" w:type="dxa"/>
            <w:vAlign w:val="bottom"/>
            <w:gridSpan w:val="10"/>
          </w:tcPr>
          <w:p>
            <w:pPr>
              <w:spacing w:after="0"/>
              <w:rPr>
                <w:rFonts w:ascii="Times New Roman" w:cs="Times New Roman" w:eastAsia="Times New Roman" w:hAnsi="Times New Roman"/>
                <w:sz w:val="13"/>
                <w:szCs w:val="13"/>
                <w:color w:val="0000FF"/>
              </w:rPr>
            </w:pPr>
            <w:hyperlink w:anchor="page68">
              <w:r>
                <w:rPr>
                  <w:rFonts w:ascii="Times New Roman" w:cs="Times New Roman" w:eastAsia="Times New Roman" w:hAnsi="Times New Roman"/>
                  <w:sz w:val="13"/>
                  <w:szCs w:val="13"/>
                  <w:color w:val="0000FF"/>
                </w:rPr>
                <w:t>Consolidated Statements of Cash Flows for the years ended September 30, 2023, 2022 and 2021</w:t>
              </w:r>
            </w:hyperlink>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340"/>
        </w:trPr>
        <w:tc>
          <w:tcPr>
            <w:tcW w:w="100" w:type="dxa"/>
            <w:vAlign w:val="bottom"/>
          </w:tcPr>
          <w:p>
            <w:pPr>
              <w:spacing w:after="0"/>
              <w:rPr>
                <w:sz w:val="24"/>
                <w:szCs w:val="24"/>
                <w:color w:val="auto"/>
              </w:rPr>
            </w:pPr>
          </w:p>
        </w:tc>
        <w:tc>
          <w:tcPr>
            <w:tcW w:w="39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3"/>
                <w:szCs w:val="13"/>
                <w:color w:val="0000FF"/>
              </w:rPr>
            </w:pPr>
            <w:hyperlink w:anchor="page69">
              <w:r>
                <w:rPr>
                  <w:rFonts w:ascii="Times New Roman" w:cs="Times New Roman" w:eastAsia="Times New Roman" w:hAnsi="Times New Roman"/>
                  <w:sz w:val="13"/>
                  <w:szCs w:val="13"/>
                  <w:color w:val="0000FF"/>
                </w:rPr>
                <w:t>Consolidated Schedules of Investments as of September 30, 2023 and 2022</w:t>
              </w:r>
            </w:hyperlink>
          </w:p>
        </w:tc>
        <w:tc>
          <w:tcPr>
            <w:tcW w:w="1100" w:type="dxa"/>
            <w:vAlign w:val="bottom"/>
            <w:tcBorders>
              <w:top w:val="single" w:sz="8" w:color="0000FF"/>
            </w:tcBorders>
            <w:gridSpan w:val="4"/>
          </w:tcPr>
          <w:p>
            <w:pPr>
              <w:spacing w:after="0"/>
              <w:rPr>
                <w:sz w:val="24"/>
                <w:szCs w:val="24"/>
                <w:color w:val="auto"/>
              </w:rPr>
            </w:pPr>
          </w:p>
        </w:tc>
        <w:tc>
          <w:tcPr>
            <w:tcW w:w="2820" w:type="dxa"/>
            <w:vAlign w:val="bottom"/>
            <w:gridSpan w:val="3"/>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340"/>
        </w:trPr>
        <w:tc>
          <w:tcPr>
            <w:tcW w:w="100" w:type="dxa"/>
            <w:vAlign w:val="bottom"/>
          </w:tcPr>
          <w:p>
            <w:pPr>
              <w:spacing w:after="0"/>
              <w:rPr>
                <w:sz w:val="24"/>
                <w:szCs w:val="24"/>
                <w:color w:val="auto"/>
              </w:rPr>
            </w:pPr>
          </w:p>
        </w:tc>
        <w:tc>
          <w:tcPr>
            <w:tcW w:w="2500" w:type="dxa"/>
            <w:vAlign w:val="bottom"/>
            <w:tcBorders>
              <w:bottom w:val="single" w:sz="8" w:color="0000FF"/>
            </w:tcBorders>
          </w:tcPr>
          <w:p>
            <w:pPr>
              <w:spacing w:after="0"/>
              <w:rPr>
                <w:rFonts w:ascii="Times New Roman" w:cs="Times New Roman" w:eastAsia="Times New Roman" w:hAnsi="Times New Roman"/>
                <w:sz w:val="13"/>
                <w:szCs w:val="13"/>
                <w:color w:val="0000FF"/>
              </w:rPr>
            </w:pPr>
            <w:hyperlink w:anchor="page80">
              <w:r>
                <w:rPr>
                  <w:rFonts w:ascii="Times New Roman" w:cs="Times New Roman" w:eastAsia="Times New Roman" w:hAnsi="Times New Roman"/>
                  <w:sz w:val="13"/>
                  <w:szCs w:val="13"/>
                  <w:color w:val="0000FF"/>
                </w:rPr>
                <w:t>Notes to the Consolidated Financial Statements</w:t>
              </w:r>
            </w:hyperlink>
          </w:p>
        </w:tc>
        <w:tc>
          <w:tcPr>
            <w:tcW w:w="5400" w:type="dxa"/>
            <w:vAlign w:val="bottom"/>
            <w:gridSpan w:val="9"/>
          </w:tcPr>
          <w:p>
            <w:pPr>
              <w:spacing w:after="0"/>
              <w:rPr>
                <w:sz w:val="24"/>
                <w:szCs w:val="24"/>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-1607820</wp:posOffset>
            </wp:positionV>
            <wp:extent cx="22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-692785</wp:posOffset>
            </wp:positionV>
            <wp:extent cx="22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-235585</wp:posOffset>
            </wp:positionV>
            <wp:extent cx="22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59690</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580" w:right="68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Management’s Report on Internal Control Over Financial Reporting</w:t>
      </w:r>
    </w:p>
    <w:p>
      <w:pPr>
        <w:spacing w:after="0" w:line="129"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2023. Our internal control system is a process designed to provide reasonable assurance to our management and board of directors regarding the preparation and fair presentation of published financial statements.</w:t>
      </w:r>
    </w:p>
    <w:p>
      <w:pPr>
        <w:spacing w:after="0" w:line="91"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91"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76"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Management assessed the effectiveness of PennantPark Investment’s internal control over financial reporting as of September 30, 2023. In making this assessment, we used the criteria set forth by the Committee of Sponsoring Organizations of the Treadway Commission in 2013 Internal Control—Integrated Framework. Based on such assessment management has determined that, as of September 30, 2023, we do not maintain effective internal control over financial reporting due to the material weakness described below.</w:t>
      </w:r>
    </w:p>
    <w:p>
      <w:pPr>
        <w:spacing w:after="0" w:line="87"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A material weakness was identified in our internal control over financial reporting relating to procedures involving the operation of controls related to the review of quarterly cash and investment reconciliations. Additionally, a material weakness was identified in the operation of our internal controls over financial reporting relating to our review of interest income and non- accrual classification of investments. As a result of the material weakness, we performed additional analysis as deemed necessary to ensure that our consolidated financial statements included inn this Annual Report on Form 10-Kk did not result in any material misstatements for the periods presented, other than the restatement discussed in Note 2 of the financial statements. If the material weakness are not remediated there is a possibility they could lead to a material misstatement of account balances or disclosures. Accordingly, management has concluded that these control deficiencies constitute a material weakness.</w:t>
      </w:r>
    </w:p>
    <w:p>
      <w:pPr>
        <w:spacing w:after="0" w:line="96"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Management believes that the financial statements included in this Annual Report on Form 10 -K present fairly, in all material respects, the Company’s financial position, results of its operations, changes in net assets and cash flows for the periods presented. We believe that the audited consolidated financial statements included in this Annual Report on Form 10- K are accurate. We have begun the process of, and we are focused on, further enhancing effective internal control measures to improve our internal control over financial reporting and remediate these material weaknesses. Our internal control remediation efforts include the following:</w:t>
      </w:r>
    </w:p>
    <w:p>
      <w:pPr>
        <w:spacing w:after="0" w:line="223" w:lineRule="exact"/>
        <w:rPr>
          <w:sz w:val="20"/>
          <w:szCs w:val="20"/>
          <w:color w:val="auto"/>
        </w:rPr>
      </w:pPr>
    </w:p>
    <w:p>
      <w:pPr>
        <w:ind w:left="480" w:right="380"/>
        <w:spacing w:after="0" w:line="286" w:lineRule="auto"/>
        <w:rPr>
          <w:sz w:val="20"/>
          <w:szCs w:val="20"/>
          <w:color w:val="auto"/>
        </w:rPr>
      </w:pPr>
      <w:r>
        <w:rPr>
          <w:rFonts w:ascii="Times New Roman" w:cs="Times New Roman" w:eastAsia="Times New Roman" w:hAnsi="Times New Roman"/>
          <w:sz w:val="13"/>
          <w:szCs w:val="13"/>
          <w:color w:val="auto"/>
        </w:rPr>
        <w:t>•Enhancing existing controls to ensure the appropriate review of the quarterly cash and investment reconciliation and that it is adequately documented so as to provide evidence that the controls are operating effectively;</w:t>
      </w:r>
    </w:p>
    <w:p>
      <w:pPr>
        <w:spacing w:after="0" w:line="52" w:lineRule="exact"/>
        <w:rPr>
          <w:sz w:val="20"/>
          <w:szCs w:val="20"/>
          <w:color w:val="auto"/>
        </w:rPr>
      </w:pPr>
    </w:p>
    <w:p>
      <w:pPr>
        <w:ind w:left="480" w:right="240"/>
        <w:spacing w:after="0" w:line="286" w:lineRule="auto"/>
        <w:rPr>
          <w:sz w:val="20"/>
          <w:szCs w:val="20"/>
          <w:color w:val="auto"/>
        </w:rPr>
      </w:pPr>
      <w:r>
        <w:rPr>
          <w:rFonts w:ascii="Times New Roman" w:cs="Times New Roman" w:eastAsia="Times New Roman" w:hAnsi="Times New Roman"/>
          <w:sz w:val="13"/>
          <w:szCs w:val="13"/>
          <w:color w:val="auto"/>
        </w:rPr>
        <w:t>•Enhancing existing controls to ensure that our internal controls over financial reporting relating to our analysis of interest income and assessment of investments for classification as non-accrual investments are operating effectively; and</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•Enhancing policies and procedures to demonstrate a commitment to improving our overall control environment;</w:t>
      </w:r>
    </w:p>
    <w:p>
      <w:pPr>
        <w:spacing w:after="0" w:line="259" w:lineRule="exact"/>
        <w:rPr>
          <w:sz w:val="20"/>
          <w:szCs w:val="20"/>
          <w:color w:val="auto"/>
        </w:rPr>
      </w:pPr>
    </w:p>
    <w:p>
      <w:pPr>
        <w:ind w:left="480"/>
        <w:spacing w:after="0" w:line="268" w:lineRule="auto"/>
        <w:rPr>
          <w:sz w:val="20"/>
          <w:szCs w:val="20"/>
          <w:color w:val="auto"/>
        </w:rPr>
      </w:pPr>
      <w:r>
        <w:rPr>
          <w:rFonts w:ascii="Times New Roman" w:cs="Times New Roman" w:eastAsia="Times New Roman" w:hAnsi="Times New Roman"/>
          <w:sz w:val="13"/>
          <w:szCs w:val="13"/>
          <w:color w:val="auto"/>
        </w:rPr>
        <w:t>•We believe our planned actions to enhance our processes and controls will address these material weaknesses,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p>
    <w:p>
      <w:pPr>
        <w:spacing w:after="0" w:line="87"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PennantPark Investment's independent registered public accounting firm has issued an audit report on the effectiveness of our internal control over financial reporting as of September 30, 2023. This report appears on page 62.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Internal Control Over Financial Reporting</w:t>
      </w:r>
    </w:p>
    <w:p>
      <w:pPr>
        <w:spacing w:after="0" w:line="2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3"/>
          <w:szCs w:val="13"/>
          <w:color w:val="auto"/>
        </w:rPr>
        <w:t xml:space="preserve">We have audited PennantPark Investment Corporation and its Subsidiaries' (the Company) internal control over financial reporting as of September 30, 2023, based on criteria established in </w:t>
      </w:r>
      <w:r>
        <w:rPr>
          <w:rFonts w:ascii="Times New Roman" w:cs="Times New Roman" w:eastAsia="Times New Roman" w:hAnsi="Times New Roman"/>
          <w:sz w:val="13"/>
          <w:szCs w:val="13"/>
          <w:i w:val="1"/>
          <w:iCs w:val="1"/>
          <w:color w:val="auto"/>
        </w:rPr>
        <w:t>Internal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Control — Integrated Framework </w:t>
      </w:r>
      <w:r>
        <w:rPr>
          <w:rFonts w:ascii="Times New Roman" w:cs="Times New Roman" w:eastAsia="Times New Roman" w:hAnsi="Times New Roman"/>
          <w:sz w:val="13"/>
          <w:szCs w:val="13"/>
          <w:color w:val="auto"/>
        </w:rPr>
        <w:t>issued by the Committee of Sponsoring Organizations of the Treadway Commission in 2013. In our opinion, because of the effect of the material weakness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described below on the achievement of the objectives of the control criteria, the Company has not maintained effective internal control over financial reporting as of September 30, 2023,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w:t>
      </w:r>
    </w:p>
    <w:p>
      <w:pPr>
        <w:spacing w:after="0" w:line="13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statements of assets and liabilities, including the consolidated schedules of investments, as of September 30, 2023 and 2022, the related consolidated statements of operations, changes in net assets, and cash flows for each of the three years in the period ended September 30, 2023, and the related notes to the consolidated financial statements (collectively, the financial statements) of the Company and our report dated December 7, 2023 expressed an unqualified opinion on those consolidated financial statements and included an emphasis of matter paragraph regarding the information presented in the financial statements for the year ended September 30, 2022, that have been restated to reclassify certain amounts presented therein.</w:t>
      </w:r>
    </w:p>
    <w:p>
      <w:pPr>
        <w:spacing w:after="0" w:line="1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3"/>
          <w:szCs w:val="13"/>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Material weaknesses were identified in the operation of controls related to the Company’s quarterly review of cash and investment par value and quantity reconciliations, the review of interest income earned, and the review of the non-accrual classification of investments. These material weaknesses were considered in determining the nature, timing and extent of audit tests applied in our audit of the financial statements for the year ended September 30, 2023, and this report does not affect our report dated December 7, 2023 on those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3"/>
          <w:szCs w:val="13"/>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7, 2023</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92" w:right="68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We have audited the accompanying consolidated statements of assets and liabilities of PennantPark Investment Corporation and its Subsidiaries (the Company), including the consolidated schedules of investments, as of September 30, 2023 and 2022, the related consolidated statements of operations, changes in net assets, and cash flows for each of the three years in the period ended September 30, 2023, and the related notes to the consolidated financial statements (collectively, the financial statements). In our opinion, the financial statements present fairly, in all material respects, the financial position of the Company as of September 30, 2023 and 2022, and the results of its operations, changes in net assets, and cash flows for each of the three years in the period ended September 30, 2023, in conformity with accounting principles generally accepted in the United States of America.</w:t>
      </w:r>
    </w:p>
    <w:p>
      <w:pPr>
        <w:spacing w:after="0" w:line="13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3"/>
          <w:szCs w:val="13"/>
          <w:color w:val="auto"/>
        </w:rPr>
        <w:t xml:space="preserve">We have also audited, in accordance with the standards of the Public Company Accounting Oversight Board (United States) (PCAOB), the Company's internal control over financial reporting as of September 30, 2023, based on criteria established in </w:t>
      </w:r>
      <w:r>
        <w:rPr>
          <w:rFonts w:ascii="Times New Roman" w:cs="Times New Roman" w:eastAsia="Times New Roman" w:hAnsi="Times New Roman"/>
          <w:sz w:val="13"/>
          <w:szCs w:val="13"/>
          <w:i w:val="1"/>
          <w:iCs w:val="1"/>
          <w:color w:val="auto"/>
        </w:rPr>
        <w:t>Internal Control — Integrated Framework</w:t>
      </w:r>
      <w:r>
        <w:rPr>
          <w:rFonts w:ascii="Times New Roman" w:cs="Times New Roman" w:eastAsia="Times New Roman" w:hAnsi="Times New Roman"/>
          <w:sz w:val="13"/>
          <w:szCs w:val="13"/>
          <w:color w:val="auto"/>
        </w:rPr>
        <w:t xml:space="preserve"> issued by the Committee of Sponsoring Organizations of the Treadway Commission in 2013. Our report dated December 7, 2023 expressed an opinion that the Company had not maintained effective internal control over financial reporting as of September 30, 2023, based on criteria established in </w:t>
      </w:r>
      <w:r>
        <w:rPr>
          <w:rFonts w:ascii="Times New Roman" w:cs="Times New Roman" w:eastAsia="Times New Roman" w:hAnsi="Times New Roman"/>
          <w:sz w:val="13"/>
          <w:szCs w:val="13"/>
          <w:i w:val="1"/>
          <w:iCs w:val="1"/>
          <w:color w:val="auto"/>
        </w:rPr>
        <w:t xml:space="preserve">Internal Control — Integrated Framework </w:t>
      </w:r>
      <w:r>
        <w:rPr>
          <w:rFonts w:ascii="Times New Roman" w:cs="Times New Roman" w:eastAsia="Times New Roman" w:hAnsi="Times New Roman"/>
          <w:sz w:val="13"/>
          <w:szCs w:val="13"/>
          <w:color w:val="auto"/>
        </w:rPr>
        <w:t>issued by the Committee of Sponsoring Organizations of the Treadway Commission in 2013.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Emphasis of Matter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discussed in Note 2 of the consolidated financial statements, the 2022 financial statements have been restated to reclassify certain amounts presented within.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1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September 30, 2023 and 2022 by correspondence with the custodian and brokers or by other appropriate auditing procedures where replies from brokers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Critical Audit Matters</w:t>
      </w:r>
    </w:p>
    <w:p>
      <w:pPr>
        <w:spacing w:after="0" w:line="2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matters or on the accounts or disclosures to which they relate.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Level 3 Fair Value Measurements</w:t>
      </w:r>
    </w:p>
    <w:p>
      <w:pPr>
        <w:spacing w:after="0" w:line="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3"/>
          <w:szCs w:val="13"/>
          <w:color w:val="auto"/>
        </w:rPr>
        <w:t>The fair value of the Company’s investments valued using Level 3 fair value measurements was approximately $927.3 million as of September 30, 2023. The fair value of the Company’s financial instruments classified as liabilities valued using Level 3 fair value measurements was approximately $206.9 million as of September 30, 2023. As discussed in Notes 2 and 5 to the consolidated financial statements, the Company’s investment portfolio generally consists of illiquid securities, including debt and equity investments, which were acquired directly from the issuer. Such investments include first lien secured debt, second lien secured debt, subordinated debt and equity investments. Additionally, the Company has elected to apply the fair value option to certain financial instruments classified as liabilities. The inputs into the determination of fair value required significant management judgment or estimation.</w:t>
      </w:r>
    </w:p>
    <w:p>
      <w:pPr>
        <w:spacing w:after="0" w:line="13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3"/>
          <w:szCs w:val="13"/>
          <w:color w:val="auto"/>
        </w:rPr>
        <w:t>We identified Level 3 fair value measurements as a critical audit matter due to the subjective nature of the judgments necessary for management to select valuation techniques and the use of significant unobservable inputs to estimate the fair value. Auditing the reasonableness of management’s selection of valuation technique and the related unobservable inputs required a high degree of auditor judgment and increased audit effort, including the use of a valuation specialist.</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80" w:right="66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color w:val="auto"/>
        </w:rPr>
        <w:t>The primary procedures we performed to address this critical audit matter included the following, among others:</w:t>
      </w:r>
    </w:p>
    <w:p>
      <w:pPr>
        <w:spacing w:after="0" w:line="259" w:lineRule="exact"/>
        <w:rPr>
          <w:sz w:val="20"/>
          <w:szCs w:val="20"/>
          <w:color w:val="auto"/>
        </w:rPr>
      </w:pPr>
    </w:p>
    <w:p>
      <w:pPr>
        <w:jc w:val="both"/>
        <w:ind w:left="480"/>
        <w:spacing w:after="0" w:line="286" w:lineRule="auto"/>
        <w:rPr>
          <w:sz w:val="20"/>
          <w:szCs w:val="20"/>
          <w:color w:val="auto"/>
        </w:rPr>
      </w:pPr>
      <w:r>
        <w:rPr>
          <w:rFonts w:ascii="Times New Roman" w:cs="Times New Roman" w:eastAsia="Times New Roman" w:hAnsi="Times New Roman"/>
          <w:sz w:val="13"/>
          <w:szCs w:val="13"/>
          <w:color w:val="auto"/>
        </w:rPr>
        <w:t>•We obtained an understanding of the relevant controls related to management’s valuation of Level 3 fair value measurements, including those related to valuation techniques and significant unobservable inputs and tested such controls for design and operating effectiveness.</w:t>
      </w:r>
    </w:p>
    <w:p>
      <w:pPr>
        <w:spacing w:after="0" w:line="52" w:lineRule="exact"/>
        <w:rPr>
          <w:sz w:val="20"/>
          <w:szCs w:val="20"/>
          <w:color w:val="auto"/>
        </w:rPr>
      </w:pPr>
    </w:p>
    <w:p>
      <w:pPr>
        <w:jc w:val="both"/>
        <w:ind w:left="480"/>
        <w:spacing w:after="0" w:line="268" w:lineRule="auto"/>
        <w:rPr>
          <w:sz w:val="20"/>
          <w:szCs w:val="20"/>
          <w:color w:val="auto"/>
        </w:rPr>
      </w:pPr>
      <w:r>
        <w:rPr>
          <w:rFonts w:ascii="Times New Roman" w:cs="Times New Roman" w:eastAsia="Times New Roman" w:hAnsi="Times New Roman"/>
          <w:sz w:val="13"/>
          <w:szCs w:val="13"/>
          <w:color w:val="auto"/>
        </w:rPr>
        <w:t>•With the assistance of our valuation specialists, we evaluated the appropriateness of the selected valuation techniques, and any changes to selected valuation techniques from prior periods, used for Level 3 fair value measurements. For a sample of investments, we evaluated both the reasonableness of the significant unobservable inputs and the reasonableness of any significant changes in significant unobservable inputs from prior periods, when applicable, by comparing the unobservable inputs to external sources, including, but not limited to:</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oHistorical operating results of the investee.</w:t>
      </w:r>
    </w:p>
    <w:p>
      <w:pPr>
        <w:spacing w:after="0" w:line="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oAvailable market data for comparable companies.</w:t>
      </w:r>
    </w:p>
    <w:p>
      <w:pPr>
        <w:spacing w:after="0" w:line="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oSubsequent events and transactions, where available.</w:t>
      </w:r>
    </w:p>
    <w:p>
      <w:pPr>
        <w:spacing w:after="0" w:line="99" w:lineRule="exact"/>
        <w:rPr>
          <w:sz w:val="20"/>
          <w:szCs w:val="20"/>
          <w:color w:val="auto"/>
        </w:rPr>
      </w:pPr>
    </w:p>
    <w:p>
      <w:pPr>
        <w:ind w:left="480" w:right="140"/>
        <w:spacing w:after="0" w:line="286" w:lineRule="auto"/>
        <w:rPr>
          <w:sz w:val="20"/>
          <w:szCs w:val="20"/>
          <w:color w:val="auto"/>
        </w:rPr>
      </w:pPr>
      <w:r>
        <w:rPr>
          <w:rFonts w:ascii="Times New Roman" w:cs="Times New Roman" w:eastAsia="Times New Roman" w:hAnsi="Times New Roman"/>
          <w:sz w:val="13"/>
          <w:szCs w:val="13"/>
          <w:color w:val="auto"/>
        </w:rPr>
        <w:t>•We tested both the source information used to determine the unobservable input and the mathematical accuracy of the calculation used to compute the unobservable input for a sample of investments.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7, 2023</w:t>
      </w: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582" w:right="78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12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cost—$816,754 and $882,513, respectively)</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830,808</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932,155</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affiliated investments (amortized cost—$55,787 and $37,612, respectively)</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34,760</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cost—$245,386 and $381,904, respectively)</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216,068</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259,386</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investments (amortized cost—$1,117,927 and $1,302,029, respectively)</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1,226,301</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(cost—$38,784 and $54,953, respectively)</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120" w:type="dxa"/>
            <w:vAlign w:val="bottom"/>
            <w:shd w:val="clear" w:color="auto" w:fill="CCECFF"/>
          </w:tcPr>
          <w:p>
            <w:pPr>
              <w:spacing w:after="0"/>
              <w:rPr>
                <w:sz w:val="16"/>
                <w:szCs w:val="16"/>
                <w:color w:val="auto"/>
              </w:rPr>
            </w:pPr>
          </w:p>
        </w:tc>
        <w:tc>
          <w:tcPr>
            <w:tcW w:w="16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29,494</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receivable</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2,420</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4,656</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1,320,619</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 purchased</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99,949</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9,784</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Truist Credit Facility payable, at fair value (cost—$212,420 and $385,920, respectively) (See Notes 5 and 11)</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 payable, net (par— $150,000) (See Notes 5 and 11)</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146,767</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Notes-2 payable, net (par— $165,000) (See Notes 5 and 11)</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161,373</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debentures payable, net (par—zero and $20,000, respectively) (See Notes 5 and 11)</w:t>
            </w:r>
          </w:p>
        </w:tc>
        <w:tc>
          <w:tcPr>
            <w:tcW w:w="120" w:type="dxa"/>
            <w:vAlign w:val="bottom"/>
          </w:tcPr>
          <w:p>
            <w:pPr>
              <w:spacing w:after="0"/>
              <w:rPr>
                <w:sz w:val="15"/>
                <w:szCs w:val="15"/>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19,686</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Base management fee payable (See Note 3)</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payable (See Note 3)</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6,231</w:t>
            </w:r>
          </w:p>
        </w:tc>
        <w:tc>
          <w:tcPr>
            <w:tcW w:w="2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6,264</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6,639</w:t>
            </w:r>
          </w:p>
        </w:tc>
        <w:tc>
          <w:tcPr>
            <w:tcW w:w="80" w:type="dxa"/>
            <w:vAlign w:val="bottom"/>
          </w:tcPr>
          <w:p>
            <w:pPr>
              <w:spacing w:after="0"/>
              <w:rPr>
                <w:sz w:val="15"/>
                <w:szCs w:val="15"/>
                <w:color w:val="auto"/>
              </w:rPr>
            </w:pPr>
          </w:p>
        </w:tc>
      </w:tr>
      <w:tr>
        <w:trPr>
          <w:trHeight w:val="220"/>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Deferred tax liability</w:t>
            </w:r>
          </w:p>
        </w:tc>
        <w:tc>
          <w:tcPr>
            <w:tcW w:w="120" w:type="dxa"/>
            <w:vAlign w:val="bottom"/>
            <w:shd w:val="clear" w:color="auto" w:fill="CCECFF"/>
          </w:tcPr>
          <w:p>
            <w:pPr>
              <w:spacing w:after="0"/>
              <w:rPr>
                <w:sz w:val="19"/>
                <w:szCs w:val="19"/>
                <w:color w:val="auto"/>
              </w:rPr>
            </w:pPr>
          </w:p>
        </w:tc>
        <w:tc>
          <w:tcPr>
            <w:tcW w:w="16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9"/>
                <w:szCs w:val="19"/>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shd w:val="clear" w:color="auto" w:fill="CCECFF"/>
          </w:tcPr>
          <w:p>
            <w:pPr>
              <w:spacing w:after="0"/>
              <w:rPr>
                <w:sz w:val="19"/>
                <w:szCs w:val="19"/>
                <w:color w:val="auto"/>
              </w:rPr>
            </w:pP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654,790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735,054</w:t>
            </w:r>
          </w:p>
        </w:tc>
        <w:tc>
          <w:tcPr>
            <w:tcW w:w="80" w:type="dxa"/>
            <w:vAlign w:val="bottom"/>
          </w:tcPr>
          <w:p>
            <w:pPr>
              <w:spacing w:after="0"/>
              <w:rPr>
                <w:sz w:val="15"/>
                <w:szCs w:val="15"/>
                <w:color w:val="auto"/>
              </w:rPr>
            </w:pPr>
          </w:p>
        </w:tc>
      </w:tr>
      <w:tr>
        <w:trPr>
          <w:trHeight w:val="18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12)</w:t>
            </w: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0"/>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Common stock, 65,224,500 shares issued and outstanding</w:t>
            </w: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0"/>
        </w:trPr>
        <w:tc>
          <w:tcPr>
            <w:tcW w:w="73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Par value $0.001 per share and 100,000,000 shares authorized</w:t>
            </w: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CFF"/>
          </w:tcPr>
          <w:p>
            <w:pPr>
              <w:spacing w:after="0"/>
              <w:rPr>
                <w:sz w:val="15"/>
                <w:szCs w:val="15"/>
                <w:color w:val="auto"/>
              </w:rPr>
            </w:pPr>
          </w:p>
        </w:tc>
      </w:tr>
      <w:tr>
        <w:trPr>
          <w:trHeight w:val="17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746,466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748,169</w:t>
            </w:r>
          </w:p>
        </w:tc>
        <w:tc>
          <w:tcPr>
            <w:tcW w:w="80" w:type="dxa"/>
            <w:vAlign w:val="bottom"/>
          </w:tcPr>
          <w:p>
            <w:pPr>
              <w:spacing w:after="0"/>
              <w:rPr>
                <w:sz w:val="15"/>
                <w:szCs w:val="15"/>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20" w:type="dxa"/>
            <w:vAlign w:val="bottom"/>
            <w:shd w:val="clear" w:color="auto" w:fill="CCECFF"/>
          </w:tcPr>
          <w:p>
            <w:pPr>
              <w:spacing w:after="0"/>
              <w:rPr>
                <w:sz w:val="16"/>
                <w:szCs w:val="16"/>
                <w:color w:val="auto"/>
              </w:rPr>
            </w:pPr>
          </w:p>
        </w:tc>
        <w:tc>
          <w:tcPr>
            <w:tcW w:w="16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(244,344 )</w:t>
            </w:r>
          </w:p>
        </w:tc>
        <w:tc>
          <w:tcPr>
            <w:tcW w:w="120" w:type="dxa"/>
            <w:vAlign w:val="bottom"/>
            <w:shd w:val="clear" w:color="auto" w:fill="CCECFF"/>
          </w:tcPr>
          <w:p>
            <w:pPr>
              <w:spacing w:after="0"/>
              <w:rPr>
                <w:sz w:val="16"/>
                <w:szCs w:val="16"/>
                <w:color w:val="auto"/>
              </w:rPr>
            </w:pPr>
          </w:p>
        </w:tc>
        <w:tc>
          <w:tcPr>
            <w:tcW w:w="14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(162,669 )</w:t>
            </w:r>
          </w:p>
        </w:tc>
      </w:tr>
      <w:tr>
        <w:trPr>
          <w:trHeight w:val="177"/>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80" w:type="dxa"/>
            <w:vAlign w:val="bottom"/>
          </w:tcPr>
          <w:p>
            <w:pPr>
              <w:spacing w:after="0"/>
              <w:rPr>
                <w:sz w:val="15"/>
                <w:szCs w:val="15"/>
                <w:color w:val="auto"/>
              </w:rPr>
            </w:pPr>
          </w:p>
        </w:tc>
      </w:tr>
      <w:tr>
        <w:trPr>
          <w:trHeight w:val="223"/>
        </w:trPr>
        <w:tc>
          <w:tcPr>
            <w:tcW w:w="7320" w:type="dxa"/>
            <w:vAlign w:val="bottom"/>
            <w:tcBorders>
              <w:bottom w:val="single" w:sz="8" w:color="CCECFF"/>
            </w:tcBorders>
            <w:shd w:val="clear" w:color="auto" w:fill="CCECFF"/>
          </w:tcPr>
          <w:p>
            <w:pPr>
              <w:ind w:left="66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1,156,977</w:t>
            </w:r>
          </w:p>
        </w:tc>
        <w:tc>
          <w:tcPr>
            <w:tcW w:w="28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1,320,619</w:t>
            </w:r>
          </w:p>
        </w:tc>
        <w:tc>
          <w:tcPr>
            <w:tcW w:w="80" w:type="dxa"/>
            <w:vAlign w:val="bottom"/>
            <w:tcBorders>
              <w:bottom w:val="single" w:sz="8" w:color="CCECFF"/>
            </w:tcBorders>
            <w:shd w:val="clear" w:color="auto" w:fill="CCECFF"/>
          </w:tcPr>
          <w:p>
            <w:pPr>
              <w:spacing w:after="0"/>
              <w:rPr>
                <w:sz w:val="19"/>
                <w:szCs w:val="19"/>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8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56"/>
        </w:trPr>
        <w:tc>
          <w:tcPr>
            <w:tcW w:w="7840" w:type="dxa"/>
            <w:vAlign w:val="bottom"/>
            <w:gridSpan w:val="5"/>
          </w:tcPr>
          <w:p>
            <w:pPr>
              <w:ind w:left="31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gridSpan w:val="5"/>
          </w:tcPr>
          <w:p>
            <w:pPr>
              <w:ind w:left="37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500" w:type="dxa"/>
            <w:vAlign w:val="bottom"/>
          </w:tcPr>
          <w:p>
            <w:pPr>
              <w:ind w:left="4040"/>
              <w:spacing w:after="0"/>
              <w:rPr>
                <w:sz w:val="20"/>
                <w:szCs w:val="20"/>
                <w:color w:val="auto"/>
              </w:rPr>
            </w:pPr>
            <w:r>
              <w:rPr>
                <w:rFonts w:ascii="Times New Roman" w:cs="Times New Roman" w:eastAsia="Times New Roman" w:hAnsi="Times New Roman"/>
                <w:sz w:val="13"/>
                <w:szCs w:val="13"/>
                <w:color w:val="auto"/>
              </w:rPr>
              <w:t>(In thousands, except share</w:t>
            </w:r>
          </w:p>
        </w:tc>
        <w:tc>
          <w:tcPr>
            <w:tcW w:w="118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and per share data)</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restart"/>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180" w:type="dxa"/>
            <w:vAlign w:val="bottom"/>
            <w:gridSpan w:val="2"/>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93,420</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66,995</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46,018</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5500" w:type="dxa"/>
            <w:vAlign w:val="bottom"/>
            <w:tcBorders>
              <w:bottom w:val="single" w:sz="8" w:color="CCECFF"/>
            </w:tcBorders>
            <w:vMerge w:val="continue"/>
            <w:shd w:val="clear" w:color="auto" w:fill="CCECFF"/>
          </w:tcPr>
          <w:p>
            <w:pPr>
              <w:spacing w:after="0"/>
              <w:rPr>
                <w:sz w:val="7"/>
                <w:szCs w:val="7"/>
                <w:color w:val="auto"/>
              </w:rPr>
            </w:pPr>
          </w:p>
        </w:tc>
        <w:tc>
          <w:tcPr>
            <w:tcW w:w="860" w:type="dxa"/>
            <w:vAlign w:val="bottom"/>
            <w:tcBorders>
              <w:bottom w:val="single" w:sz="8" w:color="CCECFF"/>
            </w:tcBorders>
            <w:shd w:val="clear" w:color="auto" w:fill="CCECFF"/>
          </w:tcPr>
          <w:p>
            <w:pPr>
              <w:spacing w:after="0"/>
              <w:rPr>
                <w:sz w:val="7"/>
                <w:szCs w:val="7"/>
                <w:color w:val="auto"/>
              </w:rPr>
            </w:pPr>
          </w:p>
        </w:tc>
        <w:tc>
          <w:tcPr>
            <w:tcW w:w="320" w:type="dxa"/>
            <w:vAlign w:val="bottom"/>
            <w:tcBorders>
              <w:bottom w:val="single" w:sz="8" w:color="CCECFF"/>
            </w:tcBorders>
            <w:shd w:val="clear" w:color="auto" w:fill="CCECFF"/>
          </w:tcPr>
          <w:p>
            <w:pPr>
              <w:spacing w:after="0"/>
              <w:rPr>
                <w:sz w:val="7"/>
                <w:szCs w:val="7"/>
                <w:color w:val="auto"/>
              </w:rPr>
            </w:pPr>
          </w:p>
        </w:tc>
        <w:tc>
          <w:tcPr>
            <w:tcW w:w="900" w:type="dxa"/>
            <w:vAlign w:val="bottom"/>
            <w:tcBorders>
              <w:bottom w:val="single" w:sz="8" w:color="CCECFF"/>
            </w:tcBorders>
            <w:vMerge w:val="continue"/>
            <w:shd w:val="clear" w:color="auto" w:fill="CCECFF"/>
          </w:tcPr>
          <w:p>
            <w:pPr>
              <w:spacing w:after="0"/>
              <w:rPr>
                <w:sz w:val="7"/>
                <w:szCs w:val="7"/>
                <w:color w:val="auto"/>
              </w:rPr>
            </w:pPr>
          </w:p>
        </w:tc>
        <w:tc>
          <w:tcPr>
            <w:tcW w:w="260" w:type="dxa"/>
            <w:vAlign w:val="bottom"/>
            <w:tcBorders>
              <w:bottom w:val="single" w:sz="8" w:color="CCECFF"/>
            </w:tcBorders>
            <w:shd w:val="clear" w:color="auto" w:fill="CCECFF"/>
          </w:tcPr>
          <w:p>
            <w:pPr>
              <w:spacing w:after="0"/>
              <w:rPr>
                <w:sz w:val="7"/>
                <w:szCs w:val="7"/>
                <w:color w:val="auto"/>
              </w:rPr>
            </w:pPr>
          </w:p>
        </w:tc>
        <w:tc>
          <w:tcPr>
            <w:tcW w:w="260" w:type="dxa"/>
            <w:vAlign w:val="bottom"/>
            <w:tcBorders>
              <w:bottom w:val="single" w:sz="8" w:color="CCECFF"/>
            </w:tcBorders>
            <w:shd w:val="clear" w:color="auto" w:fill="CCECFF"/>
          </w:tcPr>
          <w:p>
            <w:pPr>
              <w:spacing w:after="0"/>
              <w:rPr>
                <w:sz w:val="7"/>
                <w:szCs w:val="7"/>
                <w:color w:val="auto"/>
              </w:rPr>
            </w:pPr>
          </w:p>
        </w:tc>
        <w:tc>
          <w:tcPr>
            <w:tcW w:w="940" w:type="dxa"/>
            <w:vAlign w:val="bottom"/>
            <w:tcBorders>
              <w:bottom w:val="single" w:sz="8" w:color="CCECFF"/>
            </w:tcBorders>
            <w:vMerge w:val="continue"/>
            <w:shd w:val="clear" w:color="auto" w:fill="CCECFF"/>
          </w:tcPr>
          <w:p>
            <w:pPr>
              <w:spacing w:after="0"/>
              <w:rPr>
                <w:sz w:val="7"/>
                <w:szCs w:val="7"/>
                <w:color w:val="auto"/>
              </w:rPr>
            </w:pPr>
          </w:p>
        </w:tc>
        <w:tc>
          <w:tcPr>
            <w:tcW w:w="240" w:type="dxa"/>
            <w:vAlign w:val="bottom"/>
            <w:tcBorders>
              <w:bottom w:val="single" w:sz="8" w:color="CCECFF"/>
            </w:tcBorders>
            <w:shd w:val="clear" w:color="auto" w:fill="CCECFF"/>
          </w:tcPr>
          <w:p>
            <w:pPr>
              <w:spacing w:after="0"/>
              <w:rPr>
                <w:sz w:val="7"/>
                <w:szCs w:val="7"/>
                <w:color w:val="auto"/>
              </w:rPr>
            </w:pPr>
          </w:p>
        </w:tc>
        <w:tc>
          <w:tcPr>
            <w:tcW w:w="260" w:type="dxa"/>
            <w:vAlign w:val="bottom"/>
            <w:tcBorders>
              <w:bottom w:val="single" w:sz="8" w:color="CCECFF"/>
            </w:tcBorders>
            <w:shd w:val="clear" w:color="auto" w:fill="CCECFF"/>
          </w:tcPr>
          <w:p>
            <w:pPr>
              <w:spacing w:after="0"/>
              <w:rPr>
                <w:sz w:val="7"/>
                <w:szCs w:val="7"/>
                <w:color w:val="auto"/>
              </w:rPr>
            </w:pPr>
          </w:p>
        </w:tc>
        <w:tc>
          <w:tcPr>
            <w:tcW w:w="940" w:type="dxa"/>
            <w:vAlign w:val="bottom"/>
            <w:tcBorders>
              <w:bottom w:val="single" w:sz="8" w:color="CCECFF"/>
            </w:tcBorders>
            <w:vMerge w:val="continue"/>
            <w:shd w:val="clear" w:color="auto" w:fill="CCECFF"/>
          </w:tcPr>
          <w:p>
            <w:pPr>
              <w:spacing w:after="0"/>
              <w:rPr>
                <w:sz w:val="7"/>
                <w:szCs w:val="7"/>
                <w:color w:val="auto"/>
              </w:rPr>
            </w:pPr>
          </w:p>
        </w:tc>
        <w:tc>
          <w:tcPr>
            <w:tcW w:w="80" w:type="dxa"/>
            <w:vAlign w:val="bottom"/>
            <w:tcBorders>
              <w:bottom w:val="single" w:sz="8" w:color="CCECFF"/>
            </w:tcBorders>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13,945</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non-controlled, affiliated investments:</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15,425</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10,586</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9,825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15,730</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9,075</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145,366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104,966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Base management fee (See Note 3)</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Incentive fee (See Note 3)</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13,901</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2,657</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 (See Note 11)</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28,760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 (See Note 3)</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 and financing costs</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75,538</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55,136</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44,512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Credit facility amendment and debt issuance costs (See Notes 5 and 11)</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79,833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61,023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8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65,533</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43,943</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36,476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8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(18,418 )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(31,382 )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(133,098 )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75,243</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(19,708 )</w:t>
            </w: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Debt extinguishment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(289 )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(2,922 )</w:t>
            </w:r>
          </w:p>
        </w:tc>
        <w:tc>
          <w:tcPr>
            <w:tcW w:w="2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(4,952 )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(6,183 )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 and debt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(156,757 )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34,756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8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(35,440 )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(182,863 )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95,034</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72,819</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67,808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(896 )</w:t>
            </w:r>
          </w:p>
        </w:tc>
        <w:tc>
          <w:tcPr>
            <w:tcW w:w="2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5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appreciation (depreciation) (See Notes 5 and 11)</w:t>
            </w:r>
          </w:p>
        </w:tc>
        <w:tc>
          <w:tcPr>
            <w:tcW w:w="8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(3,753 )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7,501</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(17,818 )</w:t>
            </w:r>
          </w:p>
        </w:tc>
        <w:tc>
          <w:tcPr>
            <w:tcW w:w="0" w:type="dxa"/>
            <w:vAlign w:val="bottom"/>
          </w:tcPr>
          <w:p>
            <w:pPr>
              <w:spacing w:after="0"/>
              <w:rPr>
                <w:sz w:val="1"/>
                <w:szCs w:val="1"/>
                <w:color w:val="auto"/>
              </w:rPr>
            </w:pPr>
          </w:p>
        </w:tc>
      </w:tr>
      <w:tr>
        <w:trPr>
          <w:trHeight w:val="177"/>
        </w:trPr>
        <w:tc>
          <w:tcPr>
            <w:tcW w:w="5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57,417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(103,439 )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86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160" w:type="dxa"/>
            <w:vAlign w:val="bottom"/>
            <w:gridSpan w:val="2"/>
            <w:shd w:val="clear" w:color="auto" w:fill="CCECFF"/>
          </w:tcPr>
          <w:p>
            <w:pPr>
              <w:jc w:val="right"/>
              <w:ind w:right="134"/>
              <w:spacing w:after="0" w:line="255" w:lineRule="exact"/>
              <w:rPr>
                <w:sz w:val="20"/>
                <w:szCs w:val="20"/>
                <w:color w:val="auto"/>
              </w:rPr>
            </w:pPr>
            <w:r>
              <w:rPr>
                <w:rFonts w:ascii="Times New Roman" w:cs="Times New Roman" w:eastAsia="Times New Roman" w:hAnsi="Times New Roman"/>
                <w:sz w:val="13"/>
                <w:szCs w:val="13"/>
                <w:color w:val="auto"/>
              </w:rPr>
              <w:t xml:space="preserve">(99,340 </w:t>
            </w:r>
            <w:r>
              <w:rPr>
                <w:rFonts w:ascii="Times New Roman" w:cs="Times New Roman" w:eastAsia="Times New Roman" w:hAnsi="Times New Roman"/>
                <w:sz w:val="26"/>
                <w:szCs w:val="26"/>
                <w:color w:val="auto"/>
                <w:vertAlign w:val="superscript"/>
              </w:rPr>
              <w:t>)</w:t>
            </w:r>
          </w:p>
        </w:tc>
        <w:tc>
          <w:tcPr>
            <w:tcW w:w="260" w:type="dxa"/>
            <w:vAlign w:val="bottom"/>
            <w:shd w:val="clear" w:color="auto" w:fill="CCECFF"/>
          </w:tcPr>
          <w:p>
            <w:pPr>
              <w:spacing w:after="0"/>
              <w:rPr>
                <w:sz w:val="22"/>
                <w:szCs w:val="22"/>
                <w:color w:val="auto"/>
              </w:rPr>
            </w:pPr>
          </w:p>
        </w:tc>
        <w:tc>
          <w:tcPr>
            <w:tcW w:w="1180" w:type="dxa"/>
            <w:vAlign w:val="bottom"/>
            <w:gridSpan w:val="2"/>
            <w:shd w:val="clear" w:color="auto" w:fill="CCECFF"/>
          </w:tcPr>
          <w:p>
            <w:pPr>
              <w:jc w:val="right"/>
              <w:ind w:right="180"/>
              <w:spacing w:after="0" w:line="255" w:lineRule="exact"/>
              <w:rPr>
                <w:sz w:val="20"/>
                <w:szCs w:val="20"/>
                <w:color w:val="auto"/>
              </w:rPr>
            </w:pPr>
            <w:r>
              <w:rPr>
                <w:rFonts w:ascii="Times New Roman" w:cs="Times New Roman" w:eastAsia="Times New Roman" w:hAnsi="Times New Roman"/>
                <w:sz w:val="13"/>
                <w:szCs w:val="13"/>
                <w:color w:val="auto"/>
              </w:rPr>
              <w:t xml:space="preserve">(68,683 </w:t>
            </w:r>
            <w:r>
              <w:rPr>
                <w:rFonts w:ascii="Times New Roman" w:cs="Times New Roman" w:eastAsia="Times New Roman" w:hAnsi="Times New Roman"/>
                <w:sz w:val="26"/>
                <w:szCs w:val="26"/>
                <w:color w:val="auto"/>
                <w:vertAlign w:val="superscript"/>
              </w:rPr>
              <w:t>)</w:t>
            </w:r>
          </w:p>
        </w:tc>
        <w:tc>
          <w:tcPr>
            <w:tcW w:w="260" w:type="dxa"/>
            <w:vAlign w:val="bottom"/>
            <w:shd w:val="clear" w:color="auto" w:fill="CCECFF"/>
          </w:tcPr>
          <w:p>
            <w:pPr>
              <w:spacing w:after="0"/>
              <w:rPr>
                <w:sz w:val="22"/>
                <w:szCs w:val="22"/>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130,141</w:t>
            </w:r>
          </w:p>
        </w:tc>
        <w:tc>
          <w:tcPr>
            <w:tcW w:w="8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180" w:type="dxa"/>
            <w:vAlign w:val="bottom"/>
            <w:gridSpan w:val="2"/>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(33,807 )</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(24,740 )</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 (See Note 7)</w:t>
            </w:r>
          </w:p>
        </w:tc>
        <w:tc>
          <w:tcPr>
            <w:tcW w:w="86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CFF"/>
          </w:tcPr>
          <w:p>
            <w:pPr>
              <w:jc w:val="right"/>
              <w:ind w:right="134"/>
              <w:spacing w:after="0" w:line="184" w:lineRule="exact"/>
              <w:rPr>
                <w:sz w:val="20"/>
                <w:szCs w:val="20"/>
                <w:color w:val="auto"/>
              </w:rPr>
            </w:pPr>
            <w:r>
              <w:rPr>
                <w:rFonts w:ascii="Times New Roman" w:cs="Times New Roman" w:eastAsia="Times New Roman" w:hAnsi="Times New Roman"/>
                <w:sz w:val="11"/>
                <w:szCs w:val="11"/>
                <w:color w:val="auto"/>
              </w:rPr>
              <w:t xml:space="preserve">(0.52 </w:t>
            </w:r>
            <w:r>
              <w:rPr>
                <w:rFonts w:ascii="Times New Roman" w:cs="Times New Roman" w:eastAsia="Times New Roman" w:hAnsi="Times New Roman"/>
                <w:sz w:val="21"/>
                <w:szCs w:val="21"/>
                <w:color w:val="auto"/>
                <w:vertAlign w:val="subscript"/>
              </w:rPr>
              <w:t>)</w:t>
            </w: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CFF"/>
          </w:tcPr>
          <w:p>
            <w:pPr>
              <w:jc w:val="right"/>
              <w:ind w:right="180"/>
              <w:spacing w:after="0" w:line="184" w:lineRule="exact"/>
              <w:rPr>
                <w:sz w:val="20"/>
                <w:szCs w:val="20"/>
                <w:color w:val="auto"/>
              </w:rPr>
            </w:pPr>
            <w:r>
              <w:rPr>
                <w:rFonts w:ascii="Times New Roman" w:cs="Times New Roman" w:eastAsia="Times New Roman" w:hAnsi="Times New Roman"/>
                <w:sz w:val="11"/>
                <w:szCs w:val="11"/>
                <w:color w:val="auto"/>
              </w:rPr>
              <w:t xml:space="preserve">(0.37 </w:t>
            </w:r>
            <w:r>
              <w:rPr>
                <w:rFonts w:ascii="Times New Roman" w:cs="Times New Roman" w:eastAsia="Times New Roman" w:hAnsi="Times New Roman"/>
                <w:sz w:val="21"/>
                <w:szCs w:val="21"/>
                <w:color w:val="auto"/>
                <w:vertAlign w:val="subscript"/>
              </w:rPr>
              <w:t>)</w:t>
            </w: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50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860" w:type="dxa"/>
            <w:vAlign w:val="bottom"/>
            <w:tcBorders>
              <w:top w:val="single" w:sz="8" w:color="CCEC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60" w:type="dxa"/>
            <w:vAlign w:val="bottom"/>
            <w:tcBorders>
              <w:top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0.66</w:t>
            </w:r>
          </w:p>
        </w:tc>
        <w:tc>
          <w:tcPr>
            <w:tcW w:w="240" w:type="dxa"/>
            <w:vAlign w:val="bottom"/>
            <w:tcBorders>
              <w:top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80" w:type="dxa"/>
            <w:vAlign w:val="bottom"/>
            <w:tcBorders>
              <w:top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65,533</w:t>
            </w:r>
          </w:p>
        </w:tc>
        <w:tc>
          <w:tcPr>
            <w:tcW w:w="260" w:type="dxa"/>
            <w:vAlign w:val="bottom"/>
          </w:tcPr>
          <w:p>
            <w:pPr>
              <w:spacing w:after="0"/>
              <w:rPr>
                <w:sz w:val="14"/>
                <w:szCs w:val="14"/>
                <w:color w:val="auto"/>
              </w:rPr>
            </w:pPr>
          </w:p>
        </w:tc>
        <w:tc>
          <w:tcPr>
            <w:tcW w:w="260" w:type="dxa"/>
            <w:vAlign w:val="bottom"/>
            <w:vMerge w:val="restart"/>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43,943</w:t>
            </w:r>
          </w:p>
        </w:tc>
        <w:tc>
          <w:tcPr>
            <w:tcW w:w="240" w:type="dxa"/>
            <w:vAlign w:val="bottom"/>
          </w:tcPr>
          <w:p>
            <w:pPr>
              <w:spacing w:after="0"/>
              <w:rPr>
                <w:sz w:val="14"/>
                <w:szCs w:val="14"/>
                <w:color w:val="auto"/>
              </w:rPr>
            </w:pPr>
          </w:p>
        </w:tc>
        <w:tc>
          <w:tcPr>
            <w:tcW w:w="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36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 and debt</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(151,805 )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40,939</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30,021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(110,044 )</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realized gain (loss) on investments</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(4,952 )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(6,183 )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change in unrealized appreciation (depreciation) on investments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(896 )</w:t>
            </w:r>
          </w:p>
        </w:tc>
        <w:tc>
          <w:tcPr>
            <w:tcW w:w="2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6360" w:type="dxa"/>
            <w:vAlign w:val="bottom"/>
            <w:vMerge w:val="restart"/>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280" w:type="dxa"/>
            <w:vAlign w:val="bottom"/>
            <w:shd w:val="clear" w:color="auto" w:fill="CCECFF"/>
          </w:tcPr>
          <w:p>
            <w:pPr>
              <w:spacing w:after="0"/>
              <w:rPr>
                <w:sz w:val="11"/>
                <w:szCs w:val="11"/>
                <w:color w:val="auto"/>
              </w:rPr>
            </w:pPr>
          </w:p>
        </w:tc>
        <w:tc>
          <w:tcPr>
            <w:tcW w:w="1200" w:type="dxa"/>
            <w:vAlign w:val="bottom"/>
            <w:gridSpan w:val="2"/>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(3,753 )</w:t>
            </w:r>
          </w:p>
        </w:tc>
        <w:tc>
          <w:tcPr>
            <w:tcW w:w="260" w:type="dxa"/>
            <w:vAlign w:val="bottom"/>
            <w:shd w:val="clear" w:color="auto" w:fill="CCECFF"/>
          </w:tcPr>
          <w:p>
            <w:pPr>
              <w:spacing w:after="0"/>
              <w:rPr>
                <w:sz w:val="11"/>
                <w:szCs w:val="11"/>
                <w:color w:val="auto"/>
              </w:rPr>
            </w:pP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7,501</w:t>
            </w:r>
          </w:p>
        </w:tc>
        <w:tc>
          <w:tcPr>
            <w:tcW w:w="2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(17,818</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360" w:type="dxa"/>
            <w:vAlign w:val="bottom"/>
            <w:vMerge w:val="continue"/>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0" w:type="dxa"/>
            <w:vAlign w:val="bottom"/>
            <w:gridSpan w:val="2"/>
            <w:vMerge w:val="continue"/>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vMerge w:val="continue"/>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(33,807 )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(24,740 )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2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(49,571 )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(36,590 )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(32,182 )</w:t>
            </w:r>
          </w:p>
        </w:tc>
        <w:tc>
          <w:tcPr>
            <w:tcW w:w="0" w:type="dxa"/>
            <w:vAlign w:val="bottom"/>
          </w:tcPr>
          <w:p>
            <w:pPr>
              <w:spacing w:after="0"/>
              <w:rPr>
                <w:sz w:val="1"/>
                <w:szCs w:val="1"/>
                <w:color w:val="auto"/>
              </w:rPr>
            </w:pPr>
          </w:p>
        </w:tc>
      </w:tr>
      <w:tr>
        <w:trPr>
          <w:trHeight w:val="184"/>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distributios to stockholders</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(49,571 )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(36,590 )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(32,182 )</w:t>
            </w:r>
          </w:p>
        </w:tc>
        <w:tc>
          <w:tcPr>
            <w:tcW w:w="0" w:type="dxa"/>
            <w:vAlign w:val="bottom"/>
          </w:tcPr>
          <w:p>
            <w:pPr>
              <w:spacing w:after="0"/>
              <w:rPr>
                <w:sz w:val="1"/>
                <w:szCs w:val="1"/>
                <w:color w:val="auto"/>
              </w:rPr>
            </w:pPr>
          </w:p>
        </w:tc>
      </w:tr>
      <w:tr>
        <w:trPr>
          <w:trHeight w:val="177"/>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Repurchase of common stock (See Note 14)</w:t>
            </w:r>
          </w:p>
        </w:tc>
        <w:tc>
          <w:tcPr>
            <w:tcW w:w="28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180"/>
              <w:spacing w:after="0" w:line="207" w:lineRule="exact"/>
              <w:rPr>
                <w:sz w:val="20"/>
                <w:szCs w:val="20"/>
                <w:color w:val="auto"/>
              </w:rPr>
            </w:pPr>
            <w:r>
              <w:rPr>
                <w:rFonts w:ascii="Times New Roman" w:cs="Times New Roman" w:eastAsia="Times New Roman" w:hAnsi="Times New Roman"/>
                <w:sz w:val="12"/>
                <w:szCs w:val="12"/>
                <w:color w:val="auto"/>
              </w:rPr>
              <w:t xml:space="preserve">(13,249 </w:t>
            </w:r>
            <w:r>
              <w:rPr>
                <w:rFonts w:ascii="Times New Roman" w:cs="Times New Roman" w:eastAsia="Times New Roman" w:hAnsi="Times New Roman"/>
                <w:sz w:val="24"/>
                <w:szCs w:val="24"/>
                <w:color w:val="auto"/>
                <w:vertAlign w:val="subscript"/>
              </w:rPr>
              <w:t>)</w:t>
            </w:r>
          </w:p>
        </w:tc>
        <w:tc>
          <w:tcPr>
            <w:tcW w:w="26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(83,378 )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(74,579 )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Beginning of year</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660,144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525,709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End of year</w:t>
            </w: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660,144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share activity:</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Shares of common stock repurchased</w:t>
            </w:r>
          </w:p>
        </w:tc>
        <w:tc>
          <w:tcPr>
            <w:tcW w:w="28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1,820,605</w:t>
            </w:r>
          </w:p>
        </w:tc>
        <w:tc>
          <w:tcPr>
            <w:tcW w:w="24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STEATEMENTS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r>
      <w:tr>
        <w:trPr>
          <w:trHeight w:val="184"/>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(33,807 )</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(24,740 )</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166,617</w:t>
            </w:r>
          </w:p>
        </w:tc>
        <w:tc>
          <w:tcPr>
            <w:tcW w:w="80" w:type="dxa"/>
            <w:vAlign w:val="bottom"/>
          </w:tcPr>
          <w:p>
            <w:pPr>
              <w:spacing w:after="0"/>
              <w:rPr>
                <w:sz w:val="15"/>
                <w:szCs w:val="15"/>
                <w:color w:val="auto"/>
              </w:rPr>
            </w:pPr>
          </w:p>
        </w:tc>
      </w:tr>
      <w:tr>
        <w:trPr>
          <w:trHeight w:val="160"/>
        </w:trPr>
        <w:tc>
          <w:tcPr>
            <w:tcW w:w="63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0"/>
        </w:trPr>
        <w:tc>
          <w:tcPr>
            <w:tcW w:w="636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operations to net cash provided by (used in) operating activities:</w:t>
            </w:r>
          </w:p>
        </w:tc>
        <w:tc>
          <w:tcPr>
            <w:tcW w:w="2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(59,594 )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110,044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(117,937 )</w:t>
            </w: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change in unrealized depreciation on debt</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3,753</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(7,501 )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17,818</w:t>
            </w: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151,516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(43,861 )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(30,021 )</w:t>
            </w: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Debt extinguishment realized loss</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2,922</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(6,792 )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(5,505 )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(3,525 )</w:t>
            </w: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(375,176 )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(933,780 )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(441,365 )</w:t>
            </w: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Payment-in-kind income</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(4,458 )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(9,218 )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(15,210 )</w:t>
            </w: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418,627</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911,643</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434,473</w:t>
            </w: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(Increase) or Decrease in:</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Interest receivable</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(3,227 )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Receivables from investments sold</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29,494</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(16,701 )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(12,793 )</w:t>
            </w:r>
          </w:p>
        </w:tc>
      </w:tr>
      <w:tr>
        <w:trPr>
          <w:trHeight w:val="17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Distribution receivable</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(2,659 )</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(726 )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(300 )</w:t>
            </w:r>
          </w:p>
        </w:tc>
      </w:tr>
      <w:tr>
        <w:trPr>
          <w:trHeight w:val="184"/>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(306 )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(4,394 )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Increase or (Decrease) in: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Due to affiliates</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99,949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(8,407 )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(33 )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Base management fee payable, net</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(934 )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Incentive fee payable</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(575 )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Deferred tax liability</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(896 )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360" w:type="dxa"/>
            <w:vAlign w:val="bottom"/>
            <w:shd w:val="clear" w:color="auto" w:fill="CCECFF"/>
          </w:tcPr>
          <w:p>
            <w:pPr>
              <w:ind w:left="8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5,581</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222,941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(17,293 )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280" w:type="dxa"/>
            <w:vAlign w:val="bottom"/>
          </w:tcPr>
          <w:p>
            <w:pPr>
              <w:spacing w:after="0"/>
              <w:rPr>
                <w:sz w:val="15"/>
                <w:szCs w:val="15"/>
                <w:color w:val="auto"/>
              </w:rPr>
            </w:pPr>
          </w:p>
        </w:tc>
        <w:tc>
          <w:tcPr>
            <w:tcW w:w="12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(13,249 )</w:t>
            </w:r>
          </w:p>
        </w:tc>
        <w:tc>
          <w:tcPr>
            <w:tcW w:w="2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(45,658 )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(34,852 )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(32,182 )</w:t>
            </w: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repayments of the 2024 Notes</w:t>
            </w:r>
          </w:p>
        </w:tc>
        <w:tc>
          <w:tcPr>
            <w:tcW w:w="280" w:type="dxa"/>
            <w:vAlign w:val="bottom"/>
          </w:tcPr>
          <w:p>
            <w:pPr>
              <w:spacing w:after="0"/>
              <w:rPr>
                <w:sz w:val="15"/>
                <w:szCs w:val="15"/>
                <w:color w:val="auto"/>
              </w:rPr>
            </w:pPr>
          </w:p>
        </w:tc>
        <w:tc>
          <w:tcPr>
            <w:tcW w:w="12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(86,250 )</w:t>
            </w:r>
          </w:p>
        </w:tc>
        <w:tc>
          <w:tcPr>
            <w:tcW w:w="2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Proceeds from 2026 Notes issuance</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145,465</w:t>
            </w:r>
          </w:p>
        </w:tc>
        <w:tc>
          <w:tcPr>
            <w:tcW w:w="80" w:type="dxa"/>
            <w:vAlign w:val="bottom"/>
            <w:shd w:val="clear" w:color="auto" w:fill="CCECFF"/>
          </w:tcPr>
          <w:p>
            <w:pPr>
              <w:spacing w:after="0"/>
              <w:rPr>
                <w:sz w:val="16"/>
                <w:szCs w:val="16"/>
                <w:color w:val="auto"/>
              </w:rPr>
            </w:pP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Proceeds from 2026-2 Notes issuance</w:t>
            </w:r>
          </w:p>
        </w:tc>
        <w:tc>
          <w:tcPr>
            <w:tcW w:w="280" w:type="dxa"/>
            <w:vAlign w:val="bottom"/>
          </w:tcPr>
          <w:p>
            <w:pPr>
              <w:spacing w:after="0"/>
              <w:rPr>
                <w:sz w:val="15"/>
                <w:szCs w:val="15"/>
                <w:color w:val="auto"/>
              </w:rPr>
            </w:pPr>
          </w:p>
        </w:tc>
        <w:tc>
          <w:tcPr>
            <w:tcW w:w="12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160,519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Repayments of SBA debentures</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(20,000 )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(43,500 )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(55,000 )</w:t>
            </w:r>
          </w:p>
        </w:tc>
      </w:tr>
      <w:tr>
        <w:trPr>
          <w:trHeight w:val="176"/>
        </w:trPr>
        <w:tc>
          <w:tcPr>
            <w:tcW w:w="63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Borrowings under Truist Credit Facility</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152,500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860,841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310,312</w:t>
            </w: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Repayments under Truist Credit Facility</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(326,000 )</w:t>
            </w:r>
          </w:p>
        </w:tc>
        <w:tc>
          <w:tcPr>
            <w:tcW w:w="26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(791,466 )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(382,019 )</w:t>
            </w:r>
          </w:p>
        </w:tc>
      </w:tr>
      <w:tr>
        <w:trPr>
          <w:trHeight w:val="176"/>
        </w:trPr>
        <w:tc>
          <w:tcPr>
            <w:tcW w:w="636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80" w:type="dxa"/>
            <w:vAlign w:val="bottom"/>
          </w:tcPr>
          <w:p>
            <w:pPr>
              <w:spacing w:after="0"/>
              <w:rPr>
                <w:sz w:val="15"/>
                <w:szCs w:val="15"/>
                <w:color w:val="auto"/>
              </w:rPr>
            </w:pPr>
          </w:p>
        </w:tc>
        <w:tc>
          <w:tcPr>
            <w:tcW w:w="12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(239,158 )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52,043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(13,424 )</w:t>
            </w:r>
          </w:p>
        </w:tc>
      </w:tr>
      <w:tr>
        <w:trPr>
          <w:trHeight w:val="184"/>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28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(16,217 )</w:t>
            </w: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34,750</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(5,516 )</w:t>
            </w:r>
          </w:p>
        </w:tc>
      </w:tr>
      <w:tr>
        <w:trPr>
          <w:trHeight w:val="176"/>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(332 )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5"/>
                <w:szCs w:val="15"/>
                <w:color w:val="auto"/>
              </w:rPr>
            </w:pPr>
          </w:p>
        </w:tc>
      </w:tr>
      <w:tr>
        <w:trPr>
          <w:trHeight w:val="184"/>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20,357</w:t>
            </w:r>
          </w:p>
        </w:tc>
        <w:tc>
          <w:tcPr>
            <w:tcW w:w="2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25,806</w:t>
            </w:r>
          </w:p>
        </w:tc>
        <w:tc>
          <w:tcPr>
            <w:tcW w:w="80" w:type="dxa"/>
            <w:vAlign w:val="bottom"/>
            <w:shd w:val="clear" w:color="auto" w:fill="CCECFF"/>
          </w:tcPr>
          <w:p>
            <w:pPr>
              <w:spacing w:after="0"/>
              <w:rPr>
                <w:sz w:val="16"/>
                <w:szCs w:val="16"/>
                <w:color w:val="auto"/>
              </w:rPr>
            </w:pPr>
          </w:p>
        </w:tc>
      </w:tr>
      <w:tr>
        <w:trPr>
          <w:trHeight w:val="180"/>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60" w:type="dxa"/>
            <w:vAlign w:val="bottom"/>
          </w:tcPr>
          <w:p>
            <w:pPr>
              <w:spacing w:after="0"/>
              <w:rPr>
                <w:sz w:val="15"/>
                <w:szCs w:val="15"/>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20,357</w:t>
            </w:r>
          </w:p>
        </w:tc>
        <w:tc>
          <w:tcPr>
            <w:tcW w:w="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80"/>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37,661</w:t>
            </w:r>
          </w:p>
        </w:tc>
        <w:tc>
          <w:tcPr>
            <w:tcW w:w="260" w:type="dxa"/>
            <w:vAlign w:val="bottom"/>
          </w:tcPr>
          <w:p>
            <w:pPr>
              <w:spacing w:after="0"/>
              <w:rPr>
                <w:sz w:val="15"/>
                <w:szCs w:val="15"/>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25,473</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17,135</w:t>
            </w:r>
          </w:p>
        </w:tc>
        <w:tc>
          <w:tcPr>
            <w:tcW w:w="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36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Taxes paid</w:t>
            </w: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5,707</w:t>
            </w:r>
          </w:p>
        </w:tc>
        <w:tc>
          <w:tcPr>
            <w:tcW w:w="26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5,455</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56"/>
        </w:trPr>
        <w:tc>
          <w:tcPr>
            <w:tcW w:w="6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exchanges and conversions</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18,467</w:t>
            </w:r>
          </w:p>
        </w:tc>
        <w:tc>
          <w:tcPr>
            <w:tcW w:w="26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0"/>
                <w:szCs w:val="10"/>
                <w:color w:val="auto"/>
              </w:rPr>
              <w:t xml:space="preserve">(99,833 </w:t>
            </w:r>
            <w:r>
              <w:rPr>
                <w:rFonts w:ascii="Times New Roman" w:cs="Times New Roman" w:eastAsia="Times New Roman" w:hAnsi="Times New Roman"/>
                <w:sz w:val="18"/>
                <w:szCs w:val="18"/>
                <w:color w:val="auto"/>
                <w:vertAlign w:val="subscript"/>
              </w:rPr>
              <w:t>)</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16,516</w:t>
            </w:r>
          </w:p>
        </w:tc>
        <w:tc>
          <w:tcPr>
            <w:tcW w:w="80" w:type="dxa"/>
            <w:vAlign w:val="bottom"/>
          </w:tcPr>
          <w:p>
            <w:pPr>
              <w:spacing w:after="0"/>
              <w:rPr>
                <w:sz w:val="13"/>
                <w:szCs w:val="13"/>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31"/>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—165.4% of Net Assets </w:t>
            </w:r>
            <w:r>
              <w:rPr>
                <w:rFonts w:ascii="Times New Roman" w:cs="Times New Roman" w:eastAsia="Times New Roman" w:hAnsi="Times New Roman"/>
                <w:sz w:val="12"/>
                <w:szCs w:val="12"/>
                <w:b w:val="1"/>
                <w:bCs w:val="1"/>
                <w:color w:val="auto"/>
                <w:vertAlign w:val="superscript"/>
              </w:rPr>
              <w:t>(1), (2)</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Debt—93.2% of Net Assets</w:t>
            </w: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5,144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5,073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3,023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2,962</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1,327</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Arcfield Acquisition Corp.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08/03/2029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SOFR+615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7,970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8,009</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08/04/2028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11/02/2023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3,924</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Inc.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01/31/2028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1,823</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12/04/2025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33,496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34,056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06/14/2028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6,592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6,460</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07/13/2027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11/30/2028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8,276</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8,190</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8,276</w:t>
            </w:r>
          </w:p>
        </w:tc>
        <w:tc>
          <w:tcPr>
            <w:tcW w:w="0" w:type="dxa"/>
            <w:vAlign w:val="bottom"/>
          </w:tcPr>
          <w:p>
            <w:pPr>
              <w:spacing w:after="0"/>
              <w:rPr>
                <w:sz w:val="1"/>
                <w:szCs w:val="1"/>
                <w:color w:val="auto"/>
              </w:rPr>
            </w:pPr>
          </w:p>
        </w:tc>
      </w:tr>
      <w:tr>
        <w:trPr>
          <w:trHeight w:val="137"/>
        </w:trPr>
        <w:tc>
          <w:tcPr>
            <w:tcW w:w="30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2"/>
        </w:trPr>
        <w:tc>
          <w:tcPr>
            <w:tcW w:w="300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2,326</w:t>
            </w: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 - Unfunded Term Loan</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EDS Buyer, LLC -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05/25/2029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24,097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23,888</w:t>
            </w:r>
          </w:p>
        </w:tc>
        <w:tc>
          <w:tcPr>
            <w:tcW w:w="0" w:type="dxa"/>
            <w:vAlign w:val="bottom"/>
          </w:tcPr>
          <w:p>
            <w:pPr>
              <w:spacing w:after="0"/>
              <w:rPr>
                <w:sz w:val="1"/>
                <w:szCs w:val="1"/>
                <w:color w:val="auto"/>
              </w:rPr>
            </w:pPr>
          </w:p>
        </w:tc>
      </w:tr>
      <w:tr>
        <w:trPr>
          <w:trHeight w:val="17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1,856</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00" w:type="dxa"/>
            <w:vAlign w:val="bottom"/>
          </w:tcPr>
          <w:p>
            <w:pPr>
              <w:spacing w:after="0"/>
              <w:rPr>
                <w:sz w:val="10"/>
                <w:szCs w:val="10"/>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80" w:type="dxa"/>
            <w:vAlign w:val="bottom"/>
          </w:tcPr>
          <w:p>
            <w:pPr>
              <w:jc w:val="center"/>
              <w:ind w:right="132"/>
              <w:spacing w:after="0" w:line="134"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(4)</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4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920" w:type="dxa"/>
            <w:vAlign w:val="bottom"/>
          </w:tcPr>
          <w:p>
            <w:pPr>
              <w:jc w:val="right"/>
              <w:ind w:right="17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(3)</w:t>
            </w:r>
          </w:p>
        </w:tc>
        <w:tc>
          <w:tcPr>
            <w:tcW w:w="0" w:type="dxa"/>
            <w:vAlign w:val="bottom"/>
          </w:tcPr>
          <w:p>
            <w:pPr>
              <w:spacing w:after="0"/>
              <w:rPr>
                <w:sz w:val="1"/>
                <w:szCs w:val="1"/>
                <w:color w:val="auto"/>
              </w:rPr>
            </w:pPr>
          </w:p>
        </w:tc>
      </w:tr>
      <w:tr>
        <w:trPr>
          <w:trHeight w:val="133"/>
        </w:trPr>
        <w:tc>
          <w:tcPr>
            <w:tcW w:w="27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Five Star Buyer, Inc.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02/23/2028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12.42 %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SOFR+710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196</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Five Star Buyer, Inc. - Unfunded Term Loan</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02/23/2028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837</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37"/>
        </w:trPr>
        <w:tc>
          <w:tcPr>
            <w:tcW w:w="27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CFF"/>
          </w:tcPr>
          <w:p>
            <w:pPr>
              <w:spacing w:after="0" w:line="132" w:lineRule="exact"/>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02/23/2028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741</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05/19/2029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12.56 %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215</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08/10/2027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10.98 %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SOFR+560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613</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608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607</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12/08/2023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276</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08/10/2027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11.77 %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SOFR+560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239</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239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08/10/2027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529</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12/31/2026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SOFR+560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335</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335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12/31/2026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415</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6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11/23/2028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11.32 %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6M SOFR+585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1,898</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1,868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1,898</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Holdco Sands Intermediate, LLC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11/23/2027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3,941</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12/17/2026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SOFR+625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279</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278</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12/17/2026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2,219</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12/17/2026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SOFR+625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1,200</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1,198</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HV Watterson Holdings, LLC - (Revolver)</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12/17/2026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HW Holdco,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12/10/2024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11,237</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11,167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11,069</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HW Holdco, LLC (Revolver)</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12/10/2024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271</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271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12/10/2024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3,116</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09/22/2027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477</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11/15/2027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2,341</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11/15/2027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1,685</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12/07/2023</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12.49 %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SOFR+715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20,300</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20,100</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20,300</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12/28/2028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12.24 %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SOFR+685</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2,089</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2,089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Infinity Home Services Holdco, Inc. - Unfunded Term Loan</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12/28/2023</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1,135</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Infinity Home Services Holdco, Inc.(Revolver)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12/28/2028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1,292</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92"/>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11/01/2026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72"/>
              <w:spacing w:after="0" w:line="192" w:lineRule="exact"/>
              <w:rPr>
                <w:sz w:val="20"/>
                <w:szCs w:val="20"/>
                <w:color w:val="auto"/>
              </w:rPr>
            </w:pPr>
            <w:r>
              <w:rPr>
                <w:rFonts w:ascii="Times New Roman" w:cs="Times New Roman" w:eastAsia="Times New Roman" w:hAnsi="Times New Roman"/>
                <w:sz w:val="10"/>
                <w:szCs w:val="10"/>
                <w:color w:val="auto"/>
              </w:rPr>
              <w:t xml:space="preserve">11.17 </w:t>
            </w:r>
            <w:r>
              <w:rPr>
                <w:rFonts w:ascii="Times New Roman" w:cs="Times New Roman" w:eastAsia="Times New Roman" w:hAnsi="Times New Roman"/>
                <w:sz w:val="19"/>
                <w:szCs w:val="19"/>
                <w:color w:val="auto"/>
                <w:vertAlign w:val="subscript"/>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SOFR+585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1,420</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1,416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1,420</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Infolinks Media Buyco, LLC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11/01/2023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949</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Integrated Data Services - Term Loan</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08/01/2029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11.87 %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SOFR+650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15,467</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15,161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15,106</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Integrated Data Services - Unfunded Revolver</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08/01/2029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2,533</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(59 )</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08/27/2026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11.41 %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SOFR+615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9,880</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9,839</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9,781</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Integrity Marketing Acquisition, LLC - Unfunded Term Loan</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08/31/2025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2,500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Integrity Marketing Acquisition, LLC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08/31/2025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160</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Inventus Power, Inc.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06/30/2025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SOFR+761</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13,234</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12,998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12,969</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Inventus Power, Inc.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06/30/2025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1,729</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ITI Holdings, Inc.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03/03/2028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11.06 %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SOFR+615</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8,838</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8,718</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8,661</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ITI Holdings, Inc. (Revolver)</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03/03/2028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10.70 %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SOFR+560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1,121</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03/03/2028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370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12/20/2023</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13.42 %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SOFR+810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9,409</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9,402</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9,409</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12/20/2023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1,938</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Kinetic Purchaser,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11/10/2027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SOFR+615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9,173</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8,957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9,035</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Kinetic Purchaser, LLC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11/10/2026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4,854</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(73 )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Lash OpCo,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02/18/2027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11.88 %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SOFR+700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2,807</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2,764</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2,779</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Lash OpCo, LLC (Revolver)</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08/16/2026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12.15 %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SOFR+700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1,977</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1,977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1,957</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08/16/2026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935</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LAV Gear Holdings, Inc.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10/31/2024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SOFR+640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51</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51</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98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Ledge Lounger, Inc.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11/09/2026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SOFR+625</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9,085</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8,964</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8,971</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11/09/2026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1,933</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Lightspeed Buyer Inc.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02/03/2026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1M SOFR+535</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2,198</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2,187</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2,176</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02/03/2026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1,166</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LJ Avalon Holdings, LLC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07/31/2024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SOFR+640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208</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205</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204</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LJ Avalon Holdings, LLC - Unfunded Term Loan</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07/31/2024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1,260</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LJ Avalon Holdings, LLC (Revolver)</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01/31/2030</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587</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03/31/2029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12.64 %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SOFR+725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5,625</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5,436</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5,381</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05/31/2028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4,988</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4,892</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05/31/2028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SOFR+700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347</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347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342</w:t>
            </w:r>
          </w:p>
        </w:tc>
        <w:tc>
          <w:tcPr>
            <w:tcW w:w="0" w:type="dxa"/>
            <w:vAlign w:val="bottom"/>
          </w:tcPr>
          <w:p>
            <w:pPr>
              <w:spacing w:after="0"/>
              <w:rPr>
                <w:sz w:val="1"/>
                <w:szCs w:val="1"/>
                <w:color w:val="auto"/>
              </w:rPr>
            </w:pPr>
          </w:p>
        </w:tc>
      </w:tr>
      <w:tr>
        <w:trPr>
          <w:trHeight w:val="108"/>
        </w:trPr>
        <w:tc>
          <w:tcPr>
            <w:tcW w:w="27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Loving Tan Intermediate II, Inc. (Revolver)</w:t>
            </w:r>
            <w:r>
              <w:rPr>
                <w:rFonts w:ascii="Times New Roman" w:cs="Times New Roman" w:eastAsia="Times New Roman" w:hAnsi="Times New Roman"/>
                <w:sz w:val="12"/>
                <w:szCs w:val="12"/>
                <w:color w:val="auto"/>
                <w:vertAlign w:val="superscript"/>
              </w:rPr>
              <w:t>(7)</w:t>
            </w:r>
          </w:p>
        </w:tc>
        <w:tc>
          <w:tcPr>
            <w:tcW w:w="9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auto"/>
              </w:rPr>
              <w:t>05/31/2028</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284</w:t>
            </w:r>
          </w:p>
        </w:tc>
        <w:tc>
          <w:tcPr>
            <w:tcW w:w="84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32"/>
        </w:trPr>
        <w:tc>
          <w:tcPr>
            <w:tcW w:w="2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05/14/2026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SOFR+565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1,835</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1,807</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1,817</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05/14/2026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1,209</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MBS Holdings, Inc. (Revolver)</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04/16/2027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1M SOFR+585</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111</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04/16/2027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Telecommunications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583</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MDI Buyer, Inc.</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07/25/2028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11.27 %</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20,135</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19,835</w:t>
            </w:r>
          </w:p>
        </w:tc>
        <w:tc>
          <w:tcPr>
            <w:tcW w:w="9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19,685</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MDI Buyer, Inc. (Revolver)</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07/25/2028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SOFR+600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1,039</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1,039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1,016</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07/25/2028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1,188</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12/10/2027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10.66 %</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1,937</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1,919</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1,888</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Meadowlark Acquirer, LLC Term Loan I</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12/10/2027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1,038</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40"/>
        </w:trPr>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Meadowlark Acquirer, LLC Term Loan II</w:t>
            </w:r>
          </w:p>
        </w:tc>
        <w:tc>
          <w:tcPr>
            <w:tcW w:w="96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12/10/2027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8,922</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(134 )</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(7)</w:t>
            </w:r>
          </w:p>
        </w:tc>
        <w:tc>
          <w:tcPr>
            <w:tcW w:w="9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12/10/2027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1,685</w:t>
            </w:r>
          </w:p>
        </w:tc>
        <w:tc>
          <w:tcPr>
            <w:tcW w:w="8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59690</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780" w:top="580" w:right="78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tcPr>
          <w:p>
            <w:pPr>
              <w:spacing w:after="0"/>
              <w:rPr>
                <w:sz w:val="10"/>
                <w:szCs w:val="10"/>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960" w:type="dxa"/>
            <w:vAlign w:val="bottom"/>
          </w:tcPr>
          <w:p>
            <w:pPr>
              <w:spacing w:after="0"/>
              <w:rPr>
                <w:sz w:val="10"/>
                <w:szCs w:val="1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3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484</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474</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Municipal Emergency Services, Inc. - Unfunded Term Loan A</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06/16/2023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769</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Municipal Emergency Services, Inc. - Unfunded Term Loan B</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12/16/2024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Municipal Emergency Services, Inc. (Revolver)</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752</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752</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09/28/2027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1,163</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Neptune Flood Incorporated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05/09/2029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NORA Acquisition,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20,500</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20,092</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20,090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08/31/2029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ORL Acquisition, Inc.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4,409</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4,347</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4,012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09/03/2027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Ox Two,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13,578</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13,445</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13,340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05/18/2026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2,419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Pequod Merger Sub, Inc. - Unfunded Term Loan</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2,847</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Pequod Merger Sub,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12/02/2026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PL Acquisitionco,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11/09/2027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3,236</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34,987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34,547</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33,412</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Pragmatic Institute, LLC Unfunded Term Loan</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7,193</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(252 )</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Pragmatic Institute, LL (Revolver)</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07/06/2028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4,795</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4,579</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Quantic Electronics,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1,484</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1,474</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Quantic Electronics, LLC (Revolver)</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11/19/2026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Questex,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20,193</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20,115</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20,193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09/09/2024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Radius Aerospace, Inc. (Revolver)</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668</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Radius Aerospace,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03/31/2025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Rancho Health MSO, Inc.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Rancho Health MSO, Inc. - Unfunded Term Loan</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Rancho Health MSO, Inc. (Revolver)</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Reception Purchaser,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02/28/2028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5,863</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5,791</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5,628</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01/29/2026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Riverpoint Medical, LLC (Revolver)</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SOFR+510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06/20/2025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318</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03/10/2025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11,588</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11,582</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Rural Sourcing Holdings, Inc. - Unfunded Term Loan</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Rural Sourcing Holdings,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06/15/2029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01/03/2025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732</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12/20/2024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6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Schlesinger Global, Inc.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4,647</w:t>
            </w:r>
          </w:p>
        </w:tc>
        <w:tc>
          <w:tcPr>
            <w:tcW w:w="26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4,611</w:t>
            </w:r>
          </w:p>
        </w:tc>
        <w:tc>
          <w:tcPr>
            <w:tcW w:w="16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4,496</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0.5%)</w:t>
            </w: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Schlesinger Global, Inc. (Revolver)</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07/14/2025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4,752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4,691</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4,609</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Seaway Buyer, LLC (Revolver)</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729</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729</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708</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Seaway Buyer, LLC (Revolver)</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06/13/2029</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Shiftkey,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06/21/2027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SOFR+601</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17,775</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17,636</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17,331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Sigma Defense Systems, LLC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29,681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29,190</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29,236</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Sigma Defense Systems, LLC (Revolver)</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2,083</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2,083</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12/18/2025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05/03/2024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2,016</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07/17/2025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Spendmend Holdings LLC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Spendmend Holdings LLC - Funded Revolver</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03/01/2028</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33"/>
        </w:trPr>
        <w:tc>
          <w:tcPr>
            <w:tcW w:w="2780" w:type="dxa"/>
            <w:vAlign w:val="bottom"/>
          </w:tcPr>
          <w:p>
            <w:pPr>
              <w:spacing w:after="0" w:line="133"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(7)</w:t>
            </w:r>
          </w:p>
        </w:tc>
        <w:tc>
          <w:tcPr>
            <w:tcW w:w="10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08/16/2027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60" w:type="dxa"/>
            <w:vAlign w:val="bottom"/>
          </w:tcPr>
          <w:p>
            <w:pPr>
              <w:spacing w:after="0"/>
              <w:rPr>
                <w:sz w:val="11"/>
                <w:szCs w:val="11"/>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10/31/2025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1,097</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The Bluebird Group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SOFR+740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2,271</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2,239</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07/27/2026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52"/>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186</w:t>
            </w:r>
          </w:p>
        </w:tc>
        <w:tc>
          <w:tcPr>
            <w:tcW w:w="260" w:type="dxa"/>
            <w:vAlign w:val="bottom"/>
          </w:tcPr>
          <w:p>
            <w:pPr>
              <w:spacing w:after="0"/>
              <w:rPr>
                <w:sz w:val="13"/>
                <w:szCs w:val="13"/>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182</w:t>
            </w:r>
          </w:p>
        </w:tc>
        <w:tc>
          <w:tcPr>
            <w:tcW w:w="16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08/30/2027</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06/16/2025</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780" w:type="dxa"/>
            <w:vAlign w:val="bottom"/>
          </w:tcPr>
          <w:p>
            <w:pPr>
              <w:spacing w:after="0" w:line="109" w:lineRule="exact"/>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auto"/>
              </w:rPr>
              <w:t>04/01/2026</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line="109" w:lineRule="exact"/>
              <w:rPr>
                <w:sz w:val="20"/>
                <w:szCs w:val="20"/>
                <w:color w:val="auto"/>
              </w:rPr>
            </w:pPr>
            <w:r>
              <w:rPr>
                <w:rFonts w:ascii="Times New Roman" w:cs="Times New Roman" w:eastAsia="Times New Roman" w:hAnsi="Times New Roman"/>
                <w:sz w:val="10"/>
                <w:szCs w:val="10"/>
                <w:color w:val="auto"/>
              </w:rPr>
              <w:t>364</w:t>
            </w:r>
          </w:p>
        </w:tc>
        <w:tc>
          <w:tcPr>
            <w:tcW w:w="260" w:type="dxa"/>
            <w:vAlign w:val="bottom"/>
          </w:tcPr>
          <w:p>
            <w:pPr>
              <w:spacing w:after="0"/>
              <w:rPr>
                <w:sz w:val="9"/>
                <w:szCs w:val="9"/>
                <w:color w:val="auto"/>
              </w:rPr>
            </w:pPr>
          </w:p>
        </w:tc>
        <w:tc>
          <w:tcPr>
            <w:tcW w:w="6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76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Urology Management Holdings, Inc. - Unfunded Term Loan</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02/01/2024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Wildcat Buyerco, Inc.</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3,805</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3,762</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3,767</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Wildcat Buyerco, Inc. (Revolver)</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02/27/2026</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Zips Car Wash, LLC</w:t>
            </w:r>
          </w:p>
        </w:tc>
        <w:tc>
          <w:tcPr>
            <w:tcW w:w="100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0"/>
                <w:szCs w:val="10"/>
                <w:color w:val="auto"/>
              </w:rPr>
              <w:t>03/01/2024</w:t>
            </w:r>
          </w:p>
        </w:tc>
        <w:tc>
          <w:tcPr>
            <w:tcW w:w="1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2,583</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2,504</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472,975</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468,007</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U.S. Government Securities—19.9% of Net Assets</w:t>
            </w:r>
          </w:p>
        </w:tc>
        <w:tc>
          <w:tcPr>
            <w:tcW w:w="10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U.S. Treasury Bill </w:t>
            </w:r>
            <w:r>
              <w:rPr>
                <w:rFonts w:ascii="Times New Roman" w:cs="Times New Roman" w:eastAsia="Times New Roman" w:hAnsi="Times New Roman"/>
                <w:sz w:val="12"/>
                <w:szCs w:val="12"/>
                <w:color w:val="auto"/>
                <w:vertAlign w:val="superscript"/>
              </w:rPr>
              <w:t>(5)</w:t>
            </w:r>
          </w:p>
        </w:tc>
        <w:tc>
          <w:tcPr>
            <w:tcW w:w="100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10/19/2023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Short-Term U.S. Government Securities</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100,000</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99,768</w:t>
            </w:r>
          </w:p>
        </w:tc>
        <w:tc>
          <w:tcPr>
            <w:tcW w:w="16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b w:val="1"/>
                <w:bCs w:val="1"/>
                <w:color w:val="auto"/>
              </w:rPr>
              <w:t>Total U.S. Government Securities</w:t>
            </w:r>
          </w:p>
        </w:tc>
        <w:tc>
          <w:tcPr>
            <w:tcW w:w="1000" w:type="dxa"/>
            <w:vAlign w:val="bottom"/>
            <w:shd w:val="clear" w:color="auto" w:fill="CCECFF"/>
          </w:tcPr>
          <w:p>
            <w:pPr>
              <w:spacing w:after="0"/>
              <w:rPr>
                <w:sz w:val="12"/>
                <w:szCs w:val="12"/>
                <w:color w:val="auto"/>
              </w:rPr>
            </w:pPr>
          </w:p>
        </w:tc>
        <w:tc>
          <w:tcPr>
            <w:tcW w:w="19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99,768</w:t>
            </w: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99,751</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59690</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580" w:right="7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90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00" w:type="dxa"/>
            <w:vAlign w:val="bottom"/>
            <w:shd w:val="clear" w:color="auto" w:fill="CCECFF"/>
          </w:tcPr>
          <w:p>
            <w:pPr>
              <w:spacing w:after="0"/>
              <w:rPr>
                <w:sz w:val="10"/>
                <w:szCs w:val="10"/>
                <w:color w:val="auto"/>
              </w:rPr>
            </w:pP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shd w:val="clear" w:color="auto" w:fill="CCECFF"/>
          </w:tcPr>
          <w:p>
            <w:pPr>
              <w:spacing w:after="0"/>
              <w:rPr>
                <w:sz w:val="10"/>
                <w:szCs w:val="10"/>
                <w:color w:val="auto"/>
              </w:rPr>
            </w:pPr>
          </w:p>
        </w:tc>
        <w:tc>
          <w:tcPr>
            <w:tcW w:w="960" w:type="dxa"/>
            <w:vAlign w:val="bottom"/>
            <w:shd w:val="clear" w:color="auto" w:fill="CCECFF"/>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shd w:val="clear" w:color="auto" w:fill="CCECFF"/>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shd w:val="clear" w:color="auto" w:fill="CCECFF"/>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shd w:val="clear" w:color="auto" w:fill="CCECFF"/>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shd w:val="clear" w:color="auto" w:fill="CCECFF"/>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80" w:type="dxa"/>
            <w:vAlign w:val="bottom"/>
            <w:shd w:val="clear" w:color="auto" w:fill="CCECFF"/>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Debt—16.0% of Net Assets</w:t>
            </w: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Ascensus Holdings, Inc.</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08/02/2028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12.03 %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SOFR+676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2,717</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2,837</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Atlas Purchaser, Inc</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05/07/2029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SOFR+900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13,821</w:t>
            </w:r>
          </w:p>
        </w:tc>
        <w:tc>
          <w:tcPr>
            <w:tcW w:w="0" w:type="dxa"/>
            <w:vAlign w:val="bottom"/>
          </w:tcPr>
          <w:p>
            <w:pPr>
              <w:spacing w:after="0"/>
              <w:rPr>
                <w:sz w:val="1"/>
                <w:szCs w:val="1"/>
                <w:color w:val="auto"/>
              </w:rPr>
            </w:pPr>
          </w:p>
        </w:tc>
      </w:tr>
      <w:tr>
        <w:trPr>
          <w:trHeight w:val="140"/>
        </w:trPr>
        <w:tc>
          <w:tcPr>
            <w:tcW w:w="29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06/29/2027</w:t>
            </w:r>
          </w:p>
        </w:tc>
        <w:tc>
          <w:tcPr>
            <w:tcW w:w="20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SOFR+915</w:t>
            </w:r>
          </w:p>
        </w:tc>
        <w:tc>
          <w:tcPr>
            <w:tcW w:w="8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17,825</w:t>
            </w:r>
          </w:p>
        </w:tc>
        <w:tc>
          <w:tcPr>
            <w:tcW w:w="26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17,559</w:t>
            </w:r>
          </w:p>
        </w:tc>
        <w:tc>
          <w:tcPr>
            <w:tcW w:w="18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17,469</w:t>
            </w:r>
          </w:p>
        </w:tc>
        <w:tc>
          <w:tcPr>
            <w:tcW w:w="0" w:type="dxa"/>
            <w:vAlign w:val="bottom"/>
          </w:tcPr>
          <w:p>
            <w:pPr>
              <w:spacing w:after="0"/>
              <w:rPr>
                <w:sz w:val="1"/>
                <w:szCs w:val="1"/>
                <w:color w:val="auto"/>
              </w:rPr>
            </w:pPr>
          </w:p>
        </w:tc>
      </w:tr>
      <w:tr>
        <w:trPr>
          <w:trHeight w:val="116"/>
        </w:trPr>
        <w:tc>
          <w:tcPr>
            <w:tcW w:w="2900" w:type="dxa"/>
            <w:vAlign w:val="bottom"/>
            <w:vMerge w:val="continue"/>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020" w:type="dxa"/>
            <w:vAlign w:val="bottom"/>
            <w:vMerge w:val="continue"/>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880" w:type="dxa"/>
            <w:vAlign w:val="bottom"/>
            <w:vMerge w:val="continue"/>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07/28/2030</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SOFR+910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08/19/2029</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SOFR+776</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07/06/2026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13.67 %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SOFR+835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32,232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31,525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02/04/2027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84,376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80,396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Debt/Corporate Notes—10.7% of Net Assets</w:t>
            </w:r>
          </w:p>
        </w:tc>
        <w:tc>
          <w:tcPr>
            <w:tcW w:w="92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01/15/2029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SOFR+976</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22,219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21,597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Flock Financial, LLC</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05/26/2027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33,329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32,300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Debt/Corporate Notes</w:t>
            </w: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54,897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53,897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Interests—2.6% of Net Assets </w:t>
            </w:r>
            <w:r>
              <w:rPr>
                <w:rFonts w:ascii="Times New Roman" w:cs="Times New Roman" w:eastAsia="Times New Roman" w:hAnsi="Times New Roman"/>
                <w:sz w:val="12"/>
                <w:szCs w:val="12"/>
                <w:b w:val="1"/>
                <w:bCs w:val="1"/>
                <w:color w:val="auto"/>
                <w:vertAlign w:val="superscript"/>
              </w:rPr>
              <w:t>(6)</w:t>
            </w:r>
          </w:p>
        </w:tc>
        <w:tc>
          <w:tcPr>
            <w:tcW w:w="92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1,066</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918</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3,562,500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Lash Coinvest, LLC - Preferred Equity</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64,967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 Class A-2 Preferred Equity</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Intermediate Holdings II, Inc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551</w:t>
            </w:r>
          </w:p>
        </w:tc>
        <w:tc>
          <w:tcPr>
            <w:tcW w:w="0" w:type="dxa"/>
            <w:vAlign w:val="bottom"/>
          </w:tcPr>
          <w:p>
            <w:pPr>
              <w:spacing w:after="0"/>
              <w:rPr>
                <w:sz w:val="1"/>
                <w:szCs w:val="1"/>
                <w:color w:val="auto"/>
              </w:rPr>
            </w:pPr>
          </w:p>
        </w:tc>
      </w:tr>
      <w:tr>
        <w:trPr>
          <w:trHeight w:val="16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 - Preferred Equity</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(8),(11)</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320</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0" w:type="dxa"/>
            <w:vAlign w:val="bottom"/>
          </w:tcPr>
          <w:p>
            <w:pPr>
              <w:spacing w:after="0"/>
              <w:rPr>
                <w:sz w:val="1"/>
                <w:szCs w:val="1"/>
                <w:color w:val="auto"/>
              </w:rPr>
            </w:pPr>
          </w:p>
        </w:tc>
      </w:tr>
      <w:tr>
        <w:trPr>
          <w:trHeight w:val="140"/>
        </w:trPr>
        <w:tc>
          <w:tcPr>
            <w:tcW w:w="29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2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9,701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13,280</w:t>
            </w:r>
          </w:p>
        </w:tc>
        <w:tc>
          <w:tcPr>
            <w:tcW w:w="0" w:type="dxa"/>
            <w:vAlign w:val="bottom"/>
          </w:tcPr>
          <w:p>
            <w:pPr>
              <w:spacing w:after="0"/>
              <w:rPr>
                <w:sz w:val="1"/>
                <w:szCs w:val="1"/>
                <w:color w:val="auto"/>
              </w:rPr>
            </w:pPr>
          </w:p>
        </w:tc>
      </w:tr>
      <w:tr>
        <w:trPr>
          <w:trHeight w:val="131"/>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Equity/Partnership Interests/Warrants—23.0% of Net</w:t>
            </w:r>
          </w:p>
        </w:tc>
        <w:tc>
          <w:tcPr>
            <w:tcW w:w="9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00" w:type="dxa"/>
            <w:vAlign w:val="bottom"/>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Assets </w:t>
            </w:r>
            <w:r>
              <w:rPr>
                <w:rFonts w:ascii="Times New Roman" w:cs="Times New Roman" w:eastAsia="Times New Roman" w:hAnsi="Times New Roman"/>
                <w:sz w:val="12"/>
                <w:szCs w:val="12"/>
                <w:b w:val="1"/>
                <w:bCs w:val="1"/>
                <w:color w:val="auto"/>
                <w:vertAlign w:val="superscript"/>
              </w:rPr>
              <w:t>(6)</w:t>
            </w:r>
          </w:p>
        </w:tc>
        <w:tc>
          <w:tcPr>
            <w:tcW w:w="9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2,193,038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2,340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Holdings, Inc.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9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rPr>
              <w:t>04/10/2024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77,190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2,489,777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3,318</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AMCSI Crash Co-Invest, LP </w:t>
            </w:r>
            <w:r>
              <w:rPr>
                <w:rFonts w:ascii="Times New Roman" w:cs="Times New Roman" w:eastAsia="Times New Roman" w:hAnsi="Times New Roman"/>
                <w:sz w:val="12"/>
                <w:szCs w:val="12"/>
                <w:color w:val="auto"/>
                <w:vertAlign w:val="superscript"/>
              </w:rPr>
              <w:t>(7)</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510,223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9,032</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Investment Aggregator,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57,416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27,778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3,015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5,451</w:t>
            </w:r>
          </w:p>
        </w:tc>
        <w:tc>
          <w:tcPr>
            <w:tcW w:w="0" w:type="dxa"/>
            <w:vAlign w:val="bottom"/>
          </w:tcPr>
          <w:p>
            <w:pPr>
              <w:spacing w:after="0"/>
              <w:rPr>
                <w:sz w:val="1"/>
                <w:szCs w:val="1"/>
                <w:color w:val="auto"/>
              </w:rPr>
            </w:pPr>
          </w:p>
        </w:tc>
      </w:tr>
      <w:tr>
        <w:trPr>
          <w:trHeight w:val="140"/>
        </w:trPr>
        <w:tc>
          <w:tcPr>
            <w:tcW w:w="29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Delta InvestCo LP</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863,299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(7)</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277,745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(11)</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1,854</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937,500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1,458,333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14,578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2,060</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(7),(9)</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20,882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2,951</w:t>
            </w: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tcPr>
          <w:p>
            <w:pPr>
              <w:spacing w:after="0"/>
              <w:rPr>
                <w:sz w:val="11"/>
                <w:szCs w:val="11"/>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655,714</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40"/>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Common Equity</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374,444</w:t>
            </w:r>
          </w:p>
        </w:tc>
        <w:tc>
          <w:tcPr>
            <w:tcW w:w="26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18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c>
          <w:tcPr>
            <w:tcW w:w="0" w:type="dxa"/>
            <w:vAlign w:val="bottom"/>
          </w:tcPr>
          <w:p>
            <w:pPr>
              <w:spacing w:after="0"/>
              <w:rPr>
                <w:sz w:val="1"/>
                <w:szCs w:val="1"/>
                <w:color w:val="auto"/>
              </w:rPr>
            </w:pPr>
          </w:p>
        </w:tc>
      </w:tr>
      <w:tr>
        <w:trPr>
          <w:trHeight w:val="80"/>
        </w:trPr>
        <w:tc>
          <w:tcPr>
            <w:tcW w:w="2900" w:type="dxa"/>
            <w:vAlign w:val="bottom"/>
            <w:shd w:val="clear" w:color="auto" w:fill="CCECFF"/>
          </w:tcPr>
          <w:p>
            <w:pPr>
              <w:spacing w:after="0"/>
              <w:rPr>
                <w:sz w:val="6"/>
                <w:szCs w:val="6"/>
                <w:color w:val="auto"/>
              </w:rPr>
            </w:pPr>
          </w:p>
        </w:tc>
        <w:tc>
          <w:tcPr>
            <w:tcW w:w="920" w:type="dxa"/>
            <w:vAlign w:val="bottom"/>
            <w:shd w:val="clear" w:color="auto" w:fill="CCECFF"/>
          </w:tcPr>
          <w:p>
            <w:pPr>
              <w:spacing w:after="0"/>
              <w:rPr>
                <w:sz w:val="6"/>
                <w:szCs w:val="6"/>
                <w:color w:val="auto"/>
              </w:rPr>
            </w:pPr>
          </w:p>
        </w:tc>
        <w:tc>
          <w:tcPr>
            <w:tcW w:w="2020" w:type="dxa"/>
            <w:vAlign w:val="bottom"/>
            <w:shd w:val="clear" w:color="auto" w:fill="CCECFF"/>
          </w:tcPr>
          <w:p>
            <w:pPr>
              <w:spacing w:after="0"/>
              <w:rPr>
                <w:sz w:val="6"/>
                <w:szCs w:val="6"/>
                <w:color w:val="auto"/>
              </w:rPr>
            </w:pPr>
          </w:p>
        </w:tc>
        <w:tc>
          <w:tcPr>
            <w:tcW w:w="960" w:type="dxa"/>
            <w:vAlign w:val="bottom"/>
            <w:shd w:val="clear" w:color="auto" w:fill="CCECFF"/>
          </w:tcPr>
          <w:p>
            <w:pPr>
              <w:spacing w:after="0"/>
              <w:rPr>
                <w:sz w:val="6"/>
                <w:szCs w:val="6"/>
                <w:color w:val="auto"/>
              </w:rPr>
            </w:pPr>
          </w:p>
        </w:tc>
        <w:tc>
          <w:tcPr>
            <w:tcW w:w="1000" w:type="dxa"/>
            <w:vAlign w:val="bottom"/>
            <w:vMerge w:val="continue"/>
            <w:shd w:val="clear" w:color="auto" w:fill="CCECFF"/>
          </w:tcPr>
          <w:p>
            <w:pPr>
              <w:spacing w:after="0"/>
              <w:rPr>
                <w:sz w:val="6"/>
                <w:szCs w:val="6"/>
                <w:color w:val="auto"/>
              </w:rPr>
            </w:pPr>
          </w:p>
        </w:tc>
        <w:tc>
          <w:tcPr>
            <w:tcW w:w="88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680" w:type="dxa"/>
            <w:vAlign w:val="bottom"/>
            <w:vMerge w:val="continue"/>
            <w:shd w:val="clear" w:color="auto" w:fill="CCECFF"/>
          </w:tcPr>
          <w:p>
            <w:pPr>
              <w:spacing w:after="0"/>
              <w:rPr>
                <w:sz w:val="6"/>
                <w:szCs w:val="6"/>
                <w:color w:val="auto"/>
              </w:rPr>
            </w:pPr>
          </w:p>
        </w:tc>
        <w:tc>
          <w:tcPr>
            <w:tcW w:w="180" w:type="dxa"/>
            <w:vAlign w:val="bottom"/>
            <w:shd w:val="clear" w:color="auto" w:fill="CCECFF"/>
          </w:tcPr>
          <w:p>
            <w:pPr>
              <w:spacing w:after="0"/>
              <w:rPr>
                <w:sz w:val="6"/>
                <w:szCs w:val="6"/>
                <w:color w:val="auto"/>
              </w:rPr>
            </w:pPr>
          </w:p>
        </w:tc>
        <w:tc>
          <w:tcPr>
            <w:tcW w:w="76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889,376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4,076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Loving Tan, LP - Common Equity</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462,827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920" w:type="dxa"/>
            <w:vAlign w:val="bottom"/>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TVC Coinvest, LLC</w:t>
            </w:r>
          </w:p>
        </w:tc>
        <w:tc>
          <w:tcPr>
            <w:tcW w:w="92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810,645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2,390</w:t>
            </w:r>
          </w:p>
        </w:tc>
        <w:tc>
          <w:tcPr>
            <w:tcW w:w="0" w:type="dxa"/>
            <w:vAlign w:val="bottom"/>
          </w:tcPr>
          <w:p>
            <w:pPr>
              <w:spacing w:after="0"/>
              <w:rPr>
                <w:sz w:val="1"/>
                <w:szCs w:val="1"/>
                <w:color w:val="auto"/>
              </w:rPr>
            </w:pPr>
          </w:p>
        </w:tc>
      </w:tr>
      <w:tr>
        <w:trPr>
          <w:trHeight w:val="136"/>
        </w:trPr>
        <w:tc>
          <w:tcPr>
            <w:tcW w:w="29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(TVC Enterprises, LLC)</w:t>
            </w:r>
          </w:p>
        </w:tc>
        <w:tc>
          <w:tcPr>
            <w:tcW w:w="9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300" w:type="dxa"/>
            <w:vAlign w:val="bottom"/>
          </w:tcPr>
          <w:p>
            <w:pPr>
              <w:ind w:left="6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300" w:type="dxa"/>
            <w:vAlign w:val="bottom"/>
          </w:tcPr>
          <w:p>
            <w:pPr>
              <w:ind w:left="60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60" w:type="dxa"/>
            <w:vAlign w:val="bottom"/>
          </w:tcPr>
          <w:p>
            <w:pPr>
              <w:jc w:val="center"/>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GCOM InvestCo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 Dawgs Capital III, LP</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675,325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HPA SPQ Aggregator LP- Common Equity</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750,399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1,778</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1,118,318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381,682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130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1,218,045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Other Media</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181,495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2,327</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(Data Axle, Inc.)</w:t>
            </w:r>
          </w:p>
        </w:tc>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Ironclad Holdco, LLC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(Applied Technical Services, LLC) </w:t>
            </w:r>
            <w:r>
              <w:rPr>
                <w:rFonts w:ascii="Times New Roman" w:cs="Times New Roman" w:eastAsia="Times New Roman" w:hAnsi="Times New Roman"/>
                <w:sz w:val="12"/>
                <w:szCs w:val="12"/>
                <w:color w:val="auto"/>
                <w:vertAlign w:val="superscript"/>
              </w:rPr>
              <w:t>(9)</w:t>
            </w:r>
          </w:p>
        </w:tc>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ITC Infusion Co-invest, LP</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162,445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1,775</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ITC Rumba, LLC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375,675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(Cano Health, LLC) </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Kentucky Racing Holdco, LLC (Warrants)</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1,630</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1,892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KL Stockton Co-Invest LP</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(Any Hour Services) </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Lariat ecoserv Co-Invest Holdings, LLC </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363,656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273,143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741</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851,087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Lorient Peregrine Investments, LP</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335,590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4,452</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929,200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Intermidiate Holdings II, Inc.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3,326</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815,385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3,920,145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4,430</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NEPRT Parent Holdings, LLC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(Recteq, LLC) </w:t>
            </w:r>
            <w:r>
              <w:rPr>
                <w:rFonts w:ascii="Times New Roman" w:cs="Times New Roman" w:eastAsia="Times New Roman" w:hAnsi="Times New Roman"/>
                <w:sz w:val="12"/>
                <w:szCs w:val="12"/>
                <w:color w:val="auto"/>
                <w:vertAlign w:val="superscript"/>
              </w:rPr>
              <w:t>(9)</w:t>
            </w:r>
          </w:p>
        </w:tc>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Parent Holdings, LLC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 Haven Saints Equity Holdings, LP</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351,553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351</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(Tyto Athene, LLC)</w:t>
            </w:r>
          </w:p>
        </w:tc>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OceanSound Discovery Equity,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2,133</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(Holdco Sands Intermediate, LLC) </w:t>
            </w:r>
            <w:r>
              <w:rPr>
                <w:rFonts w:ascii="Times New Roman" w:cs="Times New Roman" w:eastAsia="Times New Roman" w:hAnsi="Times New Roman"/>
                <w:sz w:val="12"/>
                <w:szCs w:val="12"/>
                <w:color w:val="auto"/>
                <w:vertAlign w:val="superscript"/>
              </w:rPr>
              <w:t>(9)</w:t>
            </w:r>
          </w:p>
        </w:tc>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446,250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390</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(7)</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303,750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(38 )</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PennantPark-TSO Senior Loan Fund II, LP </w:t>
            </w:r>
            <w:r>
              <w:rPr>
                <w:rFonts w:ascii="Times New Roman" w:cs="Times New Roman" w:eastAsia="Times New Roman" w:hAnsi="Times New Roman"/>
                <w:sz w:val="12"/>
                <w:szCs w:val="12"/>
                <w:color w:val="auto"/>
                <w:vertAlign w:val="superscript"/>
              </w:rPr>
              <w:t>(11)</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12,269,640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12,485</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2,958,706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3,461</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(7),(9)</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(Rancho Health MSO, Inc.)</w:t>
            </w:r>
          </w:p>
        </w:tc>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291</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2,372</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604</w:t>
            </w: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3,295</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Class B (US Dominion, Inc.)</w:t>
            </w:r>
          </w:p>
        </w:tc>
        <w:tc>
          <w:tcPr>
            <w:tcW w:w="13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153,846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(CF512, Inc.)</w:t>
            </w:r>
          </w:p>
        </w:tc>
        <w:tc>
          <w:tcPr>
            <w:tcW w:w="13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254,206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405</w:t>
            </w:r>
          </w:p>
        </w:tc>
        <w:tc>
          <w:tcPr>
            <w:tcW w:w="0" w:type="dxa"/>
            <w:vAlign w:val="bottom"/>
          </w:tcPr>
          <w:p>
            <w:pPr>
              <w:spacing w:after="0"/>
              <w:rPr>
                <w:sz w:val="1"/>
                <w:szCs w:val="1"/>
                <w:color w:val="auto"/>
              </w:rPr>
            </w:pPr>
          </w:p>
        </w:tc>
      </w:tr>
      <w:tr>
        <w:trPr>
          <w:trHeight w:val="144"/>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536,514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951</w:t>
            </w:r>
          </w:p>
        </w:tc>
        <w:tc>
          <w:tcPr>
            <w:tcW w:w="0" w:type="dxa"/>
            <w:vAlign w:val="bottom"/>
          </w:tcPr>
          <w:p>
            <w:pPr>
              <w:spacing w:after="0"/>
              <w:rPr>
                <w:sz w:val="1"/>
                <w:szCs w:val="1"/>
                <w:color w:val="auto"/>
              </w:rPr>
            </w:pPr>
          </w:p>
        </w:tc>
      </w:tr>
      <w:tr>
        <w:trPr>
          <w:trHeight w:val="144"/>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(7), (9)</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358,931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70"/>
        </w:trPr>
        <w:tc>
          <w:tcPr>
            <w:tcW w:w="2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 (11)</w:t>
            </w:r>
          </w:p>
        </w:tc>
        <w:tc>
          <w:tcPr>
            <w:tcW w:w="1300" w:type="dxa"/>
            <w:vAlign w:val="bottom"/>
            <w:shd w:val="clear" w:color="auto" w:fill="CCECFF"/>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900" w:type="dxa"/>
            <w:vAlign w:val="bottom"/>
            <w:vMerge w:val="restart"/>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11,527</w:t>
            </w:r>
          </w:p>
        </w:tc>
        <w:tc>
          <w:tcPr>
            <w:tcW w:w="260" w:type="dxa"/>
            <w:vAlign w:val="bottom"/>
            <w:shd w:val="clear" w:color="auto" w:fill="CCECFF"/>
          </w:tcPr>
          <w:p>
            <w:pPr>
              <w:spacing w:after="0"/>
              <w:rPr>
                <w:sz w:val="14"/>
                <w:szCs w:val="14"/>
                <w:color w:val="auto"/>
              </w:rPr>
            </w:pPr>
          </w:p>
        </w:tc>
        <w:tc>
          <w:tcPr>
            <w:tcW w:w="6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c>
          <w:tcPr>
            <w:tcW w:w="180" w:type="dxa"/>
            <w:vAlign w:val="bottom"/>
            <w:shd w:val="clear" w:color="auto" w:fill="CCECFF"/>
          </w:tcPr>
          <w:p>
            <w:pPr>
              <w:spacing w:after="0"/>
              <w:rPr>
                <w:sz w:val="14"/>
                <w:szCs w:val="14"/>
                <w:color w:val="auto"/>
              </w:rPr>
            </w:pPr>
          </w:p>
        </w:tc>
        <w:tc>
          <w:tcPr>
            <w:tcW w:w="7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82"/>
        </w:trPr>
        <w:tc>
          <w:tcPr>
            <w:tcW w:w="2520" w:type="dxa"/>
            <w:vAlign w:val="bottom"/>
            <w:shd w:val="clear" w:color="auto" w:fill="CCECFF"/>
          </w:tcPr>
          <w:p>
            <w:pPr>
              <w:spacing w:after="0"/>
              <w:rPr>
                <w:sz w:val="7"/>
                <w:szCs w:val="7"/>
                <w:color w:val="auto"/>
              </w:rPr>
            </w:pPr>
          </w:p>
        </w:tc>
        <w:tc>
          <w:tcPr>
            <w:tcW w:w="1300" w:type="dxa"/>
            <w:vAlign w:val="bottom"/>
            <w:shd w:val="clear" w:color="auto" w:fill="CCECFF"/>
          </w:tcPr>
          <w:p>
            <w:pPr>
              <w:spacing w:after="0"/>
              <w:rPr>
                <w:sz w:val="7"/>
                <w:szCs w:val="7"/>
                <w:color w:val="auto"/>
              </w:rPr>
            </w:pPr>
          </w:p>
        </w:tc>
        <w:tc>
          <w:tcPr>
            <w:tcW w:w="2020" w:type="dxa"/>
            <w:vAlign w:val="bottom"/>
            <w:vMerge w:val="continue"/>
            <w:shd w:val="clear" w:color="auto" w:fill="CCECFF"/>
          </w:tcPr>
          <w:p>
            <w:pPr>
              <w:spacing w:after="0"/>
              <w:rPr>
                <w:sz w:val="7"/>
                <w:szCs w:val="7"/>
                <w:color w:val="auto"/>
              </w:rPr>
            </w:pPr>
          </w:p>
        </w:tc>
        <w:tc>
          <w:tcPr>
            <w:tcW w:w="900" w:type="dxa"/>
            <w:vAlign w:val="bottom"/>
            <w:vMerge w:val="continue"/>
            <w:shd w:val="clear" w:color="auto" w:fill="CCECFF"/>
          </w:tcPr>
          <w:p>
            <w:pPr>
              <w:spacing w:after="0"/>
              <w:rPr>
                <w:sz w:val="7"/>
                <w:szCs w:val="7"/>
                <w:color w:val="auto"/>
              </w:rPr>
            </w:pPr>
          </w:p>
        </w:tc>
        <w:tc>
          <w:tcPr>
            <w:tcW w:w="1060" w:type="dxa"/>
            <w:vAlign w:val="bottom"/>
            <w:vMerge w:val="continue"/>
            <w:shd w:val="clear" w:color="auto" w:fill="CCECFF"/>
          </w:tcPr>
          <w:p>
            <w:pPr>
              <w:spacing w:after="0"/>
              <w:rPr>
                <w:sz w:val="7"/>
                <w:szCs w:val="7"/>
                <w:color w:val="auto"/>
              </w:rPr>
            </w:pPr>
          </w:p>
        </w:tc>
        <w:tc>
          <w:tcPr>
            <w:tcW w:w="88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680" w:type="dxa"/>
            <w:vAlign w:val="bottom"/>
            <w:vMerge w:val="continue"/>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760" w:type="dxa"/>
            <w:vAlign w:val="bottom"/>
            <w:vMerge w:val="continue"/>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1300" w:type="dxa"/>
            <w:vAlign w:val="bottom"/>
          </w:tcPr>
          <w:p>
            <w:pPr>
              <w:ind w:left="106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0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8"/>
        </w:trPr>
        <w:tc>
          <w:tcPr>
            <w:tcW w:w="25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3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000" w:type="dxa"/>
            <w:vAlign w:val="bottom"/>
          </w:tcPr>
          <w:p>
            <w:pPr>
              <w:spacing w:after="0"/>
              <w:rPr>
                <w:sz w:val="10"/>
                <w:szCs w:val="10"/>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88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260" w:type="dxa"/>
            <w:vAlign w:val="bottom"/>
          </w:tcPr>
          <w:p>
            <w:pPr>
              <w:spacing w:after="0"/>
              <w:rPr>
                <w:sz w:val="10"/>
                <w:szCs w:val="10"/>
                <w:color w:val="auto"/>
              </w:rPr>
            </w:pP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3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260" w:type="dxa"/>
            <w:vAlign w:val="bottom"/>
          </w:tcPr>
          <w:p>
            <w:pPr>
              <w:spacing w:after="0"/>
              <w:rPr>
                <w:sz w:val="11"/>
                <w:szCs w:val="11"/>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w:t>
            </w:r>
          </w:p>
        </w:tc>
        <w:tc>
          <w:tcPr>
            <w:tcW w:w="2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1,111,111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1,044</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(9)</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3,715,012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4,319</w:t>
            </w:r>
          </w:p>
        </w:tc>
        <w:tc>
          <w:tcPr>
            <w:tcW w:w="80" w:type="dxa"/>
            <w:vAlign w:val="bottom"/>
            <w:shd w:val="clear" w:color="auto" w:fill="CCECFF"/>
          </w:tcPr>
          <w:p>
            <w:pPr>
              <w:spacing w:after="0"/>
              <w:rPr>
                <w:sz w:val="12"/>
                <w:szCs w:val="12"/>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284,988</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Parent, LP</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2,314</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820</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95,037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115,478</w:t>
            </w:r>
          </w:p>
        </w:tc>
        <w:tc>
          <w:tcPr>
            <w:tcW w:w="80" w:type="dxa"/>
            <w:vAlign w:val="bottom"/>
            <w:shd w:val="clear" w:color="auto" w:fill="CCECFF"/>
          </w:tcPr>
          <w:p>
            <w:pPr>
              <w:spacing w:after="0"/>
              <w:rPr>
                <w:sz w:val="12"/>
                <w:szCs w:val="12"/>
                <w:color w:val="auto"/>
              </w:rPr>
            </w:pPr>
          </w:p>
        </w:tc>
      </w:tr>
      <w:tr>
        <w:trPr>
          <w:trHeight w:val="131"/>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9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816,754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830,809</w:t>
            </w:r>
          </w:p>
        </w:tc>
        <w:tc>
          <w:tcPr>
            <w:tcW w:w="80" w:type="dxa"/>
            <w:vAlign w:val="bottom"/>
          </w:tcPr>
          <w:p>
            <w:pPr>
              <w:spacing w:after="0"/>
              <w:rPr>
                <w:sz w:val="11"/>
                <w:szCs w:val="11"/>
                <w:color w:val="auto"/>
              </w:rPr>
            </w:pPr>
          </w:p>
        </w:tc>
      </w:tr>
      <w:tr>
        <w:trPr>
          <w:trHeight w:val="148"/>
        </w:trPr>
        <w:tc>
          <w:tcPr>
            <w:tcW w:w="39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 xml:space="preserve">Investments in Non-Controlled, Affiliated Portfolio Companies—10.9% of Net Assets </w:t>
            </w:r>
            <w:r>
              <w:rPr>
                <w:rFonts w:ascii="Times New Roman" w:cs="Times New Roman" w:eastAsia="Times New Roman" w:hAnsi="Times New Roman"/>
                <w:sz w:val="12"/>
                <w:szCs w:val="12"/>
                <w:b w:val="1"/>
                <w:bCs w:val="1"/>
                <w:color w:val="auto"/>
                <w:w w:val="99"/>
                <w:vertAlign w:val="superscript"/>
              </w:rPr>
              <w:t>(1), (2)</w:t>
            </w: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Debt—2.1%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7,042</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7,043</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Unfunded Term Loan</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667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76"/>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Revolver</w:t>
            </w:r>
          </w:p>
        </w:tc>
        <w:tc>
          <w:tcPr>
            <w:tcW w:w="900" w:type="dxa"/>
            <w:vAlign w:val="bottom"/>
            <w:tcBorders>
              <w:bottom w:val="single" w:sz="8" w:color="CCECFF"/>
            </w:tcBorders>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03/31/2027</w:t>
            </w:r>
          </w:p>
        </w:tc>
        <w:tc>
          <w:tcPr>
            <w:tcW w:w="1880" w:type="dxa"/>
            <w:vAlign w:val="bottom"/>
            <w:tcBorders>
              <w:bottom w:val="single" w:sz="8" w:color="CCECFF"/>
            </w:tcBorders>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90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SOFR+685</w:t>
            </w:r>
          </w:p>
        </w:tc>
        <w:tc>
          <w:tcPr>
            <w:tcW w:w="26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3,333</w:t>
            </w:r>
          </w:p>
        </w:tc>
        <w:tc>
          <w:tcPr>
            <w:tcW w:w="16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20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3,333</w:t>
            </w:r>
          </w:p>
        </w:tc>
        <w:tc>
          <w:tcPr>
            <w:tcW w:w="80" w:type="dxa"/>
            <w:vAlign w:val="bottom"/>
            <w:tcBorders>
              <w:bottom w:val="single" w:sz="8" w:color="CCECFF"/>
            </w:tcBorders>
            <w:shd w:val="clear" w:color="auto" w:fill="CCECFF"/>
          </w:tcPr>
          <w:p>
            <w:pPr>
              <w:spacing w:after="0"/>
              <w:rPr>
                <w:sz w:val="15"/>
                <w:szCs w:val="15"/>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10,376</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Equity/Partnership Interests—6.4% of Net Assets</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5,887,236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31,032</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 - Series B</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918</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1,073</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33,709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32,105</w:t>
            </w:r>
          </w:p>
        </w:tc>
        <w:tc>
          <w:tcPr>
            <w:tcW w:w="80" w:type="dxa"/>
            <w:vAlign w:val="bottom"/>
          </w:tcPr>
          <w:p>
            <w:pPr>
              <w:spacing w:after="0"/>
              <w:rPr>
                <w:sz w:val="12"/>
                <w:szCs w:val="12"/>
                <w:color w:val="auto"/>
              </w:rPr>
            </w:pPr>
          </w:p>
        </w:tc>
      </w:tr>
      <w:tr>
        <w:trPr>
          <w:trHeight w:val="112"/>
        </w:trPr>
        <w:tc>
          <w:tcPr>
            <w:tcW w:w="3000" w:type="dxa"/>
            <w:vAlign w:val="bottom"/>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w w:val="99"/>
              </w:rPr>
              <w:t>Common Equity/Partnership Interests/Warrants—2.4% of Net Assets</w:t>
            </w:r>
          </w:p>
        </w:tc>
        <w:tc>
          <w:tcPr>
            <w:tcW w:w="900" w:type="dxa"/>
            <w:vAlign w:val="bottom"/>
            <w:shd w:val="clear" w:color="auto" w:fill="CCECFF"/>
          </w:tcPr>
          <w:p>
            <w:pPr>
              <w:spacing w:after="0"/>
              <w:rPr>
                <w:sz w:val="9"/>
                <w:szCs w:val="9"/>
                <w:color w:val="auto"/>
              </w:rPr>
            </w:pPr>
          </w:p>
        </w:tc>
        <w:tc>
          <w:tcPr>
            <w:tcW w:w="188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r>
      <w:tr>
        <w:trPr>
          <w:trHeight w:val="100"/>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b w:val="1"/>
                <w:bCs w:val="1"/>
                <w:color w:val="auto"/>
              </w:rPr>
              <w:t>(6)</w:t>
            </w:r>
          </w:p>
        </w:tc>
        <w:tc>
          <w:tcPr>
            <w:tcW w:w="900" w:type="dxa"/>
            <w:vAlign w:val="bottom"/>
            <w:tcBorders>
              <w:bottom w:val="single" w:sz="8" w:color="CCECFF"/>
            </w:tcBorders>
            <w:shd w:val="clear" w:color="auto" w:fill="CCECFF"/>
          </w:tcPr>
          <w:p>
            <w:pPr>
              <w:spacing w:after="0"/>
              <w:rPr>
                <w:sz w:val="8"/>
                <w:szCs w:val="8"/>
                <w:color w:val="auto"/>
              </w:rPr>
            </w:pPr>
          </w:p>
        </w:tc>
        <w:tc>
          <w:tcPr>
            <w:tcW w:w="1880" w:type="dxa"/>
            <w:vAlign w:val="bottom"/>
            <w:tcBorders>
              <w:bottom w:val="single" w:sz="8" w:color="CCECFF"/>
            </w:tcBorders>
            <w:shd w:val="clear" w:color="auto" w:fill="CCECFF"/>
          </w:tcPr>
          <w:p>
            <w:pPr>
              <w:spacing w:after="0"/>
              <w:rPr>
                <w:sz w:val="8"/>
                <w:szCs w:val="8"/>
                <w:color w:val="auto"/>
              </w:rPr>
            </w:pPr>
          </w:p>
        </w:tc>
        <w:tc>
          <w:tcPr>
            <w:tcW w:w="1020" w:type="dxa"/>
            <w:vAlign w:val="bottom"/>
            <w:tcBorders>
              <w:bottom w:val="single" w:sz="8" w:color="CCECFF"/>
            </w:tcBorders>
            <w:shd w:val="clear" w:color="auto" w:fill="CCECFF"/>
          </w:tcPr>
          <w:p>
            <w:pPr>
              <w:spacing w:after="0"/>
              <w:rPr>
                <w:sz w:val="8"/>
                <w:szCs w:val="8"/>
                <w:color w:val="auto"/>
              </w:rPr>
            </w:pPr>
          </w:p>
        </w:tc>
        <w:tc>
          <w:tcPr>
            <w:tcW w:w="90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7,444,347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19,687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2,065</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8,759</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72,917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11,703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12,290</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55,787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54,771</w:t>
            </w:r>
          </w:p>
        </w:tc>
        <w:tc>
          <w:tcPr>
            <w:tcW w:w="80" w:type="dxa"/>
            <w:vAlign w:val="bottom"/>
          </w:tcPr>
          <w:p>
            <w:pPr>
              <w:spacing w:after="0"/>
              <w:rPr>
                <w:sz w:val="12"/>
                <w:szCs w:val="12"/>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Companies—43.0% of</w:t>
            </w:r>
          </w:p>
        </w:tc>
        <w:tc>
          <w:tcPr>
            <w:tcW w:w="900" w:type="dxa"/>
            <w:vAlign w:val="bottom"/>
            <w:shd w:val="clear" w:color="auto" w:fill="CCECFF"/>
          </w:tcPr>
          <w:p>
            <w:pPr>
              <w:spacing w:after="0"/>
              <w:rPr>
                <w:sz w:val="11"/>
                <w:szCs w:val="11"/>
                <w:color w:val="auto"/>
              </w:rPr>
            </w:pPr>
          </w:p>
        </w:tc>
        <w:tc>
          <w:tcPr>
            <w:tcW w:w="18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4"/>
        </w:trPr>
        <w:tc>
          <w:tcPr>
            <w:tcW w:w="30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Net Assets </w:t>
            </w:r>
            <w:r>
              <w:rPr>
                <w:rFonts w:ascii="Times New Roman" w:cs="Times New Roman" w:eastAsia="Times New Roman" w:hAnsi="Times New Roman"/>
                <w:sz w:val="12"/>
                <w:szCs w:val="12"/>
                <w:b w:val="1"/>
                <w:bCs w:val="1"/>
                <w:color w:val="auto"/>
                <w:vertAlign w:val="superscript"/>
              </w:rPr>
              <w:t>(1), (2)</w:t>
            </w:r>
          </w:p>
        </w:tc>
        <w:tc>
          <w:tcPr>
            <w:tcW w:w="900" w:type="dxa"/>
            <w:vAlign w:val="bottom"/>
            <w:shd w:val="clear" w:color="auto" w:fill="CCECFF"/>
          </w:tcPr>
          <w:p>
            <w:pPr>
              <w:spacing w:after="0"/>
              <w:rPr>
                <w:sz w:val="11"/>
                <w:szCs w:val="11"/>
                <w:color w:val="auto"/>
              </w:rPr>
            </w:pPr>
          </w:p>
        </w:tc>
        <w:tc>
          <w:tcPr>
            <w:tcW w:w="18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Debt—9.8%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03/15/2027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12.21 %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SONIA+700</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40,371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 of Net Assets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Mailsouth Inc. </w:t>
            </w:r>
            <w:r>
              <w:rPr>
                <w:rFonts w:ascii="Times New Roman" w:cs="Times New Roman" w:eastAsia="Times New Roman" w:hAnsi="Times New Roman"/>
                <w:sz w:val="12"/>
                <w:szCs w:val="12"/>
                <w:color w:val="auto"/>
                <w:vertAlign w:val="superscript"/>
              </w:rPr>
              <w:t>(6)</w:t>
            </w:r>
          </w:p>
        </w:tc>
        <w:tc>
          <w:tcPr>
            <w:tcW w:w="9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04/23/2025</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14,896</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Debt—20.4%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9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07/31/2027</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13.37 %</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SOFR+800</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102,325</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102,325</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Common Equity—12.8% of Net Assets </w:t>
            </w:r>
            <w:r>
              <w:rPr>
                <w:rFonts w:ascii="Times New Roman" w:cs="Times New Roman" w:eastAsia="Times New Roman" w:hAnsi="Times New Roman"/>
                <w:sz w:val="12"/>
                <w:szCs w:val="12"/>
                <w:b w:val="1"/>
                <w:bCs w:val="1"/>
                <w:color w:val="auto"/>
                <w:vertAlign w:val="superscript"/>
              </w:rPr>
              <w:t>(6)</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2,384</w:t>
            </w:r>
          </w:p>
        </w:tc>
        <w:tc>
          <w:tcPr>
            <w:tcW w:w="80" w:type="dxa"/>
            <w:vAlign w:val="bottom"/>
          </w:tcPr>
          <w:p>
            <w:pPr>
              <w:spacing w:after="0"/>
              <w:rPr>
                <w:sz w:val="12"/>
                <w:szCs w:val="12"/>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MSpark, LLC</w:t>
            </w:r>
          </w:p>
        </w:tc>
        <w:tc>
          <w:tcPr>
            <w:tcW w:w="9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51,151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16,516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90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58,580,060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58,643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62,083</w:t>
            </w:r>
          </w:p>
        </w:tc>
        <w:tc>
          <w:tcPr>
            <w:tcW w:w="80" w:type="dxa"/>
            <w:vAlign w:val="bottom"/>
          </w:tcPr>
          <w:p>
            <w:pPr>
              <w:spacing w:after="0"/>
              <w:rPr>
                <w:sz w:val="12"/>
                <w:szCs w:val="12"/>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75,290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64,467</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245,386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216,067</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Investments—219.4% of Net Assets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1,117,927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1,101,647</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Equivalents—7.7%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24,683</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Non-Money Market Cash</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14,092</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shd w:val="clear" w:color="auto" w:fill="CCECFF"/>
          </w:tcPr>
          <w:p>
            <w:pPr>
              <w:spacing w:after="0"/>
              <w:rPr>
                <w:sz w:val="12"/>
                <w:szCs w:val="12"/>
                <w:color w:val="auto"/>
              </w:rPr>
            </w:pPr>
          </w:p>
        </w:tc>
        <w:tc>
          <w:tcPr>
            <w:tcW w:w="18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38,784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38,775</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Equivalents—227.1% of Net Assets</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1,156,711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1,140,422</w:t>
            </w:r>
          </w:p>
        </w:tc>
        <w:tc>
          <w:tcPr>
            <w:tcW w:w="8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Assets—(127.1%) of Net Assets</w:t>
            </w:r>
          </w:p>
        </w:tc>
        <w:tc>
          <w:tcPr>
            <w:tcW w:w="900" w:type="dxa"/>
            <w:vAlign w:val="bottom"/>
            <w:shd w:val="clear" w:color="auto" w:fill="CCECFF"/>
          </w:tcPr>
          <w:p>
            <w:pPr>
              <w:spacing w:after="0"/>
              <w:rPr>
                <w:sz w:val="10"/>
                <w:szCs w:val="10"/>
                <w:color w:val="auto"/>
              </w:rPr>
            </w:pPr>
          </w:p>
        </w:tc>
        <w:tc>
          <w:tcPr>
            <w:tcW w:w="18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(638,235 )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502,187</w:t>
            </w:r>
          </w:p>
        </w:tc>
        <w:tc>
          <w:tcPr>
            <w:tcW w:w="8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(10)Par / Shares amount is denominated in British Pounds (£) as denoted.</w:t>
      </w:r>
    </w:p>
    <w:p>
      <w:pPr>
        <w:spacing w:after="0" w:line="3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93% of the Company’s total assets and non-qualifying assets represent 7% of the Company’s total assets.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gridSpan w:val="2"/>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3000" w:type="dxa"/>
            <w:vAlign w:val="bottom"/>
          </w:tcPr>
          <w:p>
            <w:pPr>
              <w:spacing w:after="0"/>
              <w:rPr>
                <w:sz w:val="10"/>
                <w:szCs w:val="1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020" w:type="dxa"/>
            <w:vAlign w:val="bottom"/>
          </w:tcPr>
          <w:p>
            <w:pPr>
              <w:spacing w:after="0"/>
              <w:rPr>
                <w:sz w:val="10"/>
                <w:szCs w:val="1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gridSpan w:val="2"/>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Spread 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gridSpan w:val="2"/>
          </w:tcPr>
          <w:p>
            <w:pPr>
              <w:jc w:val="right"/>
              <w:ind w:right="3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r>
      <w:tr>
        <w:trPr>
          <w:trHeight w:val="131"/>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4"/>
        </w:trPr>
        <w:tc>
          <w:tcPr>
            <w:tcW w:w="300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—159.2% of Net Assets </w:t>
            </w:r>
            <w:r>
              <w:rPr>
                <w:rFonts w:ascii="Times New Roman" w:cs="Times New Roman" w:eastAsia="Times New Roman" w:hAnsi="Times New Roman"/>
                <w:sz w:val="12"/>
                <w:szCs w:val="12"/>
                <w:b w:val="1"/>
                <w:bCs w:val="1"/>
                <w:color w:val="auto"/>
                <w:vertAlign w:val="superscript"/>
              </w:rPr>
              <w:t>(1), (2)</w:t>
            </w: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Debt—100.5% of Net Assets</w:t>
            </w:r>
          </w:p>
        </w:tc>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05/06/2026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444</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Altamira Technologies,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07/24/2025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11.67 %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L+800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w:t>
            </w:r>
          </w:p>
        </w:tc>
      </w:tr>
      <w:tr>
        <w:trPr>
          <w:trHeight w:val="196"/>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Altamira Technologies,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07/24/2025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7"/>
                <w:szCs w:val="17"/>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138</w:t>
            </w:r>
          </w:p>
        </w:tc>
        <w:tc>
          <w:tcPr>
            <w:tcW w:w="260" w:type="dxa"/>
            <w:vAlign w:val="bottom"/>
            <w:shd w:val="clear" w:color="auto" w:fill="CCECFF"/>
          </w:tcPr>
          <w:p>
            <w:pPr>
              <w:spacing w:after="0"/>
              <w:rPr>
                <w:sz w:val="17"/>
                <w:szCs w:val="17"/>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line="196" w:lineRule="exact"/>
              <w:rPr>
                <w:sz w:val="20"/>
                <w:szCs w:val="20"/>
                <w:color w:val="auto"/>
              </w:rPr>
            </w:pPr>
            <w:r>
              <w:rPr>
                <w:rFonts w:ascii="Times New Roman" w:cs="Times New Roman" w:eastAsia="Times New Roman" w:hAnsi="Times New Roman"/>
                <w:sz w:val="10"/>
                <w:szCs w:val="10"/>
                <w:color w:val="auto"/>
              </w:rPr>
              <w:t xml:space="preserve">(5 </w:t>
            </w:r>
            <w:r>
              <w:rPr>
                <w:rFonts w:ascii="Times New Roman" w:cs="Times New Roman" w:eastAsia="Times New Roman" w:hAnsi="Times New Roman"/>
                <w:sz w:val="19"/>
                <w:szCs w:val="19"/>
                <w:color w:val="auto"/>
                <w:vertAlign w:val="superscript"/>
              </w:rPr>
              <w:t>)</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12/21/2023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7.79 %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3,329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3,310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3,329</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05/23/2024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8.15 %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4,120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4,086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4,038</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07/21/2027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1,324</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9.08 %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1,883</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6.72 %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w:t>
            </w:r>
          </w:p>
        </w:tc>
      </w:tr>
      <w:tr>
        <w:trPr>
          <w:trHeight w:val="176"/>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w:t>
            </w:r>
          </w:p>
        </w:tc>
        <w:tc>
          <w:tcPr>
            <w:tcW w:w="820" w:type="dxa"/>
            <w:vAlign w:val="bottom"/>
            <w:tcBorders>
              <w:bottom w:val="single" w:sz="8" w:color="CCECFF"/>
            </w:tcBorders>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07/31/2025</w:t>
            </w: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CFF"/>
            </w:tcBorders>
            <w:shd w:val="clear" w:color="auto" w:fill="CCECFF"/>
          </w:tcPr>
          <w:p>
            <w:pPr>
              <w:spacing w:after="0"/>
              <w:rPr>
                <w:sz w:val="15"/>
                <w:szCs w:val="15"/>
                <w:color w:val="auto"/>
              </w:rPr>
            </w:pPr>
          </w:p>
        </w:tc>
        <w:tc>
          <w:tcPr>
            <w:tcW w:w="500" w:type="dxa"/>
            <w:vAlign w:val="bottom"/>
            <w:tcBorders>
              <w:bottom w:val="single" w:sz="8" w:color="CCECFF"/>
            </w:tcBorders>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870</w:t>
            </w:r>
          </w:p>
        </w:tc>
        <w:tc>
          <w:tcPr>
            <w:tcW w:w="26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7.59 %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1,402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1,367</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04/21/2023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92"/>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tcPr>
          <w:p>
            <w:pPr>
              <w:jc w:val="right"/>
              <w:ind w:right="72"/>
              <w:spacing w:after="0" w:line="192" w:lineRule="exact"/>
              <w:rPr>
                <w:sz w:val="20"/>
                <w:szCs w:val="20"/>
                <w:color w:val="auto"/>
              </w:rPr>
            </w:pPr>
            <w:r>
              <w:rPr>
                <w:rFonts w:ascii="Times New Roman" w:cs="Times New Roman" w:eastAsia="Times New Roman" w:hAnsi="Times New Roman"/>
                <w:sz w:val="10"/>
                <w:szCs w:val="10"/>
                <w:color w:val="auto"/>
              </w:rPr>
              <w:t xml:space="preserve">10.25 </w:t>
            </w:r>
            <w:r>
              <w:rPr>
                <w:rFonts w:ascii="Times New Roman" w:cs="Times New Roman" w:eastAsia="Times New Roman" w:hAnsi="Times New Roman"/>
                <w:sz w:val="19"/>
                <w:szCs w:val="19"/>
                <w:color w:val="auto"/>
                <w:vertAlign w:val="superscript"/>
              </w:rPr>
              <w:t>%</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91"/>
              </w:rPr>
              <w:t>P+475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200</w:t>
            </w:r>
          </w:p>
        </w:tc>
        <w:tc>
          <w:tcPr>
            <w:tcW w:w="260" w:type="dxa"/>
            <w:vAlign w:val="bottom"/>
          </w:tcPr>
          <w:p>
            <w:pPr>
              <w:spacing w:after="0"/>
              <w:rPr>
                <w:sz w:val="16"/>
                <w:szCs w:val="16"/>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w:t>
            </w:r>
          </w:p>
        </w:tc>
        <w:tc>
          <w:tcPr>
            <w:tcW w:w="18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03/07/2028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Berwick Industrial Park</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04/28/2023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Buildings and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11.00 %</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3,934</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07/01/2029</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7.56 %</w:t>
            </w:r>
          </w:p>
        </w:tc>
        <w:tc>
          <w:tcPr>
            <w:tcW w:w="1000" w:type="dxa"/>
            <w:vAlign w:val="bottom"/>
            <w:gridSpan w:val="2"/>
          </w:tcPr>
          <w:p>
            <w:pPr>
              <w:jc w:val="right"/>
              <w:ind w:right="192"/>
              <w:spacing w:after="0"/>
              <w:rPr>
                <w:sz w:val="20"/>
                <w:szCs w:val="20"/>
                <w:color w:val="auto"/>
              </w:rPr>
            </w:pPr>
            <w:r>
              <w:rPr>
                <w:rFonts w:ascii="Times New Roman" w:cs="Times New Roman" w:eastAsia="Times New Roman" w:hAnsi="Times New Roman"/>
                <w:sz w:val="10"/>
                <w:szCs w:val="10"/>
                <w:color w:val="auto"/>
              </w:rPr>
              <w:t>SOFR+525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8.69 %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L+500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1,149</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4,043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09/17/2024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8.69 %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L+500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667</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09/17/2024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12/02/2022</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7.39 %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10,096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10,096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10,096</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05/13/2028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39,401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38,644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38,810</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 -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05/13/2028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1,246</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05/13/2028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9.30 %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6,720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6,619</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CF512, Inc.(Revolver)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08/20/2026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02/09/2026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7.48 %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853</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8.92 %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361</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02/07/2025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01/13/2023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3,158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07/13/2027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8.40 %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2,577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DermaRite Industries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06/30/2023</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L+700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8,734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7,030</w:t>
            </w: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12,930</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12,742</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12,736</w:t>
            </w:r>
          </w:p>
        </w:tc>
      </w:tr>
      <w:tr>
        <w:trPr>
          <w:trHeight w:val="137"/>
        </w:trPr>
        <w:tc>
          <w:tcPr>
            <w:tcW w:w="30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2"/>
        </w:trPr>
        <w:tc>
          <w:tcPr>
            <w:tcW w:w="300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33"/>
        </w:trPr>
        <w:tc>
          <w:tcPr>
            <w:tcW w:w="3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764</w:t>
            </w:r>
          </w:p>
        </w:tc>
      </w:tr>
      <w:tr>
        <w:trPr>
          <w:trHeight w:val="137"/>
        </w:trPr>
        <w:tc>
          <w:tcPr>
            <w:tcW w:w="300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w:t>
            </w:r>
          </w:p>
        </w:tc>
        <w:tc>
          <w:tcPr>
            <w:tcW w:w="9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2"/>
        </w:trPr>
        <w:tc>
          <w:tcPr>
            <w:tcW w:w="300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08/31/2027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Products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1"/>
                <w:szCs w:val="11"/>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1,551</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11/03/2025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05/01/2028</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10.62 %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L+750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19,156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19,019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18,869</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ECM Industries,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12/23/2025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7.93 %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L+475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ECM Industries,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12/23/2025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24,532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24,315</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03/15/2024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7,424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363</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03/15/2027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06/17/2028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L+475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682</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Gantech Acquisition Corp.</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9.37 %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16,809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16,305</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Gantech Acquisition Corp. (Revolver)</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9.37 %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Gantech Acquisition Corp.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05/14/2026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1,858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(56 )</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08/10/2023</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 (Revolver)</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9.16 %</w:t>
            </w:r>
          </w:p>
        </w:tc>
        <w:tc>
          <w:tcPr>
            <w:tcW w:w="5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w w:val="89"/>
              </w:rPr>
              <w:t>L+575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08/10/2027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12"/>
                <w:szCs w:val="12"/>
                <w:color w:val="auto"/>
              </w:rPr>
            </w:pP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(16 )</w:t>
            </w: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12/31/2022</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7.82 %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1M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L+500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12/31/2026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11/23/2028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10.17 %</w:t>
            </w:r>
          </w:p>
        </w:tc>
        <w:tc>
          <w:tcPr>
            <w:tcW w:w="500" w:type="dxa"/>
            <w:vAlign w:val="bottom"/>
          </w:tcPr>
          <w:p>
            <w:pPr>
              <w:ind w:left="340"/>
              <w:spacing w:after="0"/>
              <w:rPr>
                <w:sz w:val="20"/>
                <w:szCs w:val="20"/>
                <w:color w:val="auto"/>
              </w:rPr>
            </w:pPr>
            <w:r>
              <w:rPr>
                <w:rFonts w:ascii="Times New Roman" w:cs="Times New Roman" w:eastAsia="Times New Roman" w:hAnsi="Times New Roman"/>
                <w:sz w:val="10"/>
                <w:szCs w:val="10"/>
                <w:color w:val="auto"/>
              </w:rPr>
              <w:t>3M</w:t>
            </w:r>
          </w:p>
        </w:tc>
        <w:tc>
          <w:tcPr>
            <w:tcW w:w="5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w w:val="89"/>
              </w:rPr>
              <w:t>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1,879</w:t>
            </w: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Holdco Sands Intermediate, LLC (Revolver) </w:t>
            </w:r>
            <w:r>
              <w:rPr>
                <w:rFonts w:ascii="Times New Roman" w:cs="Times New Roman" w:eastAsia="Times New Roman" w:hAnsi="Times New Roman"/>
                <w:sz w:val="12"/>
                <w:szCs w:val="12"/>
                <w:color w:val="auto"/>
                <w:vertAlign w:val="superscript"/>
              </w:rPr>
              <w:t>(7)</w:t>
            </w:r>
          </w:p>
        </w:tc>
        <w:tc>
          <w:tcPr>
            <w:tcW w:w="8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11/23/2027</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(79 )</w:t>
            </w: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5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580" w:type="dxa"/>
            <w:vAlign w:val="bottom"/>
          </w:tcPr>
          <w:p>
            <w:pPr>
              <w:spacing w:after="0"/>
              <w:rPr>
                <w:sz w:val="10"/>
                <w:szCs w:val="10"/>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940" w:type="dxa"/>
            <w:vAlign w:val="bottom"/>
          </w:tcPr>
          <w:p>
            <w:pPr>
              <w:spacing w:after="0"/>
              <w:rPr>
                <w:sz w:val="10"/>
                <w:szCs w:val="1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Spread 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right"/>
              <w:ind w:right="3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12/17/2026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281</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279</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271</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HV Watterson Holdings, LLC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12/17/2026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2,219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12/17/2026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 - (Revolver)</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12/17/2026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12/10/2024</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10,188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10,077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10,061</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12/10/2024</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3,049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12/10/2024</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III, LP</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05/11/2028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L+475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727</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IDC Infusion Services,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12/30/2026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3,574</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IDC Infusion Services, Inc.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12/30/2026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09/22/2027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11/15/2027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11/15/2027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12/07/2023</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10.18 %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L+715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20,506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20,239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20,301</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Infolinks Media Buyco, LLC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11/01/2023</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08/27/2025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9,876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9,831</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03/03/2028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8,784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8,749</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03/03/2028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line="216" w:lineRule="exact"/>
              <w:rPr>
                <w:sz w:val="20"/>
                <w:szCs w:val="20"/>
                <w:color w:val="auto"/>
              </w:rPr>
            </w:pPr>
            <w:r>
              <w:rPr>
                <w:rFonts w:ascii="Times New Roman" w:cs="Times New Roman" w:eastAsia="Times New Roman" w:hAnsi="Times New Roman"/>
                <w:sz w:val="10"/>
                <w:szCs w:val="10"/>
                <w:color w:val="auto"/>
              </w:rPr>
              <w:t xml:space="preserve">8.25 </w:t>
            </w:r>
            <w:r>
              <w:rPr>
                <w:rFonts w:ascii="Times New Roman" w:cs="Times New Roman" w:eastAsia="Times New Roman" w:hAnsi="Times New Roman"/>
                <w:sz w:val="19"/>
                <w:szCs w:val="19"/>
                <w:color w:val="auto"/>
                <w:vertAlign w:val="subscript"/>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298</w:t>
            </w:r>
          </w:p>
        </w:tc>
        <w:tc>
          <w:tcPr>
            <w:tcW w:w="260" w:type="dxa"/>
            <w:vAlign w:val="bottom"/>
          </w:tcPr>
          <w:p>
            <w:pPr>
              <w:spacing w:after="0"/>
              <w:rPr>
                <w:sz w:val="18"/>
                <w:szCs w:val="18"/>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w:t>
            </w:r>
          </w:p>
        </w:tc>
        <w:tc>
          <w:tcPr>
            <w:tcW w:w="18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03/03/2028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12/20/2023</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L+800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11,678</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12/20/2023</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11/10/2027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24,341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23,807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23,855</w:t>
            </w:r>
          </w:p>
        </w:tc>
      </w:tr>
      <w:tr>
        <w:trPr>
          <w:trHeight w:val="172"/>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 (Revolver)</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11/10/2026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4,854</w:t>
            </w:r>
          </w:p>
        </w:tc>
        <w:tc>
          <w:tcPr>
            <w:tcW w:w="26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4,854</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4,757</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02/18/2027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11.78 %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L+700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2,828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2,771</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 (Revolver)</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08/16/2026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L+700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568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556</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08/16/2026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33"/>
        </w:trPr>
        <w:tc>
          <w:tcPr>
            <w:tcW w:w="2580" w:type="dxa"/>
            <w:vAlign w:val="bottom"/>
            <w:shd w:val="clear" w:color="auto" w:fill="CCECFF"/>
          </w:tcPr>
          <w:p>
            <w:pPr>
              <w:spacing w:after="0"/>
              <w:rPr>
                <w:sz w:val="11"/>
                <w:szCs w:val="11"/>
                <w:color w:val="auto"/>
              </w:rPr>
            </w:pPr>
          </w:p>
        </w:tc>
        <w:tc>
          <w:tcPr>
            <w:tcW w:w="1280" w:type="dxa"/>
            <w:vAlign w:val="bottom"/>
            <w:shd w:val="clear" w:color="auto" w:fill="CCECFF"/>
          </w:tcPr>
          <w:p>
            <w:pPr>
              <w:spacing w:after="0"/>
              <w:rPr>
                <w:sz w:val="11"/>
                <w:szCs w:val="11"/>
                <w:color w:val="auto"/>
              </w:rPr>
            </w:pP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w:t>
            </w:r>
          </w:p>
        </w:tc>
        <w:tc>
          <w:tcPr>
            <w:tcW w:w="100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2"/>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10/31/2024</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L+750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2,061</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2,013</w:t>
            </w:r>
          </w:p>
        </w:tc>
      </w:tr>
      <w:tr>
        <w:trPr>
          <w:trHeight w:val="140"/>
        </w:trPr>
        <w:tc>
          <w:tcPr>
            <w:tcW w:w="2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11/09/2026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9,177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9,040</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11/09/2026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02/03/2026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2,220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2,148</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 (Revolver)</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02/03/2026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02/03/2026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(21 )</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Limerick Town Cener,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09/27/2023</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Real Estate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2,970</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03/31/2029</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9.37 %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SOFR+725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5,772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5,685</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05/14/2026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MBS Holdings, Inc.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04/16/2027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r>
      <w:tr>
        <w:trPr>
          <w:trHeight w:val="16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07/25/2028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8.98 %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14,400</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14,117</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14,112</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Term Loan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07/25/2028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5,196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(52 )</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07/25/2028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12/10/2027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1,307</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Term Loan I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12/10/2027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Term Loan II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12/10/2027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12/10/2027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09/28/2027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663</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09/28/2027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(Revolver)</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09/28/2027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266</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09/28/2027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1,598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08/19/2026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10/14/2026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4,423</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OIS Management Services, LLC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07/09/2026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05/07/2027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Cargo Transport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6,889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6,798</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ORL Acquisition,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09/03/2027</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4,454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4,378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4,454</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09/03/2027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05/18/2026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L+700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15,391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15,189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15,083</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(Revolver)</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05/18/2026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L+700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1,739</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05/18/2026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PL Acquisitionco, LLC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11/09/2027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 Events, Inc.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08/07/2025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L+1,050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24,907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21,694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24,907</w:t>
            </w:r>
          </w:p>
        </w:tc>
      </w:tr>
      <w:tr>
        <w:trPr>
          <w:trHeight w:val="140"/>
        </w:trPr>
        <w:tc>
          <w:tcPr>
            <w:tcW w:w="2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10.5%)</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PRA Events, Inc.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08/07/2025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L+1,050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07/06/2028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35,340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34,826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34,987</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Pragmatic Institute, LLC Term Loan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07/06/2028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7,193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 (Revolver)</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07/06/2028</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949</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Pragmatic Institute, LL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07/06/2028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3,836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(38 )</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11/19/2026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L+625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666</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 (Revolver)</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11/19/2026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Quantic Electronics, LLC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11/19/2026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09/09/2024</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21,600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21,168</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09/09/2024</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 (Revolver)</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03/31/2025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877</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Radius Aerospace, Inc.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03/31/2025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(20 )</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12/18/2025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12/18/2025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02/28/2028</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9.13 %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5,885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5,701</w:t>
            </w:r>
          </w:p>
        </w:tc>
      </w:tr>
      <w:tr>
        <w:trPr>
          <w:trHeight w:val="140"/>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 (Revolver)</w:t>
            </w:r>
          </w:p>
        </w:tc>
        <w:tc>
          <w:tcPr>
            <w:tcW w:w="12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01/29/2026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302</w:t>
            </w:r>
          </w:p>
        </w:tc>
      </w:tr>
      <w:tr>
        <w:trPr>
          <w:trHeight w:val="148"/>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w:t>
            </w:r>
          </w:p>
        </w:tc>
        <w:tc>
          <w:tcPr>
            <w:tcW w:w="1280" w:type="dxa"/>
            <w:vAlign w:val="bottom"/>
            <w:shd w:val="clear" w:color="auto" w:fill="CCECFF"/>
          </w:tcPr>
          <w:p>
            <w:pPr>
              <w:ind w:left="640"/>
              <w:spacing w:after="0"/>
              <w:rPr>
                <w:sz w:val="20"/>
                <w:szCs w:val="20"/>
                <w:color w:val="auto"/>
              </w:rPr>
            </w:pPr>
            <w:r>
              <w:rPr>
                <w:rFonts w:ascii="Times New Roman" w:cs="Times New Roman" w:eastAsia="Times New Roman" w:hAnsi="Times New Roman"/>
                <w:sz w:val="10"/>
                <w:szCs w:val="10"/>
                <w:color w:val="auto"/>
              </w:rPr>
              <w:t>01/29/2026</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ectPr>
          <w:pgSz w:w="11900" w:h="16840" w:orient="portrait"/>
          <w:cols w:equalWidth="0" w:num="1">
            <w:col w:w="10560"/>
          </w:cols>
          <w:pgMar w:left="660" w:top="580" w:right="680"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w w:val="94"/>
              </w:rPr>
              <w:t>Maturity /</w:t>
            </w:r>
          </w:p>
        </w:tc>
        <w:tc>
          <w:tcPr>
            <w:tcW w:w="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Spread 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95"/>
              </w:rPr>
              <w:t>Expiration</w:t>
            </w:r>
          </w:p>
        </w:tc>
        <w:tc>
          <w:tcPr>
            <w:tcW w:w="300" w:type="dxa"/>
            <w:vAlign w:val="bottom"/>
          </w:tcPr>
          <w:p>
            <w:pPr>
              <w:spacing w:after="0"/>
              <w:rPr>
                <w:sz w:val="11"/>
                <w:szCs w:val="11"/>
                <w:color w:val="auto"/>
              </w:rPr>
            </w:pPr>
          </w:p>
        </w:tc>
        <w:tc>
          <w:tcPr>
            <w:tcW w:w="1900" w:type="dxa"/>
            <w:vAlign w:val="bottom"/>
          </w:tcPr>
          <w:p>
            <w:pPr>
              <w:ind w:left="7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right"/>
              <w:ind w:right="3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Index </w:t>
            </w:r>
            <w:r>
              <w:rPr>
                <w:rFonts w:ascii="Times New Roman" w:cs="Times New Roman" w:eastAsia="Times New Roman" w:hAnsi="Times New Roman"/>
                <w:sz w:val="12"/>
                <w:szCs w:val="12"/>
                <w:b w:val="1"/>
                <w:bCs w:val="1"/>
                <w:color w:val="auto"/>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12/20/2024</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06/20/2025</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03/10/2025</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12,906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12,648</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01/03/2025</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12/20/2024</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12/20/2024</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07/14/2025</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L+700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07/14/2025</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L+600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0.5%)</w:t>
            </w: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07/14/2025</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06/13/2029</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4,728</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 (Revolver)</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06/13/2029</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6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Shiftkey,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06/21/2027</w:t>
            </w:r>
          </w:p>
        </w:tc>
        <w:tc>
          <w:tcPr>
            <w:tcW w:w="300" w:type="dxa"/>
            <w:vAlign w:val="bottom"/>
            <w:shd w:val="clear" w:color="auto" w:fill="CCECFF"/>
          </w:tcPr>
          <w:p>
            <w:pPr>
              <w:spacing w:after="0"/>
              <w:rPr>
                <w:sz w:val="14"/>
                <w:szCs w:val="14"/>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line="168" w:lineRule="exact"/>
              <w:rPr>
                <w:sz w:val="20"/>
                <w:szCs w:val="20"/>
                <w:color w:val="auto"/>
              </w:rPr>
            </w:pPr>
            <w:r>
              <w:rPr>
                <w:rFonts w:ascii="Times New Roman" w:cs="Times New Roman" w:eastAsia="Times New Roman" w:hAnsi="Times New Roman"/>
                <w:sz w:val="10"/>
                <w:szCs w:val="10"/>
                <w:color w:val="auto"/>
              </w:rPr>
              <w:t xml:space="preserve">9.56 </w:t>
            </w:r>
            <w:r>
              <w:rPr>
                <w:rFonts w:ascii="Times New Roman" w:cs="Times New Roman" w:eastAsia="Times New Roman" w:hAnsi="Times New Roman"/>
                <w:sz w:val="19"/>
                <w:szCs w:val="19"/>
                <w:color w:val="auto"/>
                <w:vertAlign w:val="subscript"/>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17,955</w:t>
            </w:r>
          </w:p>
        </w:tc>
        <w:tc>
          <w:tcPr>
            <w:tcW w:w="260" w:type="dxa"/>
            <w:vAlign w:val="bottom"/>
            <w:shd w:val="clear" w:color="auto" w:fill="CCECFF"/>
          </w:tcPr>
          <w:p>
            <w:pPr>
              <w:spacing w:after="0"/>
              <w:rPr>
                <w:sz w:val="14"/>
                <w:szCs w:val="14"/>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17,784</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17,722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12/18/2025</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L+850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31,680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31,047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 (Revolver)</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12/18/2025</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L+850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1,108</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12/18/2025</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05/03/2024</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01/17/2024</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Spear Education,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02/26/2025</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12,018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11,947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12,018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03/01/2028</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9,705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9,433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03/01/2023</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36"/>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Spendmend Holdings LLC - Funded Revolver</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auto"/>
                <w:w w:val="92"/>
              </w:rPr>
              <w:t>03/01/2028</w:t>
            </w:r>
          </w:p>
        </w:tc>
        <w:tc>
          <w:tcPr>
            <w:tcW w:w="300" w:type="dxa"/>
            <w:vAlign w:val="bottom"/>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8.63 %</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3M 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c>
          <w:tcPr>
            <w:tcW w:w="0" w:type="dxa"/>
            <w:vAlign w:val="bottom"/>
          </w:tcPr>
          <w:p>
            <w:pPr>
              <w:spacing w:after="0"/>
              <w:rPr>
                <w:sz w:val="1"/>
                <w:szCs w:val="1"/>
                <w:color w:val="auto"/>
              </w:rPr>
            </w:pPr>
          </w:p>
        </w:tc>
      </w:tr>
      <w:tr>
        <w:trPr>
          <w:trHeight w:val="76"/>
        </w:trPr>
        <w:tc>
          <w:tcPr>
            <w:tcW w:w="29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Unfunded Revolver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03/01/2028</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33"/>
        </w:trPr>
        <w:tc>
          <w:tcPr>
            <w:tcW w:w="290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(7)</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08/16/2027</w:t>
            </w:r>
          </w:p>
        </w:tc>
        <w:tc>
          <w:tcPr>
            <w:tcW w:w="30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07/27/2026</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L+700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4,933</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07/27/2026</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08/30/2027</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1,745</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08/30/2027</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08/30/2027</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08/30/2027</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03/26/2026</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12,543</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TVC Enterprises, LLC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03/26/2026</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06/16/2025</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L+625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1,137</w:t>
            </w: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auto"/>
                <w:w w:val="92"/>
              </w:rPr>
              <w:t>06/16/2025</w:t>
            </w:r>
          </w:p>
        </w:tc>
        <w:tc>
          <w:tcPr>
            <w:tcW w:w="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1,644</w:t>
            </w:r>
          </w:p>
        </w:tc>
        <w:tc>
          <w:tcPr>
            <w:tcW w:w="260" w:type="dxa"/>
            <w:vAlign w:val="bottom"/>
          </w:tcPr>
          <w:p>
            <w:pPr>
              <w:spacing w:after="0"/>
              <w:rPr>
                <w:sz w:val="14"/>
                <w:szCs w:val="14"/>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78"/>
        </w:trPr>
        <w:tc>
          <w:tcPr>
            <w:tcW w:w="29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04/01/2026</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Unique Indoor Comfort,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05/24/2027</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L+525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27,233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26,904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26,634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Unique Indoor Comfort, LLC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05/24/2027</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16,140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(194 )</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Unique Indoor Comfort, LLC (Revolver) </w:t>
            </w:r>
            <w:r>
              <w:rPr>
                <w:rFonts w:ascii="Times New Roman" w:cs="Times New Roman" w:eastAsia="Times New Roman" w:hAnsi="Times New Roman"/>
                <w:sz w:val="12"/>
                <w:szCs w:val="12"/>
                <w:color w:val="auto"/>
                <w:vertAlign w:val="superscript"/>
              </w:rPr>
              <w:t>(7)</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05/24/2027</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(66 )</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03/31/2027</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L+875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25,368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16,946</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02/27/2026</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L+575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3,771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(7)</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02/27/2026</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(41 )</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03/01/2024</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L+725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2,608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599,263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588,267</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Debt—22.2% of Net Assets</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Atlas Purchaser, Inc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05/07/2029</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L+900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14,909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Best Practice Associates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06/29/2027</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L+900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17,825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17,506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17,290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07/28/2030</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L+900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7,752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Data Axle, Inc.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04/03/2024</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Other Media</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L+925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20,400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20,288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20,196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ENC Parent Corporation</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08/19/2029</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L+750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7,125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Halo Buyer, Inc.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07/06/2026</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L+825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32,164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31,769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09/29/2024</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L+850</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16,387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16,344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02/04/2027</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12.68 %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L+1,000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VT Topco, Inc.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08/17/2026</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9.87 %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L+675</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14,475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133,160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129,936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Debt/Corporate Notes—9.1% of Net Assets</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Express Wash Acquisition Company, LLC</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01/15/2029</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15.31 %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L+1,150</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20,359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Flock Financial, LLC</w:t>
            </w:r>
          </w:p>
        </w:tc>
        <w:tc>
          <w:tcPr>
            <w:tcW w:w="68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0"/>
                <w:szCs w:val="10"/>
                <w:color w:val="auto"/>
                <w:w w:val="92"/>
              </w:rPr>
              <w:t>05/26/2027</w:t>
            </w: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32,895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Debt/Corporate Notes</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53,468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53,254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Interests—1.3% of Net Assets </w:t>
            </w:r>
            <w:r>
              <w:rPr>
                <w:rFonts w:ascii="Times New Roman" w:cs="Times New Roman" w:eastAsia="Times New Roman" w:hAnsi="Times New Roman"/>
                <w:sz w:val="12"/>
                <w:szCs w:val="12"/>
                <w:b w:val="1"/>
                <w:bCs w:val="1"/>
                <w:color w:val="auto"/>
                <w:vertAlign w:val="superscript"/>
              </w:rPr>
              <w:t>(6)</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AH Newco Equityholdings, LLC</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2,127</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1,427</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704</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Mars Intermediate Holdings II, Inc </w:t>
            </w:r>
            <w:r>
              <w:rPr>
                <w:rFonts w:ascii="Times New Roman" w:cs="Times New Roman" w:eastAsia="Times New Roman" w:hAnsi="Times New Roman"/>
                <w:sz w:val="12"/>
                <w:szCs w:val="12"/>
                <w:color w:val="auto"/>
                <w:vertAlign w:val="superscript"/>
              </w:rPr>
              <w:t>(9)</w:t>
            </w:r>
          </w:p>
        </w:tc>
        <w:tc>
          <w:tcPr>
            <w:tcW w:w="6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484</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 (Tyto Athene, LLC)</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6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1,932</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(8),(11)</w:t>
            </w:r>
          </w:p>
        </w:tc>
        <w:tc>
          <w:tcPr>
            <w:tcW w:w="6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w:t>
            </w:r>
          </w:p>
        </w:tc>
        <w:tc>
          <w:tcPr>
            <w:tcW w:w="0" w:type="dxa"/>
            <w:vAlign w:val="bottom"/>
          </w:tcPr>
          <w:p>
            <w:pPr>
              <w:spacing w:after="0"/>
              <w:rPr>
                <w:sz w:val="1"/>
                <w:szCs w:val="1"/>
                <w:color w:val="auto"/>
              </w:rPr>
            </w:pPr>
          </w:p>
        </w:tc>
      </w:tr>
      <w:tr>
        <w:trPr>
          <w:trHeight w:val="140"/>
        </w:trPr>
        <w:tc>
          <w:tcPr>
            <w:tcW w:w="29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7,325</w:t>
            </w:r>
          </w:p>
        </w:tc>
        <w:tc>
          <w:tcPr>
            <w:tcW w:w="0" w:type="dxa"/>
            <w:vAlign w:val="bottom"/>
          </w:tcPr>
          <w:p>
            <w:pPr>
              <w:spacing w:after="0"/>
              <w:rPr>
                <w:sz w:val="1"/>
                <w:szCs w:val="1"/>
                <w:color w:val="auto"/>
              </w:rPr>
            </w:pPr>
          </w:p>
        </w:tc>
      </w:tr>
      <w:tr>
        <w:trPr>
          <w:trHeight w:val="131"/>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Common Equity/Partnership Interests/Warrants—26.2% of Net</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00" w:type="dxa"/>
            <w:vAlign w:val="bottom"/>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Assets </w:t>
            </w:r>
            <w:r>
              <w:rPr>
                <w:rFonts w:ascii="Times New Roman" w:cs="Times New Roman" w:eastAsia="Times New Roman" w:hAnsi="Times New Roman"/>
                <w:sz w:val="12"/>
                <w:szCs w:val="12"/>
                <w:b w:val="1"/>
                <w:bCs w:val="1"/>
                <w:color w:val="auto"/>
                <w:vertAlign w:val="superscript"/>
              </w:rPr>
              <w:t>(6)</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2,667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6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2"/>
              </w:rPr>
              <w:t>04/10/2024</w:t>
            </w:r>
          </w:p>
        </w:tc>
        <w:tc>
          <w:tcPr>
            <w:tcW w:w="30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77,190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(9)</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1,127</w:t>
            </w: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(9)</w:t>
            </w:r>
          </w:p>
        </w:tc>
        <w:tc>
          <w:tcPr>
            <w:tcW w:w="68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Intermediate Company II, Inc.</w:t>
            </w: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ectPr>
          <w:pgSz w:w="11900" w:h="16840" w:orient="portrait"/>
          <w:cols w:equalWidth="0" w:num="1">
            <w:col w:w="10560"/>
          </w:cols>
          <w:pgMar w:left="660" w:top="580" w:right="680"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type w:val="continuous"/>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2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58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1"/>
              </w:rPr>
              <w:t>Current</w:t>
            </w:r>
          </w:p>
        </w:tc>
        <w:tc>
          <w:tcPr>
            <w:tcW w:w="32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260" w:type="dxa"/>
            <w:vAlign w:val="bottom"/>
          </w:tcPr>
          <w:p>
            <w:pPr>
              <w:spacing w:after="0"/>
              <w:rPr>
                <w:sz w:val="11"/>
                <w:szCs w:val="1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320" w:type="dxa"/>
            <w:vAlign w:val="bottom"/>
          </w:tcPr>
          <w:p>
            <w:pPr>
              <w:spacing w:after="0"/>
              <w:rPr>
                <w:sz w:val="11"/>
                <w:szCs w:val="11"/>
                <w:color w:val="auto"/>
              </w:rPr>
            </w:pPr>
          </w:p>
        </w:tc>
        <w:tc>
          <w:tcPr>
            <w:tcW w:w="1060" w:type="dxa"/>
            <w:vAlign w:val="bottom"/>
          </w:tcPr>
          <w:p>
            <w:pPr>
              <w:jc w:val="center"/>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AMCSI Crash Co-Invest,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2,419,200</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2,419</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2,470</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AMCSI Crash Co-Invest, LP </w:t>
            </w:r>
            <w:r>
              <w:rPr>
                <w:rFonts w:ascii="Times New Roman" w:cs="Times New Roman" w:eastAsia="Times New Roman" w:hAnsi="Times New Roman"/>
                <w:sz w:val="12"/>
                <w:szCs w:val="12"/>
                <w:color w:val="auto"/>
                <w:vertAlign w:val="superscript"/>
              </w:rPr>
              <w:t>(7)</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580,800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Athletico Holdings, LLC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9,357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9,516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Atlas Investment Aggregator, LLC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3,562,500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3,716</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CI (Allied) Investment Holdings, LLC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120,962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1,651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(PRA Events, Inc.)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Parent, LLC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57,416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Cowboy Parent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26,360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40"/>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Acquisition Parent Holdings,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Delta InvestCo LP</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698,889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w:t>
            </w:r>
            <w:r>
              <w:rPr>
                <w:rFonts w:ascii="Times New Roman" w:cs="Times New Roman" w:eastAsia="Times New Roman" w:hAnsi="Times New Roman"/>
                <w:sz w:val="12"/>
                <w:szCs w:val="12"/>
                <w:color w:val="auto"/>
                <w:vertAlign w:val="superscript"/>
              </w:rPr>
              <w:t>(7)</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442,155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(Sigma Defense Systems, LLC) </w:t>
            </w:r>
            <w:r>
              <w:rPr>
                <w:rFonts w:ascii="Times New Roman" w:cs="Times New Roman" w:eastAsia="Times New Roman" w:hAnsi="Times New Roman"/>
                <w:sz w:val="12"/>
                <w:szCs w:val="12"/>
                <w:color w:val="auto"/>
                <w:vertAlign w:val="superscript"/>
              </w:rPr>
              <w:t>(7), (9)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ECM Investors,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167,537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358</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(11)</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1,391</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1,458,333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1,288</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Express Wash Topco,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3,369</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1,441</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II LP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20,357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2,290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2,253</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Lash Coinvest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889,376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4,208</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TVC Coinvest,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810,645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3,229</w:t>
            </w:r>
          </w:p>
        </w:tc>
        <w:tc>
          <w:tcPr>
            <w:tcW w:w="0" w:type="dxa"/>
            <w:vAlign w:val="bottom"/>
          </w:tcPr>
          <w:p>
            <w:pPr>
              <w:spacing w:after="0"/>
              <w:rPr>
                <w:sz w:val="1"/>
                <w:szCs w:val="1"/>
                <w:color w:val="auto"/>
              </w:rPr>
            </w:pPr>
          </w:p>
        </w:tc>
      </w:tr>
      <w:tr>
        <w:trPr>
          <w:trHeight w:val="140"/>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(TVC Enterprises, LLC)</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 Dawgs Capital III, LP</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675,325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783</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Green Veracity Holdings, LP - Class A</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5,700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(VT Topco, Inc.)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477</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1,600,000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1,387</w:t>
            </w: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86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1,111,111</w:t>
            </w:r>
          </w:p>
        </w:tc>
        <w:tc>
          <w:tcPr>
            <w:tcW w:w="260" w:type="dxa"/>
            <w:vAlign w:val="bottom"/>
          </w:tcPr>
          <w:p>
            <w:pPr>
              <w:spacing w:after="0"/>
              <w:rPr>
                <w:sz w:val="11"/>
                <w:szCs w:val="11"/>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1,111</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1,194</w:t>
            </w: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388,889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743,826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Infogroup Parent Holdings, Inc.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Other Media</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181,495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3,270</w:t>
            </w:r>
          </w:p>
        </w:tc>
        <w:tc>
          <w:tcPr>
            <w:tcW w:w="0" w:type="dxa"/>
            <w:vAlign w:val="bottom"/>
          </w:tcPr>
          <w:p>
            <w:pPr>
              <w:spacing w:after="0"/>
              <w:rPr>
                <w:sz w:val="1"/>
                <w:szCs w:val="1"/>
                <w:color w:val="auto"/>
              </w:rPr>
            </w:pPr>
          </w:p>
        </w:tc>
      </w:tr>
      <w:tr>
        <w:trPr>
          <w:trHeight w:val="140"/>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(Data Axle, Inc.)</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Ironclad Holdco,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592</w:t>
            </w:r>
          </w:p>
        </w:tc>
        <w:tc>
          <w:tcPr>
            <w:tcW w:w="0" w:type="dxa"/>
            <w:vAlign w:val="bottom"/>
          </w:tcPr>
          <w:p>
            <w:pPr>
              <w:spacing w:after="0"/>
              <w:rPr>
                <w:sz w:val="1"/>
                <w:szCs w:val="1"/>
                <w:color w:val="auto"/>
              </w:rPr>
            </w:pPr>
          </w:p>
        </w:tc>
      </w:tr>
      <w:tr>
        <w:trPr>
          <w:trHeight w:val="144"/>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(Applied Technical Services,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ITC Infusion Co-invest,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113,839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ITC Rumba, LLC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375,675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42,031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(Cano Health, LLC)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JWC-WE Holdings, L.P.</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2,688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Kentucky Racing Holdco, LLC (Warrants)</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161,252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1,774</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1,308,814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1,854</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KL Stockton Co-Invest LP</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643</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(Any Hour Services)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Lariat ecoserv Co-Invest Holdings,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363,656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1,376</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Investment Holdco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273,143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373</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Mars Intermidiate Holdings II, Inc.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1,925,990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1,926</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815,385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897</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3,920,145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3,984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2,990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NEPRT Parent Holdings, LLC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(Recteq, LLC)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North Haven Saints Equity Holdings, LP</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351,553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373</w:t>
            </w:r>
          </w:p>
        </w:tc>
        <w:tc>
          <w:tcPr>
            <w:tcW w:w="0" w:type="dxa"/>
            <w:vAlign w:val="bottom"/>
          </w:tcPr>
          <w:p>
            <w:pPr>
              <w:spacing w:after="0"/>
              <w:rPr>
                <w:sz w:val="1"/>
                <w:szCs w:val="1"/>
                <w:color w:val="auto"/>
              </w:rPr>
            </w:pPr>
          </w:p>
        </w:tc>
      </w:tr>
      <w:tr>
        <w:trPr>
          <w:trHeight w:val="140"/>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NXOF Holdings, Inc.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vMerge w:val="restart"/>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3,261</w:t>
            </w:r>
          </w:p>
        </w:tc>
        <w:tc>
          <w:tcPr>
            <w:tcW w:w="26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18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0" w:type="dxa"/>
            <w:vAlign w:val="bottom"/>
          </w:tcPr>
          <w:p>
            <w:pPr>
              <w:spacing w:after="0"/>
              <w:rPr>
                <w:sz w:val="1"/>
                <w:szCs w:val="1"/>
                <w:color w:val="auto"/>
              </w:rPr>
            </w:pPr>
          </w:p>
        </w:tc>
      </w:tr>
      <w:tr>
        <w:trPr>
          <w:trHeight w:val="116"/>
        </w:trPr>
        <w:tc>
          <w:tcPr>
            <w:tcW w:w="270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2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320" w:type="dxa"/>
            <w:vAlign w:val="bottom"/>
            <w:vMerge w:val="continue"/>
            <w:shd w:val="clear" w:color="auto" w:fill="CCECFF"/>
          </w:tcPr>
          <w:p>
            <w:pPr>
              <w:spacing w:after="0"/>
              <w:rPr>
                <w:sz w:val="10"/>
                <w:szCs w:val="10"/>
                <w:color w:val="auto"/>
              </w:rPr>
            </w:pPr>
          </w:p>
        </w:tc>
        <w:tc>
          <w:tcPr>
            <w:tcW w:w="1060" w:type="dxa"/>
            <w:vAlign w:val="bottom"/>
            <w:vMerge w:val="continue"/>
            <w:shd w:val="clear" w:color="auto" w:fill="CCECFF"/>
          </w:tcPr>
          <w:p>
            <w:pPr>
              <w:spacing w:after="0"/>
              <w:rPr>
                <w:sz w:val="10"/>
                <w:szCs w:val="10"/>
                <w:color w:val="auto"/>
              </w:rPr>
            </w:pPr>
          </w:p>
        </w:tc>
        <w:tc>
          <w:tcPr>
            <w:tcW w:w="880" w:type="dxa"/>
            <w:vAlign w:val="bottom"/>
            <w:vMerge w:val="continue"/>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68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(Tyto Athene, LLC)</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OceanSound Discovery Equity,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98,286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1,651</w:t>
            </w:r>
          </w:p>
        </w:tc>
        <w:tc>
          <w:tcPr>
            <w:tcW w:w="0" w:type="dxa"/>
            <w:vAlign w:val="bottom"/>
          </w:tcPr>
          <w:p>
            <w:pPr>
              <w:spacing w:after="0"/>
              <w:rPr>
                <w:sz w:val="1"/>
                <w:szCs w:val="1"/>
                <w:color w:val="auto"/>
              </w:rPr>
            </w:pPr>
          </w:p>
        </w:tc>
      </w:tr>
      <w:tr>
        <w:trPr>
          <w:trHeight w:val="144"/>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(Holdco Sands Intermediate,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446,250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382</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(7),(9)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303,750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(44 )</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Oral Surgery (ITC) Holdings, LLC </w:t>
            </w:r>
            <w:r>
              <w:rPr>
                <w:rFonts w:ascii="Times New Roman" w:cs="Times New Roman" w:eastAsia="Times New Roman" w:hAnsi="Times New Roman"/>
                <w:sz w:val="12"/>
                <w:szCs w:val="12"/>
                <w:color w:val="auto"/>
                <w:vertAlign w:val="superscript"/>
              </w:rPr>
              <w:t>(9)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Holdco, Inc.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PennantPark-TSO Senior Loan Fund II,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15,038,871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15,039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15,571</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Pink Lily Holdco, LLC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550</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1,918,047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1,918</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(7),(9)</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(9)</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44"/>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RFMG Parent,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1,090</w:t>
            </w:r>
          </w:p>
        </w:tc>
        <w:tc>
          <w:tcPr>
            <w:tcW w:w="0" w:type="dxa"/>
            <w:vAlign w:val="bottom"/>
          </w:tcPr>
          <w:p>
            <w:pPr>
              <w:spacing w:after="0"/>
              <w:rPr>
                <w:sz w:val="1"/>
                <w:szCs w:val="1"/>
                <w:color w:val="auto"/>
              </w:rPr>
            </w:pPr>
          </w:p>
        </w:tc>
      </w:tr>
      <w:tr>
        <w:trPr>
          <w:trHeight w:val="140"/>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SBI Holdings Investments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36,585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359</w:t>
            </w:r>
          </w:p>
        </w:tc>
        <w:tc>
          <w:tcPr>
            <w:tcW w:w="0" w:type="dxa"/>
            <w:vAlign w:val="bottom"/>
          </w:tcPr>
          <w:p>
            <w:pPr>
              <w:spacing w:after="0"/>
              <w:rPr>
                <w:sz w:val="1"/>
                <w:szCs w:val="1"/>
                <w:color w:val="auto"/>
              </w:rPr>
            </w:pPr>
          </w:p>
        </w:tc>
      </w:tr>
      <w:tr>
        <w:trPr>
          <w:trHeight w:val="140"/>
        </w:trPr>
        <w:tc>
          <w:tcPr>
            <w:tcW w:w="2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2,981</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CR Intermediate Holdco, Inc.</w:t>
            </w:r>
          </w:p>
        </w:tc>
        <w:tc>
          <w:tcPr>
            <w:tcW w:w="860" w:type="dxa"/>
            <w:vAlign w:val="bottom"/>
          </w:tcPr>
          <w:p>
            <w:pPr>
              <w:spacing w:after="0"/>
              <w:rPr>
                <w:sz w:val="12"/>
                <w:szCs w:val="1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8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 L2 Holdings, LLC</w:t>
            </w:r>
          </w:p>
        </w:tc>
        <w:tc>
          <w:tcPr>
            <w:tcW w:w="860" w:type="dxa"/>
            <w:vAlign w:val="bottom"/>
            <w:shd w:val="clear" w:color="auto" w:fill="CCECFF"/>
          </w:tcPr>
          <w:p>
            <w:pPr>
              <w:spacing w:after="0"/>
              <w:rPr>
                <w:sz w:val="12"/>
                <w:szCs w:val="12"/>
                <w:color w:val="auto"/>
              </w:rPr>
            </w:pPr>
          </w:p>
        </w:tc>
        <w:tc>
          <w:tcPr>
            <w:tcW w:w="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881,966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913</w:t>
            </w: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ectPr>
          <w:pgSz w:w="11900" w:h="16840" w:orient="portrait"/>
          <w:cols w:equalWidth="0" w:num="1">
            <w:col w:w="10560"/>
          </w:cols>
          <w:pgMar w:left="660" w:top="580" w:right="680"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Maturity /</w:t>
            </w:r>
          </w:p>
        </w:tc>
        <w:tc>
          <w:tcPr>
            <w:tcW w:w="190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260" w:type="dxa"/>
            <w:vAlign w:val="bottom"/>
          </w:tcPr>
          <w:p>
            <w:pPr>
              <w:spacing w:after="0"/>
              <w:rPr>
                <w:sz w:val="10"/>
                <w:szCs w:val="10"/>
                <w:color w:val="auto"/>
              </w:rPr>
            </w:pPr>
          </w:p>
        </w:tc>
        <w:tc>
          <w:tcPr>
            <w:tcW w:w="82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3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(4)</w:t>
            </w:r>
          </w:p>
        </w:tc>
        <w:tc>
          <w:tcPr>
            <w:tcW w:w="260" w:type="dxa"/>
            <w:vAlign w:val="bottom"/>
          </w:tcPr>
          <w:p>
            <w:pPr>
              <w:spacing w:after="0"/>
              <w:rPr>
                <w:sz w:val="11"/>
                <w:szCs w:val="11"/>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(3)</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1,500</w:t>
            </w:r>
          </w:p>
        </w:tc>
        <w:tc>
          <w:tcPr>
            <w:tcW w:w="1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2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2,041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A (US Dominion, Inc.)</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1,500</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4,389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Class B (US Dominion, Inc.)</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StellPen Holdings, LLC</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153,846</w:t>
            </w:r>
          </w:p>
        </w:tc>
        <w:tc>
          <w:tcPr>
            <w:tcW w:w="16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154</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000" w:type="dxa"/>
            <w:vAlign w:val="bottom"/>
            <w:shd w:val="clear" w:color="auto" w:fill="CCECFF"/>
          </w:tcPr>
          <w:p>
            <w:pPr>
              <w:spacing w:after="0"/>
              <w:rPr>
                <w:sz w:val="8"/>
                <w:szCs w:val="8"/>
                <w:color w:val="auto"/>
              </w:rPr>
            </w:pPr>
          </w:p>
        </w:tc>
        <w:tc>
          <w:tcPr>
            <w:tcW w:w="880" w:type="dxa"/>
            <w:vAlign w:val="bottom"/>
            <w:shd w:val="clear" w:color="auto" w:fill="CCECFF"/>
          </w:tcPr>
          <w:p>
            <w:pPr>
              <w:spacing w:after="0"/>
              <w:rPr>
                <w:sz w:val="8"/>
                <w:szCs w:val="8"/>
                <w:color w:val="auto"/>
              </w:rPr>
            </w:pPr>
          </w:p>
        </w:tc>
        <w:tc>
          <w:tcPr>
            <w:tcW w:w="1900" w:type="dxa"/>
            <w:vAlign w:val="bottom"/>
            <w:vMerge w:val="continue"/>
            <w:shd w:val="clear" w:color="auto" w:fill="CCECFF"/>
          </w:tcPr>
          <w:p>
            <w:pPr>
              <w:spacing w:after="0"/>
              <w:rPr>
                <w:sz w:val="8"/>
                <w:szCs w:val="8"/>
                <w:color w:val="auto"/>
              </w:rPr>
            </w:pPr>
          </w:p>
        </w:tc>
        <w:tc>
          <w:tcPr>
            <w:tcW w:w="1020" w:type="dxa"/>
            <w:vAlign w:val="bottom"/>
            <w:vMerge w:val="continue"/>
            <w:shd w:val="clear" w:color="auto" w:fill="CCECFF"/>
          </w:tcPr>
          <w:p>
            <w:pPr>
              <w:spacing w:after="0"/>
              <w:rPr>
                <w:sz w:val="8"/>
                <w:szCs w:val="8"/>
                <w:color w:val="auto"/>
              </w:rPr>
            </w:pPr>
          </w:p>
        </w:tc>
        <w:tc>
          <w:tcPr>
            <w:tcW w:w="900" w:type="dxa"/>
            <w:vAlign w:val="bottom"/>
            <w:vMerge w:val="continue"/>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80" w:type="dxa"/>
            <w:vAlign w:val="bottom"/>
            <w:vMerge w:val="continue"/>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680" w:type="dxa"/>
            <w:vAlign w:val="bottom"/>
            <w:vMerge w:val="continue"/>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(CF512, Inc.)</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232,558</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(9)</w:t>
            </w:r>
          </w:p>
        </w:tc>
        <w:tc>
          <w:tcPr>
            <w:tcW w:w="88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531,293</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Tower Arch Infolinks Media, LP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364,151</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(8). (11)</w:t>
            </w:r>
          </w:p>
        </w:tc>
        <w:tc>
          <w:tcPr>
            <w:tcW w:w="88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11,527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TWD Parent Holdings, LLC</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608</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U.S. Well Services, Inc. - Class A </w:t>
            </w:r>
            <w:r>
              <w:rPr>
                <w:rFonts w:ascii="Times New Roman" w:cs="Times New Roman" w:eastAsia="Times New Roman" w:hAnsi="Times New Roman"/>
                <w:sz w:val="12"/>
                <w:szCs w:val="12"/>
                <w:color w:val="auto"/>
                <w:vertAlign w:val="superscript"/>
              </w:rPr>
              <w:t>(5), (11)</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Oil and Gas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60,057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3,022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(9)</w:t>
            </w:r>
          </w:p>
        </w:tc>
        <w:tc>
          <w:tcPr>
            <w:tcW w:w="88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WCP Ivyrehab QP CF Feeder, LP</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3,762,257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3,762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3,762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(7)</w:t>
            </w:r>
          </w:p>
        </w:tc>
        <w:tc>
          <w:tcPr>
            <w:tcW w:w="88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237,743</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Parent, LP</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2,314</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91,596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153,373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Companies</w:t>
            </w: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882,513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932,155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Investments in Non-Controlled, Affiliated Portfolio Companies—5.9% of Net Assets </w:t>
            </w:r>
            <w:r>
              <w:rPr>
                <w:rFonts w:ascii="Times New Roman" w:cs="Times New Roman" w:eastAsia="Times New Roman" w:hAnsi="Times New Roman"/>
                <w:sz w:val="12"/>
                <w:szCs w:val="12"/>
                <w:b w:val="1"/>
                <w:bCs w:val="1"/>
                <w:color w:val="auto"/>
                <w:vertAlign w:val="superscript"/>
              </w:rPr>
              <w:t>(1), (2)</w:t>
            </w: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Equity/Partnership Interests—5.6% of Net Assets</w:t>
            </w:r>
            <w:r>
              <w:rPr>
                <w:rFonts w:ascii="Times New Roman" w:cs="Times New Roman" w:eastAsia="Times New Roman" w:hAnsi="Times New Roman"/>
                <w:sz w:val="12"/>
                <w:szCs w:val="12"/>
                <w:b w:val="1"/>
                <w:bCs w:val="1"/>
                <w:color w:val="auto"/>
                <w:vertAlign w:val="superscript"/>
              </w:rPr>
              <w:t>(6)</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Cascade Environmental Holdings, LLC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5,887,236</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Equity/Partnership Interests</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00" w:type="dxa"/>
            <w:vAlign w:val="bottom"/>
            <w:shd w:val="clear" w:color="auto" w:fill="CCEC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w w:val="99"/>
              </w:rPr>
              <w:t>Common Equity/Partnership Interests/Warrants—0.3% of Net Assets</w:t>
            </w:r>
          </w:p>
        </w:tc>
        <w:tc>
          <w:tcPr>
            <w:tcW w:w="880" w:type="dxa"/>
            <w:vAlign w:val="bottom"/>
            <w:shd w:val="clear" w:color="auto" w:fill="CCECFF"/>
          </w:tcPr>
          <w:p>
            <w:pPr>
              <w:spacing w:after="0"/>
              <w:rPr>
                <w:sz w:val="9"/>
                <w:szCs w:val="9"/>
                <w:color w:val="auto"/>
              </w:rPr>
            </w:pPr>
          </w:p>
        </w:tc>
        <w:tc>
          <w:tcPr>
            <w:tcW w:w="190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0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6"/>
                <w:szCs w:val="6"/>
                <w:b w:val="1"/>
                <w:bCs w:val="1"/>
                <w:color w:val="auto"/>
              </w:rPr>
              <w:t>(6)</w:t>
            </w:r>
          </w:p>
        </w:tc>
        <w:tc>
          <w:tcPr>
            <w:tcW w:w="880" w:type="dxa"/>
            <w:vAlign w:val="bottom"/>
            <w:tcBorders>
              <w:bottom w:val="single" w:sz="8" w:color="CCECFF"/>
            </w:tcBorders>
            <w:shd w:val="clear" w:color="auto" w:fill="CCECFF"/>
          </w:tcPr>
          <w:p>
            <w:pPr>
              <w:spacing w:after="0"/>
              <w:rPr>
                <w:sz w:val="8"/>
                <w:szCs w:val="8"/>
                <w:color w:val="auto"/>
              </w:rPr>
            </w:pPr>
          </w:p>
        </w:tc>
        <w:tc>
          <w:tcPr>
            <w:tcW w:w="1900" w:type="dxa"/>
            <w:vAlign w:val="bottom"/>
            <w:tcBorders>
              <w:bottom w:val="single" w:sz="8" w:color="CCECFF"/>
            </w:tcBorders>
            <w:shd w:val="clear" w:color="auto" w:fill="CCECFF"/>
          </w:tcPr>
          <w:p>
            <w:pPr>
              <w:spacing w:after="0"/>
              <w:rPr>
                <w:sz w:val="8"/>
                <w:szCs w:val="8"/>
                <w:color w:val="auto"/>
              </w:rPr>
            </w:pPr>
          </w:p>
        </w:tc>
        <w:tc>
          <w:tcPr>
            <w:tcW w:w="1020" w:type="dxa"/>
            <w:vAlign w:val="bottom"/>
            <w:tcBorders>
              <w:bottom w:val="single" w:sz="8" w:color="CCECFF"/>
            </w:tcBorders>
            <w:shd w:val="clear" w:color="auto" w:fill="CCECFF"/>
          </w:tcPr>
          <w:p>
            <w:pPr>
              <w:spacing w:after="0"/>
              <w:rPr>
                <w:sz w:val="8"/>
                <w:szCs w:val="8"/>
                <w:color w:val="auto"/>
              </w:rPr>
            </w:pPr>
          </w:p>
        </w:tc>
        <w:tc>
          <w:tcPr>
            <w:tcW w:w="90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8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8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Cascade Environmental Holdings, LLC</w:t>
            </w:r>
          </w:p>
        </w:tc>
        <w:tc>
          <w:tcPr>
            <w:tcW w:w="88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7,444,347</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JF Intermediate, LLC</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19,687</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Equity/Partnership Interests/Warrants</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Affiliated Portfolio Companies</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37,612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34,760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Companies—44.3% of</w:t>
            </w: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Net Assets </w:t>
            </w:r>
            <w:r>
              <w:rPr>
                <w:rFonts w:ascii="Times New Roman" w:cs="Times New Roman" w:eastAsia="Times New Roman" w:hAnsi="Times New Roman"/>
                <w:sz w:val="12"/>
                <w:szCs w:val="12"/>
                <w:b w:val="1"/>
                <w:bCs w:val="1"/>
                <w:color w:val="auto"/>
                <w:vertAlign w:val="superscript"/>
              </w:rPr>
              <w:t>(1), (2)</w:t>
            </w:r>
          </w:p>
        </w:tc>
        <w:tc>
          <w:tcPr>
            <w:tcW w:w="8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Debt—7.3% of Net Assets</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03/13/2024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8.67 %</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L+700</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38,250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52,792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52,792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42,698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 of Net Assets</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Mailsouth Inc.</w:t>
            </w:r>
          </w:p>
        </w:tc>
        <w:tc>
          <w:tcPr>
            <w:tcW w:w="8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0"/>
                <w:szCs w:val="10"/>
                <w:color w:val="auto"/>
              </w:rPr>
              <w:t>04/23/2025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12,846</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Subordinated Debt—15.0% of Net Assets</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2"/>
                <w:szCs w:val="12"/>
                <w:color w:val="auto"/>
                <w:vertAlign w:val="superscript"/>
              </w:rPr>
              <w:t>(11)</w:t>
            </w: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07/31/2027</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10.79 %</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L+800</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88,011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88,011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88,011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88,011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Common Equity—22.0% of Net Assets </w:t>
            </w:r>
            <w:r>
              <w:rPr>
                <w:rFonts w:ascii="Times New Roman" w:cs="Times New Roman" w:eastAsia="Times New Roman" w:hAnsi="Times New Roman"/>
                <w:sz w:val="12"/>
                <w:szCs w:val="12"/>
                <w:b w:val="1"/>
                <w:bCs w:val="1"/>
                <w:color w:val="auto"/>
                <w:vertAlign w:val="superscript"/>
              </w:rPr>
              <w:t>(6)</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AKW Holdings Limited </w:t>
            </w:r>
            <w:r>
              <w:rPr>
                <w:rFonts w:ascii="Times New Roman" w:cs="Times New Roman" w:eastAsia="Times New Roman" w:hAnsi="Times New Roman"/>
                <w:sz w:val="12"/>
                <w:szCs w:val="12"/>
                <w:color w:val="auto"/>
                <w:vertAlign w:val="superscript"/>
              </w:rPr>
              <w:t>(8), (10), (11)</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950</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3,297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MSpark, LLC</w:t>
            </w:r>
          </w:p>
        </w:tc>
        <w:tc>
          <w:tcPr>
            <w:tcW w:w="88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51,151</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PennantPark Senior Loan Fund, LLC</w:t>
            </w:r>
          </w:p>
        </w:tc>
        <w:tc>
          <w:tcPr>
            <w:tcW w:w="88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49,298,789</w:t>
            </w: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49,362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51,098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RAM Energy Holdings LLC </w:t>
            </w:r>
            <w:r>
              <w:rPr>
                <w:rFonts w:ascii="Times New Roman" w:cs="Times New Roman" w:eastAsia="Times New Roman" w:hAnsi="Times New Roman"/>
                <w:sz w:val="12"/>
                <w:szCs w:val="12"/>
                <w:color w:val="auto"/>
                <w:vertAlign w:val="superscript"/>
              </w:rPr>
              <w:t>(9)</w:t>
            </w:r>
          </w:p>
        </w:tc>
        <w:tc>
          <w:tcPr>
            <w:tcW w:w="88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and Utilities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2"/>
                <w:szCs w:val="12"/>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180,805</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162,708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228,718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128,677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381,904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259,386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Investments—209.4% of Net Assets</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1,302,029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1,226,301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Equivalents—9.4% of Net Assets</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39,122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39,122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BNY Mellon Cash Reserve and Cash</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54,953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54,775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—218.8% of Net Assets</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1,356,982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1,281,076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—(118.8%) of Net Assets</w:t>
            </w:r>
          </w:p>
        </w:tc>
        <w:tc>
          <w:tcPr>
            <w:tcW w:w="880" w:type="dxa"/>
            <w:vAlign w:val="bottom"/>
            <w:shd w:val="clear" w:color="auto" w:fill="CCECFF"/>
          </w:tcPr>
          <w:p>
            <w:pPr>
              <w:spacing w:after="0"/>
              <w:rPr>
                <w:sz w:val="10"/>
                <w:szCs w:val="10"/>
                <w:color w:val="auto"/>
              </w:rPr>
            </w:pPr>
          </w:p>
        </w:tc>
        <w:tc>
          <w:tcPr>
            <w:tcW w:w="190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(695,511 )</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585,565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1"/>
          <w:szCs w:val="11"/>
          <w:color w:val="auto"/>
        </w:rPr>
        <w:t>(1)The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73" w:lineRule="auto"/>
        <w:rPr>
          <w:sz w:val="20"/>
          <w:szCs w:val="20"/>
          <w:color w:val="auto"/>
        </w:rPr>
      </w:pPr>
      <w:r>
        <w:rPr>
          <w:rFonts w:ascii="Times New Roman" w:cs="Times New Roman" w:eastAsia="Times New Roman" w:hAnsi="Times New Roman"/>
          <w:sz w:val="11"/>
          <w:szCs w:val="11"/>
          <w:color w:val="auto"/>
        </w:rPr>
        <w:t>(2)The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rPr>
          <w:sz w:val="20"/>
          <w:szCs w:val="20"/>
          <w:color w:val="auto"/>
        </w:rPr>
      </w:pPr>
      <w:r>
        <w:rPr>
          <w:rFonts w:ascii="Times New Roman" w:cs="Times New Roman" w:eastAsia="Times New Roman" w:hAnsi="Times New Roman"/>
          <w:sz w:val="11"/>
          <w:szCs w:val="11"/>
          <w:color w:val="auto"/>
        </w:rPr>
        <w:t>(3)Valued based on our accounting policy (See Note 2).</w:t>
      </w:r>
    </w:p>
    <w:p>
      <w:pPr>
        <w:spacing w:after="0" w:line="3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1"/>
          <w:szCs w:val="11"/>
          <w:color w:val="auto"/>
        </w:rPr>
        <w:t>(4)Represents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(5)The security was not valued using significant unobservable inputs. The value of all other securities was determined using significant unobservable inputs (See Note 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(6)Non-income producing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(7)Represents the purchase of a security with delayed settlement or a revolving line of credit that is currently an unfunded investment. This security does not earn a basis point spread above an index while it is unfunded.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(8)Non-U.S. company or principal place of business outside the United States.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(9)Investment is held through our Taxable Subsidiary (See Note 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(10)Par / Shares amount is denominated in British Pounds (£) as denoted.</w:t>
      </w:r>
    </w:p>
    <w:p>
      <w:pPr>
        <w:spacing w:after="0" w:line="3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1"/>
          <w:szCs w:val="11"/>
          <w:color w:val="auto"/>
        </w:rPr>
        <w:t>(11)The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0" w:right="68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29"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listing and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96"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an investment management agreement, or the Investment Management Agreement with the Investment Adviser, an external adviser that manages our day -to-day operations. PennantPark Investment, through the Investment Adviser, manages the day-to-day operations of and had provided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has also provided similar services to SBIC II under a separate administration agreement. See Note 3.</w:t>
      </w:r>
    </w:p>
    <w:p>
      <w:pPr>
        <w:spacing w:after="0" w:line="9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SBIC II, our wholly -owned subsidiary, was organized in Delaware as a limited partnership in July 2012. SBIC II received a license from the SBA to operate as a SBIC under Section 301(c) of the 1958 Act in 2013. SBIC II’s objectives were to generate both current income and capital appreciation through debt and equity investments generally by investing in SBA-eligible businesses that meet the investment selection criteria used by PennantPark Investment. We repaid all outstanding debentures in connection with SBIC II, surrendered our SBA license and filed a certificate of termination.</w:t>
      </w:r>
    </w:p>
    <w:p>
      <w:pPr>
        <w:spacing w:after="0" w:line="127"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On July 31, 2020, we and certain entities and managed accounts of the private credit investment manager of Pantheon Ventures (UK) LLP (“Pantheon”) entered into a limited liability company agreement to co-manage PSLF, a newly- 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April 2021, we issued $150.0 million in aggregate principal amount of our 2026 Notes at a public offering price per note of 99.4%. Interest on the 2026 Notes is</w:t>
      </w:r>
    </w:p>
    <w:p>
      <w:pPr>
        <w:spacing w:after="0" w:line="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3"/>
          <w:szCs w:val="13"/>
          <w:color w:val="auto"/>
        </w:rPr>
        <w:t>paid semi- annually on May 1 and November 1 of each year, at a rate of 4.50% per year, commencing November 1, 2021. The 2026 Notes mature on May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4" w:lineRule="exact"/>
        <w:rPr>
          <w:sz w:val="20"/>
          <w:szCs w:val="20"/>
          <w:color w:val="auto"/>
        </w:rPr>
      </w:pPr>
    </w:p>
    <w:p>
      <w:pPr>
        <w:ind w:right="60" w:firstLine="420"/>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 -2 at a public offering price per note of 99.436%. Interest on the 2026 Notes is paid semi -annually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Notes- 2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32"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January 2022, we funded PennantPark-TSO Senior Loan Fund II LP, ("PTSF II"), an unconsolidated limited partnership, organized as a Delaware limited liability partnership. We sold</w:t>
      </w:r>
    </w:p>
    <w:p>
      <w:pPr>
        <w:spacing w:after="0" w:line="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September 30, 2023, our capital commitment of $15.0 million is 100% funded and we hold 23.1% of the total outstanding Class A Units of PTSF II and a 4.99% voting interest in the general partner which manages PTSF II.</w:t>
      </w:r>
    </w:p>
    <w:p>
      <w:pPr>
        <w:spacing w:after="0" w:line="94"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29"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96"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 X, as appropriate. In accordance with Article 6-09 of Regulation S-X, we have provided a Consolidated Statement of Changes in Net Assets in lieu of a Consolidated Statement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6" w:right="660"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Restatement of Previously Issued Financial Statement</w:t>
      </w:r>
    </w:p>
    <w:p>
      <w:pPr>
        <w:spacing w:after="0" w:line="129" w:lineRule="exact"/>
        <w:rPr>
          <w:sz w:val="20"/>
          <w:szCs w:val="20"/>
          <w:color w:val="auto"/>
        </w:rPr>
      </w:pPr>
    </w:p>
    <w:p>
      <w:pPr>
        <w:ind w:right="20" w:firstLine="420"/>
        <w:spacing w:after="0" w:line="255" w:lineRule="auto"/>
        <w:rPr>
          <w:sz w:val="20"/>
          <w:szCs w:val="20"/>
          <w:color w:val="auto"/>
        </w:rPr>
      </w:pPr>
      <w:r>
        <w:rPr>
          <w:rFonts w:ascii="Times New Roman" w:cs="Times New Roman" w:eastAsia="Times New Roman" w:hAnsi="Times New Roman"/>
          <w:sz w:val="13"/>
          <w:szCs w:val="13"/>
          <w:color w:val="auto"/>
        </w:rPr>
        <w:t>During the preparation of the financial statements as of and for the year ended September 30, 2023, Management identified an error in the classification and presentation of cash pertaining to the Company's affiliates - PSLF and PTSF II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The impact of the error correction is reflected in a $2.1 million increase in cash and cash equivalents and offsetting increase in due to affiliates on the consolidated statements of assets and liabilities as of September 30, 2022 and an increase in due to affiliates within operating activities on the consolidated statement of cash flows totaling $2.1 million for the year ended September 30, 2022. There was no impact to the statements of cash flows for the year ended September 30, 2021. There was no impact from the error correction to total net assets and net asset value per share as reported on the consolidated statement of assets and liabilities as of September 30, 2022. In addition, there was no impact from the error correction on net investment income or net increase (decrease) in net assets resulting from operations for the years ended September 30, 2022 and 2021. The corrections were reported in the year ended September 30, 2023.</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(a)Investment Valuations</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540" w:right="24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the Investment Adviser responsible for the portfolio investment;</w:t>
      </w:r>
    </w:p>
    <w:p>
      <w:pPr>
        <w:spacing w:after="0" w:line="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27" w:lineRule="exact"/>
        <w:rPr>
          <w:sz w:val="20"/>
          <w:szCs w:val="20"/>
          <w:color w:val="auto"/>
        </w:rPr>
      </w:pPr>
    </w:p>
    <w:p>
      <w:pPr>
        <w:ind w:left="540" w:right="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sz w:val="20"/>
          <w:szCs w:val="20"/>
          <w:color w:val="auto"/>
        </w:rPr>
      </w:pPr>
    </w:p>
    <w:p>
      <w:pPr>
        <w:ind w:left="540" w:right="48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76"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(b)Security Transactions, Revenue Recognition, and Realized/Unrealized Gains or Losses</w:t>
      </w:r>
    </w:p>
    <w:p>
      <w:pPr>
        <w:spacing w:after="0" w:line="131"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Truist Credit Facility during the reporting period, including the reversal of previously recorded unrealized appreciation or depreciation, when gains or losses are realized.</w:t>
      </w:r>
    </w:p>
    <w:p>
      <w:pPr>
        <w:spacing w:after="0" w:line="91"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6"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2023,we had one portfolio company on non-accrual, representing 1.2% and zero percent of our overall portfolio on a cost and fair value basis, respectively. As of September 30, 2022, we had one portfolio company on non-accrual representing 1.0% and zero percent of our overall portfolio on a cost and fair value basis, respectively.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(c)Income Taxes</w:t>
      </w:r>
    </w:p>
    <w:p>
      <w:pPr>
        <w:spacing w:after="0" w:line="131"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any material federal income taxes. However, we may choose to retain a portion of our calendar year income, which may result in the imposition of an excise tax. Additionally, certain of the Company’s consolidated subsidiaries are subject to federal, state and local income taxes. For the years ended September 30, 2023, 2022, and 2021, we recorded a provision for taxes on net investment income of $4.3 million, $0.8 million and $0.6 million, respectively, which pertains to U.S. federal excise tax.</w:t>
      </w:r>
    </w:p>
    <w:p>
      <w:pPr>
        <w:spacing w:after="0" w:line="96"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The Taxable Subsidiary (PNNT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76"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For the years ended September 30, 2023, 2022 and 2021 the Company recognized a provision for taxes of $5.0 million, $6.2 million, and zero, respectively, on net realized gain on investments by the Taxable Subsidiary. For the years ended September 30, 2023, 2022 and 2021 the Company recognized a provision for taxes of $ (1.6) million, $0.9 million, and zero,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2023 and (ii) the expected tax benefit resulting from the use of loss carryforwards to offset such gains. For the year ended September 30, 2023, 2022 and 2021 the Company recognized a provision for taxes $3.4 million, $7.1 million and zero, respectively, on net realized and unrealized gains on investments by the Taxable Subsidiary.</w:t>
      </w:r>
    </w:p>
    <w:p>
      <w:pPr>
        <w:spacing w:after="0" w:line="96"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During the year ended September 30, 2023, 2022 and 2021 the Company paid zero, $4.0 million, and zero respectively, in federal taxes on realized gains on the sale of investments held by the Taxable Subsidiary. The state and local tax liability of $3.3 million as of September 30, 2023 is included under accrued other expenses in the consolidated statement of assets and liabilities.</w:t>
      </w:r>
    </w:p>
    <w:p>
      <w:pPr>
        <w:spacing w:after="0" w:line="76"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(d)Distributions and Capital Transactions</w:t>
      </w:r>
    </w:p>
    <w:p>
      <w:pPr>
        <w:spacing w:after="0" w:line="131"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87"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(e)Foreign Currency Translation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27" w:lineRule="exact"/>
        <w:rPr>
          <w:sz w:val="20"/>
          <w:szCs w:val="20"/>
          <w:color w:val="auto"/>
        </w:rPr>
      </w:pPr>
    </w:p>
    <w:p>
      <w:pPr>
        <w:ind w:left="640" w:hanging="142"/>
        <w:spacing w:after="0"/>
        <w:tabs>
          <w:tab w:leader="none" w:pos="6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of investment securities, other assets and liabilities – at the exchange rates prevailing at the end of the applicable period; and</w:t>
      </w:r>
    </w:p>
    <w:p>
      <w:pPr>
        <w:spacing w:after="0" w:line="126" w:lineRule="exact"/>
        <w:rPr>
          <w:rFonts w:ascii="Times New Roman" w:cs="Times New Roman" w:eastAsia="Times New Roman" w:hAnsi="Times New Roman"/>
          <w:sz w:val="13"/>
          <w:szCs w:val="13"/>
          <w:color w:val="auto"/>
        </w:rPr>
      </w:pPr>
    </w:p>
    <w:p>
      <w:pPr>
        <w:ind w:left="640" w:hanging="142"/>
        <w:spacing w:after="0"/>
        <w:tabs>
          <w:tab w:leader="none" w:pos="6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and sales of investment securities, income and expenses – at the exchange rates prevailing on the respective dates of such transactions.</w:t>
      </w:r>
    </w:p>
    <w:p>
      <w:pPr>
        <w:spacing w:after="0" w:line="127"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87"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31" w:lineRule="exact"/>
        <w:rPr>
          <w:sz w:val="20"/>
          <w:szCs w:val="20"/>
          <w:color w:val="auto"/>
        </w:rPr>
      </w:pPr>
    </w:p>
    <w:p>
      <w:pPr>
        <w:ind w:right="220" w:firstLine="420"/>
        <w:spacing w:after="0" w:line="268"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31"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 Recent Accounting Pronouncements</w:t>
      </w:r>
    </w:p>
    <w:p>
      <w:pPr>
        <w:spacing w:after="0" w:line="16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September 30, 2023. The FASB approved an (optional) two year extension to December 31, 2024, for transitioning away from LIBOR. The Company utilized the optional expedients and exceptions provided by ASU 2020-04 during the year ended September 30, 2023, the effect of which was not material to the consolidated financial statements and the notes thereto.</w:t>
      </w:r>
    </w:p>
    <w:p>
      <w:pPr>
        <w:spacing w:after="0" w:line="130"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130"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94" w:lineRule="exact"/>
        <w:rPr>
          <w:sz w:val="20"/>
          <w:szCs w:val="20"/>
          <w:color w:val="auto"/>
        </w:rPr>
      </w:pPr>
    </w:p>
    <w:p>
      <w:pPr>
        <w:ind w:left="140" w:hanging="134"/>
        <w:spacing w:after="0"/>
        <w:tabs>
          <w:tab w:leader="none" w:pos="14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660" w:hanging="186"/>
        <w:spacing w:after="0"/>
        <w:tabs>
          <w:tab w:leader="none" w:pos="660" w:val="left"/>
        </w:tabs>
        <w:numPr>
          <w:ilvl w:val="1"/>
          <w:numId w:val="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February 2023. Under the Investment Management Agreement, the Investment Adviser, subject to the overall supervision of our board of directors, manages the day -to-day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has no effect on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2023, 2022, and 2021, the Investment Adviser earned base management fees of $16.5 million, $19.8 million, and $17.3 million, respectively, from us.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3"/>
          <w:szCs w:val="13"/>
          <w:color w:val="auto"/>
        </w:rPr>
        <w:t>excluding the incentive fee) .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 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34"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2023, 2022, and 2021, the Investment Adviser earned $13.9 million, $2.7 million, and $0.6 million, respectively, in incentive fees on net investment income from us.</w:t>
      </w:r>
    </w:p>
    <w:p>
      <w:pPr>
        <w:spacing w:after="0" w:line="112"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2023, 2022, and 2021, the Investment Adviser did not accrue an incentive fee on capital gains as calculated under the Investment Management Agreement (as described above).</w:t>
      </w:r>
    </w:p>
    <w:p>
      <w:pPr>
        <w:spacing w:after="0" w:line="130"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the years ended September 30, 2023, 2022, and 2021, the Investment Adviser did not accrue an incentive fee on capital gains as calculated under GAAP.</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31"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our directors who are not interested persons of us, in February 2023. Under the Administration Agreement, the Administrator provides administrative services and office facilities to us. The Administrator has provided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2023, 2022, and 2021, we recorded $1.3 million, $0.5 million and $1.5 million, respectively, for services described above.</w:t>
      </w:r>
    </w:p>
    <w:p>
      <w:pPr>
        <w:spacing w:after="0" w:line="96"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years ended September 30, 2023, 2022, and 2021.</w:t>
      </w:r>
    </w:p>
    <w:p>
      <w:pPr>
        <w:spacing w:after="0" w:line="127"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2023, 2022, and 2021, we sold $127.8 million, $395.3 million, and $123.4 million in investments to PSLF at fair value, respectively, and recognized $(0.2) million, $0.2 million and $0.5 million of net realized loss, respectively.</w:t>
      </w:r>
    </w:p>
    <w:p>
      <w:pPr>
        <w:spacing w:after="0" w:line="76"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2023 and 2022, we sold zero and $82.3 million in investments to PTSF II at fair value, respectively, and recognized zero and $0.2 million of net realized gains, respectively.</w:t>
      </w:r>
    </w:p>
    <w:p>
      <w:pPr>
        <w:spacing w:after="0" w:line="76"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PNNT had a payable to PSLF and PTSF II of $4.1 million and $2.1 million, respectively, presented as a due to affiliates on the consolidated statement of assets and liabilities. These amounts are related to cash owed to PSLF and PTSF II from PNNT in connection with trades between the funds.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29"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Purchases of investments, including PIK interest, for the years ended September 30, 2023, 2022, and 2021 totaled $379.6 million, $943.0 million, and $456.5 million, respectively. Sales and repayments of investments for the same periods totaled $418.6 million, $911.6 million, and $434.5 million, respectively.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Investment Classification </w:t>
            </w:r>
            <w:r>
              <w:rPr>
                <w:rFonts w:ascii="Times New Roman" w:cs="Times New Roman" w:eastAsia="Times New Roman" w:hAnsi="Times New Roman"/>
                <w:sz w:val="13"/>
                <w:szCs w:val="13"/>
                <w:color w:val="auto"/>
              </w:rPr>
              <w:t>($ in thousands)</w:t>
            </w:r>
          </w:p>
        </w:tc>
        <w:tc>
          <w:tcPr>
            <w:tcW w:w="340" w:type="dxa"/>
            <w:vAlign w:val="bottom"/>
          </w:tcPr>
          <w:p>
            <w:pPr>
              <w:spacing w:after="0"/>
              <w:rPr>
                <w:sz w:val="15"/>
                <w:szCs w:val="15"/>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538,737</w:t>
            </w:r>
          </w:p>
        </w:tc>
        <w:tc>
          <w:tcPr>
            <w:tcW w:w="5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527,657</w:t>
            </w:r>
          </w:p>
        </w:tc>
        <w:tc>
          <w:tcPr>
            <w:tcW w:w="580" w:type="dxa"/>
            <w:vAlign w:val="bottom"/>
            <w:gridSpan w:val="2"/>
          </w:tcPr>
          <w:p>
            <w:pPr>
              <w:jc w:val="right"/>
              <w:ind w:right="20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652,055</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630,965</w:t>
            </w:r>
          </w:p>
        </w:tc>
        <w:tc>
          <w:tcPr>
            <w:tcW w:w="80" w:type="dxa"/>
            <w:vAlign w:val="bottom"/>
          </w:tcPr>
          <w:p>
            <w:pPr>
              <w:spacing w:after="0"/>
              <w:rPr>
                <w:sz w:val="16"/>
                <w:szCs w:val="16"/>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99,768</w:t>
            </w:r>
          </w:p>
        </w:tc>
        <w:tc>
          <w:tcPr>
            <w:tcW w:w="2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96,759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80,396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145,542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129,936</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54,897</w:t>
            </w:r>
          </w:p>
        </w:tc>
        <w:tc>
          <w:tcPr>
            <w:tcW w:w="2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53,897</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53,468</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53,255</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notes in PSLF</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102,325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88,011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88,011</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166,798</w:t>
            </w:r>
          </w:p>
        </w:tc>
        <w:tc>
          <w:tcPr>
            <w:tcW w:w="2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175,538</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313,591</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273,036</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PSLF</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58,643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62,083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51,098</w:t>
            </w:r>
          </w:p>
        </w:tc>
        <w:tc>
          <w:tcPr>
            <w:tcW w:w="80" w:type="dxa"/>
            <w:vAlign w:val="bottom"/>
          </w:tcPr>
          <w:p>
            <w:pPr>
              <w:spacing w:after="0"/>
              <w:rPr>
                <w:sz w:val="15"/>
                <w:szCs w:val="15"/>
                <w:color w:val="auto"/>
              </w:rPr>
            </w:pPr>
          </w:p>
        </w:tc>
      </w:tr>
      <w:tr>
        <w:trPr>
          <w:trHeight w:val="184"/>
        </w:trPr>
        <w:tc>
          <w:tcPr>
            <w:tcW w:w="4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4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1,117,927</w:t>
            </w:r>
          </w:p>
        </w:tc>
        <w:tc>
          <w:tcPr>
            <w:tcW w:w="2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1,302,029</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1,226,301</w:t>
            </w:r>
          </w:p>
        </w:tc>
        <w:tc>
          <w:tcPr>
            <w:tcW w:w="80" w:type="dxa"/>
            <w:vAlign w:val="bottom"/>
            <w:shd w:val="clear" w:color="auto" w:fill="CCECFF"/>
          </w:tcPr>
          <w:p>
            <w:pPr>
              <w:spacing w:after="0"/>
              <w:rPr>
                <w:sz w:val="16"/>
                <w:szCs w:val="16"/>
                <w:color w:val="auto"/>
              </w:rPr>
            </w:pPr>
          </w:p>
        </w:tc>
      </w:tr>
      <w:tr>
        <w:trPr>
          <w:trHeight w:val="176"/>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38,784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54,953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80" w:type="dxa"/>
            <w:vAlign w:val="bottom"/>
          </w:tcPr>
          <w:p>
            <w:pPr>
              <w:spacing w:after="0"/>
              <w:rPr>
                <w:sz w:val="15"/>
                <w:szCs w:val="15"/>
                <w:color w:val="auto"/>
              </w:rPr>
            </w:pPr>
          </w:p>
        </w:tc>
      </w:tr>
      <w:tr>
        <w:trPr>
          <w:trHeight w:val="220"/>
        </w:trPr>
        <w:tc>
          <w:tcPr>
            <w:tcW w:w="4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1,156,711</w:t>
            </w:r>
          </w:p>
        </w:tc>
        <w:tc>
          <w:tcPr>
            <w:tcW w:w="2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26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1,356,982</w:t>
            </w:r>
          </w:p>
        </w:tc>
        <w:tc>
          <w:tcPr>
            <w:tcW w:w="24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1,281,076</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144" w:lineRule="exact"/>
        <w:rPr>
          <w:sz w:val="20"/>
          <w:szCs w:val="20"/>
          <w:color w:val="auto"/>
        </w:rPr>
      </w:pPr>
    </w:p>
    <w:p>
      <w:pPr>
        <w:sectPr>
          <w:pgSz w:w="11900" w:h="16840" w:orient="portrait"/>
          <w:cols w:equalWidth="0" w:num="1">
            <w:col w:w="10560"/>
          </w:cols>
          <w:pgMar w:left="660" w:top="556" w:right="680" w:bottom="1440" w:gutter="0" w:footer="0" w:header="0"/>
        </w:sect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 as of:</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5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228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 xml:space="preserve">September 30, 2023 </w:t>
            </w:r>
            <w:r>
              <w:rPr>
                <w:rFonts w:ascii="Times New Roman" w:cs="Times New Roman" w:eastAsia="Times New Roman" w:hAnsi="Times New Roman"/>
                <w:sz w:val="16"/>
                <w:szCs w:val="16"/>
                <w:b w:val="1"/>
                <w:bCs w:val="1"/>
                <w:color w:val="auto"/>
                <w:vertAlign w:val="superscript"/>
              </w:rPr>
              <w:t>(1)</w:t>
            </w:r>
          </w:p>
        </w:tc>
        <w:tc>
          <w:tcPr>
            <w:tcW w:w="460" w:type="dxa"/>
            <w:vAlign w:val="bottom"/>
          </w:tcPr>
          <w:p>
            <w:pPr>
              <w:spacing w:after="0"/>
              <w:rPr>
                <w:sz w:val="16"/>
                <w:szCs w:val="16"/>
                <w:color w:val="auto"/>
              </w:rPr>
            </w:pPr>
          </w:p>
        </w:tc>
        <w:tc>
          <w:tcPr>
            <w:tcW w:w="22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 xml:space="preserve">September 30, 2022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2"/>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Healthcare, Education and Childcare</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60" w:type="dxa"/>
            <w:vAlign w:val="bottom"/>
          </w:tcPr>
          <w:p>
            <w:pPr>
              <w:spacing w:after="0"/>
              <w:rPr>
                <w:sz w:val="15"/>
                <w:szCs w:val="15"/>
                <w:color w:val="auto"/>
              </w:rPr>
            </w:pPr>
          </w:p>
        </w:tc>
        <w:tc>
          <w:tcPr>
            <w:tcW w:w="2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Short-Term U.S. Government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Consumer Products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Distribution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Financial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Telecommunications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Aerospace and Defense</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Media</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Auto Sector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Environmental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Electronics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Personal, Food and Miscellaneous Services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Building Materials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Home and Office Furnishings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Education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Insurance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Personal and Non-Durable Consumer Products</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Transportation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Retail</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-2575560</wp:posOffset>
            </wp:positionV>
            <wp:extent cx="6707505" cy="152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07505" cy="152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-2308860</wp:posOffset>
            </wp:positionV>
            <wp:extent cx="6707505"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-2080260</wp:posOffset>
            </wp:positionV>
            <wp:extent cx="6707505"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-1851660</wp:posOffset>
            </wp:positionV>
            <wp:extent cx="6707505"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-1623060</wp:posOffset>
            </wp:positionV>
            <wp:extent cx="6707505"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-1394460</wp:posOffset>
            </wp:positionV>
            <wp:extent cx="6707505"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-1165860</wp:posOffset>
            </wp:positionV>
            <wp:extent cx="6707505"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-936625</wp:posOffset>
            </wp:positionV>
            <wp:extent cx="6707505"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-708025</wp:posOffset>
            </wp:positionV>
            <wp:extent cx="6707505" cy="114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-479425</wp:posOffset>
            </wp:positionV>
            <wp:extent cx="6707505" cy="114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-250825</wp:posOffset>
            </wp:positionV>
            <wp:extent cx="6707505" cy="114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Excludes investments in PSLF.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447" w:lineRule="exact"/>
        <w:rPr>
          <w:sz w:val="20"/>
          <w:szCs w:val="20"/>
          <w:color w:val="auto"/>
        </w:rPr>
      </w:pPr>
    </w:p>
    <w:p>
      <w:pPr>
        <w:sectPr>
          <w:pgSz w:w="11900" w:h="16840" w:orient="portrait"/>
          <w:cols w:equalWidth="0" w:num="2">
            <w:col w:w="10260" w:space="120"/>
            <w:col w:w="180"/>
          </w:cols>
          <w:pgMar w:left="660" w:top="556" w:right="680"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153" w:lineRule="exact"/>
        <w:rPr>
          <w:sz w:val="20"/>
          <w:szCs w:val="20"/>
          <w:color w:val="auto"/>
        </w:rPr>
      </w:pPr>
    </w:p>
    <w:p>
      <w:pPr>
        <w:jc w:val="both"/>
        <w:ind w:right="80" w:firstLine="420"/>
        <w:spacing w:after="0" w:line="258" w:lineRule="auto"/>
        <w:rPr>
          <w:sz w:val="20"/>
          <w:szCs w:val="20"/>
          <w:color w:val="auto"/>
        </w:rPr>
      </w:pPr>
      <w:r>
        <w:rPr>
          <w:rFonts w:ascii="Times New Roman" w:cs="Times New Roman" w:eastAsia="Times New Roman" w:hAnsi="Times New Roman"/>
          <w:sz w:val="13"/>
          <w:szCs w:val="13"/>
          <w:color w:val="auto"/>
        </w:rPr>
        <w:t>In July 2020, we and Pantheon formed PSLF, an unconsolidated joint venture. PSLF invests primarily in middle-market and other corporate debt securities consistent with our strategy. PSLF was formed as a Delaware limited liability company. As of September 30, 2023 and 2022 PSLF had total assets of $872.8 million and $781.3 million, respectively. PSLF’s portfolio consisted of debt investments in 90 and 80 portfolio companies as of September 30, 2023 and 2022, respectively. As of the same dates, we and Pantheon had remaining commitments to fund first lien secured debt of</w:t>
      </w:r>
    </w:p>
    <w:p>
      <w:pPr>
        <w:ind w:right="60"/>
        <w:spacing w:after="0" w:line="257" w:lineRule="auto"/>
        <w:rPr>
          <w:sz w:val="20"/>
          <w:szCs w:val="20"/>
          <w:color w:val="auto"/>
        </w:rPr>
      </w:pPr>
      <w:r>
        <w:rPr>
          <w:rFonts w:ascii="Times New Roman" w:cs="Times New Roman" w:eastAsia="Times New Roman" w:hAnsi="Times New Roman"/>
          <w:sz w:val="13"/>
          <w:szCs w:val="13"/>
          <w:color w:val="auto"/>
        </w:rPr>
        <w:t>$22.4 million and $46.1 million, respectively, and equity interests of $14.5 million and $29.9 million, respectively, in PSLF. As of September 30, 2023, at fair value, the largest investment in a single portfolio company in PSLF was $19.7 million and the five largest investments totaled $97.5 million. As of September 30, 2022 at fair value, the largest investment in a single portfolio company in PSLF was $19.9 million and the five largest investments totaled $98.5 million. PSLF invests in portfolio companies in the same industries in which we may directly invest.</w:t>
      </w:r>
    </w:p>
    <w:p>
      <w:pPr>
        <w:spacing w:after="0" w:line="70" w:lineRule="exact"/>
        <w:rPr>
          <w:sz w:val="20"/>
          <w:szCs w:val="20"/>
          <w:color w:val="auto"/>
        </w:rPr>
      </w:pPr>
    </w:p>
    <w:p>
      <w:pPr>
        <w:ind w:right="40" w:firstLine="420"/>
        <w:spacing w:after="0" w:line="268" w:lineRule="auto"/>
        <w:rPr>
          <w:sz w:val="20"/>
          <w:szCs w:val="20"/>
          <w:color w:val="auto"/>
        </w:rPr>
      </w:pPr>
      <w:r>
        <w:rPr>
          <w:rFonts w:ascii="Times New Roman" w:cs="Times New Roman" w:eastAsia="Times New Roman" w:hAnsi="Times New Roman"/>
          <w:sz w:val="13"/>
          <w:szCs w:val="13"/>
          <w:color w:val="auto"/>
        </w:rPr>
        <w:t>We provide capital to PSLF in the form of subordinated notes and equity interests. As of September 30, 2023 and 2022, we and Pantheon owned 60.5% and 39.5%, respectively, of each of the outstanding subordinated notes and equity interests of PSLF. As of September 30, 2023 and 2022, our investment in PSLF consisted of subordinated notes of $102.3 million and $88.0 million, respectively, and equity interests of $58.6 million and $49.4 million, respectively.</w:t>
      </w:r>
    </w:p>
    <w:p>
      <w:pPr>
        <w:spacing w:after="0" w:line="87"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and Pantheon each appointed two members to PSLF’s four-person Member Designees’ Committee, or the Member Designees’ Committee. All material decisions with respect to PSLF, including those involving its investment portfolio, require unanimous approval of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ectPr>
          <w:pgSz w:w="11900" w:h="16840" w:orient="portrait"/>
          <w:cols w:equalWidth="0" w:num="1">
            <w:col w:w="10560"/>
          </w:cols>
          <w:pgMar w:left="660" w:top="556" w:right="680" w:bottom="1440" w:gutter="0" w:footer="0" w:header="0"/>
          <w:type w:val="continuous"/>
        </w:sectPr>
      </w:pP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3" w:lineRule="exact"/>
        <w:rPr>
          <w:sz w:val="20"/>
          <w:szCs w:val="20"/>
          <w:color w:val="auto"/>
        </w:rPr>
      </w:pPr>
    </w:p>
    <w:p>
      <w:pPr>
        <w:jc w:val="both"/>
        <w:ind w:right="60" w:firstLine="420"/>
        <w:spacing w:after="0" w:line="268" w:lineRule="auto"/>
        <w:rPr>
          <w:sz w:val="20"/>
          <w:szCs w:val="20"/>
          <w:color w:val="auto"/>
        </w:rPr>
      </w:pPr>
      <w:r>
        <w:rPr>
          <w:rFonts w:ascii="Times New Roman" w:cs="Times New Roman" w:eastAsia="Times New Roman" w:hAnsi="Times New Roman"/>
          <w:sz w:val="13"/>
          <w:szCs w:val="13"/>
          <w:color w:val="auto"/>
        </w:rPr>
        <w:t>Additionally, PSLF, through its wholly- owned subsidiary, or PSLF Subsidiary, has entered into a $325 million (increased from $225.0 million on September 2, 2022) senior secured revolving credit facility, or the PSLF Credit Facility, with BNP Paribas, which bears interest at SOFR (or an alternative risk-free interest rate index) plus 260 basis points during the investment period, subject to leverage and borrowing base restrictions.</w:t>
      </w:r>
    </w:p>
    <w:p>
      <w:pPr>
        <w:spacing w:after="0" w:line="8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 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94" w:lineRule="exact"/>
        <w:rPr>
          <w:sz w:val="20"/>
          <w:szCs w:val="20"/>
          <w:color w:val="auto"/>
        </w:rPr>
      </w:pPr>
    </w:p>
    <w:p>
      <w:pPr>
        <w:ind w:right="10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 -1a Notes maturing 2035, which bear interest at the three -month SOFR plus 2.7%, (ii) $20.0 million Class A-1b Loans 2035, which bear interest at 6.5%, (iii) $12.0 million Class A- 2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September 30, 2023 there was $246.0 million of external 2035 Asset-Backed Debt and there was $2.3 million of un-amortized financing costs. As of September 30, 2023 the weighted average interest rate was 8.6%.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PSLF’s portfolio at fair value ($ in thousands):</w:t>
            </w: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720" w:type="dxa"/>
            <w:vAlign w:val="bottom"/>
          </w:tcPr>
          <w:p>
            <w:pPr>
              <w:spacing w:after="0"/>
              <w:rPr>
                <w:sz w:val="24"/>
                <w:szCs w:val="24"/>
                <w:color w:val="auto"/>
              </w:rPr>
            </w:pPr>
          </w:p>
        </w:tc>
        <w:tc>
          <w:tcPr>
            <w:tcW w:w="15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0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84"/>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804,187</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730,108</w:t>
            </w:r>
          </w:p>
        </w:tc>
        <w:tc>
          <w:tcPr>
            <w:tcW w:w="40" w:type="dxa"/>
            <w:vAlign w:val="bottom"/>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720" w:type="dxa"/>
            <w:vAlign w:val="bottom"/>
          </w:tcPr>
          <w:p>
            <w:pPr>
              <w:spacing w:after="0"/>
              <w:rPr>
                <w:sz w:val="15"/>
                <w:szCs w:val="15"/>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12.1 %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9.4 %</w:t>
            </w:r>
          </w:p>
        </w:tc>
      </w:tr>
      <w:tr>
        <w:trPr>
          <w:trHeight w:val="184"/>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PSLF</w:t>
            </w:r>
          </w:p>
        </w:tc>
        <w:tc>
          <w:tcPr>
            <w:tcW w:w="2720" w:type="dxa"/>
            <w:vAlign w:val="bottom"/>
            <w:shd w:val="clear" w:color="auto" w:fill="CCECFF"/>
          </w:tcPr>
          <w:p>
            <w:pPr>
              <w:spacing w:after="0"/>
              <w:rPr>
                <w:sz w:val="16"/>
                <w:szCs w:val="16"/>
                <w:color w:val="auto"/>
              </w:rPr>
            </w:pP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90</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80</w:t>
            </w:r>
          </w:p>
        </w:tc>
        <w:tc>
          <w:tcPr>
            <w:tcW w:w="40" w:type="dxa"/>
            <w:vAlign w:val="bottom"/>
          </w:tcPr>
          <w:p>
            <w:pPr>
              <w:spacing w:after="0"/>
              <w:rPr>
                <w:sz w:val="16"/>
                <w:szCs w:val="16"/>
                <w:color w:val="auto"/>
              </w:rPr>
            </w:pPr>
          </w:p>
        </w:tc>
      </w:tr>
      <w:tr>
        <w:trPr>
          <w:trHeight w:val="176"/>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 at fair value</w:t>
            </w:r>
          </w:p>
        </w:tc>
        <w:tc>
          <w:tcPr>
            <w:tcW w:w="2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19,737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19,906</w:t>
            </w:r>
          </w:p>
        </w:tc>
        <w:tc>
          <w:tcPr>
            <w:tcW w:w="40" w:type="dxa"/>
            <w:vAlign w:val="bottom"/>
          </w:tcPr>
          <w:p>
            <w:pPr>
              <w:spacing w:after="0"/>
              <w:rPr>
                <w:sz w:val="15"/>
                <w:szCs w:val="15"/>
                <w:color w:val="auto"/>
              </w:rPr>
            </w:pPr>
          </w:p>
        </w:tc>
      </w:tr>
      <w:tr>
        <w:trPr>
          <w:trHeight w:val="184"/>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 at fair value</w:t>
            </w:r>
          </w:p>
        </w:tc>
        <w:tc>
          <w:tcPr>
            <w:tcW w:w="2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97,526</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98,502</w:t>
            </w:r>
          </w:p>
        </w:tc>
        <w:tc>
          <w:tcPr>
            <w:tcW w:w="40" w:type="dxa"/>
            <w:vAlign w:val="bottom"/>
          </w:tcPr>
          <w:p>
            <w:pPr>
              <w:spacing w:after="0"/>
              <w:rPr>
                <w:sz w:val="16"/>
                <w:szCs w:val="16"/>
                <w:color w:val="auto"/>
              </w:rPr>
            </w:pPr>
          </w:p>
        </w:tc>
      </w:tr>
      <w:tr>
        <w:trPr>
          <w:trHeight w:val="808"/>
        </w:trPr>
        <w:tc>
          <w:tcPr>
            <w:tcW w:w="4680" w:type="dxa"/>
            <w:vAlign w:val="bottom"/>
          </w:tcPr>
          <w:p>
            <w:pPr>
              <w:spacing w:after="0"/>
              <w:rPr>
                <w:sz w:val="24"/>
                <w:szCs w:val="24"/>
                <w:color w:val="auto"/>
              </w:rPr>
            </w:pPr>
          </w:p>
        </w:tc>
        <w:tc>
          <w:tcPr>
            <w:tcW w:w="2720" w:type="dxa"/>
            <w:vAlign w:val="bottom"/>
          </w:tcPr>
          <w:p>
            <w:pPr>
              <w:jc w:val="right"/>
              <w:ind w:right="1974"/>
              <w:spacing w:after="0"/>
              <w:rPr>
                <w:sz w:val="20"/>
                <w:szCs w:val="20"/>
                <w:color w:val="auto"/>
              </w:rPr>
            </w:pPr>
            <w:r>
              <w:rPr>
                <w:rFonts w:ascii="Times New Roman" w:cs="Times New Roman" w:eastAsia="Times New Roman" w:hAnsi="Times New Roman"/>
                <w:sz w:val="13"/>
                <w:szCs w:val="13"/>
                <w:color w:val="auto"/>
              </w:rPr>
              <w:t>86</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4680" w:type="dxa"/>
            <w:vAlign w:val="bottom"/>
            <w:tcBorders>
              <w:bottom w:val="single" w:sz="8" w:color="EEEEEE"/>
            </w:tcBorders>
          </w:tcPr>
          <w:p>
            <w:pPr>
              <w:spacing w:after="0"/>
              <w:rPr>
                <w:sz w:val="6"/>
                <w:szCs w:val="6"/>
                <w:color w:val="auto"/>
              </w:rPr>
            </w:pPr>
          </w:p>
        </w:tc>
        <w:tc>
          <w:tcPr>
            <w:tcW w:w="2720" w:type="dxa"/>
            <w:vAlign w:val="bottom"/>
            <w:tcBorders>
              <w:bottom w:val="single" w:sz="8" w:color="EEEEEE"/>
            </w:tcBorders>
          </w:tcPr>
          <w:p>
            <w:pPr>
              <w:spacing w:after="0"/>
              <w:rPr>
                <w:sz w:val="6"/>
                <w:szCs w:val="6"/>
                <w:color w:val="auto"/>
              </w:rPr>
            </w:pPr>
          </w:p>
        </w:tc>
        <w:tc>
          <w:tcPr>
            <w:tcW w:w="1540" w:type="dxa"/>
            <w:vAlign w:val="bottom"/>
            <w:tcBorders>
              <w:bottom w:val="single" w:sz="8" w:color="EEEEEE"/>
            </w:tcBorders>
          </w:tcPr>
          <w:p>
            <w:pPr>
              <w:spacing w:after="0"/>
              <w:rPr>
                <w:sz w:val="6"/>
                <w:szCs w:val="6"/>
                <w:color w:val="auto"/>
              </w:rPr>
            </w:pPr>
          </w:p>
        </w:tc>
        <w:tc>
          <w:tcPr>
            <w:tcW w:w="200" w:type="dxa"/>
            <w:vAlign w:val="bottom"/>
            <w:tcBorders>
              <w:bottom w:val="single" w:sz="8" w:color="EEEEEE"/>
            </w:tcBorders>
          </w:tcPr>
          <w:p>
            <w:pPr>
              <w:spacing w:after="0"/>
              <w:rPr>
                <w:sz w:val="6"/>
                <w:szCs w:val="6"/>
                <w:color w:val="auto"/>
              </w:rPr>
            </w:pPr>
          </w:p>
        </w:tc>
        <w:tc>
          <w:tcPr>
            <w:tcW w:w="1420" w:type="dxa"/>
            <w:vAlign w:val="bottom"/>
            <w:tcBorders>
              <w:bottom w:val="single" w:sz="8" w:color="EEEEEE"/>
            </w:tcBorders>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6" w:right="6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2023 ($ in thousands):</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80" w:type="dxa"/>
            <w:vAlign w:val="bottom"/>
            <w:vMerge w:val="restart"/>
          </w:tcPr>
          <w:p>
            <w:pPr>
              <w:jc w:val="center"/>
              <w:ind w:left="172"/>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300" w:type="dxa"/>
            <w:vAlign w:val="bottom"/>
            <w:vMerge w:val="restart"/>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Above</w:t>
            </w:r>
          </w:p>
        </w:tc>
        <w:tc>
          <w:tcPr>
            <w:tcW w:w="760" w:type="dxa"/>
            <w:vAlign w:val="bottom"/>
            <w:vMerge w:val="restart"/>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00" w:type="dxa"/>
            <w:vAlign w:val="bottom"/>
            <w:vMerge w:val="restart"/>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Cost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7"/>
        </w:trPr>
        <w:tc>
          <w:tcPr>
            <w:tcW w:w="30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20" w:type="dxa"/>
            <w:vAlign w:val="bottom"/>
          </w:tcPr>
          <w:p>
            <w:pPr>
              <w:jc w:val="center"/>
              <w:ind w:right="51"/>
              <w:spacing w:after="0" w:line="167"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ind w:right="292"/>
              <w:spacing w:after="0"/>
              <w:rPr>
                <w:sz w:val="20"/>
                <w:szCs w:val="20"/>
                <w:color w:val="auto"/>
              </w:rPr>
            </w:pP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3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9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12/22/28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14,925</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14,668</w:t>
            </w:r>
          </w:p>
        </w:tc>
        <w:tc>
          <w:tcPr>
            <w:tcW w:w="2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05/07/26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11.65 %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4,888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72"/>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11/30/26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11.26 %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14,837</w:t>
            </w:r>
          </w:p>
        </w:tc>
        <w:tc>
          <w:tcPr>
            <w:tcW w:w="240" w:type="dxa"/>
            <w:vAlign w:val="bottom"/>
            <w:shd w:val="clear" w:color="auto" w:fill="CCECFF"/>
          </w:tcPr>
          <w:p>
            <w:pPr>
              <w:spacing w:after="0"/>
              <w:rPr>
                <w:sz w:val="14"/>
                <w:szCs w:val="14"/>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14,528</w:t>
            </w:r>
          </w:p>
        </w:tc>
        <w:tc>
          <w:tcPr>
            <w:tcW w:w="280" w:type="dxa"/>
            <w:vAlign w:val="bottom"/>
            <w:shd w:val="clear" w:color="auto" w:fill="CCECFF"/>
          </w:tcPr>
          <w:p>
            <w:pPr>
              <w:spacing w:after="0"/>
              <w:rPr>
                <w:sz w:val="14"/>
                <w:szCs w:val="14"/>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06/10/25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SOFR+675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13,958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13,869</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05/23/24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14,354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14,319</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07/21/27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10,847</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10.52 %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6,424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6,380</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11.11 %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3,316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3,299</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10.76 %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7,531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7,531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09"/>
        </w:trPr>
        <w:tc>
          <w:tcPr>
            <w:tcW w:w="3040" w:type="dxa"/>
            <w:vAlign w:val="bottom"/>
          </w:tcPr>
          <w:p>
            <w:pPr>
              <w:ind w:left="20"/>
              <w:spacing w:after="0" w:line="109" w:lineRule="exact"/>
              <w:rPr>
                <w:sz w:val="20"/>
                <w:szCs w:val="20"/>
                <w:color w:val="auto"/>
              </w:rPr>
            </w:pPr>
            <w:r>
              <w:rPr>
                <w:rFonts w:ascii="Times New Roman" w:cs="Times New Roman" w:eastAsia="Times New Roman" w:hAnsi="Times New Roman"/>
                <w:sz w:val="10"/>
                <w:szCs w:val="10"/>
                <w:color w:val="auto"/>
              </w:rPr>
              <w:t>Applied Technical Services, LLC</w:t>
            </w:r>
          </w:p>
        </w:tc>
        <w:tc>
          <w:tcPr>
            <w:tcW w:w="980" w:type="dxa"/>
            <w:vAlign w:val="bottom"/>
          </w:tcPr>
          <w:p>
            <w:pPr>
              <w:jc w:val="center"/>
              <w:ind w:left="192"/>
              <w:spacing w:after="0" w:line="109" w:lineRule="exact"/>
              <w:rPr>
                <w:sz w:val="20"/>
                <w:szCs w:val="20"/>
                <w:color w:val="auto"/>
              </w:rPr>
            </w:pPr>
            <w:r>
              <w:rPr>
                <w:rFonts w:ascii="Times New Roman" w:cs="Times New Roman" w:eastAsia="Times New Roman" w:hAnsi="Times New Roman"/>
                <w:sz w:val="10"/>
                <w:szCs w:val="10"/>
                <w:color w:val="auto"/>
                <w:w w:val="95"/>
              </w:rPr>
              <w:t>12/29/26</w:t>
            </w:r>
          </w:p>
        </w:tc>
        <w:tc>
          <w:tcPr>
            <w:tcW w:w="2300" w:type="dxa"/>
            <w:vAlign w:val="bottom"/>
          </w:tcPr>
          <w:p>
            <w:pPr>
              <w:jc w:val="center"/>
              <w:spacing w:after="0" w:line="109" w:lineRule="exact"/>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jc w:val="right"/>
              <w:ind w:right="51"/>
              <w:spacing w:after="0" w:line="109" w:lineRule="exact"/>
              <w:rPr>
                <w:sz w:val="20"/>
                <w:szCs w:val="20"/>
                <w:color w:val="auto"/>
              </w:rPr>
            </w:pPr>
            <w:r>
              <w:rPr>
                <w:rFonts w:ascii="Times New Roman" w:cs="Times New Roman" w:eastAsia="Times New Roman" w:hAnsi="Times New Roman"/>
                <w:sz w:val="10"/>
                <w:szCs w:val="10"/>
                <w:color w:val="auto"/>
              </w:rPr>
              <w:t>11.51 %</w:t>
            </w:r>
          </w:p>
        </w:tc>
        <w:tc>
          <w:tcPr>
            <w:tcW w:w="920" w:type="dxa"/>
            <w:vAlign w:val="bottom"/>
          </w:tcPr>
          <w:p>
            <w:pPr>
              <w:ind w:left="320"/>
              <w:spacing w:after="0" w:line="109" w:lineRule="exact"/>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92"/>
              <w:spacing w:after="0" w:line="109" w:lineRule="exact"/>
              <w:rPr>
                <w:sz w:val="20"/>
                <w:szCs w:val="20"/>
                <w:color w:val="auto"/>
              </w:rPr>
            </w:pPr>
            <w:r>
              <w:rPr>
                <w:rFonts w:ascii="Times New Roman" w:cs="Times New Roman" w:eastAsia="Times New Roman" w:hAnsi="Times New Roman"/>
                <w:sz w:val="10"/>
                <w:szCs w:val="10"/>
                <w:color w:val="auto"/>
              </w:rPr>
              <w:t>11,394</w:t>
            </w:r>
          </w:p>
        </w:tc>
        <w:tc>
          <w:tcPr>
            <w:tcW w:w="240" w:type="dxa"/>
            <w:vAlign w:val="bottom"/>
          </w:tcPr>
          <w:p>
            <w:pPr>
              <w:spacing w:after="0"/>
              <w:rPr>
                <w:sz w:val="9"/>
                <w:szCs w:val="9"/>
                <w:color w:val="auto"/>
              </w:rPr>
            </w:pPr>
          </w:p>
        </w:tc>
        <w:tc>
          <w:tcPr>
            <w:tcW w:w="60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11,271</w:t>
            </w:r>
          </w:p>
        </w:tc>
        <w:tc>
          <w:tcPr>
            <w:tcW w:w="280" w:type="dxa"/>
            <w:vAlign w:val="bottom"/>
          </w:tcPr>
          <w:p>
            <w:pPr>
              <w:spacing w:after="0"/>
              <w:rPr>
                <w:sz w:val="9"/>
                <w:szCs w:val="9"/>
                <w:color w:val="auto"/>
              </w:rPr>
            </w:pPr>
          </w:p>
        </w:tc>
        <w:tc>
          <w:tcPr>
            <w:tcW w:w="540" w:type="dxa"/>
            <w:vAlign w:val="bottom"/>
          </w:tcPr>
          <w:p>
            <w:pPr>
              <w:jc w:val="right"/>
              <w:ind w:right="52"/>
              <w:spacing w:after="0" w:line="109" w:lineRule="exact"/>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179"/>
        </w:trPr>
        <w:tc>
          <w:tcPr>
            <w:tcW w:w="3040" w:type="dxa"/>
            <w:vAlign w:val="bottom"/>
          </w:tcPr>
          <w:p>
            <w:pPr>
              <w:ind w:left="20"/>
              <w:spacing w:after="0" w:line="179" w:lineRule="exact"/>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6"/>
                <w:szCs w:val="16"/>
                <w:color w:val="auto"/>
                <w:vertAlign w:val="superscript"/>
              </w:rPr>
              <w:t>(3)</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12/29/26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513</w:t>
            </w:r>
          </w:p>
        </w:tc>
        <w:tc>
          <w:tcPr>
            <w:tcW w:w="24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08/03/29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11,820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11,642</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07/01/29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14,850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14,604</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01/31/28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11.83 %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09/17/24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17,823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17,588</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12/04/25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9,683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40"/>
        </w:trPr>
        <w:tc>
          <w:tcPr>
            <w:tcW w:w="304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80" w:type="dxa"/>
            <w:vAlign w:val="bottom"/>
            <w:vMerge w:val="restart"/>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09/26/29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00" w:type="dxa"/>
            <w:vAlign w:val="bottom"/>
            <w:vMerge w:val="restart"/>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vMerge w:val="restart"/>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893</w:t>
            </w:r>
          </w:p>
        </w:tc>
        <w:tc>
          <w:tcPr>
            <w:tcW w:w="24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836</w:t>
            </w:r>
          </w:p>
        </w:tc>
        <w:tc>
          <w:tcPr>
            <w:tcW w:w="280" w:type="dxa"/>
            <w:vAlign w:val="bottom"/>
            <w:shd w:val="clear" w:color="auto" w:fill="CCECFF"/>
          </w:tcPr>
          <w:p>
            <w:pPr>
              <w:spacing w:after="0"/>
              <w:rPr>
                <w:sz w:val="12"/>
                <w:szCs w:val="12"/>
                <w:color w:val="auto"/>
              </w:rPr>
            </w:pPr>
          </w:p>
        </w:tc>
        <w:tc>
          <w:tcPr>
            <w:tcW w:w="5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16"/>
        </w:trPr>
        <w:tc>
          <w:tcPr>
            <w:tcW w:w="3040" w:type="dxa"/>
            <w:vAlign w:val="bottom"/>
            <w:vMerge w:val="continue"/>
            <w:shd w:val="clear" w:color="auto" w:fill="CCECFF"/>
          </w:tcPr>
          <w:p>
            <w:pPr>
              <w:spacing w:after="0"/>
              <w:rPr>
                <w:sz w:val="10"/>
                <w:szCs w:val="10"/>
                <w:color w:val="auto"/>
              </w:rPr>
            </w:pPr>
          </w:p>
        </w:tc>
        <w:tc>
          <w:tcPr>
            <w:tcW w:w="980" w:type="dxa"/>
            <w:vAlign w:val="bottom"/>
            <w:vMerge w:val="continue"/>
            <w:shd w:val="clear" w:color="auto" w:fill="CCECFF"/>
          </w:tcPr>
          <w:p>
            <w:pPr>
              <w:spacing w:after="0"/>
              <w:rPr>
                <w:sz w:val="10"/>
                <w:szCs w:val="10"/>
                <w:color w:val="auto"/>
              </w:rPr>
            </w:pPr>
          </w:p>
        </w:tc>
        <w:tc>
          <w:tcPr>
            <w:tcW w:w="2300" w:type="dxa"/>
            <w:vAlign w:val="bottom"/>
            <w:shd w:val="clear" w:color="auto" w:fill="CCECFF"/>
          </w:tcPr>
          <w:p>
            <w:pPr>
              <w:spacing w:after="0"/>
              <w:rPr>
                <w:sz w:val="10"/>
                <w:szCs w:val="10"/>
                <w:color w:val="auto"/>
              </w:rPr>
            </w:pPr>
          </w:p>
        </w:tc>
        <w:tc>
          <w:tcPr>
            <w:tcW w:w="900" w:type="dxa"/>
            <w:vAlign w:val="bottom"/>
            <w:vMerge w:val="continue"/>
            <w:shd w:val="clear" w:color="auto" w:fill="CCECFF"/>
          </w:tcPr>
          <w:p>
            <w:pPr>
              <w:spacing w:after="0"/>
              <w:rPr>
                <w:sz w:val="10"/>
                <w:szCs w:val="10"/>
                <w:color w:val="auto"/>
              </w:rPr>
            </w:pPr>
          </w:p>
        </w:tc>
        <w:tc>
          <w:tcPr>
            <w:tcW w:w="920" w:type="dxa"/>
            <w:vAlign w:val="bottom"/>
            <w:vMerge w:val="continue"/>
            <w:shd w:val="clear" w:color="auto" w:fill="CCECFF"/>
          </w:tcPr>
          <w:p>
            <w:pPr>
              <w:spacing w:after="0"/>
              <w:rPr>
                <w:sz w:val="10"/>
                <w:szCs w:val="10"/>
                <w:color w:val="auto"/>
              </w:rPr>
            </w:pPr>
          </w:p>
        </w:tc>
        <w:tc>
          <w:tcPr>
            <w:tcW w:w="760" w:type="dxa"/>
            <w:vAlign w:val="bottom"/>
            <w:vMerge w:val="continue"/>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vMerge w:val="continue"/>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54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06/14/28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11.39 %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17,281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17,013</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08/20/26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11.60 %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2,921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2,901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07/13/27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8,808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8,792</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08/16/27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2,575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2,550</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228"/>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08/31/27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 xml:space="preserve">11.24 </w:t>
            </w:r>
            <w:r>
              <w:rPr>
                <w:rFonts w:ascii="Times New Roman" w:cs="Times New Roman" w:eastAsia="Times New Roman" w:hAnsi="Times New Roman"/>
                <w:sz w:val="19"/>
                <w:szCs w:val="19"/>
                <w:color w:val="auto"/>
                <w:vertAlign w:val="subscript"/>
              </w:rPr>
              <w:t>%</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10,882</w:t>
            </w:r>
          </w:p>
        </w:tc>
        <w:tc>
          <w:tcPr>
            <w:tcW w:w="2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10,834</w:t>
            </w:r>
          </w:p>
        </w:tc>
        <w:tc>
          <w:tcPr>
            <w:tcW w:w="28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44"/>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12/21/28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4,382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3,959</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11/03/25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14,395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14,345</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06/30/24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8,635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8,561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01/10/29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6,219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6,148</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01/17/24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3,712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3,665</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05/29/29</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11.89 %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12,171</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03/15/27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9,750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9,637</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06/17/28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10.40 %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1,518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1,470</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02/23/28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Hotels, Motels, Inns and Gaming</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12.43 %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4,373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4,291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03/16/26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11.96 %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7,027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7,008</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08/10/27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1,954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1,925</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12/31/26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6,423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6,423</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11/23/28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11.32 %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19,717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19,388</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12/17/26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15,140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14,974</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12/10/24</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14,250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14,171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09/22/28</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11.45 %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4,428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4,355</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11/15/27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5,565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12/31/24</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12.50 %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SOFR+715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19,737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19,410</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12/28/28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12.24 %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SOFR+685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11,053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10,867</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11/01/26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11.17 %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6,364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08/27/26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19,701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19,639</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12/20/23</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13.42 %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SOFR+800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12,061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12,040</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11/10/27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SOFR+615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16,920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16,641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10/31/24</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11.46 %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4,658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4,631</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232"/>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02/18/27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 xml:space="preserve">12.13 </w:t>
            </w:r>
            <w:r>
              <w:rPr>
                <w:rFonts w:ascii="Times New Roman" w:cs="Times New Roman" w:eastAsia="Times New Roman" w:hAnsi="Times New Roman"/>
                <w:sz w:val="19"/>
                <w:szCs w:val="19"/>
                <w:color w:val="auto"/>
                <w:vertAlign w:val="superscript"/>
              </w:rPr>
              <w:t>%</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19,723</w:t>
            </w:r>
          </w:p>
        </w:tc>
        <w:tc>
          <w:tcPr>
            <w:tcW w:w="240" w:type="dxa"/>
            <w:vAlign w:val="bottom"/>
            <w:shd w:val="clear" w:color="auto" w:fill="CCECFF"/>
          </w:tcPr>
          <w:p>
            <w:pPr>
              <w:spacing w:after="0"/>
              <w:rPr>
                <w:sz w:val="20"/>
                <w:szCs w:val="2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19,565</w:t>
            </w:r>
          </w:p>
        </w:tc>
        <w:tc>
          <w:tcPr>
            <w:tcW w:w="280" w:type="dxa"/>
            <w:vAlign w:val="bottom"/>
            <w:shd w:val="clear" w:color="auto" w:fill="CCECFF"/>
          </w:tcPr>
          <w:p>
            <w:pPr>
              <w:spacing w:after="0"/>
              <w:rPr>
                <w:sz w:val="20"/>
                <w:szCs w:val="20"/>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02/03/26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12,218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12,056</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01/31/30</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6,318</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6,206</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04/01/27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10.99 %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7,601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7,153</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10.63 %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SOFR+500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3,785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3,550</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05/14/26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10,885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10,811</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84"/>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04/16/27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00" w:type="dxa"/>
            <w:vAlign w:val="bottom"/>
            <w:shd w:val="clear" w:color="auto" w:fill="CCECFF"/>
          </w:tcPr>
          <w:p>
            <w:pPr>
              <w:jc w:val="right"/>
              <w:ind w:right="51"/>
              <w:spacing w:after="0" w:line="184" w:lineRule="exact"/>
              <w:rPr>
                <w:sz w:val="20"/>
                <w:szCs w:val="20"/>
                <w:color w:val="auto"/>
              </w:rPr>
            </w:pPr>
            <w:r>
              <w:rPr>
                <w:rFonts w:ascii="Times New Roman" w:cs="Times New Roman" w:eastAsia="Times New Roman" w:hAnsi="Times New Roman"/>
                <w:sz w:val="10"/>
                <w:szCs w:val="10"/>
                <w:color w:val="auto"/>
              </w:rPr>
              <w:t xml:space="preserve">11.22 </w:t>
            </w:r>
            <w:r>
              <w:rPr>
                <w:rFonts w:ascii="Times New Roman" w:cs="Times New Roman" w:eastAsia="Times New Roman" w:hAnsi="Times New Roman"/>
                <w:sz w:val="19"/>
                <w:szCs w:val="19"/>
                <w:color w:val="auto"/>
                <w:vertAlign w:val="subscript"/>
              </w:rPr>
              <w:t>%</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shd w:val="clear" w:color="auto" w:fill="CCECFF"/>
          </w:tcPr>
          <w:p>
            <w:pPr>
              <w:spacing w:after="0"/>
              <w:rPr>
                <w:sz w:val="16"/>
                <w:szCs w:val="16"/>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7,780</w:t>
            </w:r>
          </w:p>
        </w:tc>
        <w:tc>
          <w:tcPr>
            <w:tcW w:w="280" w:type="dxa"/>
            <w:vAlign w:val="bottom"/>
            <w:shd w:val="clear" w:color="auto" w:fill="CCECFF"/>
          </w:tcPr>
          <w:p>
            <w:pPr>
              <w:spacing w:after="0"/>
              <w:rPr>
                <w:sz w:val="16"/>
                <w:szCs w:val="16"/>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12/10/27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2,958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2,911</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10/01/27</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5,975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08/19/26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7,429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4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05/09/29</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11.97 %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SOFR+660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8,020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7,910</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05/07/27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11.68 %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8,470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8,311</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02/04/28</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10.80 %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3,794</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05/18/26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12.90 %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4,378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4,343</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12/02/26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SOFR+640</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11,474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11/09/27</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12.42 %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7,930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7,818</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7,137</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05/08/26</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10.92 %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SOFR+565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2,551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11/19/26</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11.74 %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3,314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3,267</w:t>
            </w:r>
          </w:p>
        </w:tc>
        <w:tc>
          <w:tcPr>
            <w:tcW w:w="28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3,264</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03/31/25</w:t>
            </w: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0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92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7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12,703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12,641</w:t>
            </w: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12,576</w:t>
            </w: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12/18/25</w:t>
            </w:r>
          </w:p>
        </w:tc>
        <w:tc>
          <w:tcPr>
            <w:tcW w:w="23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11.22 %</w:t>
            </w:r>
          </w:p>
        </w:tc>
        <w:tc>
          <w:tcPr>
            <w:tcW w:w="9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5,603</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28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5,603</w:t>
            </w:r>
          </w:p>
        </w:tc>
        <w:tc>
          <w:tcPr>
            <w:tcW w:w="0" w:type="dxa"/>
            <w:vAlign w:val="bottom"/>
          </w:tcPr>
          <w:p>
            <w:pPr>
              <w:spacing w:after="0"/>
              <w:rPr>
                <w:sz w:val="1"/>
                <w:szCs w:val="1"/>
                <w:color w:val="auto"/>
              </w:rPr>
            </w:pPr>
          </w:p>
        </w:tc>
      </w:tr>
      <w:tr>
        <w:trPr>
          <w:trHeight w:val="816"/>
        </w:trPr>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jc w:val="right"/>
              <w:ind w:right="911"/>
              <w:spacing w:after="0"/>
              <w:rPr>
                <w:sz w:val="20"/>
                <w:szCs w:val="20"/>
                <w:color w:val="auto"/>
              </w:rPr>
            </w:pPr>
            <w:r>
              <w:rPr>
                <w:rFonts w:ascii="Times New Roman" w:cs="Times New Roman" w:eastAsia="Times New Roman" w:hAnsi="Times New Roman"/>
                <w:sz w:val="13"/>
                <w:szCs w:val="13"/>
                <w:color w:val="auto"/>
              </w:rPr>
              <w:t>87</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040" w:type="dxa"/>
            <w:vAlign w:val="bottom"/>
            <w:tcBorders>
              <w:bottom w:val="single" w:sz="8" w:color="EEEEEE"/>
            </w:tcBorders>
          </w:tcPr>
          <w:p>
            <w:pPr>
              <w:spacing w:after="0"/>
              <w:rPr>
                <w:sz w:val="6"/>
                <w:szCs w:val="6"/>
                <w:color w:val="auto"/>
              </w:rPr>
            </w:pPr>
          </w:p>
        </w:tc>
        <w:tc>
          <w:tcPr>
            <w:tcW w:w="980" w:type="dxa"/>
            <w:vAlign w:val="bottom"/>
            <w:tcBorders>
              <w:bottom w:val="single" w:sz="8" w:color="EEEEEE"/>
            </w:tcBorders>
          </w:tcPr>
          <w:p>
            <w:pPr>
              <w:spacing w:after="0"/>
              <w:rPr>
                <w:sz w:val="6"/>
                <w:szCs w:val="6"/>
                <w:color w:val="auto"/>
              </w:rPr>
            </w:pPr>
          </w:p>
        </w:tc>
        <w:tc>
          <w:tcPr>
            <w:tcW w:w="2300" w:type="dxa"/>
            <w:vAlign w:val="bottom"/>
            <w:tcBorders>
              <w:bottom w:val="single" w:sz="8" w:color="EEEEEE"/>
            </w:tcBorders>
          </w:tcPr>
          <w:p>
            <w:pPr>
              <w:spacing w:after="0"/>
              <w:rPr>
                <w:sz w:val="6"/>
                <w:szCs w:val="6"/>
                <w:color w:val="auto"/>
              </w:rPr>
            </w:pPr>
          </w:p>
        </w:tc>
        <w:tc>
          <w:tcPr>
            <w:tcW w:w="900" w:type="dxa"/>
            <w:vAlign w:val="bottom"/>
            <w:tcBorders>
              <w:bottom w:val="single" w:sz="8" w:color="EEEEEE"/>
            </w:tcBorders>
          </w:tcPr>
          <w:p>
            <w:pPr>
              <w:spacing w:after="0"/>
              <w:rPr>
                <w:sz w:val="6"/>
                <w:szCs w:val="6"/>
                <w:color w:val="auto"/>
              </w:rPr>
            </w:pPr>
          </w:p>
        </w:tc>
        <w:tc>
          <w:tcPr>
            <w:tcW w:w="920" w:type="dxa"/>
            <w:vAlign w:val="bottom"/>
            <w:tcBorders>
              <w:bottom w:val="single" w:sz="8" w:color="EEEEEE"/>
            </w:tcBorders>
          </w:tcPr>
          <w:p>
            <w:pPr>
              <w:spacing w:after="0"/>
              <w:rPr>
                <w:sz w:val="6"/>
                <w:szCs w:val="6"/>
                <w:color w:val="auto"/>
              </w:rPr>
            </w:pPr>
          </w:p>
        </w:tc>
        <w:tc>
          <w:tcPr>
            <w:tcW w:w="76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600" w:type="dxa"/>
            <w:vAlign w:val="bottom"/>
            <w:tcBorders>
              <w:bottom w:val="single" w:sz="8" w:color="EEEEEE"/>
            </w:tcBorders>
          </w:tcPr>
          <w:p>
            <w:pPr>
              <w:spacing w:after="0"/>
              <w:rPr>
                <w:sz w:val="6"/>
                <w:szCs w:val="6"/>
                <w:color w:val="auto"/>
              </w:rPr>
            </w:pPr>
          </w:p>
        </w:tc>
        <w:tc>
          <w:tcPr>
            <w:tcW w:w="280" w:type="dxa"/>
            <w:vAlign w:val="bottom"/>
            <w:tcBorders>
              <w:bottom w:val="single" w:sz="8" w:color="EEEEEE"/>
            </w:tcBorders>
          </w:tcPr>
          <w:p>
            <w:pPr>
              <w:spacing w:after="0"/>
              <w:rPr>
                <w:sz w:val="6"/>
                <w:szCs w:val="6"/>
                <w:color w:val="auto"/>
              </w:rPr>
            </w:pPr>
          </w:p>
        </w:tc>
        <w:tc>
          <w:tcPr>
            <w:tcW w:w="540" w:type="dxa"/>
            <w:vAlign w:val="bottom"/>
            <w:tcBorders>
              <w:bottom w:val="single" w:sz="8" w:color="EEEEE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-5891530</wp:posOffset>
            </wp:positionV>
            <wp:extent cx="6707505" cy="91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5"/>
              </w:rPr>
              <w:t>Above</w:t>
            </w:r>
          </w:p>
        </w:tc>
        <w:tc>
          <w:tcPr>
            <w:tcW w:w="840" w:type="dxa"/>
            <w:vAlign w:val="bottom"/>
            <w:vMerge w:val="restart"/>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Par</w:t>
            </w:r>
          </w:p>
        </w:tc>
        <w:tc>
          <w:tcPr>
            <w:tcW w:w="120" w:type="dxa"/>
            <w:vAlign w:val="bottom"/>
          </w:tcPr>
          <w:p>
            <w:pPr>
              <w:spacing w:after="0"/>
              <w:rPr>
                <w:sz w:val="15"/>
                <w:szCs w:val="15"/>
                <w:color w:val="auto"/>
              </w:rPr>
            </w:pPr>
          </w:p>
        </w:tc>
        <w:tc>
          <w:tcPr>
            <w:tcW w:w="520" w:type="dxa"/>
            <w:vAlign w:val="bottom"/>
            <w:vMerge w:val="restart"/>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Cost</w:t>
            </w:r>
          </w:p>
        </w:tc>
        <w:tc>
          <w:tcPr>
            <w:tcW w:w="20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080" w:type="dxa"/>
            <w:vAlign w:val="bottom"/>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9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232"/>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04/28/28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5,000</w:t>
            </w:r>
          </w:p>
        </w:tc>
        <w:tc>
          <w:tcPr>
            <w:tcW w:w="1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4,937</w:t>
            </w:r>
          </w:p>
        </w:tc>
        <w:tc>
          <w:tcPr>
            <w:tcW w:w="360" w:type="dxa"/>
            <w:vAlign w:val="bottom"/>
            <w:gridSpan w:val="2"/>
            <w:shd w:val="clear" w:color="auto" w:fill="CCECFF"/>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01/29/26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12.54 %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9,750</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12/20/24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11.13 %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14,389</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06/20/25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3,176</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03/10/25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11.29 %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10,895</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10,786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06/16/29</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11.52 %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3,749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01/03/25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6,859</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12/20/24</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jc w:val="right"/>
              <w:ind w:right="51"/>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auto"/>
              </w:rPr>
              <w:t>SOFR+750</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0"/>
                <w:szCs w:val="10"/>
                <w:color w:val="auto"/>
              </w:rPr>
              <w:t>4,872</w:t>
            </w: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12.92</w:t>
            </w:r>
          </w:p>
        </w:tc>
        <w:tc>
          <w:tcPr>
            <w:tcW w:w="9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06/13/29</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11.54 %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SOFR+605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14,850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05/03/24</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11,201</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05/17/28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9.93 %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1,300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07/17/25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12.37 %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9,239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03/01/28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11.04 %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9,607</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12/11/26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12,099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11/24/28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10.43 %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SOFR+475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3,572</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08/16/27</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11.49 %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SOFR+600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15,966</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11/24/28</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10.75 %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2,688</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07/18/25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10.67 %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2,936</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10/31/25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12.04 %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SOFR+650</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11,095</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07/27/26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12.79 %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7,855</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08/31/27</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SOFR+635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7,690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11/24/25</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10.68 %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5,479</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06/06/25</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11.80 %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7,177</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04/03/28</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10.90 %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SOFR+550</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11,393</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06/15/26</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11.79 %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SOFR+625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3,860</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02/27/26</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10.54 %</w:t>
            </w:r>
          </w:p>
        </w:tc>
        <w:tc>
          <w:tcPr>
            <w:tcW w:w="9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SOFR+515</w:t>
            </w: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11,386</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1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03/01/24</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80" w:type="dxa"/>
            <w:vAlign w:val="bottom"/>
            <w:shd w:val="clear" w:color="auto" w:fill="CCECFF"/>
          </w:tcPr>
          <w:p>
            <w:pPr>
              <w:jc w:val="right"/>
              <w:ind w:right="51"/>
              <w:spacing w:after="0"/>
              <w:rPr>
                <w:sz w:val="20"/>
                <w:szCs w:val="20"/>
                <w:color w:val="auto"/>
              </w:rPr>
            </w:pPr>
            <w:r>
              <w:rPr>
                <w:rFonts w:ascii="Times New Roman" w:cs="Times New Roman" w:eastAsia="Times New Roman" w:hAnsi="Times New Roman"/>
                <w:sz w:val="10"/>
                <w:szCs w:val="10"/>
                <w:color w:val="auto"/>
              </w:rPr>
              <w:t>12.67 %</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0"/>
                <w:szCs w:val="10"/>
                <w:color w:val="auto"/>
              </w:rPr>
              <w:t>SOFR+725</w:t>
            </w:r>
          </w:p>
        </w:tc>
        <w:tc>
          <w:tcPr>
            <w:tcW w:w="84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0"/>
                <w:szCs w:val="10"/>
                <w:color w:val="auto"/>
              </w:rPr>
              <w:t>19,682</w:t>
            </w:r>
          </w:p>
        </w:tc>
        <w:tc>
          <w:tcPr>
            <w:tcW w:w="1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19,582</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120" w:type="dxa"/>
            <w:vAlign w:val="bottom"/>
            <w:shd w:val="clear" w:color="auto" w:fill="CCECFF"/>
          </w:tcPr>
          <w:p>
            <w:pPr>
              <w:spacing w:after="0"/>
              <w:rPr>
                <w:sz w:val="15"/>
                <w:szCs w:val="15"/>
                <w:color w:val="auto"/>
              </w:rPr>
            </w:pPr>
          </w:p>
        </w:tc>
        <w:tc>
          <w:tcPr>
            <w:tcW w:w="200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2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1120" w:type="dxa"/>
            <w:vAlign w:val="bottom"/>
            <w:shd w:val="clear" w:color="auto" w:fill="CCECFF"/>
          </w:tcPr>
          <w:p>
            <w:pPr>
              <w:spacing w:after="0"/>
              <w:rPr>
                <w:sz w:val="16"/>
                <w:szCs w:val="16"/>
                <w:color w:val="auto"/>
              </w:rPr>
            </w:pPr>
          </w:p>
        </w:tc>
        <w:tc>
          <w:tcPr>
            <w:tcW w:w="200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120" w:type="dxa"/>
            <w:vAlign w:val="bottom"/>
            <w:shd w:val="clear" w:color="auto" w:fill="CCECFF"/>
          </w:tcPr>
          <w:p>
            <w:pPr>
              <w:spacing w:after="0"/>
              <w:rPr>
                <w:sz w:val="16"/>
                <w:szCs w:val="16"/>
                <w:color w:val="auto"/>
              </w:rPr>
            </w:pPr>
          </w:p>
        </w:tc>
        <w:tc>
          <w:tcPr>
            <w:tcW w:w="200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112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(760,665 )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gridSpan w:val="2"/>
          </w:tcPr>
          <w:p>
            <w:pPr>
              <w:jc w:val="right"/>
              <w:ind w:right="34"/>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480" w:right="40"/>
        <w:spacing w:after="0" w:line="301" w:lineRule="auto"/>
        <w:rPr>
          <w:sz w:val="20"/>
          <w:szCs w:val="20"/>
          <w:color w:val="auto"/>
        </w:rPr>
      </w:pPr>
      <w:r>
        <w:rPr>
          <w:rFonts w:ascii="Times New Roman" w:cs="Times New Roman" w:eastAsia="Times New Roman" w:hAnsi="Times New Roman"/>
          <w:sz w:val="10"/>
          <w:szCs w:val="10"/>
          <w:color w:val="auto"/>
        </w:rPr>
        <w:t>(1)Represents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(2)Valued based on PSLF’s accounting policy.</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(3)Represents the purchase of a security with delayed settlement or a revolving line of credit that is currently an unfunded investment. This security does not earn a basis point spread above an index while it is unfunded.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rPr>
              <w:t>Below is a listing of PSLF’s individual investments as of September 30, 2022 ($ in thousands):</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jc w:val="center"/>
              <w:ind w:right="171"/>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960" w:type="dxa"/>
            <w:vAlign w:val="bottom"/>
            <w:vMerge w:val="restart"/>
          </w:tcPr>
          <w:p>
            <w:pPr>
              <w:jc w:val="center"/>
              <w:ind w:left="132"/>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2080" w:type="dxa"/>
            <w:vAlign w:val="bottom"/>
            <w:vMerge w:val="restart"/>
          </w:tcPr>
          <w:p>
            <w:pPr>
              <w:jc w:val="right"/>
              <w:ind w:right="771"/>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5"/>
                <w:szCs w:val="15"/>
                <w:color w:val="auto"/>
              </w:rPr>
            </w:pPr>
          </w:p>
        </w:tc>
        <w:tc>
          <w:tcPr>
            <w:tcW w:w="64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Cost</w:t>
            </w:r>
          </w:p>
        </w:tc>
        <w:tc>
          <w:tcPr>
            <w:tcW w:w="900" w:type="dxa"/>
            <w:vAlign w:val="bottom"/>
            <w:gridSpan w:val="2"/>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71"/>
              <w:spacing w:after="0" w:line="167"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3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- 864.4%</w:t>
            </w:r>
          </w:p>
        </w:tc>
        <w:tc>
          <w:tcPr>
            <w:tcW w:w="9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05/06/26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280" w:type="dxa"/>
            <w:vAlign w:val="bottom"/>
            <w:shd w:val="clear" w:color="auto" w:fill="CCECFF"/>
          </w:tcPr>
          <w:p>
            <w:pPr>
              <w:jc w:val="right"/>
              <w:ind w:right="6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11/30/26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8.69 %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L+800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9,785</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Technologies,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07/24/25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10.81 %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12/21/23</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7.79 %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19,906</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19,868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w w:val="99"/>
              </w:rPr>
              <w:t>Amsive Holding Corporation (f/k/a Vision Purchaser Corporation)</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06/10/25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13,968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13,892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05/23/24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15,084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07/21/27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7.98 %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9,942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6.25 %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6,502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6.55 %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3,307</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6.50 %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7,607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7,608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9.42 %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8,602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03/07/28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8.99 %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11,940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11,721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07/01/29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7.56 %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0" w:type="dxa"/>
            <w:vAlign w:val="bottom"/>
          </w:tcPr>
          <w:p>
            <w:pPr>
              <w:spacing w:after="0"/>
              <w:rPr>
                <w:sz w:val="1"/>
                <w:szCs w:val="1"/>
                <w:color w:val="auto"/>
              </w:rPr>
            </w:pPr>
          </w:p>
        </w:tc>
      </w:tr>
      <w:tr>
        <w:trPr>
          <w:trHeight w:val="152"/>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09/17/24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8.57 %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17,993</w:t>
            </w:r>
          </w:p>
        </w:tc>
        <w:tc>
          <w:tcPr>
            <w:tcW w:w="240" w:type="dxa"/>
            <w:vAlign w:val="bottom"/>
          </w:tcPr>
          <w:p>
            <w:pPr>
              <w:spacing w:after="0"/>
              <w:rPr>
                <w:sz w:val="13"/>
                <w:szCs w:val="13"/>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17,772</w:t>
            </w:r>
          </w:p>
        </w:tc>
        <w:tc>
          <w:tcPr>
            <w:tcW w:w="280" w:type="dxa"/>
            <w:vAlign w:val="bottom"/>
          </w:tcPr>
          <w:p>
            <w:pPr>
              <w:spacing w:after="0"/>
              <w:rPr>
                <w:sz w:val="13"/>
                <w:szCs w:val="1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12/02/22</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7.39 %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05/13/28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9.55 %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17,456</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17,131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08/20/26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9.08 %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07/13/27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8.42 %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9,029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08/31/27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9.42 %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6,435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6,339</w:t>
            </w: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60" w:type="dxa"/>
            <w:vAlign w:val="bottom"/>
            <w:vMerge w:val="restart"/>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12/21/28</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color w:val="auto"/>
              </w:rPr>
              <w:t>8.37 %</w:t>
            </w:r>
          </w:p>
        </w:tc>
        <w:tc>
          <w:tcPr>
            <w:tcW w:w="108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2,776</w:t>
            </w:r>
          </w:p>
        </w:tc>
        <w:tc>
          <w:tcPr>
            <w:tcW w:w="240" w:type="dxa"/>
            <w:vAlign w:val="bottom"/>
          </w:tcPr>
          <w:p>
            <w:pPr>
              <w:spacing w:after="0"/>
              <w:rPr>
                <w:sz w:val="11"/>
                <w:szCs w:val="11"/>
                <w:color w:val="auto"/>
              </w:rPr>
            </w:pPr>
          </w:p>
        </w:tc>
        <w:tc>
          <w:tcPr>
            <w:tcW w:w="6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2,526</w:t>
            </w:r>
          </w:p>
        </w:tc>
        <w:tc>
          <w:tcPr>
            <w:tcW w:w="280" w:type="dxa"/>
            <w:vAlign w:val="bottom"/>
          </w:tcPr>
          <w:p>
            <w:pPr>
              <w:spacing w:after="0"/>
              <w:rPr>
                <w:sz w:val="11"/>
                <w:szCs w:val="11"/>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2,489</w:t>
            </w:r>
          </w:p>
        </w:tc>
        <w:tc>
          <w:tcPr>
            <w:tcW w:w="0" w:type="dxa"/>
            <w:vAlign w:val="bottom"/>
          </w:tcPr>
          <w:p>
            <w:pPr>
              <w:spacing w:after="0"/>
              <w:rPr>
                <w:sz w:val="1"/>
                <w:szCs w:val="1"/>
                <w:color w:val="auto"/>
              </w:rPr>
            </w:pPr>
          </w:p>
        </w:tc>
      </w:tr>
      <w:tr>
        <w:trPr>
          <w:trHeight w:val="88"/>
        </w:trPr>
        <w:tc>
          <w:tcPr>
            <w:tcW w:w="27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11/03/25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14,658</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06/30/24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8.62 %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8,139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7,944</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10.62 %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4,558</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4,558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ECM Industries,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12/23/25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6.32 %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2,689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03/15/27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9,726</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06/17/28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7.63 %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6M L+475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03/16/26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8.74 %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7,013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08/10/27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8.00 %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1,895</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12/31/26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8.67 %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6,835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6,835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6,733</w:t>
            </w:r>
          </w:p>
        </w:tc>
        <w:tc>
          <w:tcPr>
            <w:tcW w:w="0" w:type="dxa"/>
            <w:vAlign w:val="bottom"/>
          </w:tcPr>
          <w:p>
            <w:pPr>
              <w:spacing w:after="0"/>
              <w:rPr>
                <w:sz w:val="1"/>
                <w:szCs w:val="1"/>
                <w:color w:val="auto"/>
              </w:rPr>
            </w:pPr>
          </w:p>
        </w:tc>
      </w:tr>
      <w:tr>
        <w:trPr>
          <w:trHeight w:val="136"/>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60" w:type="dxa"/>
            <w:vAlign w:val="bottom"/>
            <w:vMerge w:val="restart"/>
          </w:tcPr>
          <w:p>
            <w:pPr>
              <w:jc w:val="center"/>
              <w:ind w:left="132"/>
              <w:spacing w:after="0"/>
              <w:rPr>
                <w:sz w:val="20"/>
                <w:szCs w:val="20"/>
                <w:color w:val="auto"/>
              </w:rPr>
            </w:pPr>
            <w:r>
              <w:rPr>
                <w:rFonts w:ascii="Times New Roman" w:cs="Times New Roman" w:eastAsia="Times New Roman" w:hAnsi="Times New Roman"/>
                <w:sz w:val="10"/>
                <w:szCs w:val="10"/>
                <w:color w:val="auto"/>
                <w:w w:val="95"/>
              </w:rPr>
              <w:t>11/23/28</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color w:val="auto"/>
              </w:rPr>
              <w:t>10.17 %</w:t>
            </w:r>
          </w:p>
        </w:tc>
        <w:tc>
          <w:tcPr>
            <w:tcW w:w="108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color w:val="auto"/>
              </w:rPr>
              <w:t>1M L+800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19,915</w:t>
            </w:r>
          </w:p>
        </w:tc>
        <w:tc>
          <w:tcPr>
            <w:tcW w:w="240" w:type="dxa"/>
            <w:vAlign w:val="bottom"/>
          </w:tcPr>
          <w:p>
            <w:pPr>
              <w:spacing w:after="0"/>
              <w:rPr>
                <w:sz w:val="11"/>
                <w:szCs w:val="11"/>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19,535</w:t>
            </w:r>
          </w:p>
        </w:tc>
        <w:tc>
          <w:tcPr>
            <w:tcW w:w="28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19,516</w:t>
            </w:r>
          </w:p>
        </w:tc>
        <w:tc>
          <w:tcPr>
            <w:tcW w:w="0" w:type="dxa"/>
            <w:vAlign w:val="bottom"/>
          </w:tcPr>
          <w:p>
            <w:pPr>
              <w:spacing w:after="0"/>
              <w:rPr>
                <w:sz w:val="1"/>
                <w:szCs w:val="1"/>
                <w:color w:val="auto"/>
              </w:rPr>
            </w:pPr>
          </w:p>
        </w:tc>
      </w:tr>
      <w:tr>
        <w:trPr>
          <w:trHeight w:val="40"/>
        </w:trPr>
        <w:tc>
          <w:tcPr>
            <w:tcW w:w="27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12/17/26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15,255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15,045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14,721</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6.00 %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L+700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14,303</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14,257</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III, LP</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6.87 %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1,705</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IDC Infusion Services,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12/30/26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10.20 %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L+750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17,400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17,154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16,617</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09/22/28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9.45 %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4,473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4,388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11/15/27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6.91 %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5,636</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5,534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12/07/23</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9.96 %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19,545</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11/01/26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9.42 %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08/27/25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9.21 %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19,954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19,866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19,754</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12/20/23</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0" w:type="dxa"/>
            <w:vAlign w:val="bottom"/>
          </w:tcPr>
          <w:p>
            <w:pPr>
              <w:spacing w:after="0"/>
              <w:rPr>
                <w:sz w:val="1"/>
                <w:szCs w:val="1"/>
                <w:color w:val="auto"/>
              </w:rPr>
            </w:pPr>
          </w:p>
        </w:tc>
      </w:tr>
      <w:tr>
        <w:trPr>
          <w:trHeight w:val="137"/>
        </w:trPr>
        <w:tc>
          <w:tcPr>
            <w:tcW w:w="27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w:t>
            </w:r>
          </w:p>
        </w:tc>
        <w:tc>
          <w:tcPr>
            <w:tcW w:w="960" w:type="dxa"/>
            <w:vAlign w:val="bottom"/>
            <w:shd w:val="clear" w:color="auto" w:fill="CCECFF"/>
          </w:tcPr>
          <w:p>
            <w:pPr>
              <w:spacing w:after="0"/>
              <w:rPr>
                <w:sz w:val="11"/>
                <w:szCs w:val="11"/>
                <w:color w:val="auto"/>
              </w:rPr>
            </w:pPr>
          </w:p>
        </w:tc>
        <w:tc>
          <w:tcPr>
            <w:tcW w:w="1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10/31/24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Entertainment</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2,137</w:t>
            </w: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2,129</w:t>
            </w:r>
          </w:p>
        </w:tc>
        <w:tc>
          <w:tcPr>
            <w:tcW w:w="28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02/18/27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11.17 %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L+650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19,925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19,708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02/03/26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L+475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12,345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12,119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11,944</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04/01/27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5,570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5,128</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5,069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07/31/28</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7.87 %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2,826</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05/14/26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8.62 %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L+625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7,861</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04/16/27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8.56 %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7,326</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7,332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12/10/27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2,953</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09/28/27</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7.25 %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4,164</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08/19/26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7.80 %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7,426</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7,505</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OIS Management Services,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07/09/26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9.45 %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5,257</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5,257</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02/04/28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8.41 %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3,874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05/18/26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Distribution</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8.32 %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L+650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4,962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4,911</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11/09/27</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9.62 %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8,634</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8,489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8,419</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05/08/26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9.17 %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2,487</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2,309</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11/19/26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9.92 %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3,403</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3,335</w:t>
            </w:r>
          </w:p>
        </w:tc>
        <w:tc>
          <w:tcPr>
            <w:tcW w:w="0" w:type="dxa"/>
            <w:vAlign w:val="bottom"/>
          </w:tcPr>
          <w:p>
            <w:pPr>
              <w:spacing w:after="0"/>
              <w:rPr>
                <w:sz w:val="1"/>
                <w:szCs w:val="1"/>
                <w:color w:val="auto"/>
              </w:rPr>
            </w:pPr>
          </w:p>
        </w:tc>
      </w:tr>
      <w:tr>
        <w:trPr>
          <w:trHeight w:val="148"/>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Quantic Electronics, LLC - Unfunded Term Loan </w:t>
            </w:r>
            <w:r>
              <w:rPr>
                <w:rFonts w:ascii="Times New Roman" w:cs="Times New Roman" w:eastAsia="Times New Roman" w:hAnsi="Times New Roman"/>
                <w:sz w:val="12"/>
                <w:szCs w:val="12"/>
                <w:color w:val="auto"/>
                <w:vertAlign w:val="superscript"/>
              </w:rPr>
              <w:t>(3)</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11/19/26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03/31/25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9.46 %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12,757</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12,657</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12,566</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12/18/25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7.75 %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1M L+450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02/28/28</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9.13 %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SOFR+600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4,904</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01/29/26</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9.92 %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L+700</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9,718</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9,505</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8.84 %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14,542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14,440</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13,070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06/20/25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7.74 %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3,192</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3,112</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03/10/25</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9.95 %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9,949</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9,872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01/03/25</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L+625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6,859</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6,779</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6,791</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12/20/24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7.15 %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5,031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06/13/29</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7.90 %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14,794</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0" w:type="dxa"/>
            <w:vAlign w:val="bottom"/>
          </w:tcPr>
          <w:p>
            <w:pPr>
              <w:spacing w:after="0"/>
              <w:rPr>
                <w:sz w:val="1"/>
                <w:szCs w:val="1"/>
                <w:color w:val="auto"/>
              </w:rPr>
            </w:pPr>
          </w:p>
        </w:tc>
      </w:tr>
      <w:tr>
        <w:trPr>
          <w:trHeight w:val="140"/>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05/03/24</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10.17 %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1M L+450</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11,951</w:t>
            </w:r>
          </w:p>
        </w:tc>
        <w:tc>
          <w:tcPr>
            <w:tcW w:w="240" w:type="dxa"/>
            <w:vAlign w:val="bottom"/>
          </w:tcPr>
          <w:p>
            <w:pPr>
              <w:spacing w:after="0"/>
              <w:rPr>
                <w:sz w:val="12"/>
                <w:szCs w:val="12"/>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11,879</w:t>
            </w:r>
          </w:p>
        </w:tc>
        <w:tc>
          <w:tcPr>
            <w:tcW w:w="28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11,861</w:t>
            </w:r>
          </w:p>
        </w:tc>
        <w:tc>
          <w:tcPr>
            <w:tcW w:w="0" w:type="dxa"/>
            <w:vAlign w:val="bottom"/>
          </w:tcPr>
          <w:p>
            <w:pPr>
              <w:spacing w:after="0"/>
              <w:rPr>
                <w:sz w:val="1"/>
                <w:szCs w:val="1"/>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60" w:type="dxa"/>
            <w:vAlign w:val="bottom"/>
            <w:shd w:val="clear" w:color="auto" w:fill="CCECFF"/>
          </w:tcPr>
          <w:p>
            <w:pPr>
              <w:jc w:val="center"/>
              <w:ind w:left="132"/>
              <w:spacing w:after="0"/>
              <w:rPr>
                <w:sz w:val="20"/>
                <w:szCs w:val="20"/>
                <w:color w:val="auto"/>
              </w:rPr>
            </w:pPr>
            <w:r>
              <w:rPr>
                <w:rFonts w:ascii="Times New Roman" w:cs="Times New Roman" w:eastAsia="Times New Roman" w:hAnsi="Times New Roman"/>
                <w:sz w:val="10"/>
                <w:szCs w:val="10"/>
                <w:color w:val="auto"/>
                <w:w w:val="95"/>
              </w:rPr>
              <w:t>01/17/24</w:t>
            </w:r>
          </w:p>
        </w:tc>
        <w:tc>
          <w:tcPr>
            <w:tcW w:w="2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Communications</w:t>
            </w:r>
          </w:p>
        </w:tc>
        <w:tc>
          <w:tcPr>
            <w:tcW w:w="9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0"/>
                <w:szCs w:val="10"/>
                <w:color w:val="auto"/>
              </w:rPr>
              <w:t>6M L+675</w:t>
            </w:r>
          </w:p>
        </w:tc>
        <w:tc>
          <w:tcPr>
            <w:tcW w:w="10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11,386</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11,352</w:t>
            </w:r>
          </w:p>
        </w:tc>
        <w:tc>
          <w:tcPr>
            <w:tcW w:w="28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11,113</w:t>
            </w:r>
          </w:p>
        </w:tc>
        <w:tc>
          <w:tcPr>
            <w:tcW w:w="0" w:type="dxa"/>
            <w:vAlign w:val="bottom"/>
          </w:tcPr>
          <w:p>
            <w:pPr>
              <w:spacing w:after="0"/>
              <w:rPr>
                <w:sz w:val="1"/>
                <w:szCs w:val="1"/>
                <w:color w:val="auto"/>
              </w:rPr>
            </w:pPr>
          </w:p>
        </w:tc>
      </w:tr>
      <w:tr>
        <w:trPr>
          <w:trHeight w:val="136"/>
        </w:trPr>
        <w:tc>
          <w:tcPr>
            <w:tcW w:w="2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60" w:type="dxa"/>
            <w:vAlign w:val="bottom"/>
          </w:tcPr>
          <w:p>
            <w:pPr>
              <w:jc w:val="center"/>
              <w:ind w:left="132"/>
              <w:spacing w:after="0"/>
              <w:rPr>
                <w:sz w:val="20"/>
                <w:szCs w:val="20"/>
                <w:color w:val="auto"/>
              </w:rPr>
            </w:pPr>
            <w:r>
              <w:rPr>
                <w:rFonts w:ascii="Times New Roman" w:cs="Times New Roman" w:eastAsia="Times New Roman" w:hAnsi="Times New Roman"/>
                <w:sz w:val="10"/>
                <w:szCs w:val="10"/>
                <w:color w:val="auto"/>
                <w:w w:val="95"/>
              </w:rPr>
              <w:t>12/11/26</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8.37 %</w:t>
            </w:r>
          </w:p>
        </w:tc>
        <w:tc>
          <w:tcPr>
            <w:tcW w:w="108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rPr>
              <w:t>3M L+575</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12,099</w:t>
            </w:r>
          </w:p>
        </w:tc>
        <w:tc>
          <w:tcPr>
            <w:tcW w:w="240" w:type="dxa"/>
            <w:vAlign w:val="bottom"/>
          </w:tcPr>
          <w:p>
            <w:pPr>
              <w:spacing w:after="0"/>
              <w:rPr>
                <w:sz w:val="11"/>
                <w:szCs w:val="11"/>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12,031</w:t>
            </w:r>
          </w:p>
        </w:tc>
        <w:tc>
          <w:tcPr>
            <w:tcW w:w="28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11,978</w:t>
            </w:r>
          </w:p>
        </w:tc>
        <w:tc>
          <w:tcPr>
            <w:tcW w:w="0" w:type="dxa"/>
            <w:vAlign w:val="bottom"/>
          </w:tcPr>
          <w:p>
            <w:pPr>
              <w:spacing w:after="0"/>
              <w:rPr>
                <w:sz w:val="1"/>
                <w:szCs w:val="1"/>
                <w:color w:val="auto"/>
              </w:rPr>
            </w:pPr>
          </w:p>
        </w:tc>
      </w:tr>
      <w:tr>
        <w:trPr>
          <w:trHeight w:val="636"/>
        </w:trPr>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tcPr>
          <w:p>
            <w:pPr>
              <w:jc w:val="right"/>
              <w:ind w:right="331"/>
              <w:spacing w:after="0"/>
              <w:rPr>
                <w:sz w:val="20"/>
                <w:szCs w:val="20"/>
                <w:color w:val="auto"/>
              </w:rPr>
            </w:pPr>
            <w:r>
              <w:rPr>
                <w:rFonts w:ascii="Times New Roman" w:cs="Times New Roman" w:eastAsia="Times New Roman" w:hAnsi="Times New Roman"/>
                <w:sz w:val="13"/>
                <w:szCs w:val="13"/>
                <w:color w:val="auto"/>
              </w:rPr>
              <w:t>89</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00" w:type="dxa"/>
            <w:vAlign w:val="bottom"/>
            <w:tcBorders>
              <w:bottom w:val="single" w:sz="8" w:color="EEEEEE"/>
            </w:tcBorders>
          </w:tcPr>
          <w:p>
            <w:pPr>
              <w:spacing w:after="0"/>
              <w:rPr>
                <w:sz w:val="6"/>
                <w:szCs w:val="6"/>
                <w:color w:val="auto"/>
              </w:rPr>
            </w:pPr>
          </w:p>
        </w:tc>
        <w:tc>
          <w:tcPr>
            <w:tcW w:w="960" w:type="dxa"/>
            <w:vAlign w:val="bottom"/>
            <w:tcBorders>
              <w:bottom w:val="single" w:sz="8" w:color="EEEEEE"/>
            </w:tcBorders>
          </w:tcPr>
          <w:p>
            <w:pPr>
              <w:spacing w:after="0"/>
              <w:rPr>
                <w:sz w:val="6"/>
                <w:szCs w:val="6"/>
                <w:color w:val="auto"/>
              </w:rPr>
            </w:pPr>
          </w:p>
        </w:tc>
        <w:tc>
          <w:tcPr>
            <w:tcW w:w="2080" w:type="dxa"/>
            <w:vAlign w:val="bottom"/>
            <w:tcBorders>
              <w:bottom w:val="single" w:sz="8" w:color="EEEEEE"/>
            </w:tcBorders>
          </w:tcPr>
          <w:p>
            <w:pPr>
              <w:spacing w:after="0"/>
              <w:rPr>
                <w:sz w:val="6"/>
                <w:szCs w:val="6"/>
                <w:color w:val="auto"/>
              </w:rPr>
            </w:pPr>
          </w:p>
        </w:tc>
        <w:tc>
          <w:tcPr>
            <w:tcW w:w="960" w:type="dxa"/>
            <w:vAlign w:val="bottom"/>
            <w:tcBorders>
              <w:bottom w:val="single" w:sz="8" w:color="EEEEEE"/>
            </w:tcBorders>
          </w:tcPr>
          <w:p>
            <w:pPr>
              <w:spacing w:after="0"/>
              <w:rPr>
                <w:sz w:val="6"/>
                <w:szCs w:val="6"/>
                <w:color w:val="auto"/>
              </w:rPr>
            </w:pPr>
          </w:p>
        </w:tc>
        <w:tc>
          <w:tcPr>
            <w:tcW w:w="1080" w:type="dxa"/>
            <w:vAlign w:val="bottom"/>
            <w:tcBorders>
              <w:bottom w:val="single" w:sz="8" w:color="EEEEEE"/>
            </w:tcBorders>
          </w:tcPr>
          <w:p>
            <w:pPr>
              <w:spacing w:after="0"/>
              <w:rPr>
                <w:sz w:val="6"/>
                <w:szCs w:val="6"/>
                <w:color w:val="auto"/>
              </w:rPr>
            </w:pPr>
          </w:p>
        </w:tc>
        <w:tc>
          <w:tcPr>
            <w:tcW w:w="100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640" w:type="dxa"/>
            <w:vAlign w:val="bottom"/>
            <w:tcBorders>
              <w:bottom w:val="single" w:sz="8" w:color="EEEEEE"/>
            </w:tcBorders>
          </w:tcPr>
          <w:p>
            <w:pPr>
              <w:spacing w:after="0"/>
              <w:rPr>
                <w:sz w:val="6"/>
                <w:szCs w:val="6"/>
                <w:color w:val="auto"/>
              </w:rPr>
            </w:pPr>
          </w:p>
        </w:tc>
        <w:tc>
          <w:tcPr>
            <w:tcW w:w="280" w:type="dxa"/>
            <w:vAlign w:val="bottom"/>
            <w:tcBorders>
              <w:bottom w:val="single" w:sz="8" w:color="EEEEEE"/>
            </w:tcBorders>
          </w:tcPr>
          <w:p>
            <w:pPr>
              <w:spacing w:after="0"/>
              <w:rPr>
                <w:sz w:val="6"/>
                <w:szCs w:val="6"/>
                <w:color w:val="auto"/>
              </w:rPr>
            </w:pPr>
          </w:p>
        </w:tc>
        <w:tc>
          <w:tcPr>
            <w:tcW w:w="620" w:type="dxa"/>
            <w:vAlign w:val="bottom"/>
            <w:tcBorders>
              <w:bottom w:val="single" w:sz="8" w:color="EEEEEE"/>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rPr>
              <w:t>Basis Point</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Issuer Name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Industry</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080" w:type="dxa"/>
            <w:vAlign w:val="bottom"/>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Above</w:t>
            </w:r>
          </w:p>
        </w:tc>
        <w:tc>
          <w:tcPr>
            <w:tcW w:w="1100" w:type="dxa"/>
            <w:vAlign w:val="bottom"/>
            <w:vMerge w:val="restart"/>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Par</w:t>
            </w:r>
          </w:p>
        </w:tc>
        <w:tc>
          <w:tcPr>
            <w:tcW w:w="140" w:type="dxa"/>
            <w:vAlign w:val="bottom"/>
          </w:tcPr>
          <w:p>
            <w:pPr>
              <w:spacing w:after="0"/>
              <w:rPr>
                <w:sz w:val="15"/>
                <w:szCs w:val="15"/>
                <w:color w:val="auto"/>
              </w:rPr>
            </w:pPr>
          </w:p>
        </w:tc>
        <w:tc>
          <w:tcPr>
            <w:tcW w:w="56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9"/>
        </w:trPr>
        <w:tc>
          <w:tcPr>
            <w:tcW w:w="28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Coupon</w:t>
            </w:r>
          </w:p>
        </w:tc>
        <w:tc>
          <w:tcPr>
            <w:tcW w:w="1080" w:type="dxa"/>
            <w:vAlign w:val="bottom"/>
          </w:tcPr>
          <w:p>
            <w:pPr>
              <w:jc w:val="center"/>
              <w:ind w:right="168"/>
              <w:spacing w:after="0" w:line="168" w:lineRule="exact"/>
              <w:rPr>
                <w:sz w:val="20"/>
                <w:szCs w:val="20"/>
                <w:color w:val="auto"/>
              </w:rPr>
            </w:pPr>
            <w:r>
              <w:rPr>
                <w:rFonts w:ascii="Times New Roman" w:cs="Times New Roman" w:eastAsia="Times New Roman" w:hAnsi="Times New Roman"/>
                <w:sz w:val="13"/>
                <w:szCs w:val="13"/>
                <w:b w:val="1"/>
                <w:bCs w:val="1"/>
                <w:color w:val="auto"/>
                <w:w w:val="96"/>
              </w:rPr>
              <w:t xml:space="preserve">Index </w:t>
            </w:r>
            <w:r>
              <w:rPr>
                <w:rFonts w:ascii="Times New Roman" w:cs="Times New Roman" w:eastAsia="Times New Roman" w:hAnsi="Times New Roman"/>
                <w:sz w:val="16"/>
                <w:szCs w:val="16"/>
                <w:b w:val="1"/>
                <w:bCs w:val="1"/>
                <w:color w:val="auto"/>
                <w:w w:val="96"/>
                <w:vertAlign w:val="superscript"/>
              </w:rPr>
              <w:t>(1)</w:t>
            </w: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8.73 %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SOFR+600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16,128</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15,785</w:t>
            </w:r>
          </w:p>
        </w:tc>
        <w:tc>
          <w:tcPr>
            <w:tcW w:w="360" w:type="dxa"/>
            <w:vAlign w:val="bottom"/>
            <w:gridSpan w:val="2"/>
          </w:tcPr>
          <w:p>
            <w:pPr>
              <w:jc w:val="right"/>
              <w:ind w:right="66"/>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15,870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7.73 %</w:t>
            </w:r>
          </w:p>
        </w:tc>
        <w:tc>
          <w:tcPr>
            <w:tcW w:w="10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0"/>
                <w:szCs w:val="10"/>
                <w:color w:val="auto"/>
              </w:rPr>
              <w:t>3M L+525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3,474</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3,435</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3,271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9.67 %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3M L+600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11,208</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11,102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10.67 %</w:t>
            </w:r>
          </w:p>
        </w:tc>
        <w:tc>
          <w:tcPr>
            <w:tcW w:w="10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0"/>
                <w:szCs w:val="10"/>
                <w:color w:val="auto"/>
              </w:rPr>
              <w:t>3M L+650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5,502</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5,549</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8/30/2027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8.62 %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3M L+550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4,531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7.78 %</w:t>
            </w:r>
          </w:p>
        </w:tc>
        <w:tc>
          <w:tcPr>
            <w:tcW w:w="10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0"/>
                <w:szCs w:val="10"/>
                <w:color w:val="auto"/>
              </w:rPr>
              <w:t>3M L+525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5,536</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5,392</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5,370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3/26/2026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8.87 %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3M L+600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17,381</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8.76 %</w:t>
            </w:r>
          </w:p>
        </w:tc>
        <w:tc>
          <w:tcPr>
            <w:tcW w:w="10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0"/>
                <w:szCs w:val="10"/>
                <w:color w:val="auto"/>
              </w:rPr>
              <w:t>3M L+625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7,949</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7,917</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7,910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7.76 %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3M L+550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12,064</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UBEO,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4/3/2024</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Printing and Publishing</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8.17 %</w:t>
            </w:r>
          </w:p>
        </w:tc>
        <w:tc>
          <w:tcPr>
            <w:tcW w:w="10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0"/>
                <w:szCs w:val="10"/>
                <w:color w:val="auto"/>
              </w:rPr>
              <w:t>3M L+450</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4,674</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4,657</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Unique Indoor Comfort,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5/24/2027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8.95 %</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3M L+525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9,975</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9,840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100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0"/>
                <w:szCs w:val="10"/>
                <w:color w:val="auto"/>
              </w:rPr>
              <w:t>9.45 %</w:t>
            </w:r>
          </w:p>
        </w:tc>
        <w:tc>
          <w:tcPr>
            <w:tcW w:w="10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0"/>
                <w:szCs w:val="10"/>
                <w:color w:val="auto"/>
              </w:rPr>
              <w:t>SOFR+575</w:t>
            </w:r>
          </w:p>
        </w:tc>
        <w:tc>
          <w:tcPr>
            <w:tcW w:w="11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0"/>
                <w:szCs w:val="10"/>
                <w:color w:val="auto"/>
              </w:rPr>
              <w:t>11,506</w:t>
            </w: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11,420</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00" w:type="dxa"/>
            <w:vAlign w:val="bottom"/>
          </w:tcPr>
          <w:p>
            <w:pPr>
              <w:jc w:val="right"/>
              <w:ind w:right="70"/>
              <w:spacing w:after="0" w:line="216" w:lineRule="exact"/>
              <w:rPr>
                <w:sz w:val="20"/>
                <w:szCs w:val="20"/>
                <w:color w:val="auto"/>
              </w:rPr>
            </w:pPr>
            <w:r>
              <w:rPr>
                <w:rFonts w:ascii="Times New Roman" w:cs="Times New Roman" w:eastAsia="Times New Roman" w:hAnsi="Times New Roman"/>
                <w:sz w:val="10"/>
                <w:szCs w:val="10"/>
                <w:color w:val="auto"/>
              </w:rPr>
              <w:t xml:space="preserve">10.24 </w:t>
            </w:r>
            <w:r>
              <w:rPr>
                <w:rFonts w:ascii="Times New Roman" w:cs="Times New Roman" w:eastAsia="Times New Roman" w:hAnsi="Times New Roman"/>
                <w:sz w:val="19"/>
                <w:szCs w:val="19"/>
                <w:color w:val="auto"/>
                <w:vertAlign w:val="superscript"/>
              </w:rPr>
              <w:t>%</w:t>
            </w:r>
          </w:p>
        </w:tc>
        <w:tc>
          <w:tcPr>
            <w:tcW w:w="108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3M L+725</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19,998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738,219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- 864.4%</w:t>
            </w:r>
          </w:p>
        </w:tc>
        <w:tc>
          <w:tcPr>
            <w:tcW w:w="84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- 48.5%</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4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- 912.9%</w:t>
            </w:r>
          </w:p>
        </w:tc>
        <w:tc>
          <w:tcPr>
            <w:tcW w:w="840" w:type="dxa"/>
            <w:vAlign w:val="bottom"/>
            <w:tcBorders>
              <w:bottom w:val="single" w:sz="8" w:color="CCECFF"/>
            </w:tcBorders>
            <w:shd w:val="clear" w:color="auto" w:fill="CCECFF"/>
          </w:tcPr>
          <w:p>
            <w:pPr>
              <w:spacing w:after="0"/>
              <w:rPr>
                <w:sz w:val="16"/>
                <w:szCs w:val="16"/>
                <w:color w:val="auto"/>
              </w:rPr>
            </w:pPr>
          </w:p>
        </w:tc>
        <w:tc>
          <w:tcPr>
            <w:tcW w:w="2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779,164</w:t>
            </w: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771,053</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8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(812.9)%</w:t>
            </w: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(686,591 )</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840" w:type="dxa"/>
            <w:vAlign w:val="bottom"/>
            <w:tcBorders>
              <w:bottom w:val="single" w:sz="8" w:color="CCECFF"/>
            </w:tcBorders>
            <w:shd w:val="clear" w:color="auto" w:fill="CCECFF"/>
          </w:tcPr>
          <w:p>
            <w:pPr>
              <w:spacing w:after="0"/>
              <w:rPr>
                <w:sz w:val="16"/>
                <w:szCs w:val="16"/>
                <w:color w:val="auto"/>
              </w:rPr>
            </w:pPr>
          </w:p>
        </w:tc>
        <w:tc>
          <w:tcPr>
            <w:tcW w:w="2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CCECFF"/>
            </w:tcBorders>
            <w:shd w:val="clear" w:color="auto" w:fill="CCECFF"/>
          </w:tcPr>
          <w:p>
            <w:pPr>
              <w:spacing w:after="0"/>
              <w:rPr>
                <w:sz w:val="16"/>
                <w:szCs w:val="16"/>
                <w:color w:val="auto"/>
              </w:rPr>
            </w:pPr>
          </w:p>
        </w:tc>
        <w:tc>
          <w:tcPr>
            <w:tcW w:w="11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6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84,462</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PSLF’s accounting policy.</w:t>
      </w:r>
    </w:p>
    <w:p>
      <w:pPr>
        <w:spacing w:after="0"/>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Represents the purchase of a security with delay settlement or a revolving line of credit that is currently an unfunded investment. This security does not earn a basis point spread above an index while it is unfunded.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1</w:t>
      </w:r>
    </w:p>
    <w:tbl>
      <w:tblPr>
        <w:tblLayout w:type="fixed"/>
        <w:tblInd w:w="0" w:type="dxa"/>
        <w:tblCellMar>
          <w:top w:w="0" w:type="dxa"/>
          <w:left w:w="0" w:type="dxa"/>
          <w:bottom w:w="0" w:type="dxa"/>
          <w:right w:w="0" w:type="dxa"/>
        </w:tblCellMar>
      </w:tblPr>
      <w:tr>
        <w:trPr>
          <w:trHeight w:val="172"/>
        </w:trPr>
        <w:tc>
          <w:tcPr>
            <w:tcW w:w="59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the consolidated statements of assets and liabilities for PSLF ($ in thousands):</w:t>
            </w:r>
          </w:p>
        </w:tc>
        <w:tc>
          <w:tcPr>
            <w:tcW w:w="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5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w w:val="99"/>
              </w:rPr>
              <w:t>September 30, 2023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0" w:type="dxa"/>
            <w:vAlign w:val="bottom"/>
          </w:tcPr>
          <w:p>
            <w:pPr>
              <w:spacing w:after="0"/>
              <w:rPr>
                <w:sz w:val="1"/>
                <w:szCs w:val="1"/>
                <w:color w:val="auto"/>
              </w:rPr>
            </w:pPr>
          </w:p>
        </w:tc>
      </w:tr>
      <w:tr>
        <w:trPr>
          <w:trHeight w:val="184"/>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cost—$810,737 and $738,219, respectively)</w:t>
            </w:r>
          </w:p>
        </w:tc>
        <w:tc>
          <w:tcPr>
            <w:tcW w:w="500" w:type="dxa"/>
            <w:vAlign w:val="bottom"/>
            <w:shd w:val="clear" w:color="auto" w:fill="CCEC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62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(cost—$59,096 and $40,945, respectively)</w:t>
            </w:r>
          </w:p>
        </w:tc>
        <w:tc>
          <w:tcPr>
            <w:tcW w:w="5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5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500" w:type="dxa"/>
            <w:vAlign w:val="bottom"/>
            <w:shd w:val="clear" w:color="auto" w:fill="CCECFF"/>
          </w:tcPr>
          <w:p>
            <w:pPr>
              <w:spacing w:after="0"/>
              <w:rPr>
                <w:sz w:val="16"/>
                <w:szCs w:val="16"/>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500" w:type="dxa"/>
            <w:vAlign w:val="bottom"/>
            <w:shd w:val="clear" w:color="auto" w:fill="CCECFF"/>
          </w:tcPr>
          <w:p>
            <w:pPr>
              <w:spacing w:after="0"/>
              <w:rPr>
                <w:sz w:val="16"/>
                <w:szCs w:val="16"/>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500" w:type="dxa"/>
            <w:vAlign w:val="bottom"/>
            <w:shd w:val="clear" w:color="auto" w:fill="CCECFF"/>
          </w:tcPr>
          <w:p>
            <w:pPr>
              <w:spacing w:after="0"/>
              <w:rPr>
                <w:sz w:val="16"/>
                <w:szCs w:val="16"/>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500" w:type="dxa"/>
            <w:vAlign w:val="bottom"/>
            <w:shd w:val="clear" w:color="auto" w:fill="CCECFF"/>
          </w:tcPr>
          <w:p>
            <w:pPr>
              <w:spacing w:after="0"/>
              <w:rPr>
                <w:sz w:val="15"/>
                <w:szCs w:val="15"/>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3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243,896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500" w:type="dxa"/>
            <w:vAlign w:val="bottom"/>
            <w:shd w:val="clear" w:color="auto" w:fill="CCECFF"/>
          </w:tcPr>
          <w:p>
            <w:pPr>
              <w:spacing w:after="0"/>
              <w:rPr>
                <w:sz w:val="16"/>
                <w:szCs w:val="16"/>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145,472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500" w:type="dxa"/>
            <w:vAlign w:val="bottom"/>
            <w:shd w:val="clear" w:color="auto" w:fill="CCECFF"/>
          </w:tcPr>
          <w:p>
            <w:pPr>
              <w:spacing w:after="0"/>
              <w:rPr>
                <w:sz w:val="16"/>
                <w:szCs w:val="16"/>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500" w:type="dxa"/>
            <w:vAlign w:val="bottom"/>
            <w:shd w:val="clear" w:color="auto" w:fill="CCECFF"/>
          </w:tcPr>
          <w:p>
            <w:pPr>
              <w:spacing w:after="0"/>
              <w:rPr>
                <w:sz w:val="16"/>
                <w:szCs w:val="16"/>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500" w:type="dxa"/>
            <w:vAlign w:val="bottom"/>
            <w:shd w:val="clear" w:color="auto" w:fill="CCECFF"/>
          </w:tcPr>
          <w:p>
            <w:pPr>
              <w:spacing w:after="0"/>
              <w:rPr>
                <w:sz w:val="16"/>
                <w:szCs w:val="16"/>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3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696,825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500" w:type="dxa"/>
            <w:vAlign w:val="bottom"/>
            <w:shd w:val="clear" w:color="auto" w:fill="CCECFF"/>
          </w:tcPr>
          <w:p>
            <w:pPr>
              <w:spacing w:after="0"/>
              <w:rPr>
                <w:sz w:val="15"/>
                <w:szCs w:val="15"/>
                <w:color w:val="auto"/>
              </w:rPr>
            </w:pPr>
          </w:p>
        </w:tc>
        <w:tc>
          <w:tcPr>
            <w:tcW w:w="16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9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94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500" w:type="dxa"/>
            <w:vAlign w:val="bottom"/>
            <w:tcBorders>
              <w:bottom w:val="single" w:sz="8" w:color="auto"/>
            </w:tcBorders>
            <w:shd w:val="clear" w:color="auto" w:fill="CCEC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34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44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7"/>
              </w:rPr>
              <w:t>*For the years ended of September 30, 2023 and 2022, PSLF had $0.5 million and zero, respectively, of unfunded commitments to fund investments.</w:t>
            </w: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594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PSLF ($ in thousands):</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0" w:type="dxa"/>
            <w:vAlign w:val="bottom"/>
          </w:tcPr>
          <w:p>
            <w:pPr>
              <w:spacing w:after="0"/>
              <w:rPr>
                <w:sz w:val="1"/>
                <w:szCs w:val="1"/>
                <w:color w:val="auto"/>
              </w:rPr>
            </w:pPr>
          </w:p>
        </w:tc>
      </w:tr>
      <w:tr>
        <w:trPr>
          <w:trHeight w:val="180"/>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88,280</w:t>
            </w:r>
          </w:p>
        </w:tc>
        <w:tc>
          <w:tcPr>
            <w:tcW w:w="300" w:type="dxa"/>
            <w:vAlign w:val="bottom"/>
            <w:shd w:val="clear" w:color="auto" w:fill="CCECFF"/>
          </w:tcPr>
          <w:p>
            <w:pPr>
              <w:spacing w:after="0"/>
              <w:rPr>
                <w:sz w:val="16"/>
                <w:szCs w:val="16"/>
                <w:color w:val="auto"/>
              </w:rPr>
            </w:pPr>
          </w:p>
        </w:tc>
        <w:tc>
          <w:tcPr>
            <w:tcW w:w="3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37,905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60" w:type="dxa"/>
            <w:vAlign w:val="bottom"/>
            <w:shd w:val="clear" w:color="auto" w:fill="CCECFF"/>
          </w:tcPr>
          <w:p>
            <w:pPr>
              <w:spacing w:after="0"/>
              <w:rPr>
                <w:sz w:val="15"/>
                <w:szCs w:val="15"/>
                <w:color w:val="auto"/>
              </w:rPr>
            </w:pP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89,690</w:t>
            </w:r>
          </w:p>
        </w:tc>
        <w:tc>
          <w:tcPr>
            <w:tcW w:w="3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2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38,151</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7400" w:type="dxa"/>
            <w:vAlign w:val="bottom"/>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860" w:type="dxa"/>
            <w:vAlign w:val="bottom"/>
            <w:vMerge w:val="continue"/>
            <w:shd w:val="clear" w:color="auto" w:fill="CCECFF"/>
          </w:tcPr>
          <w:p>
            <w:pPr>
              <w:spacing w:after="0"/>
              <w:rPr>
                <w:sz w:val="5"/>
                <w:szCs w:val="5"/>
                <w:color w:val="auto"/>
              </w:rPr>
            </w:pPr>
          </w:p>
        </w:tc>
        <w:tc>
          <w:tcPr>
            <w:tcW w:w="300" w:type="dxa"/>
            <w:vAlign w:val="bottom"/>
            <w:shd w:val="clear" w:color="auto" w:fill="CCECFF"/>
          </w:tcPr>
          <w:p>
            <w:pPr>
              <w:spacing w:after="0"/>
              <w:rPr>
                <w:sz w:val="5"/>
                <w:szCs w:val="5"/>
                <w:color w:val="auto"/>
              </w:rPr>
            </w:pPr>
          </w:p>
        </w:tc>
        <w:tc>
          <w:tcPr>
            <w:tcW w:w="380" w:type="dxa"/>
            <w:vAlign w:val="bottom"/>
            <w:shd w:val="clear" w:color="auto" w:fill="CCECFF"/>
          </w:tcPr>
          <w:p>
            <w:pPr>
              <w:spacing w:after="0"/>
              <w:rPr>
                <w:sz w:val="5"/>
                <w:szCs w:val="5"/>
                <w:color w:val="auto"/>
              </w:rPr>
            </w:pPr>
          </w:p>
        </w:tc>
        <w:tc>
          <w:tcPr>
            <w:tcW w:w="1280" w:type="dxa"/>
            <w:vAlign w:val="bottom"/>
            <w:vMerge w:val="continue"/>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26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3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11,023</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26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30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26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61,952</w:t>
            </w:r>
          </w:p>
        </w:tc>
        <w:tc>
          <w:tcPr>
            <w:tcW w:w="30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4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26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2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6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(498 )</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26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30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(8,334 )</w:t>
            </w:r>
          </w:p>
        </w:tc>
        <w:tc>
          <w:tcPr>
            <w:tcW w:w="0" w:type="dxa"/>
            <w:vAlign w:val="bottom"/>
          </w:tcPr>
          <w:p>
            <w:pPr>
              <w:spacing w:after="0"/>
              <w:rPr>
                <w:sz w:val="1"/>
                <w:szCs w:val="1"/>
                <w:color w:val="auto"/>
              </w:rPr>
            </w:pPr>
          </w:p>
        </w:tc>
      </w:tr>
      <w:tr>
        <w:trPr>
          <w:trHeight w:val="177"/>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(7,958 )</w:t>
            </w:r>
          </w:p>
        </w:tc>
        <w:tc>
          <w:tcPr>
            <w:tcW w:w="0" w:type="dxa"/>
            <w:vAlign w:val="bottom"/>
          </w:tcPr>
          <w:p>
            <w:pPr>
              <w:spacing w:after="0"/>
              <w:rPr>
                <w:sz w:val="1"/>
                <w:szCs w:val="1"/>
                <w:color w:val="auto"/>
              </w:rPr>
            </w:pPr>
          </w:p>
        </w:tc>
      </w:tr>
      <w:tr>
        <w:trPr>
          <w:trHeight w:val="220"/>
        </w:trPr>
        <w:tc>
          <w:tcPr>
            <w:tcW w:w="7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300" w:type="dxa"/>
            <w:vAlign w:val="bottom"/>
            <w:tcBorders>
              <w:bottom w:val="single" w:sz="8" w:color="CCECFF"/>
            </w:tcBorders>
            <w:shd w:val="clear" w:color="auto" w:fill="CCECFF"/>
          </w:tcPr>
          <w:p>
            <w:pPr>
              <w:spacing w:after="0"/>
              <w:rPr>
                <w:sz w:val="19"/>
                <w:szCs w:val="19"/>
                <w:color w:val="auto"/>
              </w:rPr>
            </w:pPr>
          </w:p>
        </w:tc>
        <w:tc>
          <w:tcPr>
            <w:tcW w:w="380" w:type="dxa"/>
            <w:vAlign w:val="bottom"/>
            <w:tcBorders>
              <w:bottom w:val="single" w:sz="8" w:color="auto"/>
            </w:tcBorders>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No management or incentive fees are payable by PSLF</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29"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2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3"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91"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94"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252"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76"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SBA debentures, our 2026 Notes, our 2026-2 Notes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3"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94" w:lineRule="exact"/>
        <w:rPr>
          <w:sz w:val="20"/>
          <w:szCs w:val="20"/>
          <w:color w:val="auto"/>
        </w:rPr>
      </w:pPr>
    </w:p>
    <w:p>
      <w:pPr>
        <w:ind w:right="80"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6"/>
                <w:szCs w:val="16"/>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15,090</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512,567</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7.0% - 25.0% (11.4%)</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9,512</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70,884</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14.2% - 20.8% (15.9%)</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156,222</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13.4% - 18.8% (14.3%)</w:t>
            </w:r>
          </w:p>
        </w:tc>
      </w:tr>
      <w:tr>
        <w:trPr>
          <w:trHeight w:val="220"/>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F"/>
          </w:tcPr>
          <w:p>
            <w:pPr>
              <w:spacing w:after="0"/>
              <w:rPr>
                <w:sz w:val="19"/>
                <w:szCs w:val="19"/>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161,895</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0.5x - 17.7x (10.9x)</w:t>
            </w: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3"/>
                <w:szCs w:val="13"/>
                <w:color w:val="auto"/>
                <w:w w:val="96"/>
              </w:rPr>
              <w:t xml:space="preserve">DLOM </w:t>
            </w:r>
            <w:r>
              <w:rPr>
                <w:rFonts w:ascii="Times New Roman" w:cs="Times New Roman" w:eastAsia="Times New Roman" w:hAnsi="Times New Roman"/>
                <w:sz w:val="16"/>
                <w:szCs w:val="16"/>
                <w:color w:val="auto"/>
                <w:w w:val="96"/>
                <w:vertAlign w:val="superscript"/>
              </w:rPr>
              <w:t>(2)</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27.9x</w:t>
            </w:r>
          </w:p>
        </w:tc>
      </w:tr>
      <w:tr>
        <w:trPr>
          <w:trHeight w:val="220"/>
        </w:trPr>
        <w:tc>
          <w:tcPr>
            <w:tcW w:w="25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200" w:type="dxa"/>
            <w:vAlign w:val="bottom"/>
            <w:tcBorders>
              <w:bottom w:val="single" w:sz="8" w:color="CCECFF"/>
            </w:tcBorders>
            <w:shd w:val="clear" w:color="auto" w:fill="CCECFF"/>
          </w:tcPr>
          <w:p>
            <w:pPr>
              <w:spacing w:after="0"/>
              <w:rPr>
                <w:sz w:val="19"/>
                <w:szCs w:val="19"/>
                <w:color w:val="auto"/>
              </w:rPr>
            </w:pPr>
          </w:p>
        </w:tc>
        <w:tc>
          <w:tcPr>
            <w:tcW w:w="2240" w:type="dxa"/>
            <w:vAlign w:val="bottom"/>
            <w:tcBorders>
              <w:bottom w:val="single" w:sz="8" w:color="CCECFF"/>
            </w:tcBorders>
            <w:shd w:val="clear" w:color="auto" w:fill="CCECFF"/>
          </w:tcPr>
          <w:p>
            <w:pPr>
              <w:spacing w:after="0"/>
              <w:rPr>
                <w:sz w:val="19"/>
                <w:szCs w:val="19"/>
                <w:color w:val="auto"/>
              </w:rPr>
            </w:pPr>
          </w:p>
        </w:tc>
        <w:tc>
          <w:tcPr>
            <w:tcW w:w="1940" w:type="dxa"/>
            <w:vAlign w:val="bottom"/>
            <w:tcBorders>
              <w:bottom w:val="single" w:sz="8" w:color="CCECFF"/>
            </w:tcBorders>
            <w:shd w:val="clear" w:color="auto" w:fill="CCECFF"/>
          </w:tcPr>
          <w:p>
            <w:pPr>
              <w:spacing w:after="0"/>
              <w:rPr>
                <w:sz w:val="19"/>
                <w:szCs w:val="19"/>
                <w:color w:val="auto"/>
              </w:rPr>
            </w:pPr>
          </w:p>
        </w:tc>
      </w:tr>
      <w:tr>
        <w:trPr>
          <w:trHeight w:val="15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23"/>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200" w:type="dxa"/>
            <w:vAlign w:val="bottom"/>
            <w:tcBorders>
              <w:bottom w:val="single" w:sz="8" w:color="CCECFF"/>
            </w:tcBorders>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2.4%</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DLOM is defined as discount for lack of marketability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Asset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6"/>
                <w:szCs w:val="16"/>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44,530</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569,488</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7.0% – 20.2% (10.8%)</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16,946</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14.0x</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21,600</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108,336</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13.3% – 17.0% (14.4%)</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6.0x</w:t>
            </w: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Subordinated debt / corporate notes</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141,265</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10.8x – 17.2x (12.3x)</w:t>
            </w:r>
          </w:p>
        </w:tc>
      </w:tr>
      <w:tr>
        <w:trPr>
          <w:trHeight w:val="184"/>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CECFF"/>
          </w:tcPr>
          <w:p>
            <w:pPr>
              <w:spacing w:after="0"/>
              <w:rPr>
                <w:sz w:val="16"/>
                <w:szCs w:val="16"/>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215,131</w:t>
            </w:r>
          </w:p>
        </w:tc>
        <w:tc>
          <w:tcPr>
            <w:tcW w:w="2200" w:type="dxa"/>
            <w:vAlign w:val="bottom"/>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3.3x – 21.4x (9.1x)</w:t>
            </w: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42,031</w:t>
            </w:r>
          </w:p>
        </w:tc>
        <w:tc>
          <w:tcPr>
            <w:tcW w:w="2200" w:type="dxa"/>
            <w:vAlign w:val="bottom"/>
          </w:tcPr>
          <w:p>
            <w:pPr>
              <w:jc w:val="center"/>
              <w:ind w:left="154"/>
              <w:spacing w:after="0"/>
              <w:rPr>
                <w:sz w:val="20"/>
                <w:szCs w:val="20"/>
                <w:color w:val="auto"/>
              </w:rPr>
            </w:pPr>
            <w:r>
              <w:rPr>
                <w:rFonts w:ascii="Times New Roman" w:cs="Times New Roman" w:eastAsia="Times New Roman" w:hAnsi="Times New Roman"/>
                <w:sz w:val="13"/>
                <w:szCs w:val="13"/>
                <w:color w:val="auto"/>
              </w:rPr>
              <w:t>Enterprise Market Value</w:t>
            </w: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3"/>
                <w:szCs w:val="13"/>
                <w:color w:val="auto"/>
                <w:w w:val="94"/>
              </w:rPr>
              <w:t>DLOM</w:t>
            </w:r>
            <w:r>
              <w:rPr>
                <w:rFonts w:ascii="Times New Roman" w:cs="Times New Roman" w:eastAsia="Times New Roman" w:hAnsi="Times New Roman"/>
                <w:sz w:val="16"/>
                <w:szCs w:val="16"/>
                <w:color w:val="auto"/>
                <w:w w:val="94"/>
                <w:vertAlign w:val="superscript"/>
              </w:rPr>
              <w:t>(2)</w:t>
            </w: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11.8%</w:t>
            </w:r>
          </w:p>
        </w:tc>
      </w:tr>
      <w:tr>
        <w:trPr>
          <w:trHeight w:val="220"/>
        </w:trPr>
        <w:tc>
          <w:tcPr>
            <w:tcW w:w="25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2200" w:type="dxa"/>
            <w:vAlign w:val="bottom"/>
            <w:tcBorders>
              <w:bottom w:val="single" w:sz="8" w:color="CCECFF"/>
            </w:tcBorders>
            <w:shd w:val="clear" w:color="auto" w:fill="CCECFF"/>
          </w:tcPr>
          <w:p>
            <w:pPr>
              <w:spacing w:after="0"/>
              <w:rPr>
                <w:sz w:val="19"/>
                <w:szCs w:val="19"/>
                <w:color w:val="auto"/>
              </w:rPr>
            </w:pPr>
          </w:p>
        </w:tc>
        <w:tc>
          <w:tcPr>
            <w:tcW w:w="2240" w:type="dxa"/>
            <w:vAlign w:val="bottom"/>
            <w:tcBorders>
              <w:bottom w:val="single" w:sz="8" w:color="CCECFF"/>
            </w:tcBorders>
            <w:shd w:val="clear" w:color="auto" w:fill="CCECFF"/>
          </w:tcPr>
          <w:p>
            <w:pPr>
              <w:spacing w:after="0"/>
              <w:rPr>
                <w:sz w:val="19"/>
                <w:szCs w:val="19"/>
                <w:color w:val="auto"/>
              </w:rPr>
            </w:pPr>
          </w:p>
        </w:tc>
        <w:tc>
          <w:tcPr>
            <w:tcW w:w="1940" w:type="dxa"/>
            <w:vAlign w:val="bottom"/>
            <w:tcBorders>
              <w:bottom w:val="single" w:sz="8" w:color="CCECFF"/>
            </w:tcBorders>
            <w:shd w:val="clear" w:color="auto" w:fill="CCECFF"/>
          </w:tcPr>
          <w:p>
            <w:pPr>
              <w:spacing w:after="0"/>
              <w:rPr>
                <w:sz w:val="19"/>
                <w:szCs w:val="19"/>
                <w:color w:val="auto"/>
              </w:rPr>
            </w:pPr>
          </w:p>
        </w:tc>
      </w:tr>
      <w:tr>
        <w:trPr>
          <w:trHeight w:val="15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Debt Category </w:t>
            </w:r>
            <w:r>
              <w:rPr>
                <w:rFonts w:ascii="Times New Roman" w:cs="Times New Roman" w:eastAsia="Times New Roman" w:hAnsi="Times New Roman"/>
                <w:sz w:val="13"/>
                <w:szCs w:val="13"/>
                <w:color w:val="auto"/>
              </w:rPr>
              <w:t>($ in thousands)</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23"/>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2200" w:type="dxa"/>
            <w:vAlign w:val="bottom"/>
            <w:tcBorders>
              <w:bottom w:val="single" w:sz="8" w:color="CCECFF"/>
            </w:tcBorders>
            <w:shd w:val="clear" w:color="auto" w:fill="CCECFF"/>
          </w:tcPr>
          <w:p>
            <w:pPr>
              <w:jc w:val="center"/>
              <w:ind w:left="154"/>
              <w:spacing w:after="0"/>
              <w:rPr>
                <w:sz w:val="20"/>
                <w:szCs w:val="20"/>
                <w:color w:val="auto"/>
              </w:rPr>
            </w:pPr>
            <w:r>
              <w:rPr>
                <w:rFonts w:ascii="Times New Roman" w:cs="Times New Roman" w:eastAsia="Times New Roman" w:hAnsi="Times New Roman"/>
                <w:sz w:val="13"/>
                <w:szCs w:val="13"/>
                <w:color w:val="auto"/>
              </w:rPr>
              <w:t>Market Comparable</w:t>
            </w:r>
          </w:p>
        </w:tc>
        <w:tc>
          <w:tcPr>
            <w:tcW w:w="22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9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2.4%</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DLOM is defined as discount for lack of marketability</w:t>
      </w:r>
    </w:p>
    <w:p>
      <w:pPr>
        <w:spacing w:after="0" w:line="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investments, cash and cash equivalents, Credit Facility, SBA debentures, 2026 Notes and 2026 Notes-2 were categorized as follows in the fair value hierarchy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3"/>
                <w:szCs w:val="13"/>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93"/>
        </w:trPr>
        <w:tc>
          <w:tcPr>
            <w:tcW w:w="3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6"/>
                <w:szCs w:val="16"/>
                <w:color w:val="auto"/>
                <w:vertAlign w:val="superscript"/>
              </w:rPr>
              <w:t>(3)</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237,621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1,101,647</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360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1,140,422</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38,775</w:t>
            </w:r>
          </w:p>
        </w:tc>
        <w:tc>
          <w:tcPr>
            <w:tcW w:w="24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99,751</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74,568</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147,669</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Notes-2</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162,226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360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516,835</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309,895</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right="80"/>
        <w:spacing w:after="0" w:line="21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PSLF and PTSF II is measured using the net asset value per share (or its equivalent) as a practical expedient for fair value in accordance with the specialized accounting guidance for investment companies, and thus has not been classified in the fair value hierarchy.</w:t>
      </w:r>
    </w:p>
    <w:p>
      <w:pPr>
        <w:spacing w:after="0" w:line="230"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We elected not to apply ASC 825-10 to the 2026 Notes, and the 2026 Notes-2 and thus the balance reported in the Consolidated Statement of Assets and Liabilities represents the carrying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Our U.S. Treasury Bills are classified as Level 2, as they were valued by the pricing service who utilize broker-supplied prices.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 September 30, 2022</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180" w:type="dxa"/>
            <w:vAlign w:val="bottom"/>
          </w:tcPr>
          <w:p>
            <w:pPr>
              <w:spacing w:after="0"/>
              <w:rPr>
                <w:sz w:val="13"/>
                <w:szCs w:val="13"/>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93"/>
        </w:trPr>
        <w:tc>
          <w:tcPr>
            <w:tcW w:w="3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 xml:space="preserve">Asset Value </w:t>
            </w:r>
            <w:r>
              <w:rPr>
                <w:rFonts w:ascii="Times New Roman" w:cs="Times New Roman" w:eastAsia="Times New Roman" w:hAnsi="Times New Roman"/>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17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902,165</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902,165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 investments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324,136</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257,162</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66,670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1,226,301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54,775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1,281,076</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55,079</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Truist Credit Facility</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SBA Debentures </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2026 Notes </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146,767</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146,767</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2026-2 Notes </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161,373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161,373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360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704,513</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308,140</w:t>
            </w:r>
          </w:p>
        </w:tc>
        <w:tc>
          <w:tcPr>
            <w:tcW w:w="24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396,373</w:t>
            </w:r>
          </w:p>
        </w:tc>
        <w:tc>
          <w:tcPr>
            <w:tcW w:w="20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right="80"/>
        <w:spacing w:after="0" w:line="21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PSLF and PTSF II is measured using the net asset value per share (or its equivalent) as a practical expedient for fair value in accordance with the specialized accounting guidance for investment companies, and thus has not been classified in the fair value hierarchy.</w:t>
      </w:r>
    </w:p>
    <w:p>
      <w:pPr>
        <w:spacing w:after="0" w:line="217" w:lineRule="auto"/>
        <w:rPr>
          <w:sz w:val="20"/>
          <w:szCs w:val="20"/>
          <w:color w:val="auto"/>
        </w:rPr>
      </w:pP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0"/>
          <w:szCs w:val="10"/>
          <w:color w:val="auto"/>
        </w:rPr>
        <w:t>We elected not to apply ASC 825-10 to the SBA debentures , the 2026 Notes, and the 2026 Notes-2 and thus the balance reported in the Consolidated Statement of Assets and Liabilities represents the carrying value. As of September 30,</w:t>
      </w:r>
    </w:p>
    <w:p>
      <w:pPr>
        <w:spacing w:after="0"/>
        <w:rPr>
          <w:sz w:val="20"/>
          <w:szCs w:val="20"/>
          <w:color w:val="auto"/>
        </w:rPr>
      </w:pPr>
      <w:r>
        <w:rPr>
          <w:rFonts w:ascii="Times New Roman" w:cs="Times New Roman" w:eastAsia="Times New Roman" w:hAnsi="Times New Roman"/>
          <w:sz w:val="11"/>
          <w:szCs w:val="11"/>
          <w:color w:val="auto"/>
        </w:rPr>
        <w:t>2022, the carrying value of the SBA debentures approximates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investments measured at fair value using significant unobservable inputs (Level 3)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September 30, 2023</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5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902,165</w:t>
            </w:r>
          </w:p>
        </w:tc>
        <w:tc>
          <w:tcPr>
            <w:tcW w:w="260" w:type="dxa"/>
            <w:vAlign w:val="bottom"/>
          </w:tcPr>
          <w:p>
            <w:pPr>
              <w:spacing w:after="0"/>
              <w:rPr>
                <w:sz w:val="16"/>
                <w:szCs w:val="16"/>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257,162</w:t>
            </w:r>
          </w:p>
        </w:tc>
        <w:tc>
          <w:tcPr>
            <w:tcW w:w="240" w:type="dxa"/>
            <w:vAlign w:val="bottom"/>
          </w:tcPr>
          <w:p>
            <w:pPr>
              <w:spacing w:after="0"/>
              <w:rPr>
                <w:sz w:val="16"/>
                <w:szCs w:val="16"/>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(17,070 )</w:t>
            </w:r>
          </w:p>
        </w:tc>
        <w:tc>
          <w:tcPr>
            <w:tcW w:w="22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(128,078 )</w:t>
            </w:r>
          </w:p>
        </w:tc>
        <w:tc>
          <w:tcPr>
            <w:tcW w:w="28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(145,148 )</w:t>
            </w: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46,893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253,353</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24,045</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277,398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tcPr>
          <w:p>
            <w:pPr>
              <w:spacing w:after="0"/>
              <w:rPr>
                <w:sz w:val="15"/>
                <w:szCs w:val="15"/>
                <w:color w:val="auto"/>
              </w:rPr>
            </w:pPr>
          </w:p>
        </w:tc>
        <w:tc>
          <w:tcPr>
            <w:tcW w:w="13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(382,619 )</w:t>
            </w:r>
          </w:p>
        </w:tc>
        <w:tc>
          <w:tcPr>
            <w:tcW w:w="2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(36,969 )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(419,588 )</w:t>
            </w: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764,275</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163,053</w:t>
            </w:r>
          </w:p>
        </w:tc>
        <w:tc>
          <w:tcPr>
            <w:tcW w:w="240" w:type="dxa"/>
            <w:vAlign w:val="bottom"/>
          </w:tcPr>
          <w:p>
            <w:pPr>
              <w:spacing w:after="0"/>
              <w:rPr>
                <w:sz w:val="15"/>
                <w:szCs w:val="15"/>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927,328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98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(488 </w:t>
            </w:r>
            <w:r>
              <w:rPr>
                <w:rFonts w:ascii="Times New Roman" w:cs="Times New Roman" w:eastAsia="Times New Roman" w:hAnsi="Times New Roman"/>
                <w:sz w:val="26"/>
                <w:szCs w:val="26"/>
                <w:color w:val="auto"/>
                <w:vertAlign w:val="subscript"/>
              </w:rPr>
              <w:t>)</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 xml:space="preserve">(37,015 </w:t>
            </w:r>
            <w:r>
              <w:rPr>
                <w:rFonts w:ascii="Times New Roman" w:cs="Times New Roman" w:eastAsia="Times New Roman" w:hAnsi="Times New Roman"/>
                <w:sz w:val="26"/>
                <w:szCs w:val="26"/>
                <w:color w:val="auto"/>
                <w:vertAlign w:val="subscript"/>
              </w:rPr>
              <w:t>)</w:t>
            </w:r>
          </w:p>
        </w:tc>
        <w:tc>
          <w:tcPr>
            <w:tcW w:w="280" w:type="dxa"/>
            <w:vAlign w:val="bottom"/>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(37,503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64"/>
        </w:trPr>
        <w:tc>
          <w:tcPr>
            <w:tcW w:w="5980" w:type="dxa"/>
            <w:vAlign w:val="bottom"/>
            <w:shd w:val="clear" w:color="auto" w:fill="CCECFF"/>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shd w:val="clear" w:color="auto" w:fill="CCECFF"/>
          </w:tcPr>
          <w:p>
            <w:pPr>
              <w:spacing w:after="0"/>
              <w:rPr>
                <w:sz w:val="14"/>
                <w:szCs w:val="14"/>
                <w:color w:val="auto"/>
              </w:rPr>
            </w:pPr>
          </w:p>
        </w:tc>
        <w:tc>
          <w:tcPr>
            <w:tcW w:w="1380" w:type="dxa"/>
            <w:vAlign w:val="bottom"/>
            <w:gridSpan w:val="2"/>
            <w:vMerge w:val="continue"/>
            <w:shd w:val="clear" w:color="auto" w:fill="CCECFF"/>
          </w:tcPr>
          <w:p>
            <w:pPr>
              <w:spacing w:after="0"/>
              <w:rPr>
                <w:sz w:val="14"/>
                <w:szCs w:val="14"/>
                <w:color w:val="auto"/>
              </w:rPr>
            </w:pPr>
          </w:p>
        </w:tc>
        <w:tc>
          <w:tcPr>
            <w:tcW w:w="220" w:type="dxa"/>
            <w:vAlign w:val="bottom"/>
            <w:vMerge w:val="continue"/>
            <w:shd w:val="clear" w:color="auto" w:fill="CCECFF"/>
          </w:tcPr>
          <w:p>
            <w:pPr>
              <w:spacing w:after="0"/>
              <w:rPr>
                <w:sz w:val="14"/>
                <w:szCs w:val="14"/>
                <w:color w:val="auto"/>
              </w:rPr>
            </w:pPr>
          </w:p>
        </w:tc>
        <w:tc>
          <w:tcPr>
            <w:tcW w:w="1360" w:type="dxa"/>
            <w:vAlign w:val="bottom"/>
            <w:gridSpan w:val="2"/>
            <w:vMerge w:val="continue"/>
            <w:shd w:val="clear" w:color="auto" w:fill="CCECFF"/>
          </w:tcPr>
          <w:p>
            <w:pPr>
              <w:spacing w:after="0"/>
              <w:rPr>
                <w:sz w:val="14"/>
                <w:szCs w:val="14"/>
                <w:color w:val="auto"/>
              </w:rPr>
            </w:pPr>
          </w:p>
        </w:tc>
        <w:tc>
          <w:tcPr>
            <w:tcW w:w="280" w:type="dxa"/>
            <w:vAlign w:val="bottom"/>
            <w:vMerge w:val="continue"/>
            <w:shd w:val="clear" w:color="auto" w:fill="CCECFF"/>
          </w:tcPr>
          <w:p>
            <w:pPr>
              <w:spacing w:after="0"/>
              <w:rPr>
                <w:sz w:val="14"/>
                <w:szCs w:val="14"/>
                <w:color w:val="auto"/>
              </w:rPr>
            </w:pPr>
          </w:p>
        </w:tc>
        <w:tc>
          <w:tcPr>
            <w:tcW w:w="112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 Ended September 30, 2022</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Debt</w:t>
            </w:r>
          </w:p>
        </w:tc>
        <w:tc>
          <w:tcPr>
            <w:tcW w:w="220" w:type="dxa"/>
            <w:vAlign w:val="bottom"/>
          </w:tcPr>
          <w:p>
            <w:pPr>
              <w:spacing w:after="0"/>
              <w:rPr>
                <w:sz w:val="14"/>
                <w:szCs w:val="14"/>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80" w:type="dxa"/>
            <w:vAlign w:val="bottom"/>
          </w:tcPr>
          <w:p>
            <w:pPr>
              <w:spacing w:after="0"/>
              <w:rPr>
                <w:sz w:val="14"/>
                <w:szCs w:val="14"/>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9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Description </w:t>
            </w:r>
            <w:r>
              <w:rPr>
                <w:rFonts w:ascii="Times New Roman" w:cs="Times New Roman" w:eastAsia="Times New Roman" w:hAnsi="Times New Roman"/>
                <w:sz w:val="13"/>
                <w:szCs w:val="13"/>
                <w:color w:val="auto"/>
              </w:rPr>
              <w:t>($ in thousands)</w:t>
            </w:r>
          </w:p>
        </w:tc>
        <w:tc>
          <w:tcPr>
            <w:tcW w:w="220" w:type="dxa"/>
            <w:vAlign w:val="bottom"/>
          </w:tcPr>
          <w:p>
            <w:pPr>
              <w:spacing w:after="0"/>
              <w:rPr>
                <w:sz w:val="7"/>
                <w:szCs w:val="7"/>
                <w:color w:val="auto"/>
              </w:rPr>
            </w:pPr>
          </w:p>
        </w:tc>
        <w:tc>
          <w:tcPr>
            <w:tcW w:w="1380" w:type="dxa"/>
            <w:vAlign w:val="bottom"/>
            <w:gridSpan w:val="2"/>
            <w:vMerge w:val="restart"/>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20" w:type="dxa"/>
            <w:vAlign w:val="bottom"/>
          </w:tcPr>
          <w:p>
            <w:pPr>
              <w:spacing w:after="0"/>
              <w:rPr>
                <w:sz w:val="7"/>
                <w:szCs w:val="7"/>
                <w:color w:val="auto"/>
              </w:rPr>
            </w:pPr>
          </w:p>
        </w:tc>
        <w:tc>
          <w:tcPr>
            <w:tcW w:w="13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5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850,593</w:t>
            </w:r>
          </w:p>
        </w:tc>
        <w:tc>
          <w:tcPr>
            <w:tcW w:w="260" w:type="dxa"/>
            <w:vAlign w:val="bottom"/>
          </w:tcPr>
          <w:p>
            <w:pPr>
              <w:spacing w:after="0"/>
              <w:rPr>
                <w:sz w:val="16"/>
                <w:szCs w:val="16"/>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360,427</w:t>
            </w:r>
          </w:p>
        </w:tc>
        <w:tc>
          <w:tcPr>
            <w:tcW w:w="240" w:type="dxa"/>
            <w:vAlign w:val="bottom"/>
          </w:tcPr>
          <w:p>
            <w:pPr>
              <w:spacing w:after="0"/>
              <w:rPr>
                <w:sz w:val="16"/>
                <w:szCs w:val="16"/>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(10,262 )</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54,065</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43,803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tcPr>
          <w:p>
            <w:pPr>
              <w:spacing w:after="0"/>
              <w:rPr>
                <w:sz w:val="15"/>
                <w:szCs w:val="15"/>
                <w:color w:val="auto"/>
              </w:rPr>
            </w:pPr>
          </w:p>
        </w:tc>
        <w:tc>
          <w:tcPr>
            <w:tcW w:w="13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(38,617 )</w:t>
            </w:r>
          </w:p>
        </w:tc>
        <w:tc>
          <w:tcPr>
            <w:tcW w:w="2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(65,743 )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(104,360 )</w:t>
            </w: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870,284</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86,821</w:t>
            </w: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957,105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tcPr>
          <w:p>
            <w:pPr>
              <w:spacing w:after="0"/>
              <w:rPr>
                <w:sz w:val="15"/>
                <w:szCs w:val="15"/>
                <w:color w:val="auto"/>
              </w:rPr>
            </w:pPr>
          </w:p>
        </w:tc>
        <w:tc>
          <w:tcPr>
            <w:tcW w:w="138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(769,833 )</w:t>
            </w:r>
          </w:p>
        </w:tc>
        <w:tc>
          <w:tcPr>
            <w:tcW w:w="22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(178,408 )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(948,241 )</w:t>
            </w:r>
          </w:p>
        </w:tc>
        <w:tc>
          <w:tcPr>
            <w:tcW w:w="0" w:type="dxa"/>
            <w:vAlign w:val="bottom"/>
          </w:tcPr>
          <w:p>
            <w:pPr>
              <w:spacing w:after="0"/>
              <w:rPr>
                <w:sz w:val="1"/>
                <w:szCs w:val="1"/>
                <w:color w:val="auto"/>
              </w:rPr>
            </w:pPr>
          </w:p>
        </w:tc>
      </w:tr>
      <w:tr>
        <w:trPr>
          <w:trHeight w:val="184"/>
        </w:trPr>
        <w:tc>
          <w:tcPr>
            <w:tcW w:w="59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Transfers in/out of Level 3</w:t>
            </w:r>
          </w:p>
        </w:tc>
        <w:tc>
          <w:tcPr>
            <w:tcW w:w="22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902,165</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257,162</w:t>
            </w:r>
          </w:p>
        </w:tc>
        <w:tc>
          <w:tcPr>
            <w:tcW w:w="240" w:type="dxa"/>
            <w:vAlign w:val="bottom"/>
          </w:tcPr>
          <w:p>
            <w:pPr>
              <w:spacing w:after="0"/>
              <w:rPr>
                <w:sz w:val="15"/>
                <w:szCs w:val="15"/>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1,159,327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98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appreciation reported within the net change in</w:t>
            </w:r>
          </w:p>
        </w:tc>
        <w:tc>
          <w:tcPr>
            <w:tcW w:w="22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unrealized appreciation on investments in our Consolidated Statements of Operations</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(33,393 </w:t>
            </w:r>
            <w:r>
              <w:rPr>
                <w:rFonts w:ascii="Times New Roman" w:cs="Times New Roman" w:eastAsia="Times New Roman" w:hAnsi="Times New Roman"/>
                <w:sz w:val="26"/>
                <w:szCs w:val="26"/>
                <w:color w:val="auto"/>
                <w:vertAlign w:val="subscript"/>
              </w:rPr>
              <w:t>)</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 xml:space="preserve">(66,254 </w:t>
            </w:r>
            <w:r>
              <w:rPr>
                <w:rFonts w:ascii="Times New Roman" w:cs="Times New Roman" w:eastAsia="Times New Roman" w:hAnsi="Times New Roman"/>
                <w:sz w:val="26"/>
                <w:szCs w:val="26"/>
                <w:color w:val="auto"/>
                <w:vertAlign w:val="subscript"/>
              </w:rPr>
              <w:t>)</w:t>
            </w:r>
          </w:p>
        </w:tc>
        <w:tc>
          <w:tcPr>
            <w:tcW w:w="280" w:type="dxa"/>
            <w:vAlign w:val="bottom"/>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(99,647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64"/>
        </w:trPr>
        <w:tc>
          <w:tcPr>
            <w:tcW w:w="5980" w:type="dxa"/>
            <w:vAlign w:val="bottom"/>
            <w:shd w:val="clear" w:color="auto" w:fill="CCECFF"/>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shd w:val="clear" w:color="auto" w:fill="CCECFF"/>
          </w:tcPr>
          <w:p>
            <w:pPr>
              <w:spacing w:after="0"/>
              <w:rPr>
                <w:sz w:val="14"/>
                <w:szCs w:val="14"/>
                <w:color w:val="auto"/>
              </w:rPr>
            </w:pPr>
          </w:p>
        </w:tc>
        <w:tc>
          <w:tcPr>
            <w:tcW w:w="1380" w:type="dxa"/>
            <w:vAlign w:val="bottom"/>
            <w:gridSpan w:val="2"/>
            <w:vMerge w:val="continue"/>
            <w:shd w:val="clear" w:color="auto" w:fill="CCECFF"/>
          </w:tcPr>
          <w:p>
            <w:pPr>
              <w:spacing w:after="0"/>
              <w:rPr>
                <w:sz w:val="14"/>
                <w:szCs w:val="14"/>
                <w:color w:val="auto"/>
              </w:rPr>
            </w:pPr>
          </w:p>
        </w:tc>
        <w:tc>
          <w:tcPr>
            <w:tcW w:w="220" w:type="dxa"/>
            <w:vAlign w:val="bottom"/>
            <w:vMerge w:val="continue"/>
            <w:shd w:val="clear" w:color="auto" w:fill="CCECFF"/>
          </w:tcPr>
          <w:p>
            <w:pPr>
              <w:spacing w:after="0"/>
              <w:rPr>
                <w:sz w:val="14"/>
                <w:szCs w:val="14"/>
                <w:color w:val="auto"/>
              </w:rPr>
            </w:pPr>
          </w:p>
        </w:tc>
        <w:tc>
          <w:tcPr>
            <w:tcW w:w="1360" w:type="dxa"/>
            <w:vAlign w:val="bottom"/>
            <w:gridSpan w:val="2"/>
            <w:vMerge w:val="continue"/>
            <w:shd w:val="clear" w:color="auto" w:fill="CCECFF"/>
          </w:tcPr>
          <w:p>
            <w:pPr>
              <w:spacing w:after="0"/>
              <w:rPr>
                <w:sz w:val="14"/>
                <w:szCs w:val="14"/>
                <w:color w:val="auto"/>
              </w:rPr>
            </w:pPr>
          </w:p>
        </w:tc>
        <w:tc>
          <w:tcPr>
            <w:tcW w:w="280" w:type="dxa"/>
            <w:vAlign w:val="bottom"/>
            <w:vMerge w:val="continue"/>
            <w:shd w:val="clear" w:color="auto" w:fill="CCECFF"/>
          </w:tcPr>
          <w:p>
            <w:pPr>
              <w:spacing w:after="0"/>
              <w:rPr>
                <w:sz w:val="14"/>
                <w:szCs w:val="14"/>
                <w:color w:val="auto"/>
              </w:rPr>
            </w:pPr>
          </w:p>
        </w:tc>
        <w:tc>
          <w:tcPr>
            <w:tcW w:w="112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measured at fair value using significant unobservable inputs (Level 3) ($ in thousands):</w:t>
      </w:r>
    </w:p>
    <w:p>
      <w:pPr>
        <w:sectPr>
          <w:pgSz w:w="11900" w:h="16840" w:orient="portrait"/>
          <w:cols w:equalWidth="0" w:num="1">
            <w:col w:w="10580"/>
          </w:cols>
          <w:pgMar w:left="660" w:top="556" w:right="660" w:bottom="1440" w:gutter="0" w:footer="0" w:header="0"/>
        </w:sectPr>
      </w:pP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6707505" cy="114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Beginning Balance (cost – $385,920 and $316,545, respectively)</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Net change in unrealized (depreciation) appreciation included in earnings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6707505" cy="114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3"/>
          <w:szCs w:val="13"/>
          <w:color w:val="auto"/>
        </w:rPr>
        <w:t xml:space="preserve">Repayments </w:t>
      </w:r>
      <w:r>
        <w:rPr>
          <w:rFonts w:ascii="Times New Roman" w:cs="Times New Roman" w:eastAsia="Times New Roman" w:hAnsi="Times New Roman"/>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707505" cy="1143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Ending Balance (cost – $212,420 and $385,920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6707505"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Temporary draws outstanding, at cost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Ending Balance (cost – $212,420 and 385,920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Excludes temporary draws.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2920" w:type="dxa"/>
            <w:vAlign w:val="bottom"/>
            <w:gridSpan w:val="5"/>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26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3,753</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(7,501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152,500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860,841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(326,000 )</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(791,466 )</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60" w:type="dxa"/>
            <w:vAlign w:val="bottom"/>
          </w:tcPr>
          <w:p>
            <w:pPr>
              <w:spacing w:after="0"/>
              <w:rPr>
                <w:sz w:val="16"/>
                <w:szCs w:val="16"/>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206,940</w:t>
            </w:r>
          </w:p>
        </w:tc>
        <w:tc>
          <w:tcPr>
            <w:tcW w:w="260" w:type="dxa"/>
            <w:vAlign w:val="bottom"/>
          </w:tcPr>
          <w:p>
            <w:pPr>
              <w:spacing w:after="0"/>
              <w:rPr>
                <w:sz w:val="16"/>
                <w:szCs w:val="16"/>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8" w:lineRule="exact"/>
        <w:rPr>
          <w:sz w:val="20"/>
          <w:szCs w:val="20"/>
          <w:color w:val="auto"/>
        </w:rPr>
      </w:pPr>
    </w:p>
    <w:p>
      <w:pPr>
        <w:sectPr>
          <w:pgSz w:w="11900" w:h="16840" w:orient="portrait"/>
          <w:cols w:equalWidth="0" w:num="2">
            <w:col w:w="6540" w:space="720"/>
            <w:col w:w="3320"/>
          </w:cols>
          <w:pgMar w:left="660" w:top="556" w:right="660" w:bottom="1440" w:gutter="0" w:footer="0" w:header="0"/>
          <w:type w:val="continuous"/>
        </w:sect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we had outstanding non-U.S. dollar borrowings on our Truist Credit Facility. Net change in fair value on foreign currency translation on outstanding borrowings is listed below (£ and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5"/>
                <w:szCs w:val="15"/>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5"/>
                <w:szCs w:val="15"/>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84"/>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43,940</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28, 2023</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(5,480 )</w:t>
            </w:r>
          </w:p>
        </w:tc>
      </w:tr>
    </w:tbl>
    <w:p>
      <w:pPr>
        <w:spacing w:after="0" w:line="324"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2022, we had outstanding non-U.S. dollar borrowings on our Truist Credit Facility. Net change in fair value on foreign currency translation on outstanding borrowings is listed below (£ and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620" w:type="dxa"/>
            <w:vAlign w:val="bottom"/>
          </w:tcPr>
          <w:p>
            <w:pPr>
              <w:spacing w:after="0"/>
              <w:rPr>
                <w:sz w:val="15"/>
                <w:szCs w:val="15"/>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Amount Borrowed</w:t>
            </w:r>
          </w:p>
        </w:tc>
        <w:tc>
          <w:tcPr>
            <w:tcW w:w="320" w:type="dxa"/>
            <w:vAlign w:val="bottom"/>
          </w:tcPr>
          <w:p>
            <w:pPr>
              <w:spacing w:after="0"/>
              <w:rPr>
                <w:sz w:val="15"/>
                <w:szCs w:val="15"/>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340" w:type="dxa"/>
            <w:vAlign w:val="bottom"/>
          </w:tcPr>
          <w:p>
            <w:pPr>
              <w:spacing w:after="0"/>
              <w:rPr>
                <w:sz w:val="15"/>
                <w:szCs w:val="15"/>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300" w:type="dxa"/>
            <w:vAlign w:val="bottom"/>
          </w:tcPr>
          <w:p>
            <w:pPr>
              <w:spacing w:after="0"/>
              <w:rPr>
                <w:sz w:val="15"/>
                <w:szCs w:val="15"/>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Change in Fair Value</w:t>
            </w:r>
          </w:p>
        </w:tc>
      </w:tr>
      <w:tr>
        <w:trPr>
          <w:trHeight w:val="184"/>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British Pound</w:t>
            </w:r>
          </w:p>
        </w:tc>
        <w:tc>
          <w:tcPr>
            <w:tcW w:w="62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36,000</w:t>
            </w:r>
          </w:p>
        </w:tc>
        <w:tc>
          <w:tcPr>
            <w:tcW w:w="3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49,420</w:t>
            </w:r>
          </w:p>
        </w:tc>
        <w:tc>
          <w:tcPr>
            <w:tcW w:w="34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40,187</w:t>
            </w:r>
          </w:p>
        </w:tc>
        <w:tc>
          <w:tcPr>
            <w:tcW w:w="1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December 31, 2022</w:t>
            </w:r>
          </w:p>
        </w:tc>
        <w:tc>
          <w:tcPr>
            <w:tcW w:w="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(9,233 )</w:t>
            </w:r>
          </w:p>
        </w:tc>
      </w:tr>
    </w:tbl>
    <w:p>
      <w:pPr>
        <w:spacing w:after="0" w:line="144"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825 -10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expenses of zero, $5.1 million and zero relating to amendment costs on the Truist Credit Facility during the years ended September 30, 2023, 2022, and 2021, respectively.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are reported in our Consolidated Statements of Operations. We did not elect to apply ASC 825-10 to any other financial assets or liabilities, including the 2024 Notes, the 2026 Notes, the 2026 Notes-2 and the SBA debentures.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type w:val="continuous"/>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3"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For the year ended September 30, 2023, 2022, and 2021 the Credit Facility had a net change in unrealized (appreciation) depreciation of $(3.8) million, $7.5 million and $(17.8) million, respectively. As of September 30, 2023, 2022, and 2021, the net unrealized (appreciation) depreciation on Truist Credit Facility totaled $5.5 million, $9.2 million, and $1.7 million, respectively. We use an independent valuation service to measure the fair value of our Truist Credit Facility in a manner consistent with the valuation process that our board of directors uses to value our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29" w:lineRule="exact"/>
        <w:rPr>
          <w:sz w:val="20"/>
          <w:szCs w:val="20"/>
          <w:color w:val="auto"/>
        </w:rPr>
      </w:pPr>
    </w:p>
    <w:p>
      <w:pPr>
        <w:jc w:val="both"/>
        <w:ind w:right="22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2023 were as follows ($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1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Appreciation /</w:t>
            </w:r>
          </w:p>
        </w:tc>
        <w:tc>
          <w:tcPr>
            <w:tcW w:w="100" w:type="dxa"/>
            <w:vAlign w:val="bottom"/>
          </w:tcPr>
          <w:p>
            <w:pPr>
              <w:spacing w:after="0"/>
              <w:rPr>
                <w:sz w:val="3"/>
                <w:szCs w:val="3"/>
                <w:color w:val="auto"/>
              </w:rPr>
            </w:pPr>
          </w:p>
        </w:tc>
        <w:tc>
          <w:tcPr>
            <w:tcW w:w="74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September</w:t>
            </w:r>
          </w:p>
        </w:tc>
        <w:tc>
          <w:tcPr>
            <w:tcW w:w="220" w:type="dxa"/>
            <w:vAlign w:val="bottom"/>
          </w:tcPr>
          <w:p>
            <w:pPr>
              <w:spacing w:after="0"/>
              <w:rPr>
                <w:sz w:val="3"/>
                <w:szCs w:val="3"/>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PIK</w:t>
            </w:r>
          </w:p>
        </w:tc>
        <w:tc>
          <w:tcPr>
            <w:tcW w:w="200" w:type="dxa"/>
            <w:vAlign w:val="bottom"/>
          </w:tcPr>
          <w:p>
            <w:pPr>
              <w:spacing w:after="0"/>
              <w:rPr>
                <w:sz w:val="3"/>
                <w:szCs w:val="3"/>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0" w:type="dxa"/>
            <w:vAlign w:val="bottom"/>
          </w:tcPr>
          <w:p>
            <w:pPr>
              <w:spacing w:after="0" w:line="20" w:lineRule="exact"/>
              <w:rPr>
                <w:sz w:val="1"/>
                <w:szCs w:val="1"/>
                <w:color w:val="auto"/>
              </w:rPr>
            </w:pPr>
          </w:p>
        </w:tc>
      </w:tr>
      <w:tr>
        <w:trPr>
          <w:trHeight w:val="145"/>
        </w:trPr>
        <w:tc>
          <w:tcPr>
            <w:tcW w:w="24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3"/>
                <w:szCs w:val="13"/>
                <w:b w:val="1"/>
                <w:bCs w:val="1"/>
                <w:color w:val="auto"/>
                <w:w w:val="98"/>
              </w:rPr>
              <w:t>Additions</w:t>
            </w:r>
            <w:r>
              <w:rPr>
                <w:rFonts w:ascii="Times New Roman" w:cs="Times New Roman" w:eastAsia="Times New Roman" w:hAnsi="Times New Roman"/>
                <w:sz w:val="16"/>
                <w:szCs w:val="16"/>
                <w:b w:val="1"/>
                <w:bCs w:val="1"/>
                <w:color w:val="auto"/>
                <w:w w:val="98"/>
                <w:vertAlign w:val="superscript"/>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00" w:type="dxa"/>
            <w:vAlign w:val="bottom"/>
          </w:tcPr>
          <w:p>
            <w:pPr>
              <w:spacing w:after="0"/>
              <w:rPr>
                <w:sz w:val="9"/>
                <w:szCs w:val="9"/>
                <w:color w:val="auto"/>
              </w:rPr>
            </w:pPr>
          </w:p>
        </w:tc>
        <w:tc>
          <w:tcPr>
            <w:tcW w:w="84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ind w:right="256"/>
              <w:spacing w:after="0"/>
              <w:rPr>
                <w:sz w:val="20"/>
                <w:szCs w:val="20"/>
                <w:color w:val="auto"/>
              </w:rPr>
            </w:pPr>
            <w:r>
              <w:rPr>
                <w:rFonts w:ascii="Times New Roman" w:cs="Times New Roman" w:eastAsia="Times New Roman" w:hAnsi="Times New Roman"/>
                <w:sz w:val="8"/>
                <w:szCs w:val="8"/>
                <w:b w:val="1"/>
                <w:bCs w:val="1"/>
                <w:color w:val="auto"/>
              </w:rPr>
              <w:t>)</w:t>
            </w:r>
          </w:p>
        </w:tc>
        <w:tc>
          <w:tcPr>
            <w:tcW w:w="220" w:type="dxa"/>
            <w:vAlign w:val="bottom"/>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11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00" w:type="dxa"/>
            <w:vAlign w:val="bottom"/>
          </w:tcPr>
          <w:p>
            <w:pPr>
              <w:spacing w:after="0"/>
              <w:rPr>
                <w:sz w:val="9"/>
                <w:szCs w:val="9"/>
                <w:color w:val="auto"/>
              </w:rPr>
            </w:pPr>
          </w:p>
        </w:tc>
        <w:tc>
          <w:tcPr>
            <w:tcW w:w="74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30, 2023</w:t>
            </w:r>
          </w:p>
        </w:tc>
        <w:tc>
          <w:tcPr>
            <w:tcW w:w="220" w:type="dxa"/>
            <w:vAlign w:val="bottom"/>
          </w:tcPr>
          <w:p>
            <w:pPr>
              <w:spacing w:after="0"/>
              <w:rPr>
                <w:sz w:val="9"/>
                <w:szCs w:val="9"/>
                <w:color w:val="auto"/>
              </w:rPr>
            </w:pPr>
          </w:p>
        </w:tc>
        <w:tc>
          <w:tcPr>
            <w:tcW w:w="5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0" w:type="dxa"/>
            <w:vAlign w:val="bottom"/>
          </w:tcPr>
          <w:p>
            <w:pPr>
              <w:spacing w:after="0"/>
              <w:rPr>
                <w:sz w:val="1"/>
                <w:szCs w:val="1"/>
                <w:color w:val="auto"/>
              </w:rPr>
            </w:pPr>
          </w:p>
        </w:tc>
      </w:tr>
      <w:tr>
        <w:trPr>
          <w:trHeight w:val="48"/>
        </w:trPr>
        <w:tc>
          <w:tcPr>
            <w:tcW w:w="2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4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45,995</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3,069</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10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7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PennantPark Senior Loan Fund, LLC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139,109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164,408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RAM Energy LLC</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74,282</w:t>
            </w:r>
          </w:p>
        </w:tc>
        <w:tc>
          <w:tcPr>
            <w:tcW w:w="2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(162,708 )</w:t>
            </w:r>
          </w:p>
        </w:tc>
        <w:tc>
          <w:tcPr>
            <w:tcW w:w="32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88,426</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(133,098 )</w:t>
            </w:r>
          </w:p>
        </w:tc>
        <w:tc>
          <w:tcPr>
            <w:tcW w:w="0" w:type="dxa"/>
            <w:vAlign w:val="bottom"/>
          </w:tcPr>
          <w:p>
            <w:pPr>
              <w:spacing w:after="0"/>
              <w:rPr>
                <w:sz w:val="1"/>
                <w:szCs w:val="1"/>
                <w:color w:val="auto"/>
              </w:rPr>
            </w:pPr>
          </w:p>
        </w:tc>
      </w:tr>
      <w:tr>
        <w:trPr>
          <w:trHeight w:val="176"/>
        </w:trPr>
        <w:tc>
          <w:tcPr>
            <w:tcW w:w="2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259,386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26,191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(162,708 )</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93,199</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(133,098 )</w:t>
            </w:r>
          </w:p>
        </w:tc>
        <w:tc>
          <w:tcPr>
            <w:tcW w:w="0" w:type="dxa"/>
            <w:vAlign w:val="bottom"/>
          </w:tcPr>
          <w:p>
            <w:pPr>
              <w:spacing w:after="0"/>
              <w:rPr>
                <w:sz w:val="1"/>
                <w:szCs w:val="1"/>
                <w:color w:val="auto"/>
              </w:rPr>
            </w:pPr>
          </w:p>
        </w:tc>
      </w:tr>
      <w:tr>
        <w:trPr>
          <w:trHeight w:val="184"/>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0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6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58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Cascade Environmental Holdings, LLC</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32,791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(1,604 )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JF Intermediate, LLC</w:t>
            </w:r>
          </w:p>
        </w:tc>
        <w:tc>
          <w:tcPr>
            <w:tcW w:w="10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2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7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6,694</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8,759</w:t>
            </w:r>
          </w:p>
        </w:tc>
        <w:tc>
          <w:tcPr>
            <w:tcW w:w="2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4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Walker Edison Furniture Company LLC</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17,162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(3,255 )</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7"/>
        </w:trPr>
        <w:tc>
          <w:tcPr>
            <w:tcW w:w="2400" w:type="dxa"/>
            <w:vAlign w:val="bottom"/>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Non-Controlled Affiliates</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34,760</w:t>
            </w:r>
          </w:p>
        </w:tc>
        <w:tc>
          <w:tcPr>
            <w:tcW w:w="32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18,176</w:t>
            </w:r>
          </w:p>
        </w:tc>
        <w:tc>
          <w:tcPr>
            <w:tcW w:w="34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CFF"/>
          </w:tcPr>
          <w:p>
            <w:pPr>
              <w:spacing w:after="0"/>
              <w:rPr>
                <w:sz w:val="16"/>
                <w:szCs w:val="16"/>
                <w:color w:val="auto"/>
              </w:rPr>
            </w:pPr>
          </w:p>
        </w:tc>
        <w:tc>
          <w:tcPr>
            <w:tcW w:w="32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1,835</w:t>
            </w:r>
          </w:p>
        </w:tc>
        <w:tc>
          <w:tcPr>
            <w:tcW w:w="200" w:type="dxa"/>
            <w:vAlign w:val="bottom"/>
            <w:shd w:val="clear" w:color="auto" w:fill="CCECFF"/>
          </w:tcPr>
          <w:p>
            <w:pPr>
              <w:spacing w:after="0"/>
              <w:rPr>
                <w:sz w:val="16"/>
                <w:szCs w:val="16"/>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54,771</w:t>
            </w: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3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32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2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Controlled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294,146</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44,367</w:t>
            </w:r>
          </w:p>
        </w:tc>
        <w:tc>
          <w:tcPr>
            <w:tcW w:w="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(162,708 </w:t>
            </w:r>
            <w:r>
              <w:rPr>
                <w:rFonts w:ascii="Times New Roman" w:cs="Times New Roman" w:eastAsia="Times New Roman" w:hAnsi="Times New Roman"/>
                <w:sz w:val="26"/>
                <w:szCs w:val="26"/>
                <w:color w:val="auto"/>
                <w:vertAlign w:val="subscript"/>
              </w:rPr>
              <w:t>)</w:t>
            </w:r>
          </w:p>
        </w:tc>
        <w:tc>
          <w:tcPr>
            <w:tcW w:w="32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95,034</w:t>
            </w:r>
          </w:p>
        </w:tc>
        <w:tc>
          <w:tcPr>
            <w:tcW w:w="2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270,839</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15,498</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3,221</w:t>
            </w:r>
          </w:p>
        </w:tc>
        <w:tc>
          <w:tcPr>
            <w:tcW w:w="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15,730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(133,098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46"/>
        </w:trPr>
        <w:tc>
          <w:tcPr>
            <w:tcW w:w="240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Includes PIK.</w:t>
      </w:r>
    </w:p>
    <w:p>
      <w:pPr>
        <w:spacing w:after="0" w:line="203" w:lineRule="auto"/>
        <w:rPr>
          <w:sz w:val="20"/>
          <w:szCs w:val="20"/>
          <w:color w:val="auto"/>
        </w:rPr>
      </w:pP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1"/>
          <w:szCs w:val="11"/>
          <w:color w:val="auto"/>
        </w:rPr>
        <w:t>Walker Edison Furniture Company LLC became a non-controlled affiliate during the quarter ended March 31, 2023</w:t>
      </w:r>
    </w:p>
    <w:p>
      <w:pPr>
        <w:ind w:right="60"/>
        <w:spacing w:after="0" w:line="213" w:lineRule="auto"/>
        <w:rPr>
          <w:sz w:val="20"/>
          <w:szCs w:val="20"/>
          <w:color w:val="auto"/>
        </w:rPr>
      </w:pP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4"/>
        </w:trPr>
        <w:tc>
          <w:tcPr>
            <w:tcW w:w="5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6"/>
                <w:szCs w:val="16"/>
                <w:color w:val="auto"/>
              </w:rPr>
            </w:pPr>
          </w:p>
        </w:tc>
        <w:tc>
          <w:tcPr>
            <w:tcW w:w="118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360" w:type="dxa"/>
            <w:vAlign w:val="bottom"/>
          </w:tcPr>
          <w:p>
            <w:pPr>
              <w:spacing w:after="0"/>
              <w:rPr>
                <w:sz w:val="16"/>
                <w:szCs w:val="16"/>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53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Numerator for net increase (decrease) in net assets resulting from operations</w:t>
            </w:r>
          </w:p>
        </w:tc>
        <w:tc>
          <w:tcPr>
            <w:tcW w:w="8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(33,807 )</w:t>
            </w:r>
          </w:p>
        </w:tc>
        <w:tc>
          <w:tcPr>
            <w:tcW w:w="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(24,740 )</w:t>
            </w:r>
          </w:p>
        </w:tc>
        <w:tc>
          <w:tcPr>
            <w:tcW w:w="3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166,617</w:t>
            </w:r>
          </w:p>
        </w:tc>
      </w:tr>
      <w:tr>
        <w:trPr>
          <w:trHeight w:val="176"/>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880" w:type="dxa"/>
            <w:vAlign w:val="bottom"/>
          </w:tcPr>
          <w:p>
            <w:pPr>
              <w:spacing w:after="0"/>
              <w:rPr>
                <w:sz w:val="15"/>
                <w:szCs w:val="15"/>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65,224,500</w:t>
            </w:r>
          </w:p>
        </w:tc>
        <w:tc>
          <w:tcPr>
            <w:tcW w:w="460" w:type="dxa"/>
            <w:vAlign w:val="bottom"/>
          </w:tcPr>
          <w:p>
            <w:pPr>
              <w:spacing w:after="0"/>
              <w:rPr>
                <w:sz w:val="15"/>
                <w:szCs w:val="15"/>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66,254,150</w:t>
            </w:r>
          </w:p>
        </w:tc>
        <w:tc>
          <w:tcPr>
            <w:tcW w:w="360" w:type="dxa"/>
            <w:vAlign w:val="bottom"/>
          </w:tcPr>
          <w:p>
            <w:pPr>
              <w:spacing w:after="0"/>
              <w:rPr>
                <w:sz w:val="15"/>
                <w:szCs w:val="15"/>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67,045,105</w:t>
            </w:r>
          </w:p>
        </w:tc>
      </w:tr>
      <w:tr>
        <w:trPr>
          <w:trHeight w:val="184"/>
        </w:trPr>
        <w:tc>
          <w:tcPr>
            <w:tcW w:w="532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Basic and diluted net increase (decrease) in net assets per share resulting from operations</w:t>
            </w:r>
          </w:p>
        </w:tc>
        <w:tc>
          <w:tcPr>
            <w:tcW w:w="8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(0.52 )</w:t>
            </w:r>
          </w:p>
        </w:tc>
        <w:tc>
          <w:tcPr>
            <w:tcW w:w="4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(0.37 )</w:t>
            </w:r>
          </w:p>
        </w:tc>
        <w:tc>
          <w:tcPr>
            <w:tcW w:w="3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2.49</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TAXES AND DISTRIBUTIONS</w:t>
      </w:r>
    </w:p>
    <w:p>
      <w:pPr>
        <w:spacing w:after="0" w:line="129"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 -capital,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and 2022, the cost of investments for federal income tax purposes approximates the amortized cost reported in the Consolidated Schedule of Investments.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following amounts were reclassified for tax purposes ($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4020" w:type="dxa"/>
            <w:vAlign w:val="bottom"/>
          </w:tcPr>
          <w:p>
            <w:pPr>
              <w:spacing w:after="0"/>
              <w:rPr>
                <w:sz w:val="16"/>
                <w:szCs w:val="16"/>
                <w:color w:val="auto"/>
              </w:rPr>
            </w:pPr>
          </w:p>
        </w:tc>
        <w:tc>
          <w:tcPr>
            <w:tcW w:w="290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2022</w:t>
            </w:r>
          </w:p>
        </w:tc>
        <w:tc>
          <w:tcPr>
            <w:tcW w:w="360" w:type="dxa"/>
            <w:vAlign w:val="bottom"/>
          </w:tcPr>
          <w:p>
            <w:pPr>
              <w:spacing w:after="0"/>
              <w:rPr>
                <w:sz w:val="16"/>
                <w:szCs w:val="16"/>
                <w:color w:val="auto"/>
              </w:rPr>
            </w:pPr>
          </w:p>
        </w:tc>
        <w:tc>
          <w:tcPr>
            <w:tcW w:w="108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84"/>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Decrease in paid-in capital</w:t>
            </w:r>
          </w:p>
        </w:tc>
        <w:tc>
          <w:tcPr>
            <w:tcW w:w="2900" w:type="dxa"/>
            <w:vAlign w:val="bottom"/>
            <w:shd w:val="clear" w:color="auto" w:fill="CCECFF"/>
          </w:tcPr>
          <w:p>
            <w:pPr>
              <w:jc w:val="right"/>
              <w:ind w:right="71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(1,703 )</w:t>
            </w:r>
          </w:p>
        </w:tc>
        <w:tc>
          <w:tcPr>
            <w:tcW w:w="48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(25,577 )</w:t>
            </w:r>
          </w:p>
        </w:tc>
        <w:tc>
          <w:tcPr>
            <w:tcW w:w="3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(632 )</w:t>
            </w: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accumulated net realized gain</w:t>
            </w:r>
          </w:p>
        </w:tc>
        <w:tc>
          <w:tcPr>
            <w:tcW w:w="2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(1,494 )</w:t>
            </w:r>
          </w:p>
        </w:tc>
        <w:tc>
          <w:tcPr>
            <w:tcW w:w="480" w:type="dxa"/>
            <w:vAlign w:val="bottom"/>
          </w:tcPr>
          <w:p>
            <w:pPr>
              <w:spacing w:after="0"/>
              <w:rPr>
                <w:sz w:val="15"/>
                <w:szCs w:val="15"/>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18,347</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(1,773 )</w:t>
            </w:r>
          </w:p>
        </w:tc>
      </w:tr>
      <w:tr>
        <w:trPr>
          <w:trHeight w:val="184"/>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Increase in undistributed net investment income</w:t>
            </w:r>
          </w:p>
        </w:tc>
        <w:tc>
          <w:tcPr>
            <w:tcW w:w="2900" w:type="dxa"/>
            <w:vAlign w:val="bottom"/>
            <w:shd w:val="clear" w:color="auto" w:fill="CCECFF"/>
          </w:tcPr>
          <w:p>
            <w:pPr>
              <w:spacing w:after="0"/>
              <w:rPr>
                <w:sz w:val="16"/>
                <w:szCs w:val="16"/>
                <w:color w:val="auto"/>
              </w:rPr>
            </w:pPr>
          </w:p>
        </w:tc>
        <w:tc>
          <w:tcPr>
            <w:tcW w:w="5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3,197</w:t>
            </w:r>
          </w:p>
        </w:tc>
        <w:tc>
          <w:tcPr>
            <w:tcW w:w="480" w:type="dxa"/>
            <w:vAlign w:val="bottom"/>
            <w:shd w:val="clear" w:color="auto" w:fill="CCECFF"/>
          </w:tcPr>
          <w:p>
            <w:pPr>
              <w:spacing w:after="0"/>
              <w:rPr>
                <w:sz w:val="16"/>
                <w:szCs w:val="16"/>
                <w:color w:val="auto"/>
              </w:rPr>
            </w:pPr>
          </w:p>
        </w:tc>
        <w:tc>
          <w:tcPr>
            <w:tcW w:w="12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7,230</w:t>
            </w:r>
          </w:p>
        </w:tc>
        <w:tc>
          <w:tcPr>
            <w:tcW w:w="360" w:type="dxa"/>
            <w:vAlign w:val="bottom"/>
            <w:shd w:val="clear" w:color="auto" w:fill="CCECFF"/>
          </w:tcPr>
          <w:p>
            <w:pPr>
              <w:spacing w:after="0"/>
              <w:rPr>
                <w:sz w:val="16"/>
                <w:szCs w:val="16"/>
                <w:color w:val="auto"/>
              </w:rPr>
            </w:pPr>
          </w:p>
        </w:tc>
        <w:tc>
          <w:tcPr>
            <w:tcW w:w="10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2,406</w:t>
            </w:r>
          </w:p>
        </w:tc>
      </w:tr>
      <w:tr>
        <w:trPr>
          <w:trHeight w:val="532"/>
        </w:trPr>
        <w:tc>
          <w:tcPr>
            <w:tcW w:w="4020" w:type="dxa"/>
            <w:vAlign w:val="bottom"/>
          </w:tcPr>
          <w:p>
            <w:pPr>
              <w:spacing w:after="0"/>
              <w:rPr>
                <w:sz w:val="24"/>
                <w:szCs w:val="24"/>
                <w:color w:val="auto"/>
              </w:rPr>
            </w:pPr>
          </w:p>
        </w:tc>
        <w:tc>
          <w:tcPr>
            <w:tcW w:w="2900" w:type="dxa"/>
            <w:vAlign w:val="bottom"/>
          </w:tcPr>
          <w:p>
            <w:pPr>
              <w:jc w:val="right"/>
              <w:ind w:right="1494"/>
              <w:spacing w:after="0"/>
              <w:rPr>
                <w:sz w:val="20"/>
                <w:szCs w:val="20"/>
                <w:color w:val="auto"/>
              </w:rPr>
            </w:pPr>
            <w:r>
              <w:rPr>
                <w:rFonts w:ascii="Times New Roman" w:cs="Times New Roman" w:eastAsia="Times New Roman" w:hAnsi="Times New Roman"/>
                <w:sz w:val="13"/>
                <w:szCs w:val="13"/>
                <w:color w:val="auto"/>
              </w:rPr>
              <w:t>95</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0"/>
        </w:trPr>
        <w:tc>
          <w:tcPr>
            <w:tcW w:w="4020" w:type="dxa"/>
            <w:vAlign w:val="bottom"/>
            <w:tcBorders>
              <w:bottom w:val="single" w:sz="8" w:color="EEEEEE"/>
            </w:tcBorders>
          </w:tcPr>
          <w:p>
            <w:pPr>
              <w:spacing w:after="0"/>
              <w:rPr>
                <w:sz w:val="6"/>
                <w:szCs w:val="6"/>
                <w:color w:val="auto"/>
              </w:rPr>
            </w:pPr>
          </w:p>
        </w:tc>
        <w:tc>
          <w:tcPr>
            <w:tcW w:w="2900" w:type="dxa"/>
            <w:vAlign w:val="bottom"/>
            <w:tcBorders>
              <w:bottom w:val="single" w:sz="8" w:color="EEEEEE"/>
            </w:tcBorders>
          </w:tcPr>
          <w:p>
            <w:pPr>
              <w:spacing w:after="0"/>
              <w:rPr>
                <w:sz w:val="6"/>
                <w:szCs w:val="6"/>
                <w:color w:val="auto"/>
              </w:rPr>
            </w:pPr>
          </w:p>
        </w:tc>
        <w:tc>
          <w:tcPr>
            <w:tcW w:w="520" w:type="dxa"/>
            <w:vAlign w:val="bottom"/>
            <w:tcBorders>
              <w:bottom w:val="single" w:sz="8" w:color="EEEEEE"/>
            </w:tcBorders>
          </w:tcPr>
          <w:p>
            <w:pPr>
              <w:spacing w:after="0"/>
              <w:rPr>
                <w:sz w:val="6"/>
                <w:szCs w:val="6"/>
                <w:color w:val="auto"/>
              </w:rPr>
            </w:pPr>
          </w:p>
        </w:tc>
        <w:tc>
          <w:tcPr>
            <w:tcW w:w="480" w:type="dxa"/>
            <w:vAlign w:val="bottom"/>
            <w:tcBorders>
              <w:bottom w:val="single" w:sz="8" w:color="EEEEEE"/>
            </w:tcBorders>
          </w:tcPr>
          <w:p>
            <w:pPr>
              <w:spacing w:after="0"/>
              <w:rPr>
                <w:sz w:val="6"/>
                <w:szCs w:val="6"/>
                <w:color w:val="auto"/>
              </w:rPr>
            </w:pPr>
          </w:p>
        </w:tc>
        <w:tc>
          <w:tcPr>
            <w:tcW w:w="1200" w:type="dxa"/>
            <w:vAlign w:val="bottom"/>
            <w:tcBorders>
              <w:bottom w:val="single" w:sz="8" w:color="EEEEEE"/>
            </w:tcBorders>
          </w:tcPr>
          <w:p>
            <w:pPr>
              <w:spacing w:after="0"/>
              <w:rPr>
                <w:sz w:val="6"/>
                <w:szCs w:val="6"/>
                <w:color w:val="auto"/>
              </w:rPr>
            </w:pPr>
          </w:p>
        </w:tc>
        <w:tc>
          <w:tcPr>
            <w:tcW w:w="360" w:type="dxa"/>
            <w:vAlign w:val="bottom"/>
            <w:tcBorders>
              <w:bottom w:val="single" w:sz="8" w:color="EEEEEE"/>
            </w:tcBorders>
          </w:tcPr>
          <w:p>
            <w:pPr>
              <w:spacing w:after="0"/>
              <w:rPr>
                <w:sz w:val="6"/>
                <w:szCs w:val="6"/>
                <w:color w:val="auto"/>
              </w:rPr>
            </w:pPr>
          </w:p>
        </w:tc>
        <w:tc>
          <w:tcPr>
            <w:tcW w:w="1080" w:type="dxa"/>
            <w:vAlign w:val="bottom"/>
            <w:tcBorders>
              <w:bottom w:val="single" w:sz="8" w:color="EEEEEE"/>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6" w:right="640"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80" w:type="dxa"/>
            <w:vAlign w:val="bottom"/>
            <w:gridSpan w:val="6"/>
          </w:tcPr>
          <w:p>
            <w:pPr>
              <w:ind w:left="420"/>
              <w:spacing w:after="0"/>
              <w:rPr>
                <w:sz w:val="20"/>
                <w:szCs w:val="20"/>
                <w:color w:val="auto"/>
              </w:rPr>
            </w:pPr>
            <w:r>
              <w:rPr>
                <w:rFonts w:ascii="Times New Roman" w:cs="Times New Roman" w:eastAsia="Times New Roman" w:hAnsi="Times New Roman"/>
                <w:sz w:val="13"/>
                <w:szCs w:val="13"/>
                <w:color w:val="auto"/>
              </w:rPr>
              <w:t>The following reconciles net (decrease) increase in net assets resulting from operations to taxable income ($ 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gridSpan w:val="8"/>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380" w:type="dxa"/>
            <w:vAlign w:val="bottom"/>
            <w:shd w:val="clear" w:color="auto" w:fill="CCECFF"/>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(33,807 )</w:t>
            </w:r>
          </w:p>
        </w:tc>
        <w:tc>
          <w:tcPr>
            <w:tcW w:w="20" w:type="dxa"/>
            <w:vAlign w:val="bottom"/>
            <w:shd w:val="clear" w:color="auto" w:fill="CCECFF"/>
          </w:tcPr>
          <w:p>
            <w:pPr>
              <w:spacing w:after="0"/>
              <w:rPr>
                <w:sz w:val="16"/>
                <w:szCs w:val="16"/>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(24,740 )</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166,617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156,757</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(34,756 )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(30,021 )</w:t>
            </w:r>
          </w:p>
        </w:tc>
        <w:tc>
          <w:tcPr>
            <w:tcW w:w="0" w:type="dxa"/>
            <w:vAlign w:val="bottom"/>
          </w:tcPr>
          <w:p>
            <w:pPr>
              <w:spacing w:after="0"/>
              <w:rPr>
                <w:sz w:val="1"/>
                <w:szCs w:val="1"/>
                <w:color w:val="auto"/>
              </w:rPr>
            </w:pPr>
          </w:p>
        </w:tc>
      </w:tr>
      <w:tr>
        <w:trPr>
          <w:trHeight w:val="184"/>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 and debt</w:t>
            </w:r>
          </w:p>
        </w:tc>
        <w:tc>
          <w:tcPr>
            <w:tcW w:w="3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(57,417 )</w:t>
            </w:r>
          </w:p>
        </w:tc>
        <w:tc>
          <w:tcPr>
            <w:tcW w:w="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103,439</w:t>
            </w:r>
          </w:p>
        </w:tc>
        <w:tc>
          <w:tcPr>
            <w:tcW w:w="1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(100,120 )</w:t>
            </w:r>
          </w:p>
        </w:tc>
        <w:tc>
          <w:tcPr>
            <w:tcW w:w="0" w:type="dxa"/>
            <w:vAlign w:val="bottom"/>
          </w:tcPr>
          <w:p>
            <w:pPr>
              <w:spacing w:after="0"/>
              <w:rPr>
                <w:sz w:val="1"/>
                <w:szCs w:val="1"/>
                <w:color w:val="auto"/>
              </w:rPr>
            </w:pPr>
          </w:p>
        </w:tc>
      </w:tr>
      <w:tr>
        <w:trPr>
          <w:trHeight w:val="176"/>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book-to-tax differences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(6,006 )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(5,333 )</w:t>
            </w:r>
          </w:p>
        </w:tc>
        <w:tc>
          <w:tcPr>
            <w:tcW w:w="0" w:type="dxa"/>
            <w:vAlign w:val="bottom"/>
          </w:tcPr>
          <w:p>
            <w:pPr>
              <w:spacing w:after="0"/>
              <w:rPr>
                <w:sz w:val="1"/>
                <w:szCs w:val="1"/>
                <w:color w:val="auto"/>
              </w:rPr>
            </w:pPr>
          </w:p>
        </w:tc>
      </w:tr>
      <w:tr>
        <w:trPr>
          <w:trHeight w:val="184"/>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Other non-deductible expenses</w:t>
            </w:r>
          </w:p>
        </w:tc>
        <w:tc>
          <w:tcPr>
            <w:tcW w:w="3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5,766</w:t>
            </w:r>
          </w:p>
        </w:tc>
        <w:tc>
          <w:tcPr>
            <w:tcW w:w="26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3,691</w:t>
            </w:r>
          </w:p>
        </w:tc>
        <w:tc>
          <w:tcPr>
            <w:tcW w:w="1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Taxable income before dividends paid deduction</w:t>
            </w:r>
          </w:p>
        </w:tc>
        <w:tc>
          <w:tcPr>
            <w:tcW w:w="3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65,293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7840" w:type="dxa"/>
            <w:vAlign w:val="bottom"/>
            <w:gridSpan w:val="9"/>
          </w:tcPr>
          <w:p>
            <w:pPr>
              <w:ind w:left="420"/>
              <w:spacing w:after="0"/>
              <w:rPr>
                <w:sz w:val="20"/>
                <w:szCs w:val="20"/>
                <w:color w:val="auto"/>
              </w:rPr>
            </w:pPr>
            <w:r>
              <w:rPr>
                <w:rFonts w:ascii="Times New Roman" w:cs="Times New Roman" w:eastAsia="Times New Roman" w:hAnsi="Times New Roman"/>
                <w:sz w:val="13"/>
                <w:szCs w:val="13"/>
                <w:color w:val="auto"/>
              </w:rPr>
              <w:t>The components of undistributed taxable income on a tax basis and reconciliation to accumulated deficit on a book basis are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Undistributed net investment income – tax basis</w:t>
            </w:r>
          </w:p>
        </w:tc>
        <w:tc>
          <w:tcPr>
            <w:tcW w:w="5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62,710</w:t>
            </w:r>
          </w:p>
        </w:tc>
        <w:tc>
          <w:tcPr>
            <w:tcW w:w="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46,283</w:t>
            </w:r>
          </w:p>
        </w:tc>
        <w:tc>
          <w:tcPr>
            <w:tcW w:w="120" w:type="dxa"/>
            <w:vAlign w:val="bottom"/>
            <w:shd w:val="clear" w:color="auto" w:fill="CCECFF"/>
          </w:tcPr>
          <w:p>
            <w:pPr>
              <w:spacing w:after="0"/>
              <w:rPr>
                <w:sz w:val="16"/>
                <w:szCs w:val="16"/>
                <w:color w:val="auto"/>
              </w:rPr>
            </w:pP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23,560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realized loss carried forward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(1,699 )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(2,065 )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(1,578 )</w:t>
            </w:r>
          </w:p>
        </w:tc>
        <w:tc>
          <w:tcPr>
            <w:tcW w:w="0" w:type="dxa"/>
            <w:vAlign w:val="bottom"/>
          </w:tcPr>
          <w:p>
            <w:pPr>
              <w:spacing w:after="0"/>
              <w:rPr>
                <w:sz w:val="1"/>
                <w:szCs w:val="1"/>
                <w:color w:val="auto"/>
              </w:rPr>
            </w:pPr>
          </w:p>
        </w:tc>
      </w:tr>
      <w:tr>
        <w:trPr>
          <w:trHeight w:val="184"/>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Long-term realized loss carried forward</w:t>
            </w:r>
          </w:p>
        </w:tc>
        <w:tc>
          <w:tcPr>
            <w:tcW w:w="3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26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(379,074 )</w:t>
            </w: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(103,119 )</w:t>
            </w: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(165,037 )</w:t>
            </w:r>
          </w:p>
        </w:tc>
        <w:tc>
          <w:tcPr>
            <w:tcW w:w="0" w:type="dxa"/>
            <w:vAlign w:val="bottom"/>
          </w:tcPr>
          <w:p>
            <w:pPr>
              <w:spacing w:after="0"/>
              <w:rPr>
                <w:sz w:val="1"/>
                <w:szCs w:val="1"/>
                <w:color w:val="auto"/>
              </w:rPr>
            </w:pP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 and other book to tax differences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83,860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60"/>
              <w:spacing w:after="0" w:line="228" w:lineRule="exact"/>
              <w:rPr>
                <w:sz w:val="20"/>
                <w:szCs w:val="20"/>
                <w:color w:val="auto"/>
              </w:rPr>
            </w:pPr>
            <w:r>
              <w:rPr>
                <w:rFonts w:ascii="Times New Roman" w:cs="Times New Roman" w:eastAsia="Times New Roman" w:hAnsi="Times New Roman"/>
                <w:sz w:val="13"/>
                <w:szCs w:val="13"/>
                <w:color w:val="auto"/>
              </w:rPr>
              <w:t xml:space="preserve">(37,103 </w:t>
            </w:r>
            <w:r>
              <w:rPr>
                <w:rFonts w:ascii="Times New Roman" w:cs="Times New Roman" w:eastAsia="Times New Roman" w:hAnsi="Times New Roman"/>
                <w:sz w:val="26"/>
                <w:szCs w:val="26"/>
                <w:color w:val="auto"/>
                <w:vertAlign w:val="subscript"/>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line="228" w:lineRule="exact"/>
              <w:rPr>
                <w:sz w:val="20"/>
                <w:szCs w:val="20"/>
                <w:color w:val="auto"/>
              </w:rPr>
            </w:pPr>
            <w:r>
              <w:rPr>
                <w:rFonts w:ascii="Times New Roman" w:cs="Times New Roman" w:eastAsia="Times New Roman" w:hAnsi="Times New Roman"/>
                <w:sz w:val="13"/>
                <w:szCs w:val="13"/>
                <w:color w:val="auto"/>
              </w:rPr>
              <w:t xml:space="preserve">(15,368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80"/>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 and debt</w:t>
            </w:r>
          </w:p>
        </w:tc>
        <w:tc>
          <w:tcPr>
            <w:tcW w:w="3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26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(10,141 )</w:t>
            </w:r>
          </w:p>
        </w:tc>
        <w:tc>
          <w:tcPr>
            <w:tcW w:w="1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2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(66,665 )</w:t>
            </w:r>
          </w:p>
        </w:tc>
        <w:tc>
          <w:tcPr>
            <w:tcW w:w="1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31,507</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accumulated deficit – book basis</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(244,344 </w:t>
            </w:r>
            <w:r>
              <w:rPr>
                <w:rFonts w:ascii="Times New Roman" w:cs="Times New Roman" w:eastAsia="Times New Roman" w:hAnsi="Times New Roman"/>
                <w:sz w:val="20"/>
                <w:szCs w:val="20"/>
                <w:color w:val="auto"/>
                <w:vertAlign w:val="subscript"/>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1"/>
                <w:szCs w:val="11"/>
                <w:color w:val="auto"/>
              </w:rPr>
              <w:t xml:space="preserve">(162,669 </w:t>
            </w:r>
            <w:r>
              <w:rPr>
                <w:rFonts w:ascii="Times New Roman" w:cs="Times New Roman" w:eastAsia="Times New Roman" w:hAnsi="Times New Roman"/>
                <w:sz w:val="20"/>
                <w:szCs w:val="20"/>
                <w:color w:val="auto"/>
                <w:vertAlign w:val="subscript"/>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1"/>
                <w:szCs w:val="11"/>
                <w:color w:val="auto"/>
              </w:rPr>
              <w:t xml:space="preserve">(126,916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The tax characteristics of distributions declared are as follows:</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Ordinary income (including short-term gains, if any)</w:t>
            </w:r>
          </w:p>
        </w:tc>
        <w:tc>
          <w:tcPr>
            <w:tcW w:w="5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49,571</w:t>
            </w:r>
          </w:p>
        </w:tc>
        <w:tc>
          <w:tcPr>
            <w:tcW w:w="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36,590</w:t>
            </w:r>
          </w:p>
        </w:tc>
        <w:tc>
          <w:tcPr>
            <w:tcW w:w="120" w:type="dxa"/>
            <w:vAlign w:val="bottom"/>
            <w:shd w:val="clear" w:color="auto" w:fill="CCECFF"/>
          </w:tcPr>
          <w:p>
            <w:pPr>
              <w:spacing w:after="0"/>
              <w:rPr>
                <w:sz w:val="16"/>
                <w:szCs w:val="16"/>
                <w:color w:val="auto"/>
              </w:rPr>
            </w:pP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32,182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capital gain</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distributions</w:t>
            </w:r>
          </w:p>
        </w:tc>
        <w:tc>
          <w:tcPr>
            <w:tcW w:w="5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49,571</w:t>
            </w:r>
          </w:p>
        </w:tc>
        <w:tc>
          <w:tcPr>
            <w:tcW w:w="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3"/>
                <w:szCs w:val="13"/>
                <w:color w:val="auto"/>
              </w:rPr>
              <w:t>36,590</w:t>
            </w:r>
          </w:p>
        </w:tc>
        <w:tc>
          <w:tcPr>
            <w:tcW w:w="120" w:type="dxa"/>
            <w:vAlign w:val="bottom"/>
            <w:shd w:val="clear" w:color="auto" w:fill="CCECFF"/>
          </w:tcPr>
          <w:p>
            <w:pPr>
              <w:spacing w:after="0"/>
              <w:rPr>
                <w:sz w:val="16"/>
                <w:szCs w:val="16"/>
                <w:color w:val="auto"/>
              </w:rPr>
            </w:pPr>
          </w:p>
        </w:tc>
        <w:tc>
          <w:tcPr>
            <w:tcW w:w="4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32,182</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distributions declared per share</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0.56</w:t>
            </w:r>
          </w:p>
        </w:tc>
        <w:tc>
          <w:tcPr>
            <w:tcW w:w="1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CASH AND CASH EQUIVALENTS</w:t>
      </w:r>
    </w:p>
    <w:p>
      <w:pPr>
        <w:spacing w:after="0" w:line="129"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 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Truist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2023 and 2022, cash and cash equivalents consisted of money market funds, and non-money market in the amounts of $38.8 million and $54.8 million at fair value, respectively.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6" w:name="page97"/>
    <w:bookmarkEnd w:id="96"/>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FINANCIAL HIGHLIGHTS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for each of the years ended September 30,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year</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2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8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0.66</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0.58</w:t>
            </w:r>
          </w:p>
        </w:tc>
        <w:tc>
          <w:tcPr>
            <w:tcW w:w="1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0.66</w:t>
            </w:r>
          </w:p>
        </w:tc>
        <w:tc>
          <w:tcPr>
            <w:tcW w:w="80" w:type="dxa"/>
            <w:vAlign w:val="bottom"/>
            <w:shd w:val="clear" w:color="auto" w:fill="CCEC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Net realized and unrealized (loss) gain </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(1.52 )</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(1.03 )</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(0.82 )</w:t>
            </w:r>
          </w:p>
        </w:tc>
        <w:tc>
          <w:tcPr>
            <w:tcW w:w="22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(0.42 )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Net (decrease) increase in net assets resulting from operations </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(0.52 )</w:t>
            </w: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(0.37 )</w:t>
            </w:r>
          </w:p>
        </w:tc>
        <w:tc>
          <w:tcPr>
            <w:tcW w:w="22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(0.24 )</w:t>
            </w:r>
          </w:p>
        </w:tc>
        <w:tc>
          <w:tcPr>
            <w:tcW w:w="22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8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(0.76 )</w:t>
            </w: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(0.56 )</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(0.48 )</w:t>
            </w:r>
          </w:p>
        </w:tc>
        <w:tc>
          <w:tcPr>
            <w:tcW w:w="22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(0.60 )</w:t>
            </w:r>
          </w:p>
        </w:tc>
        <w:tc>
          <w:tcPr>
            <w:tcW w:w="2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(0.72 )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 of realized gains</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distributions to stockholders</w:t>
            </w:r>
          </w:p>
        </w:tc>
        <w:tc>
          <w:tcPr>
            <w:tcW w:w="22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(0.76 )</w:t>
            </w:r>
          </w:p>
        </w:tc>
        <w:tc>
          <w:tcPr>
            <w:tcW w:w="220" w:type="dxa"/>
            <w:vAlign w:val="bottom"/>
            <w:shd w:val="clear" w:color="auto" w:fill="CCECFF"/>
          </w:tcPr>
          <w:p>
            <w:pPr>
              <w:spacing w:after="0"/>
              <w:rPr>
                <w:sz w:val="16"/>
                <w:szCs w:val="16"/>
                <w:color w:val="auto"/>
              </w:rPr>
            </w:pPr>
          </w:p>
        </w:tc>
        <w:tc>
          <w:tcPr>
            <w:tcW w:w="9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(0.56 )</w:t>
            </w:r>
          </w:p>
        </w:tc>
        <w:tc>
          <w:tcPr>
            <w:tcW w:w="220" w:type="dxa"/>
            <w:vAlign w:val="bottom"/>
            <w:shd w:val="clear" w:color="auto" w:fill="CCECFF"/>
          </w:tcPr>
          <w:p>
            <w:pPr>
              <w:spacing w:after="0"/>
              <w:rPr>
                <w:sz w:val="16"/>
                <w:szCs w:val="16"/>
                <w:color w:val="auto"/>
              </w:rPr>
            </w:pPr>
          </w:p>
        </w:tc>
        <w:tc>
          <w:tcPr>
            <w:tcW w:w="9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(0.48 )</w:t>
            </w:r>
          </w:p>
        </w:tc>
        <w:tc>
          <w:tcPr>
            <w:tcW w:w="220" w:type="dxa"/>
            <w:vAlign w:val="bottom"/>
            <w:shd w:val="clear" w:color="auto" w:fill="CCECFF"/>
          </w:tcPr>
          <w:p>
            <w:pPr>
              <w:spacing w:after="0"/>
              <w:rPr>
                <w:sz w:val="16"/>
                <w:szCs w:val="16"/>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(0.60 )</w:t>
            </w:r>
          </w:p>
        </w:tc>
        <w:tc>
          <w:tcPr>
            <w:tcW w:w="220" w:type="dxa"/>
            <w:vAlign w:val="bottom"/>
            <w:shd w:val="clear" w:color="auto" w:fill="CCECFF"/>
          </w:tcPr>
          <w:p>
            <w:pPr>
              <w:spacing w:after="0"/>
              <w:rPr>
                <w:sz w:val="16"/>
                <w:szCs w:val="16"/>
                <w:color w:val="auto"/>
              </w:rPr>
            </w:pPr>
          </w:p>
        </w:tc>
        <w:tc>
          <w:tcPr>
            <w:tcW w:w="8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(0.72 )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 value, end of year</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0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9.85</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Borders>
              <w:bottom w:val="single" w:sz="8" w:color="CCECFF"/>
            </w:tcBorders>
            <w:shd w:val="clear" w:color="auto" w:fill="CCEC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 market value, end of year</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20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Total return </w:t>
            </w:r>
            <w:r>
              <w:rPr>
                <w:rFonts w:ascii="Times New Roman" w:cs="Times New Roman" w:eastAsia="Times New Roman" w:hAnsi="Times New Roman"/>
                <w:sz w:val="16"/>
                <w:szCs w:val="16"/>
                <w:color w:val="auto"/>
                <w:vertAlign w:val="superscript"/>
              </w:rPr>
              <w:t>(3)</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13.64 %</w:t>
            </w: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(8.42 )%</w:t>
            </w: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120.98 %</w:t>
            </w:r>
          </w:p>
        </w:tc>
        <w:tc>
          <w:tcPr>
            <w:tcW w:w="2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(39.62 )%</w:t>
            </w:r>
          </w:p>
        </w:tc>
        <w:tc>
          <w:tcPr>
            <w:tcW w:w="2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(6.28 )%</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year</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65,224,500</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67,045,105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67,045,105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67,045,105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Ratios / Supplemental Data:</w:t>
            </w:r>
          </w:p>
        </w:tc>
        <w:tc>
          <w:tcPr>
            <w:tcW w:w="2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 (6)</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7.75 %</w:t>
            </w:r>
          </w:p>
        </w:tc>
        <w:tc>
          <w:tcPr>
            <w:tcW w:w="2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4.17 %</w:t>
            </w:r>
          </w:p>
        </w:tc>
        <w:tc>
          <w:tcPr>
            <w:tcW w:w="2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3.74 %</w:t>
            </w:r>
          </w:p>
        </w:tc>
        <w:tc>
          <w:tcPr>
            <w:tcW w:w="2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4.91 %</w:t>
            </w:r>
          </w:p>
        </w:tc>
        <w:tc>
          <w:tcPr>
            <w:tcW w:w="22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4.83 %</w:t>
            </w:r>
          </w:p>
        </w:tc>
        <w:tc>
          <w:tcPr>
            <w:tcW w:w="0" w:type="dxa"/>
            <w:vAlign w:val="bottom"/>
          </w:tcPr>
          <w:p>
            <w:pPr>
              <w:spacing w:after="0"/>
              <w:rPr>
                <w:sz w:val="1"/>
                <w:szCs w:val="1"/>
                <w:color w:val="auto"/>
              </w:rPr>
            </w:pPr>
          </w:p>
        </w:tc>
      </w:tr>
      <w:tr>
        <w:trPr>
          <w:trHeight w:val="180"/>
        </w:trPr>
        <w:tc>
          <w:tcPr>
            <w:tcW w:w="482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interest and expenses on debt to average net assets </w:t>
            </w:r>
            <w:r>
              <w:rPr>
                <w:rFonts w:ascii="Times New Roman" w:cs="Times New Roman" w:eastAsia="Times New Roman" w:hAnsi="Times New Roman"/>
                <w:sz w:val="16"/>
                <w:szCs w:val="16"/>
                <w:color w:val="auto"/>
                <w:vertAlign w:val="superscript"/>
              </w:rPr>
              <w:t>(5)</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7.55 %</w:t>
            </w: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5.19 %</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3.73 %</w:t>
            </w:r>
          </w:p>
        </w:tc>
        <w:tc>
          <w:tcPr>
            <w:tcW w:w="22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6.22 %</w:t>
            </w:r>
          </w:p>
        </w:tc>
        <w:tc>
          <w:tcPr>
            <w:tcW w:w="2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 (6)</w:t>
            </w:r>
          </w:p>
        </w:tc>
        <w:tc>
          <w:tcPr>
            <w:tcW w:w="2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15.30 %</w:t>
            </w:r>
          </w:p>
        </w:tc>
        <w:tc>
          <w:tcPr>
            <w:tcW w:w="22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9.36 %</w:t>
            </w:r>
          </w:p>
        </w:tc>
        <w:tc>
          <w:tcPr>
            <w:tcW w:w="2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7.47 %</w:t>
            </w:r>
          </w:p>
        </w:tc>
        <w:tc>
          <w:tcPr>
            <w:tcW w:w="2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11.13 %</w:t>
            </w:r>
          </w:p>
        </w:tc>
        <w:tc>
          <w:tcPr>
            <w:tcW w:w="220" w:type="dxa"/>
            <w:vAlign w:val="bottom"/>
          </w:tcPr>
          <w:p>
            <w:pPr>
              <w:spacing w:after="0"/>
              <w:rPr>
                <w:sz w:val="15"/>
                <w:szCs w:val="15"/>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11.12 %</w:t>
            </w:r>
          </w:p>
        </w:tc>
        <w:tc>
          <w:tcPr>
            <w:tcW w:w="0" w:type="dxa"/>
            <w:vAlign w:val="bottom"/>
          </w:tcPr>
          <w:p>
            <w:pPr>
              <w:spacing w:after="0"/>
              <w:rPr>
                <w:sz w:val="1"/>
                <w:szCs w:val="1"/>
                <w:color w:val="auto"/>
              </w:rPr>
            </w:pPr>
          </w:p>
        </w:tc>
      </w:tr>
      <w:tr>
        <w:trPr>
          <w:trHeight w:val="180"/>
        </w:trPr>
        <w:tc>
          <w:tcPr>
            <w:tcW w:w="482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12.56 %</w:t>
            </w: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6.74 %</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6.04 %</w:t>
            </w:r>
          </w:p>
        </w:tc>
        <w:tc>
          <w:tcPr>
            <w:tcW w:w="22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7.01 %</w:t>
            </w:r>
          </w:p>
        </w:tc>
        <w:tc>
          <w:tcPr>
            <w:tcW w:w="2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at end of year</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502,187</w:t>
            </w:r>
          </w:p>
        </w:tc>
        <w:tc>
          <w:tcPr>
            <w:tcW w:w="2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585,565</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660,144</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525,709</w:t>
            </w:r>
          </w:p>
        </w:tc>
        <w:tc>
          <w:tcPr>
            <w:tcW w:w="18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581,906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debt outstanding </w:t>
            </w:r>
            <w:r>
              <w:rPr>
                <w:rFonts w:ascii="Times New Roman" w:cs="Times New Roman" w:eastAsia="Times New Roman" w:hAnsi="Times New Roman"/>
                <w:sz w:val="16"/>
                <w:szCs w:val="16"/>
                <w:color w:val="auto"/>
                <w:vertAlign w:val="superscript"/>
              </w:rPr>
              <w:t>(7)</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656,776</w:t>
            </w:r>
          </w:p>
        </w:tc>
        <w:tc>
          <w:tcPr>
            <w:tcW w:w="20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695,267</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649,666</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794,641</w:t>
            </w:r>
          </w:p>
        </w:tc>
        <w:tc>
          <w:tcPr>
            <w:tcW w:w="18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638,424</w:t>
            </w:r>
          </w:p>
        </w:tc>
        <w:tc>
          <w:tcPr>
            <w:tcW w:w="80" w:type="dxa"/>
            <w:vAlign w:val="bottom"/>
            <w:shd w:val="clear" w:color="auto" w:fill="CCEC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 (7)</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2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8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(8)</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20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2,078</w:t>
            </w: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2,066</w:t>
            </w:r>
          </w:p>
        </w:tc>
        <w:tc>
          <w:tcPr>
            <w:tcW w:w="80" w:type="dxa"/>
            <w:vAlign w:val="bottom"/>
            <w:shd w:val="clear" w:color="auto" w:fill="CCEC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Average market value per unit </w:t>
            </w:r>
            <w:r>
              <w:rPr>
                <w:rFonts w:ascii="Times New Roman" w:cs="Times New Roman" w:eastAsia="Times New Roman" w:hAnsi="Times New Roman"/>
                <w:sz w:val="16"/>
                <w:szCs w:val="16"/>
                <w:color w:val="auto"/>
                <w:vertAlign w:val="superscript"/>
              </w:rPr>
              <w:t>(9), (10)</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18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Portfolio turnover ratio</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3"/>
                <w:szCs w:val="13"/>
                <w:color w:val="auto"/>
              </w:rPr>
              <w:t>32.58 %</w:t>
            </w:r>
          </w:p>
        </w:tc>
        <w:tc>
          <w:tcPr>
            <w:tcW w:w="220" w:type="dxa"/>
            <w:vAlign w:val="bottom"/>
            <w:shd w:val="clear" w:color="auto" w:fill="CCECFF"/>
          </w:tcPr>
          <w:p>
            <w:pPr>
              <w:spacing w:after="0"/>
              <w:rPr>
                <w:sz w:val="15"/>
                <w:szCs w:val="15"/>
                <w:color w:val="auto"/>
              </w:rPr>
            </w:pPr>
          </w:p>
        </w:tc>
        <w:tc>
          <w:tcPr>
            <w:tcW w:w="9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70.41 %</w:t>
            </w:r>
          </w:p>
        </w:tc>
        <w:tc>
          <w:tcPr>
            <w:tcW w:w="220" w:type="dxa"/>
            <w:vAlign w:val="bottom"/>
            <w:shd w:val="clear" w:color="auto" w:fill="CCECFF"/>
          </w:tcPr>
          <w:p>
            <w:pPr>
              <w:spacing w:after="0"/>
              <w:rPr>
                <w:sz w:val="15"/>
                <w:szCs w:val="15"/>
                <w:color w:val="auto"/>
              </w:rPr>
            </w:pP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37.74 %</w:t>
            </w:r>
          </w:p>
        </w:tc>
        <w:tc>
          <w:tcPr>
            <w:tcW w:w="22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12.74 %</w:t>
            </w:r>
          </w:p>
        </w:tc>
        <w:tc>
          <w:tcPr>
            <w:tcW w:w="22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35.44 %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-1508760</wp:posOffset>
            </wp:positionV>
            <wp:extent cx="6707505" cy="114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64" w:lineRule="exact"/>
        <w:rPr>
          <w:sz w:val="20"/>
          <w:szCs w:val="20"/>
          <w:color w:val="auto"/>
        </w:rPr>
      </w:pPr>
    </w:p>
    <w:p>
      <w:pPr>
        <w:ind w:left="100" w:hanging="94"/>
        <w:spacing w:after="0"/>
        <w:tabs>
          <w:tab w:leader="none" w:pos="100" w:val="left"/>
        </w:tabs>
        <w:numPr>
          <w:ilvl w:val="0"/>
          <w:numId w:val="8"/>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The expense and investment income ratios do not reflect the Company's proportionate share of income and expenses of PSLF and PTSF II.</w:t>
      </w:r>
    </w:p>
    <w:p>
      <w:pPr>
        <w:spacing w:after="0" w:line="220" w:lineRule="auto"/>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1"/>
          <w:szCs w:val="11"/>
          <w:color w:val="auto"/>
        </w:rPr>
        <w:t>Based on the weighted average shares outstanding for the respective periods.</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(3)</w:t>
      </w:r>
      <w:r>
        <w:rPr>
          <w:rFonts w:ascii="Times New Roman" w:cs="Times New Roman" w:eastAsia="Times New Roman" w:hAnsi="Times New Roman"/>
          <w:sz w:val="10"/>
          <w:szCs w:val="10"/>
          <w:color w:val="auto"/>
        </w:rPr>
        <w:t>Based on the change in market price per share during the period and assumes distributions, if any, are reinvested.</w:t>
      </w:r>
    </w:p>
    <w:p>
      <w:pPr>
        <w:spacing w:after="0" w:line="187" w:lineRule="auto"/>
        <w:rPr>
          <w:sz w:val="20"/>
          <w:szCs w:val="20"/>
          <w:color w:val="auto"/>
        </w:rPr>
      </w:pPr>
      <w:r>
        <w:rPr>
          <w:rFonts w:ascii="Times New Roman" w:cs="Times New Roman" w:eastAsia="Times New Roman" w:hAnsi="Times New Roman"/>
          <w:sz w:val="20"/>
          <w:szCs w:val="20"/>
          <w:b w:val="1"/>
          <w:bCs w:val="1"/>
          <w:color w:val="auto"/>
          <w:vertAlign w:val="superscript"/>
        </w:rPr>
        <w:t>(4)</w:t>
      </w:r>
      <w:r>
        <w:rPr>
          <w:rFonts w:ascii="Times New Roman" w:cs="Times New Roman" w:eastAsia="Times New Roman" w:hAnsi="Times New Roman"/>
          <w:sz w:val="10"/>
          <w:szCs w:val="10"/>
          <w:color w:val="auto"/>
        </w:rPr>
        <w:t>Excludes debt related costs.</w:t>
      </w:r>
    </w:p>
    <w:p>
      <w:pPr>
        <w:spacing w:after="0" w:line="188" w:lineRule="auto"/>
        <w:rPr>
          <w:sz w:val="20"/>
          <w:szCs w:val="20"/>
          <w:color w:val="auto"/>
        </w:rPr>
      </w:pPr>
      <w:r>
        <w:rPr>
          <w:rFonts w:ascii="Times New Roman" w:cs="Times New Roman" w:eastAsia="Times New Roman" w:hAnsi="Times New Roman"/>
          <w:sz w:val="20"/>
          <w:szCs w:val="20"/>
          <w:b w:val="1"/>
          <w:bCs w:val="1"/>
          <w:color w:val="auto"/>
          <w:vertAlign w:val="superscript"/>
        </w:rPr>
        <w:t>(5)</w:t>
      </w:r>
      <w:r>
        <w:rPr>
          <w:rFonts w:ascii="Times New Roman" w:cs="Times New Roman" w:eastAsia="Times New Roman" w:hAnsi="Times New Roman"/>
          <w:sz w:val="10"/>
          <w:szCs w:val="10"/>
          <w:color w:val="auto"/>
        </w:rPr>
        <w:t>Includes interest and expenses on debt (annualized) as well as Truist Credit Facility amendment and debt issuance costs, if any (not annualized).</w:t>
      </w:r>
    </w:p>
    <w:p>
      <w:pPr>
        <w:spacing w:after="0" w:line="1" w:lineRule="exact"/>
        <w:rPr>
          <w:sz w:val="20"/>
          <w:szCs w:val="20"/>
          <w:color w:val="auto"/>
        </w:rPr>
      </w:pPr>
    </w:p>
    <w:p>
      <w:pPr>
        <w:ind w:right="140"/>
        <w:spacing w:after="0" w:line="201" w:lineRule="auto"/>
        <w:rPr>
          <w:sz w:val="20"/>
          <w:szCs w:val="20"/>
          <w:color w:val="auto"/>
        </w:rPr>
      </w:pPr>
      <w:r>
        <w:rPr>
          <w:rFonts w:ascii="Times New Roman" w:cs="Times New Roman" w:eastAsia="Times New Roman" w:hAnsi="Times New Roman"/>
          <w:sz w:val="21"/>
          <w:szCs w:val="21"/>
          <w:b w:val="1"/>
          <w:bCs w:val="1"/>
          <w:color w:val="auto"/>
          <w:vertAlign w:val="superscript"/>
        </w:rPr>
        <w:t>(6)</w:t>
      </w:r>
      <w:r>
        <w:rPr>
          <w:rFonts w:ascii="Times New Roman" w:cs="Times New Roman" w:eastAsia="Times New Roman" w:hAnsi="Times New Roman"/>
          <w:sz w:val="11"/>
          <w:szCs w:val="11"/>
          <w:color w:val="auto"/>
        </w:rPr>
        <w:t>For the years ended September 30, 2020, and 2019, the ratio of operating expenses to average net assets before the waiver of certain Management Fees to average net assets was 4.65%, and 5.26%, respectively, and the ratio of total expenses to average net assets before the waiver of certain Management Fees to average net assets was 9.12%, and 11.48%, respectively.</w:t>
      </w:r>
    </w:p>
    <w:p>
      <w:pPr>
        <w:spacing w:after="0" w:line="182" w:lineRule="auto"/>
        <w:rPr>
          <w:sz w:val="20"/>
          <w:szCs w:val="20"/>
          <w:color w:val="auto"/>
        </w:rPr>
      </w:pPr>
      <w:r>
        <w:rPr>
          <w:rFonts w:ascii="Times New Roman" w:cs="Times New Roman" w:eastAsia="Times New Roman" w:hAnsi="Times New Roman"/>
          <w:sz w:val="21"/>
          <w:szCs w:val="21"/>
          <w:b w:val="1"/>
          <w:bCs w:val="1"/>
          <w:color w:val="auto"/>
          <w:vertAlign w:val="superscript"/>
        </w:rPr>
        <w:t>(7)</w:t>
      </w:r>
      <w:r>
        <w:rPr>
          <w:rFonts w:ascii="Times New Roman" w:cs="Times New Roman" w:eastAsia="Times New Roman" w:hAnsi="Times New Roman"/>
          <w:sz w:val="11"/>
          <w:szCs w:val="11"/>
          <w:color w:val="auto"/>
        </w:rPr>
        <w:t>Includes SBA debentures outstanding.</w:t>
      </w:r>
    </w:p>
    <w:p>
      <w:pPr>
        <w:spacing w:after="0" w:line="1" w:lineRule="exact"/>
        <w:rPr>
          <w:sz w:val="20"/>
          <w:szCs w:val="20"/>
          <w:color w:val="auto"/>
        </w:rPr>
      </w:pPr>
    </w:p>
    <w:p>
      <w:pPr>
        <w:ind w:right="440"/>
        <w:spacing w:after="0" w:line="213" w:lineRule="auto"/>
        <w:rPr>
          <w:sz w:val="20"/>
          <w:szCs w:val="20"/>
          <w:color w:val="auto"/>
        </w:rPr>
      </w:pPr>
      <w:r>
        <w:rPr>
          <w:rFonts w:ascii="Times New Roman" w:cs="Times New Roman" w:eastAsia="Times New Roman" w:hAnsi="Times New Roman"/>
          <w:sz w:val="21"/>
          <w:szCs w:val="21"/>
          <w:b w:val="1"/>
          <w:bCs w:val="1"/>
          <w:color w:val="auto"/>
          <w:vertAlign w:val="superscript"/>
        </w:rPr>
        <w:t>(8)</w:t>
      </w: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2" w:lineRule="exact"/>
        <w:rPr>
          <w:sz w:val="20"/>
          <w:szCs w:val="20"/>
          <w:color w:val="auto"/>
        </w:rPr>
      </w:pPr>
    </w:p>
    <w:p>
      <w:pPr>
        <w:ind w:right="280"/>
        <w:spacing w:after="0" w:line="203" w:lineRule="auto"/>
        <w:rPr>
          <w:sz w:val="20"/>
          <w:szCs w:val="20"/>
          <w:color w:val="auto"/>
        </w:rPr>
      </w:pPr>
      <w:r>
        <w:rPr>
          <w:rFonts w:ascii="Times New Roman" w:cs="Times New Roman" w:eastAsia="Times New Roman" w:hAnsi="Times New Roman"/>
          <w:sz w:val="21"/>
          <w:szCs w:val="21"/>
          <w:b w:val="1"/>
          <w:bCs w:val="1"/>
          <w:color w:val="auto"/>
          <w:vertAlign w:val="superscript"/>
        </w:rPr>
        <w:t>(9)</w:t>
      </w:r>
      <w:r>
        <w:rPr>
          <w:rFonts w:ascii="Times New Roman" w:cs="Times New Roman" w:eastAsia="Times New Roman" w:hAnsi="Times New Roman"/>
          <w:sz w:val="11"/>
          <w:szCs w:val="11"/>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2020, or 2019.</w:t>
      </w:r>
    </w:p>
    <w:p>
      <w:pPr>
        <w:spacing w:after="0" w:line="1" w:lineRule="exact"/>
        <w:rPr>
          <w:sz w:val="20"/>
          <w:szCs w:val="20"/>
          <w:color w:val="auto"/>
        </w:rPr>
      </w:pPr>
    </w:p>
    <w:p>
      <w:pPr>
        <w:ind w:right="260"/>
        <w:spacing w:after="0" w:line="203" w:lineRule="auto"/>
        <w:rPr>
          <w:sz w:val="20"/>
          <w:szCs w:val="20"/>
          <w:color w:val="auto"/>
        </w:rPr>
      </w:pPr>
      <w:r>
        <w:rPr>
          <w:rFonts w:ascii="Times New Roman" w:cs="Times New Roman" w:eastAsia="Times New Roman" w:hAnsi="Times New Roman"/>
          <w:sz w:val="21"/>
          <w:szCs w:val="21"/>
          <w:b w:val="1"/>
          <w:bCs w:val="1"/>
          <w:color w:val="auto"/>
          <w:vertAlign w:val="superscript"/>
        </w:rPr>
        <w:t>(10)</w:t>
      </w:r>
      <w:r>
        <w:rPr>
          <w:rFonts w:ascii="Times New Roman" w:cs="Times New Roman" w:eastAsia="Times New Roman" w:hAnsi="Times New Roman"/>
          <w:sz w:val="11"/>
          <w:szCs w:val="11"/>
          <w:color w:val="auto"/>
        </w:rPr>
        <w:t>The average market value per unit is derived based on the daily closing price of the 2024 Notes trading on The Nasdaq Global Select Market under the symbol “PNNTG,” which were issued in increments of $25 per unit and commenced trading on September 30, 2019. The 2024 Notes were redeemed in full on November 13, 2021 and no amounts were outstanding as of September 30, 2023, or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DEBT</w:t>
      </w:r>
    </w:p>
    <w:p>
      <w:pPr>
        <w:spacing w:after="0" w:line="129"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The annualized weighted average cost of debt for the years ended September 30, 2023, 2022, and 2021, inclusive of the fee on the undrawn commitment and amendment costs on the Truist Credit Facility and amortized upfront fees on 2026 Notes-2, was 6.0%, 4.8%, and 3.5%, respectively. As of September 30, 2023, in accordance with the 1940 Act, with certain limited exceptions, we are only allowed to borrow amounts such that we are in compliance with the 150% asset coverage ratio requirement after such borrowing, excluding SBA debentures, pursuant to exemptive relief from the SEC received in June 2011.</w:t>
      </w:r>
    </w:p>
    <w:p>
      <w:pPr>
        <w:spacing w:after="0" w:line="127" w:lineRule="exact"/>
        <w:rPr>
          <w:sz w:val="20"/>
          <w:szCs w:val="20"/>
          <w:color w:val="auto"/>
        </w:rPr>
      </w:pPr>
    </w:p>
    <w:p>
      <w:pPr>
        <w:jc w:val="both"/>
        <w:ind w:right="340" w:firstLine="420"/>
        <w:spacing w:after="0" w:line="262" w:lineRule="auto"/>
        <w:rPr>
          <w:sz w:val="20"/>
          <w:szCs w:val="20"/>
          <w:color w:val="auto"/>
        </w:rPr>
      </w:pPr>
      <w:r>
        <w:rPr>
          <w:rFonts w:ascii="Times New Roman" w:cs="Times New Roman" w:eastAsia="Times New Roman" w:hAnsi="Times New Roman"/>
          <w:sz w:val="13"/>
          <w:szCs w:val="13"/>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September 30, 2023 and 2022, our asset coverage ratio, as computed in accordance with the 1940 Act, was 195% and 186%, respectively.</w:t>
      </w:r>
    </w:p>
    <w:p>
      <w:pPr>
        <w:spacing w:after="0" w:line="3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556" w:right="60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Truist Credit Facility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we had the multi-currency Truist Credit Facility for up to $475.0 million (decreased from $500.0 million in September 2023), which may be further increased up to</w:t>
      </w:r>
    </w:p>
    <w:p>
      <w:pPr>
        <w:spacing w:after="0" w:line="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3"/>
          <w:szCs w:val="13"/>
          <w:color w:val="auto"/>
        </w:rPr>
        <w:t>$750.0 million in borrowings with certain lenders and Truist Bank (formerly SunTrust Bank), acting as administrative agent, Regions Bank, acting as an additional multicurrency lender, and JPMorgan Chase Bank, N.A., acting as syndication agent for the lenders. As of September 30, 2023 and 2022, we had $212.4 million and $385.9 million, respectively, in outstanding borrowings under the Truist Credit Facility. The Truist Credit Facility had a weighted average interest rate of 7.7% and 5.3%, respectively, exclusive of the fee on undrawn commitment, as of September 30, 2023 and 2022. The Truist Credit Facility is a revolving facility with a stated maturity date of July 29, 2027 for $475.0 million out of the total $500.0 million commitments (with the revolving period with respect to the remaining $25.0 million of commitments expiring on September 4, 2023 and the related obligations maturing on September 4, 2024) and pricing set at 235 basis points over SOFR. As of September 30, 2023 and 2022, we had $262.6 million and $114.1 million of unused borrowing capacity under the Truist Credit Facility, respectively, subject to leverage and borrowing base restrictions. The Truist Credit Facility is secured by substantially all of our assets excluding assets held by SBIC II. As of September 30, 2023, we were in compliance with the terms of the Truist Credit Facility.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SBA Debentures</w:t>
      </w:r>
    </w:p>
    <w:p>
      <w:pPr>
        <w:spacing w:after="0" w:line="131"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SBIC II was historically able to borrow funds from the SBA against regulatory capital (which approximates equity capital) that is paid-in and is subject to customary regulatory requirements including an examination by the SBA. We previously funded SBIC II with $75.0 million of equity capital and it had SBA debentures outstanding of zero and $ 20.0 million as of September 30, 2023 and 2022, respectively. SBA debentures are non -recourse to us and may be prepaid at any time without penalty. The interest rate of SBA debentures is fixed at the time of issuance, often referred to as pooling, at a market -driven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both September 30, 2023 and 2022, SBIC II had zero and $20.0 million in debt commitments, respectively, all of which was drawn as of September 30, 2022. We repaid the remaining</w:t>
      </w:r>
    </w:p>
    <w:p>
      <w:pPr>
        <w:spacing w:after="0" w:line="21" w:lineRule="exact"/>
        <w:rPr>
          <w:sz w:val="20"/>
          <w:szCs w:val="20"/>
          <w:color w:val="auto"/>
        </w:rPr>
      </w:pPr>
    </w:p>
    <w:p>
      <w:pPr>
        <w:ind w:right="640"/>
        <w:spacing w:after="0" w:line="263" w:lineRule="auto"/>
        <w:rPr>
          <w:sz w:val="20"/>
          <w:szCs w:val="20"/>
          <w:color w:val="auto"/>
        </w:rPr>
      </w:pPr>
      <w:r>
        <w:rPr>
          <w:rFonts w:ascii="Times New Roman" w:cs="Times New Roman" w:eastAsia="Times New Roman" w:hAnsi="Times New Roman"/>
          <w:sz w:val="13"/>
          <w:szCs w:val="13"/>
          <w:color w:val="auto"/>
        </w:rPr>
        <w:t>$20.0 million SBA Debentures during the nine months ended June 30, 2023. As of September 30, 2023 and 2022, the unamortized fees on the SBA debentures were zero and $0.3 million, respectively. The SBA debentures’ upfront fees of 3.4% consist of a commitment fee of 1.0% and an issuance discount of 2.4%, which are being amortized.</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fixed-rate SBA debentures were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7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040" w:type="dxa"/>
            <w:vAlign w:val="bottom"/>
            <w:vMerge w:val="restart"/>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rPr>
              <w:t xml:space="preserve">Fixed All-in Coupon Rate </w:t>
            </w:r>
            <w:r>
              <w:rPr>
                <w:rFonts w:ascii="Times New Roman" w:cs="Times New Roman" w:eastAsia="Times New Roman" w:hAnsi="Times New Roman"/>
                <w:sz w:val="16"/>
                <w:szCs w:val="16"/>
                <w:b w:val="1"/>
                <w:bCs w:val="1"/>
                <w:color w:val="auto"/>
                <w:vertAlign w:val="superscript"/>
              </w:rPr>
              <w:t>(1)</w:t>
            </w:r>
          </w:p>
        </w:tc>
        <w:tc>
          <w:tcPr>
            <w:tcW w:w="226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As of September 30, 2022</w:t>
            </w:r>
          </w:p>
        </w:tc>
        <w:tc>
          <w:tcPr>
            <w:tcW w:w="0" w:type="dxa"/>
            <w:vAlign w:val="bottom"/>
          </w:tcPr>
          <w:p>
            <w:pPr>
              <w:spacing w:after="0"/>
              <w:rPr>
                <w:sz w:val="1"/>
                <w:szCs w:val="1"/>
                <w:color w:val="auto"/>
              </w:rPr>
            </w:pPr>
          </w:p>
        </w:tc>
      </w:tr>
      <w:tr>
        <w:trPr>
          <w:trHeight w:val="182"/>
        </w:trPr>
        <w:tc>
          <w:tcPr>
            <w:tcW w:w="272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Issuance Dates</w:t>
            </w:r>
          </w:p>
        </w:tc>
        <w:tc>
          <w:tcPr>
            <w:tcW w:w="2540" w:type="dxa"/>
            <w:vAlign w:val="bottom"/>
          </w:tcPr>
          <w:p>
            <w:pPr>
              <w:ind w:left="140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3040" w:type="dxa"/>
            <w:vAlign w:val="bottom"/>
            <w:vMerge w:val="continue"/>
          </w:tcPr>
          <w:p>
            <w:pPr>
              <w:spacing w:after="0"/>
              <w:rPr>
                <w:sz w:val="15"/>
                <w:szCs w:val="15"/>
                <w:color w:val="auto"/>
              </w:rPr>
            </w:pPr>
          </w:p>
        </w:tc>
        <w:tc>
          <w:tcPr>
            <w:tcW w:w="226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Principal Balance</w:t>
            </w:r>
          </w:p>
        </w:tc>
        <w:tc>
          <w:tcPr>
            <w:tcW w:w="0" w:type="dxa"/>
            <w:vAlign w:val="bottom"/>
          </w:tcPr>
          <w:p>
            <w:pPr>
              <w:spacing w:after="0"/>
              <w:rPr>
                <w:sz w:val="1"/>
                <w:szCs w:val="1"/>
                <w:color w:val="auto"/>
              </w:rPr>
            </w:pPr>
          </w:p>
        </w:tc>
      </w:tr>
      <w:tr>
        <w:trPr>
          <w:trHeight w:val="180"/>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September 20, 2017</w:t>
            </w:r>
          </w:p>
        </w:tc>
        <w:tc>
          <w:tcPr>
            <w:tcW w:w="254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3"/>
                <w:szCs w:val="13"/>
                <w:color w:val="auto"/>
              </w:rPr>
              <w:t>September 1, 2027</w:t>
            </w:r>
          </w:p>
        </w:tc>
        <w:tc>
          <w:tcPr>
            <w:tcW w:w="304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2.9 %</w:t>
            </w:r>
          </w:p>
        </w:tc>
        <w:tc>
          <w:tcPr>
            <w:tcW w:w="22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20,000,000</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Excluding 3.4% of upfront fees.</w:t>
      </w:r>
    </w:p>
    <w:p>
      <w:pPr>
        <w:spacing w:after="0" w:line="47"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The SBIC program was designed to stimulate the flow of capital into eligible businesses. Under SBA regulations, SBIC II was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were subject to periodic audits and examinations of its financial statements that are prepared on a basis of accounting other than GAAP (for example, fair value, as defined under ASC 820, is not required to be used for assets or liabilities for such compliance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2024 Notes</w:t>
      </w:r>
    </w:p>
    <w:p>
      <w:pPr>
        <w:spacing w:after="0" w:line="131"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As of September 30, 2023 and 2022, we had zero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at a rate of 5.5% per year.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31"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In April 2021, we issued $ 150.0 million in aggregate principal amount of our 2026 Notes at a public offering price per note of 99.4%. Interest on the 2026 Notes is paid semi- 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Notes-2</w:t>
      </w:r>
    </w:p>
    <w:p>
      <w:pPr>
        <w:spacing w:after="0" w:line="131"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In October 2021, we issued $165.0 million in aggregate principal amount of our 2026 Notes -2 at a public offering price per note of 99.4%.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Notes- 2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COMMITMENTS AND CONTINGENCIES</w:t>
      </w:r>
    </w:p>
    <w:p>
      <w:pPr>
        <w:spacing w:after="0" w:line="129"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September 30, 2023 and 2022, we had $160.8 million and $169.2 million, respectively, in commitments to fund investments. Additionally, the Company had unfunded commitments of up to $22.4 million and $45.9 million to PSLF as of September 30, 2023 and 2022, respectively, that may be contributed primarily for the purpose of funding new investments approved by PSLF board of directors or investment committee.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UNCONSOLIDATED SIGNIFICANT SUBSIDIARIES</w:t>
      </w:r>
    </w:p>
    <w:p>
      <w:pPr>
        <w:spacing w:after="0" w:line="129" w:lineRule="exact"/>
        <w:rPr>
          <w:sz w:val="20"/>
          <w:szCs w:val="20"/>
          <w:color w:val="auto"/>
        </w:rPr>
      </w:pPr>
    </w:p>
    <w:p>
      <w:pPr>
        <w:jc w:val="both"/>
        <w:ind w:right="140" w:firstLine="420"/>
        <w:spacing w:after="0" w:line="262" w:lineRule="auto"/>
        <w:rPr>
          <w:sz w:val="20"/>
          <w:szCs w:val="20"/>
          <w:color w:val="auto"/>
        </w:rPr>
      </w:pPr>
      <w:r>
        <w:rPr>
          <w:rFonts w:ascii="Times New Roman" w:cs="Times New Roman" w:eastAsia="Times New Roman" w:hAnsi="Times New Roman"/>
          <w:sz w:val="13"/>
          <w:szCs w:val="13"/>
          <w:color w:val="auto"/>
        </w:rPr>
        <w:t>We must determine which, if any, of our unconsolidated controlled portfolio companies is a "significant subsidiary" within the meaning of Regulation S-X. We have determined that, as of September 30, 2023, PennantPark Senior Loan Fund, LLC triggered at least one of the significance tests. As a result and on accordance with Rule 3-09 of Regulation S-X separate audited financial statements of PSLF, LLC for the years ended. September 30, 2023, 2022, and 2021 are being filed as Exhibit 99.3 and Exhibit 99.4. Our investment in RAM Energy Holdings LLC was realized on February 08, 2023.</w:t>
      </w:r>
    </w:p>
    <w:p>
      <w:pPr>
        <w:spacing w:after="0" w:line="91"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On February 08, 2023, the Company sold its investment in RAM Energy Holdings LLC. Below is certain selected key financial data from RAM Energy Holdings LLC Balance Sheet at September 30, 2023 and 2022, and the twelve months ended December 31, 2022, 2021 and 2020 Income Statement for the periods in which our investment in RAM Energy Holdings LLC exceeded the threshold in at least one of the tests under Rule 3-09 of Regulation S-X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RAM Energy Holdings LLC:</w:t>
            </w:r>
          </w:p>
        </w:tc>
        <w:tc>
          <w:tcPr>
            <w:tcW w:w="20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2040" w:type="dxa"/>
            <w:vAlign w:val="bottom"/>
          </w:tcPr>
          <w:p>
            <w:pPr>
              <w:spacing w:after="0"/>
              <w:rPr>
                <w:sz w:val="24"/>
                <w:szCs w:val="24"/>
                <w:color w:val="auto"/>
              </w:rPr>
            </w:pPr>
          </w:p>
        </w:tc>
        <w:tc>
          <w:tcPr>
            <w:tcW w:w="2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520" w:type="dxa"/>
            <w:vAlign w:val="bottom"/>
          </w:tcPr>
          <w:p>
            <w:pPr>
              <w:spacing w:after="0"/>
              <w:rPr>
                <w:sz w:val="24"/>
                <w:szCs w:val="24"/>
                <w:color w:val="auto"/>
              </w:rPr>
            </w:pPr>
          </w:p>
        </w:tc>
        <w:tc>
          <w:tcPr>
            <w:tcW w:w="206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84"/>
        </w:trPr>
        <w:tc>
          <w:tcPr>
            <w:tcW w:w="3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0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shd w:val="clear" w:color="auto" w:fill="CCECFF"/>
          </w:tcPr>
          <w:p>
            <w:pPr>
              <w:ind w:left="18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21,051</w:t>
            </w:r>
          </w:p>
        </w:tc>
      </w:tr>
      <w:tr>
        <w:trPr>
          <w:trHeight w:val="176"/>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040" w:type="dxa"/>
            <w:vAlign w:val="bottom"/>
          </w:tcPr>
          <w:p>
            <w:pPr>
              <w:spacing w:after="0"/>
              <w:rPr>
                <w:sz w:val="15"/>
                <w:szCs w:val="15"/>
                <w:color w:val="auto"/>
              </w:rPr>
            </w:pPr>
          </w:p>
        </w:tc>
        <w:tc>
          <w:tcPr>
            <w:tcW w:w="218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2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71,411</w:t>
            </w:r>
          </w:p>
        </w:tc>
      </w:tr>
      <w:tr>
        <w:trPr>
          <w:trHeight w:val="184"/>
        </w:trPr>
        <w:tc>
          <w:tcPr>
            <w:tcW w:w="3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040" w:type="dxa"/>
            <w:vAlign w:val="bottom"/>
            <w:shd w:val="clear" w:color="auto" w:fill="CCECFF"/>
          </w:tcPr>
          <w:p>
            <w:pPr>
              <w:spacing w:after="0"/>
              <w:rPr>
                <w:sz w:val="16"/>
                <w:szCs w:val="16"/>
                <w:color w:val="auto"/>
              </w:rPr>
            </w:pPr>
          </w:p>
        </w:tc>
        <w:tc>
          <w:tcPr>
            <w:tcW w:w="2180" w:type="dxa"/>
            <w:vAlign w:val="bottom"/>
            <w:shd w:val="clear" w:color="auto" w:fill="CCECFF"/>
          </w:tcPr>
          <w:p>
            <w:pPr>
              <w:ind w:left="18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spacing w:after="0"/>
              <w:rPr>
                <w:sz w:val="16"/>
                <w:szCs w:val="16"/>
                <w:color w:val="auto"/>
              </w:rPr>
            </w:pPr>
          </w:p>
        </w:tc>
        <w:tc>
          <w:tcPr>
            <w:tcW w:w="206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24,721</w:t>
            </w:r>
          </w:p>
        </w:tc>
      </w:tr>
      <w:tr>
        <w:trPr>
          <w:trHeight w:val="172"/>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0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tcPr>
          <w:p>
            <w:pPr>
              <w:ind w:left="18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40,921</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Years Ended September 30,</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Statement</w:t>
            </w:r>
          </w:p>
        </w:tc>
        <w:tc>
          <w:tcPr>
            <w:tcW w:w="440" w:type="dxa"/>
            <w:vAlign w:val="bottom"/>
          </w:tcPr>
          <w:p>
            <w:pPr>
              <w:spacing w:after="0"/>
              <w:rPr>
                <w:sz w:val="16"/>
                <w:szCs w:val="16"/>
                <w:color w:val="auto"/>
              </w:rPr>
            </w:pPr>
          </w:p>
        </w:tc>
        <w:tc>
          <w:tcPr>
            <w:tcW w:w="142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6"/>
                <w:szCs w:val="16"/>
                <w:color w:val="auto"/>
              </w:rPr>
            </w:pPr>
          </w:p>
        </w:tc>
      </w:tr>
      <w:tr>
        <w:trPr>
          <w:trHeight w:val="184"/>
        </w:trPr>
        <w:tc>
          <w:tcPr>
            <w:tcW w:w="4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revenue</w:t>
            </w:r>
          </w:p>
        </w:tc>
        <w:tc>
          <w:tcPr>
            <w:tcW w:w="44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CFF"/>
          </w:tcPr>
          <w:p>
            <w:pPr>
              <w:ind w:left="128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52,051</w:t>
            </w:r>
          </w:p>
        </w:tc>
        <w:tc>
          <w:tcPr>
            <w:tcW w:w="300" w:type="dxa"/>
            <w:vAlign w:val="bottom"/>
            <w:shd w:val="clear" w:color="auto" w:fill="CCECFF"/>
          </w:tcPr>
          <w:p>
            <w:pPr>
              <w:spacing w:after="0"/>
              <w:rPr>
                <w:sz w:val="16"/>
                <w:szCs w:val="16"/>
                <w:color w:val="auto"/>
              </w:rPr>
            </w:pPr>
          </w:p>
        </w:tc>
        <w:tc>
          <w:tcPr>
            <w:tcW w:w="420" w:type="dxa"/>
            <w:vAlign w:val="bottom"/>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57,931</w:t>
            </w:r>
          </w:p>
        </w:tc>
        <w:tc>
          <w:tcPr>
            <w:tcW w:w="80" w:type="dxa"/>
            <w:vAlign w:val="bottom"/>
            <w:shd w:val="clear" w:color="auto" w:fill="CCECFF"/>
          </w:tcPr>
          <w:p>
            <w:pPr>
              <w:spacing w:after="0"/>
              <w:rPr>
                <w:sz w:val="16"/>
                <w:szCs w:val="16"/>
                <w:color w:val="auto"/>
              </w:rPr>
            </w:pPr>
          </w:p>
        </w:tc>
      </w:tr>
      <w:tr>
        <w:trPr>
          <w:trHeight w:val="176"/>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w:t>
            </w:r>
          </w:p>
        </w:tc>
        <w:tc>
          <w:tcPr>
            <w:tcW w:w="440" w:type="dxa"/>
            <w:vAlign w:val="bottom"/>
          </w:tcPr>
          <w:p>
            <w:pPr>
              <w:spacing w:after="0"/>
              <w:rPr>
                <w:sz w:val="15"/>
                <w:szCs w:val="15"/>
                <w:color w:val="auto"/>
              </w:rPr>
            </w:pPr>
          </w:p>
        </w:tc>
        <w:tc>
          <w:tcPr>
            <w:tcW w:w="1420" w:type="dxa"/>
            <w:vAlign w:val="bottom"/>
          </w:tcPr>
          <w:p>
            <w:pPr>
              <w:ind w:left="128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(47,589 )</w:t>
            </w:r>
          </w:p>
        </w:tc>
        <w:tc>
          <w:tcPr>
            <w:tcW w:w="42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(39,511 )</w:t>
            </w:r>
          </w:p>
        </w:tc>
      </w:tr>
      <w:tr>
        <w:trPr>
          <w:trHeight w:val="220"/>
        </w:trPr>
        <w:tc>
          <w:tcPr>
            <w:tcW w:w="43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440" w:type="dxa"/>
            <w:vAlign w:val="bottom"/>
            <w:tcBorders>
              <w:bottom w:val="single" w:sz="8" w:color="auto"/>
            </w:tcBorders>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CFF"/>
          </w:tcPr>
          <w:p>
            <w:pPr>
              <w:ind w:left="128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CCECFF"/>
            </w:tcBorders>
            <w:shd w:val="clear" w:color="auto" w:fill="CCECFF"/>
          </w:tcPr>
          <w:p>
            <w:pPr>
              <w:spacing w:after="0"/>
              <w:rPr>
                <w:sz w:val="19"/>
                <w:szCs w:val="19"/>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4,462</w:t>
            </w:r>
          </w:p>
        </w:tc>
        <w:tc>
          <w:tcPr>
            <w:tcW w:w="300" w:type="dxa"/>
            <w:vAlign w:val="bottom"/>
            <w:tcBorders>
              <w:bottom w:val="single" w:sz="8" w:color="CCECFF"/>
            </w:tcBorders>
            <w:shd w:val="clear" w:color="auto" w:fill="CCECFF"/>
          </w:tcPr>
          <w:p>
            <w:pPr>
              <w:spacing w:after="0"/>
              <w:rPr>
                <w:sz w:val="19"/>
                <w:szCs w:val="19"/>
                <w:color w:val="auto"/>
              </w:rPr>
            </w:pPr>
          </w:p>
        </w:tc>
        <w:tc>
          <w:tcPr>
            <w:tcW w:w="420" w:type="dxa"/>
            <w:vAlign w:val="bottom"/>
            <w:tcBorders>
              <w:bottom w:val="single" w:sz="8" w:color="auto"/>
            </w:tcBorders>
            <w:shd w:val="clear" w:color="auto" w:fill="CCEC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18,420</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STOCK REPURCHASE PROGRAM</w:t>
      </w:r>
    </w:p>
    <w:p>
      <w:pPr>
        <w:spacing w:after="0" w:line="165"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3"/>
          <w:szCs w:val="13"/>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program expired on March 31, 2023. During the year ended September 30, 2023, we did not make any repurchase of our common shares. During the year ended September 30, 2022, we repurchased 1,820,605 shares of common stock in open market transactions for an aggregate cost (including transaction costs) of $13.2 million. During the year ended September 30, 2023, we did not make any repurchases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a)Evaluation of Disclosure Controls and Procedures</w:t>
      </w:r>
    </w:p>
    <w:p>
      <w:pPr>
        <w:spacing w:after="0" w:line="167" w:lineRule="exact"/>
        <w:rPr>
          <w:sz w:val="20"/>
          <w:szCs w:val="20"/>
          <w:color w:val="auto"/>
        </w:rPr>
      </w:pPr>
    </w:p>
    <w:p>
      <w:pPr>
        <w:ind w:left="420" w:firstLine="198"/>
        <w:spacing w:after="0" w:line="254" w:lineRule="auto"/>
        <w:rPr>
          <w:sz w:val="20"/>
          <w:szCs w:val="20"/>
          <w:color w:val="auto"/>
        </w:rPr>
      </w:pPr>
      <w:r>
        <w:rPr>
          <w:rFonts w:ascii="Times New Roman" w:cs="Times New Roman" w:eastAsia="Times New Roman" w:hAnsi="Times New Roman"/>
          <w:sz w:val="13"/>
          <w:szCs w:val="13"/>
          <w:color w:val="auto"/>
        </w:rPr>
        <w:t>As of September 30, 2023,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due to the material weaknesses in the Company’s internal control over financial reporting described in Management’s Report on Internal Control Over Financial Reporting, which appears on page 61 of this Form 10-K, our disclosure controls and procedures were not effective to provide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Specifically, material weaknesses were identified with respect to (i) the operations of controls relating to the quarterly cash and investment reconciliations and (ii) the operation of our internal controls over financial reporting relating to our review of interest income and non-accrual classification of investments.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4" w:lineRule="exact"/>
        <w:rPr>
          <w:sz w:val="20"/>
          <w:szCs w:val="20"/>
          <w:color w:val="auto"/>
        </w:rPr>
      </w:pPr>
    </w:p>
    <w:p>
      <w:pPr>
        <w:ind w:left="420" w:right="100" w:firstLine="198"/>
        <w:spacing w:after="0" w:line="262" w:lineRule="auto"/>
        <w:rPr>
          <w:sz w:val="20"/>
          <w:szCs w:val="20"/>
          <w:color w:val="auto"/>
        </w:rPr>
      </w:pPr>
      <w:r>
        <w:rPr>
          <w:rFonts w:ascii="Times New Roman" w:cs="Times New Roman" w:eastAsia="Times New Roman" w:hAnsi="Times New Roman"/>
          <w:sz w:val="13"/>
          <w:szCs w:val="13"/>
          <w:color w:val="auto"/>
        </w:rPr>
        <w:t>Notwithstanding the material weaknesses referenced above, management believes that the financial statements included in this Annual Report on Form 10-K present fairly, in all material respects, the Company’s financial position, results of its operations, changes in net assets and cash flows for the periods presented. We have begun the process of, and we are focused on, further enhancing effective internal control measures to improve our internal control over financial reporting and remediate the material weaknesses noted above. Our internal control remediation efforts include the following:</w:t>
      </w:r>
    </w:p>
    <w:p>
      <w:pPr>
        <w:spacing w:after="0" w:line="247" w:lineRule="exact"/>
        <w:rPr>
          <w:sz w:val="20"/>
          <w:szCs w:val="20"/>
          <w:color w:val="auto"/>
        </w:rPr>
      </w:pPr>
    </w:p>
    <w:p>
      <w:pPr>
        <w:ind w:left="480" w:right="360"/>
        <w:spacing w:after="0" w:line="286" w:lineRule="auto"/>
        <w:rPr>
          <w:sz w:val="20"/>
          <w:szCs w:val="20"/>
          <w:color w:val="auto"/>
        </w:rPr>
      </w:pPr>
      <w:r>
        <w:rPr>
          <w:rFonts w:ascii="Times New Roman" w:cs="Times New Roman" w:eastAsia="Times New Roman" w:hAnsi="Times New Roman"/>
          <w:sz w:val="13"/>
          <w:szCs w:val="13"/>
          <w:color w:val="auto"/>
        </w:rPr>
        <w:t>•Enhancing existing controls to ensure the appropriate review of the quarterly cash and investment reconciliation and that it is adequately documented so as to provide evidence that the controls are operating effectively;</w:t>
      </w:r>
    </w:p>
    <w:p>
      <w:pPr>
        <w:spacing w:after="0" w:line="52"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3"/>
          <w:szCs w:val="13"/>
          <w:color w:val="auto"/>
        </w:rPr>
        <w:t>•Enhancing existing controls to ensure that our internal controls over financial reporting relating to our analysis of interest income and assessment of investments for classification as non-accrual investments are operating effectively; and</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•Enhancing policies and procedures to demonstrate a commitment to improving our overall control environment.</w:t>
      </w:r>
    </w:p>
    <w:p>
      <w:pPr>
        <w:spacing w:after="0" w:line="163" w:lineRule="exact"/>
        <w:rPr>
          <w:sz w:val="20"/>
          <w:szCs w:val="20"/>
          <w:color w:val="auto"/>
        </w:rPr>
      </w:pPr>
    </w:p>
    <w:p>
      <w:pPr>
        <w:jc w:val="both"/>
        <w:ind w:left="420" w:right="40" w:firstLine="165"/>
        <w:spacing w:after="0" w:line="268" w:lineRule="auto"/>
        <w:rPr>
          <w:sz w:val="20"/>
          <w:szCs w:val="20"/>
          <w:color w:val="auto"/>
        </w:rPr>
      </w:pPr>
      <w:r>
        <w:rPr>
          <w:rFonts w:ascii="Times New Roman" w:cs="Times New Roman" w:eastAsia="Times New Roman" w:hAnsi="Times New Roman"/>
          <w:sz w:val="13"/>
          <w:szCs w:val="13"/>
          <w:color w:val="auto"/>
        </w:rPr>
        <w:t>We believe our planned actions to enhance our processes and controls will address these material weaknesses,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b)Management’s Report on Internal Control Over Financial Reporting</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Management’s Report on Internal Control Over Financial Reporting, which appears on page 61 of this Form 10-K, is incorporated by reference herein.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c)Changes in Internal Controls Over Financial Reporting</w:t>
      </w:r>
    </w:p>
    <w:p>
      <w:pPr>
        <w:spacing w:after="0" w:line="323" w:lineRule="exact"/>
        <w:rPr>
          <w:sz w:val="20"/>
          <w:szCs w:val="20"/>
          <w:color w:val="auto"/>
        </w:rPr>
      </w:pPr>
    </w:p>
    <w:p>
      <w:pPr>
        <w:ind w:left="420" w:right="300" w:firstLine="165"/>
        <w:spacing w:after="0" w:line="268" w:lineRule="auto"/>
        <w:rPr>
          <w:sz w:val="20"/>
          <w:szCs w:val="20"/>
          <w:color w:val="auto"/>
        </w:rPr>
      </w:pPr>
      <w:r>
        <w:rPr>
          <w:rFonts w:ascii="Times New Roman" w:cs="Times New Roman" w:eastAsia="Times New Roman" w:hAnsi="Times New Roman"/>
          <w:sz w:val="13"/>
          <w:szCs w:val="13"/>
          <w:color w:val="auto"/>
        </w:rPr>
        <w:t>As of September 30, 2023, management remediated the material weakness previously identified as of September 30, 2022 relating to procedures to ensure the timely transmission of portfolio company financial information to our independent valuation services providers. Although this material weakness did not result in any material misstatement of our consolidated financial statements, there is possibility it could have led to a material misstatement of account balances or disclosures that were not prevented or detected.</w:t>
      </w:r>
    </w:p>
    <w:p>
      <w:pPr>
        <w:spacing w:after="0" w:line="171" w:lineRule="exact"/>
        <w:rPr>
          <w:sz w:val="20"/>
          <w:szCs w:val="20"/>
          <w:color w:val="auto"/>
        </w:rPr>
      </w:pPr>
    </w:p>
    <w:p>
      <w:pPr>
        <w:ind w:left="420" w:right="480" w:firstLine="192"/>
        <w:spacing w:after="0" w:line="286" w:lineRule="auto"/>
        <w:rPr>
          <w:sz w:val="20"/>
          <w:szCs w:val="20"/>
          <w:color w:val="auto"/>
        </w:rPr>
      </w:pPr>
      <w:r>
        <w:rPr>
          <w:rFonts w:ascii="Times New Roman" w:cs="Times New Roman" w:eastAsia="Times New Roman" w:hAnsi="Times New Roman"/>
          <w:sz w:val="13"/>
          <w:szCs w:val="13"/>
          <w:color w:val="auto"/>
        </w:rPr>
        <w:t>Management remediated the material weakness by enchancing (a) existing controls to ensure the timely transmission of all relevant portfolio company financial information to our independent valuation service providers and (b) policies and procedures to demonstrate a commitment to improving our overall control environment.</w:t>
      </w:r>
    </w:p>
    <w:p>
      <w:pPr>
        <w:spacing w:after="0" w:line="160" w:lineRule="exact"/>
        <w:rPr>
          <w:sz w:val="20"/>
          <w:szCs w:val="20"/>
          <w:color w:val="auto"/>
        </w:rPr>
      </w:pPr>
    </w:p>
    <w:p>
      <w:pPr>
        <w:ind w:left="420" w:right="200" w:firstLine="183"/>
        <w:spacing w:after="0" w:line="286" w:lineRule="auto"/>
        <w:rPr>
          <w:sz w:val="20"/>
          <w:szCs w:val="20"/>
          <w:color w:val="auto"/>
        </w:rPr>
      </w:pPr>
      <w:r>
        <w:rPr>
          <w:rFonts w:ascii="Times New Roman" w:cs="Times New Roman" w:eastAsia="Times New Roman" w:hAnsi="Times New Roman"/>
          <w:sz w:val="13"/>
          <w:szCs w:val="13"/>
          <w:color w:val="auto"/>
        </w:rPr>
        <w:t>As a result of the remediation activities, management has determined that management's control were designed appropriately and a sufficient level of precision, and have been operating effectively for a sufficient period of time, such that the material weakness previously identified as of September 30, 2022 has been remediated as of September 30, 2023.</w:t>
      </w:r>
    </w:p>
    <w:p>
      <w:pPr>
        <w:spacing w:after="0" w:line="136" w:lineRule="exact"/>
        <w:rPr>
          <w:sz w:val="20"/>
          <w:szCs w:val="20"/>
          <w:color w:val="auto"/>
        </w:rPr>
      </w:pPr>
    </w:p>
    <w:p>
      <w:pPr>
        <w:ind w:left="420" w:right="380" w:firstLine="165"/>
        <w:spacing w:after="0" w:line="286" w:lineRule="auto"/>
        <w:rPr>
          <w:sz w:val="20"/>
          <w:szCs w:val="20"/>
          <w:color w:val="auto"/>
        </w:rPr>
      </w:pPr>
      <w:r>
        <w:rPr>
          <w:rFonts w:ascii="Times New Roman" w:cs="Times New Roman" w:eastAsia="Times New Roman" w:hAnsi="Times New Roman"/>
          <w:sz w:val="13"/>
          <w:szCs w:val="13"/>
          <w:color w:val="auto"/>
        </w:rPr>
        <w:t>Except as noted above, 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12" w:lineRule="exact"/>
        <w:rPr>
          <w:sz w:val="20"/>
          <w:szCs w:val="20"/>
          <w:color w:val="auto"/>
        </w:rPr>
      </w:pPr>
    </w:p>
    <w:p>
      <w:pPr>
        <w:ind w:left="420" w:right="280" w:firstLine="198"/>
        <w:spacing w:after="0" w:line="286" w:lineRule="auto"/>
        <w:rPr>
          <w:sz w:val="20"/>
          <w:szCs w:val="20"/>
          <w:color w:val="auto"/>
        </w:rPr>
      </w:pPr>
      <w:r>
        <w:rPr>
          <w:rFonts w:ascii="Times New Roman" w:cs="Times New Roman" w:eastAsia="Times New Roman" w:hAnsi="Times New Roman"/>
          <w:sz w:val="13"/>
          <w:szCs w:val="13"/>
          <w:color w:val="auto"/>
        </w:rPr>
        <w:t>Please see Management’s Report on Internal Control Over Financial Reporting, which appears on page 61 of this Form 10-K, for descriptions of the material weaknesses identified by Management.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6" w:right="700" w:bottom="1440" w:gutter="0" w:footer="0" w:header="0"/>
        </w:sectPr>
      </w:pPr>
    </w:p>
    <w:bookmarkStart w:id="100" w:name="page101"/>
    <w:bookmarkEnd w:id="100"/>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10b5-1 Disclosure</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556" w:right="1440" w:bottom="1440" w:gutter="0" w:footer="0" w:header="0"/>
        </w:sectPr>
      </w:pPr>
    </w:p>
    <w:bookmarkStart w:id="101" w:name="page102"/>
    <w:bookmarkEnd w:id="101"/>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1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29" w:lineRule="exact"/>
        <w:rPr>
          <w:sz w:val="20"/>
          <w:szCs w:val="20"/>
          <w:color w:val="auto"/>
        </w:rPr>
      </w:pPr>
    </w:p>
    <w:p>
      <w:pPr>
        <w:ind w:left="80" w:firstLine="420"/>
        <w:spacing w:after="0" w:line="268" w:lineRule="auto"/>
        <w:rPr>
          <w:sz w:val="20"/>
          <w:szCs w:val="20"/>
          <w:color w:val="auto"/>
        </w:rPr>
      </w:pPr>
      <w:r>
        <w:rPr>
          <w:rFonts w:ascii="Times New Roman" w:cs="Times New Roman" w:eastAsia="Times New Roman" w:hAnsi="Times New Roman"/>
          <w:sz w:val="13"/>
          <w:szCs w:val="13"/>
          <w:color w:val="auto"/>
        </w:rPr>
        <w:t>We will file a definitive Proxy Statement for our 2024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10 is hereby incorporated by reference from our definitive Proxy Statement relating to our 2024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11 is hereby incorporated by reference from our definitive Proxy Statement relating to our 2024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12 is hereby incorporated by reference from our definitive Proxy Statement relating to our 2024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13 is hereby incorporated by reference from our definitive Proxy Statement relating to our 2024 Annual Meeting of Stockholders, to be filed with the SEC within 120 days following the end of our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 Principal Accountant Fees and Services</w:t>
      </w:r>
    </w:p>
    <w:p>
      <w:pPr>
        <w:spacing w:after="0" w:line="129" w:lineRule="exact"/>
        <w:rPr>
          <w:sz w:val="20"/>
          <w:szCs w:val="20"/>
          <w:color w:val="auto"/>
        </w:rPr>
      </w:pPr>
    </w:p>
    <w:p>
      <w:pPr>
        <w:ind w:left="80" w:firstLine="420"/>
        <w:spacing w:after="0" w:line="286" w:lineRule="auto"/>
        <w:rPr>
          <w:sz w:val="20"/>
          <w:szCs w:val="20"/>
          <w:color w:val="auto"/>
        </w:rPr>
      </w:pPr>
      <w:r>
        <w:rPr>
          <w:rFonts w:ascii="Times New Roman" w:cs="Times New Roman" w:eastAsia="Times New Roman" w:hAnsi="Times New Roman"/>
          <w:sz w:val="13"/>
          <w:szCs w:val="13"/>
          <w:color w:val="auto"/>
        </w:rPr>
        <w:t>The information required by Item 14 is hereby incorporated by reference from our definitive Proxy Statement relating to our 2024 Annual Meeting of Stockholders, to be filed with the SEC within 120 days following the end of our fiscal year.</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59690</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580" w:top="556" w:right="86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0220" w:type="dxa"/>
            <w:vAlign w:val="bottom"/>
            <w:gridSpan w:val="23"/>
          </w:tcPr>
          <w:p>
            <w:pPr>
              <w:ind w:left="80"/>
              <w:spacing w:after="0"/>
              <w:rPr>
                <w:sz w:val="20"/>
                <w:szCs w:val="20"/>
                <w:color w:val="auto"/>
              </w:rPr>
            </w:pPr>
            <w:r>
              <w:rPr>
                <w:rFonts w:ascii="Times New Roman" w:cs="Times New Roman" w:eastAsia="Times New Roman" w:hAnsi="Times New Roman"/>
                <w:sz w:val="13"/>
                <w:szCs w:val="13"/>
                <w:color w:val="auto"/>
              </w:rPr>
              <w:t>The following documents are filed as part of this Annual Report:</w:t>
            </w:r>
          </w:p>
        </w:tc>
      </w:tr>
      <w:tr>
        <w:trPr>
          <w:trHeight w:val="276"/>
        </w:trPr>
        <w:tc>
          <w:tcPr>
            <w:tcW w:w="340" w:type="dxa"/>
            <w:vAlign w:val="bottom"/>
          </w:tcPr>
          <w:p>
            <w:pPr>
              <w:spacing w:after="0"/>
              <w:rPr>
                <w:sz w:val="24"/>
                <w:szCs w:val="24"/>
                <w:color w:val="auto"/>
              </w:rPr>
            </w:pPr>
          </w:p>
        </w:tc>
        <w:tc>
          <w:tcPr>
            <w:tcW w:w="10220" w:type="dxa"/>
            <w:vAlign w:val="bottom"/>
            <w:gridSpan w:val="23"/>
          </w:tcPr>
          <w:p>
            <w:pPr>
              <w:ind w:left="200"/>
              <w:spacing w:after="0"/>
              <w:rPr>
                <w:sz w:val="20"/>
                <w:szCs w:val="20"/>
                <w:color w:val="auto"/>
              </w:rPr>
            </w:pPr>
            <w:r>
              <w:rPr>
                <w:rFonts w:ascii="Times New Roman" w:cs="Times New Roman" w:eastAsia="Times New Roman" w:hAnsi="Times New Roman"/>
                <w:sz w:val="13"/>
                <w:szCs w:val="13"/>
                <w:color w:val="auto"/>
              </w:rPr>
              <w:t>(1)Financial Statements—Refer to Item 8 starting on page 59.</w:t>
            </w:r>
          </w:p>
        </w:tc>
      </w:tr>
      <w:tr>
        <w:trPr>
          <w:trHeight w:val="276"/>
        </w:trPr>
        <w:tc>
          <w:tcPr>
            <w:tcW w:w="340" w:type="dxa"/>
            <w:vAlign w:val="bottom"/>
          </w:tcPr>
          <w:p>
            <w:pPr>
              <w:spacing w:after="0"/>
              <w:rPr>
                <w:sz w:val="24"/>
                <w:szCs w:val="24"/>
                <w:color w:val="auto"/>
              </w:rPr>
            </w:pPr>
          </w:p>
        </w:tc>
        <w:tc>
          <w:tcPr>
            <w:tcW w:w="10220" w:type="dxa"/>
            <w:vAlign w:val="bottom"/>
            <w:gridSpan w:val="23"/>
          </w:tcPr>
          <w:p>
            <w:pPr>
              <w:ind w:left="200"/>
              <w:spacing w:after="0"/>
              <w:rPr>
                <w:sz w:val="20"/>
                <w:szCs w:val="20"/>
                <w:color w:val="auto"/>
              </w:rPr>
            </w:pPr>
            <w:r>
              <w:rPr>
                <w:rFonts w:ascii="Times New Roman" w:cs="Times New Roman" w:eastAsia="Times New Roman" w:hAnsi="Times New Roman"/>
                <w:sz w:val="13"/>
                <w:szCs w:val="13"/>
                <w:color w:val="auto"/>
              </w:rPr>
              <w:t>(2)Financial Statement Schedules—None.</w:t>
            </w:r>
          </w:p>
        </w:tc>
      </w:tr>
      <w:tr>
        <w:trPr>
          <w:trHeight w:val="276"/>
        </w:trPr>
        <w:tc>
          <w:tcPr>
            <w:tcW w:w="340" w:type="dxa"/>
            <w:vAlign w:val="bottom"/>
          </w:tcPr>
          <w:p>
            <w:pPr>
              <w:spacing w:after="0"/>
              <w:rPr>
                <w:sz w:val="24"/>
                <w:szCs w:val="24"/>
                <w:color w:val="auto"/>
              </w:rPr>
            </w:pPr>
          </w:p>
        </w:tc>
        <w:tc>
          <w:tcPr>
            <w:tcW w:w="10220" w:type="dxa"/>
            <w:vAlign w:val="bottom"/>
            <w:gridSpan w:val="23"/>
          </w:tcPr>
          <w:p>
            <w:pPr>
              <w:ind w:left="200"/>
              <w:spacing w:after="0"/>
              <w:rPr>
                <w:sz w:val="20"/>
                <w:szCs w:val="20"/>
                <w:color w:val="auto"/>
              </w:rPr>
            </w:pPr>
            <w:r>
              <w:rPr>
                <w:rFonts w:ascii="Times New Roman" w:cs="Times New Roman" w:eastAsia="Times New Roman" w:hAnsi="Times New Roman"/>
                <w:sz w:val="13"/>
                <w:szCs w:val="13"/>
                <w:color w:val="auto"/>
              </w:rPr>
              <w:t>(3)Exhibits</w:t>
            </w:r>
          </w:p>
        </w:tc>
      </w:tr>
      <w:tr>
        <w:trPr>
          <w:trHeight w:val="308"/>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w:t>
            </w:r>
          </w:p>
        </w:tc>
        <w:tc>
          <w:tcPr>
            <w:tcW w:w="560" w:type="dxa"/>
            <w:vAlign w:val="bottom"/>
          </w:tcPr>
          <w:p>
            <w:pPr>
              <w:spacing w:after="0"/>
              <w:rPr>
                <w:sz w:val="24"/>
                <w:szCs w:val="24"/>
                <w:color w:val="auto"/>
              </w:rPr>
            </w:pPr>
          </w:p>
        </w:tc>
        <w:tc>
          <w:tcPr>
            <w:tcW w:w="9660" w:type="dxa"/>
            <w:vAlign w:val="bottom"/>
            <w:gridSpan w:val="22"/>
          </w:tcPr>
          <w:p>
            <w:pPr>
              <w:spacing w:after="0"/>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Articles of Incorporation (Incorporated by reference to Exhibit 99(a) to the Registrant’s Pre-Effective Amendment No. 3 to the Registration Statement on Form N-2/A (File No. 333</w:t>
              </w:r>
            </w:hyperlink>
            <w:r>
              <w:rPr>
                <w:rFonts w:ascii="Times New Roman" w:cs="Times New Roman" w:eastAsia="Times New Roman" w:hAnsi="Times New Roman"/>
                <w:sz w:val="13"/>
                <w:szCs w:val="13"/>
                <w:color w:val="0000FF"/>
              </w:rPr>
              <w:t>-</w:t>
            </w: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3"/>
                <w:szCs w:val="13"/>
                <w:color w:val="0000FF"/>
                <w:w w:val="98"/>
              </w:rPr>
            </w:pPr>
            <w:hyperlink r:id="rId133">
              <w:r>
                <w:rPr>
                  <w:rFonts w:ascii="Times New Roman" w:cs="Times New Roman" w:eastAsia="Times New Roman" w:hAnsi="Times New Roman"/>
                  <w:sz w:val="13"/>
                  <w:szCs w:val="13"/>
                  <w:color w:val="0000FF"/>
                  <w:w w:val="98"/>
                </w:rPr>
                <w:t>140092)</w:t>
              </w:r>
              <w:r>
                <w:rPr>
                  <w:rFonts w:ascii="Times New Roman" w:cs="Times New Roman" w:eastAsia="Times New Roman" w:hAnsi="Times New Roman"/>
                  <w:sz w:val="13"/>
                  <w:szCs w:val="13"/>
                  <w:u w:val="single" w:color="auto"/>
                  <w:color w:val="0000FF"/>
                  <w:w w:val="98"/>
                </w:rPr>
                <w:t>,</w:t>
              </w:r>
              <w:r>
                <w:rPr>
                  <w:rFonts w:ascii="Times New Roman" w:cs="Times New Roman" w:eastAsia="Times New Roman" w:hAnsi="Times New Roman"/>
                  <w:sz w:val="13"/>
                  <w:szCs w:val="13"/>
                  <w:color w:val="0000FF"/>
                  <w:w w:val="98"/>
                </w:rPr>
                <w:t xml:space="preserve"> filed on April 5, 2007).</w:t>
              </w:r>
            </w:hyperlink>
          </w:p>
        </w:tc>
        <w:tc>
          <w:tcPr>
            <w:tcW w:w="7840" w:type="dxa"/>
            <w:vAlign w:val="bottom"/>
            <w:tcBorders>
              <w:top w:val="single" w:sz="8" w:color="0000FF"/>
            </w:tcBorders>
            <w:gridSpan w:val="15"/>
          </w:tcPr>
          <w:p>
            <w:pPr>
              <w:spacing w:after="0"/>
              <w:rPr>
                <w:sz w:val="11"/>
                <w:szCs w:val="11"/>
                <w:color w:val="auto"/>
              </w:rPr>
            </w:pPr>
          </w:p>
        </w:tc>
        <w:tc>
          <w:tcPr>
            <w:tcW w:w="120" w:type="dxa"/>
            <w:vAlign w:val="bottom"/>
            <w:gridSpan w:val="3"/>
          </w:tcPr>
          <w:p>
            <w:pPr>
              <w:spacing w:after="0"/>
              <w:rPr>
                <w:sz w:val="11"/>
                <w:szCs w:val="11"/>
                <w:color w:val="auto"/>
              </w:rPr>
            </w:pPr>
          </w:p>
        </w:tc>
      </w:tr>
      <w:tr>
        <w:trPr>
          <w:trHeight w:val="292"/>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w:t>
            </w:r>
          </w:p>
        </w:tc>
        <w:tc>
          <w:tcPr>
            <w:tcW w:w="560" w:type="dxa"/>
            <w:vAlign w:val="bottom"/>
          </w:tcPr>
          <w:p>
            <w:pPr>
              <w:spacing w:after="0"/>
              <w:rPr>
                <w:sz w:val="24"/>
                <w:szCs w:val="24"/>
                <w:color w:val="auto"/>
              </w:rPr>
            </w:pPr>
          </w:p>
        </w:tc>
        <w:tc>
          <w:tcPr>
            <w:tcW w:w="954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814-00736), filed on</w:t>
              </w:r>
            </w:hyperlink>
          </w:p>
        </w:tc>
        <w:tc>
          <w:tcPr>
            <w:tcW w:w="120" w:type="dxa"/>
            <w:vAlign w:val="bottom"/>
            <w:gridSpan w:val="3"/>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60" w:type="dxa"/>
            <w:vAlign w:val="bottom"/>
            <w:gridSpan w:val="22"/>
          </w:tcPr>
          <w:p>
            <w:pPr>
              <w:spacing w:after="0" w:line="136"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May 11, 2020).</w:t>
              </w:r>
            </w:hyperlink>
          </w:p>
        </w:tc>
      </w:tr>
      <w:tr>
        <w:trPr>
          <w:trHeight w:val="20"/>
        </w:trPr>
        <w:tc>
          <w:tcPr>
            <w:tcW w:w="3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w:t>
            </w:r>
          </w:p>
        </w:tc>
        <w:tc>
          <w:tcPr>
            <w:tcW w:w="560" w:type="dxa"/>
            <w:vAlign w:val="bottom"/>
          </w:tcPr>
          <w:p>
            <w:pPr>
              <w:spacing w:after="0"/>
              <w:rPr>
                <w:sz w:val="24"/>
                <w:szCs w:val="24"/>
                <w:color w:val="auto"/>
              </w:rPr>
            </w:pPr>
          </w:p>
        </w:tc>
        <w:tc>
          <w:tcPr>
            <w:tcW w:w="9660" w:type="dxa"/>
            <w:vAlign w:val="bottom"/>
            <w:gridSpan w:val="22"/>
          </w:tcPr>
          <w:p>
            <w:pPr>
              <w:spacing w:after="0"/>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Form of Share Certificate (Incorporated by reference to Exhibit 99(d)(1) to the Registrant’s Registration Statement on Form N-2 (File No. 333-150033), filed on April 2, 2008)</w:t>
              </w:r>
            </w:hyperlink>
            <w:r>
              <w:rPr>
                <w:rFonts w:ascii="Times New Roman" w:cs="Times New Roman" w:eastAsia="Times New Roman" w:hAnsi="Times New Roman"/>
                <w:sz w:val="13"/>
                <w:szCs w:val="13"/>
                <w:color w:val="0000FF"/>
              </w:rPr>
              <w:t>.</w:t>
            </w:r>
          </w:p>
        </w:tc>
      </w:tr>
      <w:tr>
        <w:trPr>
          <w:trHeight w:val="20"/>
        </w:trPr>
        <w:tc>
          <w:tcPr>
            <w:tcW w:w="3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4.2</w:t>
            </w:r>
          </w:p>
        </w:tc>
        <w:tc>
          <w:tcPr>
            <w:tcW w:w="560" w:type="dxa"/>
            <w:vAlign w:val="bottom"/>
          </w:tcPr>
          <w:p>
            <w:pPr>
              <w:spacing w:after="0"/>
              <w:rPr>
                <w:sz w:val="24"/>
                <w:szCs w:val="24"/>
                <w:color w:val="auto"/>
              </w:rPr>
            </w:pPr>
          </w:p>
        </w:tc>
        <w:tc>
          <w:tcPr>
            <w:tcW w:w="952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Base Indenture, dated as of January 22, 2013, relating to the 6.25% Senior Notes due 2025, between the Registrant and American Stock Transfer &amp; Trust Company, LLC, as trustee</w:t>
              </w:r>
            </w:hyperlink>
          </w:p>
        </w:tc>
        <w:tc>
          <w:tcPr>
            <w:tcW w:w="140" w:type="dxa"/>
            <w:vAlign w:val="bottom"/>
            <w:gridSpan w:val="4"/>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300" w:type="dxa"/>
            <w:vAlign w:val="bottom"/>
            <w:tcBorders>
              <w:bottom w:val="single" w:sz="8" w:color="0000FF"/>
            </w:tcBorders>
            <w:gridSpan w:val="16"/>
          </w:tcPr>
          <w:p>
            <w:pPr>
              <w:spacing w:after="0" w:line="136"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(Incorporated by reference to Exhibit 99(d)(8) to the Registrant’s Post-Effective Amendment No.4 to the Registration Statement on Form N-2/A (File No.333-172524), filed on</w:t>
              </w:r>
            </w:hyperlink>
          </w:p>
        </w:tc>
        <w:tc>
          <w:tcPr>
            <w:tcW w:w="360" w:type="dxa"/>
            <w:vAlign w:val="bottom"/>
            <w:gridSpan w:val="6"/>
          </w:tcPr>
          <w:p>
            <w:pPr>
              <w:spacing w:after="0"/>
              <w:rPr>
                <w:sz w:val="11"/>
                <w:szCs w:val="11"/>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Borders>
              <w:bottom w:val="single" w:sz="8" w:color="0000FF"/>
            </w:tcBorders>
            <w:gridSpan w:val="3"/>
          </w:tcPr>
          <w:p>
            <w:pPr>
              <w:spacing w:after="0" w:line="136" w:lineRule="exact"/>
              <w:rPr>
                <w:rFonts w:ascii="Times New Roman" w:cs="Times New Roman" w:eastAsia="Times New Roman" w:hAnsi="Times New Roman"/>
                <w:sz w:val="13"/>
                <w:szCs w:val="13"/>
                <w:color w:val="0000FF"/>
                <w:w w:val="97"/>
              </w:rPr>
            </w:pPr>
            <w:hyperlink r:id="rId136">
              <w:r>
                <w:rPr>
                  <w:rFonts w:ascii="Times New Roman" w:cs="Times New Roman" w:eastAsia="Times New Roman" w:hAnsi="Times New Roman"/>
                  <w:sz w:val="13"/>
                  <w:szCs w:val="13"/>
                  <w:color w:val="0000FF"/>
                  <w:w w:val="97"/>
                </w:rPr>
                <w:t>January 22, 2013).</w:t>
              </w:r>
            </w:hyperlink>
          </w:p>
        </w:tc>
        <w:tc>
          <w:tcPr>
            <w:tcW w:w="8700" w:type="dxa"/>
            <w:vAlign w:val="bottom"/>
            <w:gridSpan w:val="19"/>
          </w:tcPr>
          <w:p>
            <w:pPr>
              <w:spacing w:after="0"/>
              <w:rPr>
                <w:sz w:val="11"/>
                <w:szCs w:val="1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56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Fourth Supplemental Indenture, dated as of April 21, 2021, by and between the Company and American Stock Transfer &amp; Trust Company, LLC, as trustee (Incorporated by reference</w:t>
              </w:r>
            </w:hyperlink>
          </w:p>
        </w:tc>
        <w:tc>
          <w:tcPr>
            <w:tcW w:w="20" w:type="dxa"/>
            <w:vAlign w:val="bottom"/>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0" w:type="dxa"/>
            <w:vAlign w:val="bottom"/>
            <w:tcBorders>
              <w:bottom w:val="single" w:sz="8" w:color="0000FF"/>
            </w:tcBorders>
            <w:gridSpan w:val="7"/>
          </w:tcPr>
          <w:p>
            <w:pPr>
              <w:spacing w:after="0" w:line="136"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to Exhibit 4.1 to the Registrant’s Form 8-K (File No. 814-00736), filed April 22, 2021).</w:t>
              </w:r>
            </w:hyperlink>
          </w:p>
        </w:tc>
        <w:tc>
          <w:tcPr>
            <w:tcW w:w="5060" w:type="dxa"/>
            <w:vAlign w:val="bottom"/>
            <w:gridSpan w:val="15"/>
          </w:tcPr>
          <w:p>
            <w:pPr>
              <w:spacing w:after="0"/>
              <w:rPr>
                <w:sz w:val="11"/>
                <w:szCs w:val="1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4.4</w:t>
            </w:r>
          </w:p>
        </w:tc>
        <w:tc>
          <w:tcPr>
            <w:tcW w:w="560" w:type="dxa"/>
            <w:vAlign w:val="bottom"/>
          </w:tcPr>
          <w:p>
            <w:pPr>
              <w:spacing w:after="0"/>
              <w:rPr>
                <w:sz w:val="24"/>
                <w:szCs w:val="24"/>
                <w:color w:val="auto"/>
              </w:rPr>
            </w:pPr>
          </w:p>
        </w:tc>
        <w:tc>
          <w:tcPr>
            <w:tcW w:w="340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Form of 4.50% Notes due 2026 (included as part of Exhibit 4.3).</w:t>
              </w:r>
            </w:hyperlink>
          </w:p>
        </w:tc>
        <w:tc>
          <w:tcPr>
            <w:tcW w:w="6260" w:type="dxa"/>
            <w:vAlign w:val="bottom"/>
            <w:gridSpan w:val="17"/>
          </w:tcPr>
          <w:p>
            <w:pPr>
              <w:spacing w:after="0"/>
              <w:rPr>
                <w:sz w:val="24"/>
                <w:szCs w:val="24"/>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w:t>
            </w:r>
          </w:p>
        </w:tc>
        <w:tc>
          <w:tcPr>
            <w:tcW w:w="560" w:type="dxa"/>
            <w:vAlign w:val="bottom"/>
          </w:tcPr>
          <w:p>
            <w:pPr>
              <w:spacing w:after="0"/>
              <w:rPr>
                <w:sz w:val="24"/>
                <w:szCs w:val="24"/>
                <w:color w:val="auto"/>
              </w:rPr>
            </w:pPr>
          </w:p>
        </w:tc>
        <w:tc>
          <w:tcPr>
            <w:tcW w:w="916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Fifth Supplemental Indenture, dated as of October 21, 2021, by and between the Company and American Stock Transfer &amp; Trust Company, LLC, as trustee (Incorporated by</w:t>
              </w:r>
            </w:hyperlink>
          </w:p>
        </w:tc>
        <w:tc>
          <w:tcPr>
            <w:tcW w:w="500" w:type="dxa"/>
            <w:vAlign w:val="bottom"/>
            <w:gridSpan w:val="9"/>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40" w:type="dxa"/>
            <w:vAlign w:val="bottom"/>
            <w:tcBorders>
              <w:bottom w:val="single" w:sz="8" w:color="0000FF"/>
            </w:tcBorders>
            <w:gridSpan w:val="9"/>
          </w:tcPr>
          <w:p>
            <w:pPr>
              <w:spacing w:after="0" w:line="136"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reference to Exhibit 4.1 to the Registrant’s Form 8-K (File No. 814-00736), filed on October 21, 2021).</w:t>
              </w:r>
            </w:hyperlink>
          </w:p>
        </w:tc>
        <w:tc>
          <w:tcPr>
            <w:tcW w:w="4220" w:type="dxa"/>
            <w:vAlign w:val="bottom"/>
            <w:gridSpan w:val="13"/>
          </w:tcPr>
          <w:p>
            <w:pPr>
              <w:spacing w:after="0"/>
              <w:rPr>
                <w:sz w:val="11"/>
                <w:szCs w:val="1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w:t>
            </w:r>
          </w:p>
        </w:tc>
        <w:tc>
          <w:tcPr>
            <w:tcW w:w="560" w:type="dxa"/>
            <w:vAlign w:val="bottom"/>
          </w:tcPr>
          <w:p>
            <w:pPr>
              <w:spacing w:after="0"/>
              <w:rPr>
                <w:sz w:val="24"/>
                <w:szCs w:val="24"/>
                <w:color w:val="auto"/>
              </w:rPr>
            </w:pPr>
          </w:p>
        </w:tc>
        <w:tc>
          <w:tcPr>
            <w:tcW w:w="340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Form of 4.00% Notes due 2026 (included as part of Exhibit 4.5).</w:t>
              </w:r>
            </w:hyperlink>
          </w:p>
        </w:tc>
        <w:tc>
          <w:tcPr>
            <w:tcW w:w="6260" w:type="dxa"/>
            <w:vAlign w:val="bottom"/>
            <w:gridSpan w:val="17"/>
          </w:tcPr>
          <w:p>
            <w:pPr>
              <w:spacing w:after="0"/>
              <w:rPr>
                <w:sz w:val="24"/>
                <w:szCs w:val="24"/>
                <w:color w:val="auto"/>
              </w:rPr>
            </w:pPr>
          </w:p>
        </w:tc>
      </w:tr>
      <w:tr>
        <w:trPr>
          <w:trHeight w:val="436"/>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4.7</w:t>
            </w:r>
          </w:p>
        </w:tc>
        <w:tc>
          <w:tcPr>
            <w:tcW w:w="560" w:type="dxa"/>
            <w:vAlign w:val="bottom"/>
          </w:tcPr>
          <w:p>
            <w:pPr>
              <w:spacing w:after="0"/>
              <w:rPr>
                <w:sz w:val="24"/>
                <w:szCs w:val="24"/>
                <w:color w:val="auto"/>
              </w:rPr>
            </w:pPr>
          </w:p>
        </w:tc>
        <w:tc>
          <w:tcPr>
            <w:tcW w:w="9660" w:type="dxa"/>
            <w:vAlign w:val="bottom"/>
            <w:gridSpan w:val="22"/>
          </w:tcPr>
          <w:p>
            <w:pPr>
              <w:spacing w:after="0"/>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Description of Securities (Incorporated by reference to Exhibit 4.7 to the Registrant’s Form 10-K (File No. 814-00736), filed November 21, 2019)</w:t>
              </w:r>
            </w:hyperlink>
            <w:r>
              <w:rPr>
                <w:rFonts w:ascii="Times New Roman" w:cs="Times New Roman" w:eastAsia="Times New Roman" w:hAnsi="Times New Roman"/>
                <w:sz w:val="13"/>
                <w:szCs w:val="13"/>
                <w:color w:val="0000FF"/>
              </w:rPr>
              <w:t>.</w:t>
            </w:r>
          </w:p>
        </w:tc>
      </w:tr>
      <w:tr>
        <w:trPr>
          <w:trHeight w:val="20"/>
        </w:trPr>
        <w:tc>
          <w:tcPr>
            <w:tcW w:w="34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8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10.1</w:t>
            </w:r>
          </w:p>
        </w:tc>
        <w:tc>
          <w:tcPr>
            <w:tcW w:w="560" w:type="dxa"/>
            <w:vAlign w:val="bottom"/>
          </w:tcPr>
          <w:p>
            <w:pPr>
              <w:spacing w:after="0"/>
              <w:rPr>
                <w:sz w:val="24"/>
                <w:szCs w:val="24"/>
                <w:color w:val="auto"/>
              </w:rPr>
            </w:pPr>
          </w:p>
        </w:tc>
        <w:tc>
          <w:tcPr>
            <w:tcW w:w="960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Amended and Restated Administration Agreement between the Registrant and PennantPark Investment Administration LLC dated July 1, 2022. (Incorporated by reference to Exhibit</w:t>
              </w:r>
            </w:hyperlink>
          </w:p>
        </w:tc>
        <w:tc>
          <w:tcPr>
            <w:tcW w:w="60" w:type="dxa"/>
            <w:vAlign w:val="bottom"/>
            <w:gridSpan w:val="2"/>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380" w:type="dxa"/>
            <w:vAlign w:val="bottom"/>
            <w:tcBorders>
              <w:bottom w:val="single" w:sz="8" w:color="0000FF"/>
            </w:tcBorders>
            <w:gridSpan w:val="6"/>
          </w:tcPr>
          <w:p>
            <w:pPr>
              <w:spacing w:after="0" w:line="136"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Form 10-Q (File No. 814-00736), filed on August 3, 2022).</w:t>
              </w:r>
            </w:hyperlink>
          </w:p>
        </w:tc>
        <w:tc>
          <w:tcPr>
            <w:tcW w:w="5280" w:type="dxa"/>
            <w:vAlign w:val="bottom"/>
            <w:gridSpan w:val="16"/>
          </w:tcPr>
          <w:p>
            <w:pPr>
              <w:spacing w:after="0"/>
              <w:rPr>
                <w:sz w:val="11"/>
                <w:szCs w:val="1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10.2</w:t>
            </w:r>
          </w:p>
        </w:tc>
        <w:tc>
          <w:tcPr>
            <w:tcW w:w="560" w:type="dxa"/>
            <w:vAlign w:val="bottom"/>
          </w:tcPr>
          <w:p>
            <w:pPr>
              <w:spacing w:after="0"/>
              <w:rPr>
                <w:sz w:val="24"/>
                <w:szCs w:val="24"/>
                <w:color w:val="auto"/>
              </w:rPr>
            </w:pPr>
          </w:p>
        </w:tc>
        <w:tc>
          <w:tcPr>
            <w:tcW w:w="928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Dividend Reinvestment Plan (Incorporated by reference to Exhibit 99(e) to the Registrant’s Registration Statement on Form N-2 (File No. 333-150033), filed on April 2, 2008).</w:t>
              </w:r>
            </w:hyperlink>
          </w:p>
        </w:tc>
        <w:tc>
          <w:tcPr>
            <w:tcW w:w="380" w:type="dxa"/>
            <w:vAlign w:val="bottom"/>
            <w:gridSpan w:val="7"/>
          </w:tcPr>
          <w:p>
            <w:pPr>
              <w:spacing w:after="0"/>
              <w:rPr>
                <w:sz w:val="24"/>
                <w:szCs w:val="24"/>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10.3</w:t>
            </w:r>
          </w:p>
        </w:tc>
        <w:tc>
          <w:tcPr>
            <w:tcW w:w="560" w:type="dxa"/>
            <w:vAlign w:val="bottom"/>
          </w:tcPr>
          <w:p>
            <w:pPr>
              <w:spacing w:after="0"/>
              <w:rPr>
                <w:sz w:val="24"/>
                <w:szCs w:val="24"/>
                <w:color w:val="auto"/>
              </w:rPr>
            </w:pPr>
          </w:p>
        </w:tc>
        <w:tc>
          <w:tcPr>
            <w:tcW w:w="948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First Omnibus Amendment to Second Amended and Restated Senior Secured Revolving Credit Agreement and Second Amended and Restated Guarantee and Security Agreement,</w:t>
              </w:r>
            </w:hyperlink>
          </w:p>
        </w:tc>
        <w:tc>
          <w:tcPr>
            <w:tcW w:w="180" w:type="dxa"/>
            <w:vAlign w:val="bottom"/>
            <w:gridSpan w:val="5"/>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0" w:type="dxa"/>
            <w:vAlign w:val="bottom"/>
            <w:tcBorders>
              <w:bottom w:val="single" w:sz="8" w:color="0000FF"/>
            </w:tcBorders>
            <w:gridSpan w:val="20"/>
          </w:tcPr>
          <w:p>
            <w:pPr>
              <w:spacing w:after="0" w:line="136"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dated as of May 25, 2017, among the Registrant, the lenders party thereto and SunTrust Bank, as administrative agent for the lenders (Incorporated by reference to Exhibit 10.1 to the</w:t>
              </w:r>
            </w:hyperlink>
          </w:p>
        </w:tc>
        <w:tc>
          <w:tcPr>
            <w:tcW w:w="60" w:type="dxa"/>
            <w:vAlign w:val="bottom"/>
            <w:gridSpan w:val="2"/>
          </w:tcPr>
          <w:p>
            <w:pPr>
              <w:spacing w:after="0"/>
              <w:rPr>
                <w:sz w:val="11"/>
                <w:szCs w:val="11"/>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80" w:type="dxa"/>
            <w:vAlign w:val="bottom"/>
            <w:tcBorders>
              <w:bottom w:val="single" w:sz="8" w:color="0000FF"/>
            </w:tcBorders>
            <w:gridSpan w:val="8"/>
          </w:tcPr>
          <w:p>
            <w:pPr>
              <w:spacing w:after="0" w:line="136"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Registrant’s Quarterly Report on Form 10-Q (File No. 814-00736), filed on August 7, 2017).</w:t>
              </w:r>
            </w:hyperlink>
          </w:p>
        </w:tc>
        <w:tc>
          <w:tcPr>
            <w:tcW w:w="4780" w:type="dxa"/>
            <w:vAlign w:val="bottom"/>
            <w:gridSpan w:val="14"/>
          </w:tcPr>
          <w:p>
            <w:pPr>
              <w:spacing w:after="0"/>
              <w:rPr>
                <w:sz w:val="11"/>
                <w:szCs w:val="1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10.4</w:t>
            </w:r>
          </w:p>
        </w:tc>
        <w:tc>
          <w:tcPr>
            <w:tcW w:w="560" w:type="dxa"/>
            <w:vAlign w:val="bottom"/>
          </w:tcPr>
          <w:p>
            <w:pPr>
              <w:spacing w:after="0"/>
              <w:rPr>
                <w:sz w:val="24"/>
                <w:szCs w:val="24"/>
                <w:color w:val="auto"/>
              </w:rPr>
            </w:pPr>
          </w:p>
        </w:tc>
        <w:tc>
          <w:tcPr>
            <w:tcW w:w="966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Indemnification Agreement, dated as of November 15, 2016, between PennantPark Investment Corporation and each of the directors and officers listed on Schedule A attached thereto</w:t>
              </w:r>
            </w:hyperlink>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560" w:type="dxa"/>
            <w:vAlign w:val="bottom"/>
            <w:tcBorders>
              <w:bottom w:val="single" w:sz="8" w:color="0000FF"/>
            </w:tcBorders>
            <w:gridSpan w:val="10"/>
          </w:tcPr>
          <w:p>
            <w:pPr>
              <w:spacing w:after="0" w:line="136"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(Incorporated by reference to Exhibit 10.5 to the Registrant’s Annual Report on Form 10-K (File No. 814-00736) filed on November 21, 2016).</w:t>
              </w:r>
            </w:hyperlink>
          </w:p>
        </w:tc>
        <w:tc>
          <w:tcPr>
            <w:tcW w:w="2100" w:type="dxa"/>
            <w:vAlign w:val="bottom"/>
            <w:gridSpan w:val="12"/>
          </w:tcPr>
          <w:p>
            <w:pPr>
              <w:spacing w:after="0"/>
              <w:rPr>
                <w:sz w:val="11"/>
                <w:szCs w:val="11"/>
                <w:color w:val="auto"/>
              </w:rPr>
            </w:pPr>
          </w:p>
        </w:tc>
      </w:tr>
      <w:tr>
        <w:trPr>
          <w:trHeight w:val="280"/>
        </w:trPr>
        <w:tc>
          <w:tcPr>
            <w:tcW w:w="3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6"/>
              </w:rPr>
              <w:t>10.5</w:t>
            </w:r>
          </w:p>
        </w:tc>
        <w:tc>
          <w:tcPr>
            <w:tcW w:w="560" w:type="dxa"/>
            <w:vAlign w:val="bottom"/>
          </w:tcPr>
          <w:p>
            <w:pPr>
              <w:spacing w:after="0"/>
              <w:rPr>
                <w:sz w:val="24"/>
                <w:szCs w:val="24"/>
                <w:color w:val="auto"/>
              </w:rPr>
            </w:pPr>
          </w:p>
        </w:tc>
        <w:tc>
          <w:tcPr>
            <w:tcW w:w="912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Third Amended and Restated Investment Advisory Management Agreement, dated as of April 12, 2019, between the Registrant and PennantPark Investment Advisers, LLC</w:t>
              </w:r>
            </w:hyperlink>
          </w:p>
        </w:tc>
        <w:tc>
          <w:tcPr>
            <w:tcW w:w="540" w:type="dxa"/>
            <w:vAlign w:val="bottom"/>
            <w:gridSpan w:val="10"/>
          </w:tcPr>
          <w:p>
            <w:pPr>
              <w:spacing w:after="0"/>
              <w:rPr>
                <w:sz w:val="24"/>
                <w:szCs w:val="24"/>
                <w:color w:val="auto"/>
              </w:rPr>
            </w:pPr>
          </w:p>
        </w:tc>
      </w:tr>
      <w:tr>
        <w:trPr>
          <w:trHeight w:val="136"/>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540" w:type="dxa"/>
            <w:vAlign w:val="bottom"/>
            <w:tcBorders>
              <w:bottom w:val="single" w:sz="8" w:color="0000FF"/>
            </w:tcBorders>
            <w:gridSpan w:val="19"/>
          </w:tcPr>
          <w:p>
            <w:pPr>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(Incorporated by reference to Exhibit (g)(3) to the Registrant’s Pre-Effective Amendment No. 1 to the Registration Statement on Form N-2 (File No. 333-230014), filed on April 12,</w:t>
              </w:r>
            </w:hyperlink>
          </w:p>
        </w:tc>
        <w:tc>
          <w:tcPr>
            <w:tcW w:w="120" w:type="dxa"/>
            <w:vAlign w:val="bottom"/>
            <w:gridSpan w:val="3"/>
          </w:tcPr>
          <w:p>
            <w:pPr>
              <w:spacing w:after="0"/>
              <w:rPr>
                <w:sz w:val="11"/>
                <w:szCs w:val="11"/>
                <w:color w:val="auto"/>
              </w:rPr>
            </w:pPr>
          </w:p>
        </w:tc>
      </w:tr>
      <w:tr>
        <w:trPr>
          <w:trHeight w:val="136"/>
        </w:trPr>
        <w:tc>
          <w:tcPr>
            <w:tcW w:w="340" w:type="dxa"/>
            <w:vAlign w:val="bottom"/>
          </w:tcPr>
          <w:p>
            <w:pPr>
              <w:spacing w:after="0"/>
              <w:rPr>
                <w:sz w:val="11"/>
                <w:szCs w:val="11"/>
                <w:color w:val="auto"/>
              </w:rPr>
            </w:pPr>
          </w:p>
        </w:tc>
        <w:tc>
          <w:tcPr>
            <w:tcW w:w="1340" w:type="dxa"/>
            <w:vAlign w:val="bottom"/>
            <w:gridSpan w:val="3"/>
          </w:tcPr>
          <w:p>
            <w:pPr>
              <w:ind w:left="540"/>
              <w:spacing w:after="0" w:line="136"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2019).</w:t>
              </w:r>
            </w:hyperlink>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68"/>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300" w:type="dxa"/>
            <w:vAlign w:val="bottom"/>
            <w:gridSpan w:val="6"/>
          </w:tcPr>
          <w:p>
            <w:pPr>
              <w:jc w:val="right"/>
              <w:ind w:right="120"/>
              <w:spacing w:after="0"/>
              <w:rPr>
                <w:sz w:val="20"/>
                <w:szCs w:val="20"/>
                <w:color w:val="auto"/>
              </w:rPr>
            </w:pPr>
            <w:r>
              <w:rPr>
                <w:rFonts w:ascii="Times New Roman" w:cs="Times New Roman" w:eastAsia="Times New Roman" w:hAnsi="Times New Roman"/>
                <w:sz w:val="13"/>
                <w:szCs w:val="13"/>
                <w:color w:val="auto"/>
              </w:rPr>
              <w:t>103</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340" w:type="dxa"/>
            <w:vAlign w:val="bottom"/>
            <w:tcBorders>
              <w:bottom w:val="single" w:sz="8" w:color="EEEEEE"/>
            </w:tcBorders>
          </w:tcPr>
          <w:p>
            <w:pPr>
              <w:spacing w:after="0"/>
              <w:rPr>
                <w:sz w:val="9"/>
                <w:szCs w:val="9"/>
                <w:color w:val="auto"/>
              </w:rPr>
            </w:pPr>
          </w:p>
        </w:tc>
        <w:tc>
          <w:tcPr>
            <w:tcW w:w="56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48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740" w:type="dxa"/>
            <w:vAlign w:val="bottom"/>
            <w:tcBorders>
              <w:bottom w:val="single" w:sz="8" w:color="EEEEEE"/>
            </w:tcBorders>
          </w:tcPr>
          <w:p>
            <w:pPr>
              <w:spacing w:after="0"/>
              <w:rPr>
                <w:sz w:val="9"/>
                <w:szCs w:val="9"/>
                <w:color w:val="auto"/>
              </w:rPr>
            </w:pPr>
          </w:p>
        </w:tc>
        <w:tc>
          <w:tcPr>
            <w:tcW w:w="1700" w:type="dxa"/>
            <w:vAlign w:val="bottom"/>
            <w:tcBorders>
              <w:bottom w:val="single" w:sz="8" w:color="EEEEEE"/>
            </w:tcBorders>
          </w:tcPr>
          <w:p>
            <w:pPr>
              <w:spacing w:after="0"/>
              <w:rPr>
                <w:sz w:val="9"/>
                <w:szCs w:val="9"/>
                <w:color w:val="auto"/>
              </w:rPr>
            </w:pPr>
          </w:p>
        </w:tc>
        <w:tc>
          <w:tcPr>
            <w:tcW w:w="98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280" w:type="dxa"/>
            <w:vAlign w:val="bottom"/>
            <w:tcBorders>
              <w:bottom w:val="single" w:sz="8" w:color="EEEEEE"/>
            </w:tcBorders>
          </w:tcPr>
          <w:p>
            <w:pPr>
              <w:spacing w:after="0"/>
              <w:rPr>
                <w:sz w:val="9"/>
                <w:szCs w:val="9"/>
                <w:color w:val="auto"/>
              </w:rPr>
            </w:pPr>
          </w:p>
        </w:tc>
        <w:tc>
          <w:tcPr>
            <w:tcW w:w="560" w:type="dxa"/>
            <w:vAlign w:val="bottom"/>
            <w:tcBorders>
              <w:bottom w:val="single" w:sz="8" w:color="EEEEEE"/>
            </w:tcBorders>
          </w:tcPr>
          <w:p>
            <w:pPr>
              <w:spacing w:after="0"/>
              <w:rPr>
                <w:sz w:val="9"/>
                <w:szCs w:val="9"/>
                <w:color w:val="auto"/>
              </w:rPr>
            </w:pPr>
          </w:p>
        </w:tc>
        <w:tc>
          <w:tcPr>
            <w:tcW w:w="2120" w:type="dxa"/>
            <w:vAlign w:val="bottom"/>
            <w:tcBorders>
              <w:bottom w:val="single" w:sz="8" w:color="EEEEEE"/>
            </w:tcBorders>
          </w:tcPr>
          <w:p>
            <w:pPr>
              <w:spacing w:after="0"/>
              <w:rPr>
                <w:sz w:val="9"/>
                <w:szCs w:val="9"/>
                <w:color w:val="auto"/>
              </w:rPr>
            </w:pPr>
          </w:p>
        </w:tc>
        <w:tc>
          <w:tcPr>
            <w:tcW w:w="160" w:type="dxa"/>
            <w:vAlign w:val="bottom"/>
            <w:tcBorders>
              <w:bottom w:val="single" w:sz="8" w:color="EEEEEE"/>
            </w:tcBorders>
          </w:tcPr>
          <w:p>
            <w:pPr>
              <w:spacing w:after="0"/>
              <w:rPr>
                <w:sz w:val="9"/>
                <w:szCs w:val="9"/>
                <w:color w:val="auto"/>
              </w:rPr>
            </w:pPr>
          </w:p>
        </w:tc>
        <w:tc>
          <w:tcPr>
            <w:tcW w:w="140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-1577340</wp:posOffset>
            </wp:positionV>
            <wp:extent cx="22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03" w:name="page104"/>
    <w:bookmarkEnd w:id="103"/>
    <w:tbl>
      <w:tblPr>
        <w:tblLayout w:type="fixed"/>
        <w:tblInd w:w="20" w:type="dxa"/>
        <w:tblCellMar>
          <w:top w:w="0" w:type="dxa"/>
          <w:left w:w="0" w:type="dxa"/>
          <w:bottom w:w="0" w:type="dxa"/>
          <w:right w:w="0" w:type="dxa"/>
        </w:tblCellMar>
      </w:tblPr>
      <w:tr>
        <w:trPr>
          <w:trHeight w:val="156"/>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580" w:type="dxa"/>
            <w:vAlign w:val="bottom"/>
            <w:gridSpan w:val="18"/>
          </w:tcPr>
          <w:p>
            <w:pPr>
              <w:jc w:val="center"/>
              <w:ind w:right="2760"/>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tc>
        <w:tc>
          <w:tcPr>
            <w:tcW w:w="2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580" w:type="dxa"/>
            <w:vAlign w:val="bottom"/>
            <w:gridSpan w:val="18"/>
          </w:tcPr>
          <w:p>
            <w:pPr>
              <w:jc w:val="center"/>
              <w:ind w:right="276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tc>
        <w:tc>
          <w:tcPr>
            <w:tcW w:w="20" w:type="dxa"/>
            <w:vAlign w:val="bottom"/>
          </w:tcPr>
          <w:p>
            <w:pPr>
              <w:spacing w:after="0"/>
              <w:rPr>
                <w:sz w:val="13"/>
                <w:szCs w:val="13"/>
                <w:color w:val="auto"/>
              </w:rPr>
            </w:pPr>
          </w:p>
        </w:tc>
      </w:tr>
      <w:tr>
        <w:trPr>
          <w:trHeight w:val="174"/>
        </w:trPr>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40" w:type="dxa"/>
            <w:vAlign w:val="bottom"/>
            <w:gridSpan w:val="16"/>
          </w:tcPr>
          <w:p>
            <w:pPr>
              <w:jc w:val="center"/>
              <w:ind w:right="390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20" w:type="dxa"/>
            <w:vAlign w:val="bottom"/>
          </w:tcPr>
          <w:p>
            <w:pPr>
              <w:spacing w:after="0"/>
              <w:rPr>
                <w:sz w:val="15"/>
                <w:szCs w:val="15"/>
                <w:color w:val="auto"/>
              </w:rPr>
            </w:pPr>
          </w:p>
        </w:tc>
      </w:tr>
      <w:tr>
        <w:trPr>
          <w:trHeight w:val="46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912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Second Amendment to Second Amended and Restated Senior Secured Revolving Credit Agreement, dated as of September 4, 2019, by and among PennantPark Investment</w:t>
              </w:r>
            </w:hyperlink>
          </w:p>
        </w:tc>
        <w:tc>
          <w:tcPr>
            <w:tcW w:w="4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36"/>
        </w:trPr>
        <w:tc>
          <w:tcPr>
            <w:tcW w:w="860" w:type="dxa"/>
            <w:vAlign w:val="bottom"/>
          </w:tcPr>
          <w:p>
            <w:pPr>
              <w:spacing w:after="0"/>
              <w:rPr>
                <w:sz w:val="11"/>
                <w:szCs w:val="11"/>
                <w:color w:val="auto"/>
              </w:rPr>
            </w:pPr>
          </w:p>
        </w:tc>
        <w:tc>
          <w:tcPr>
            <w:tcW w:w="9420" w:type="dxa"/>
            <w:vAlign w:val="bottom"/>
            <w:tcBorders>
              <w:bottom w:val="single" w:sz="8" w:color="0000FF"/>
            </w:tcBorders>
            <w:gridSpan w:val="20"/>
          </w:tcPr>
          <w:p>
            <w:pPr>
              <w:spacing w:after="0" w:line="136"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Corporation, as borrower, the lenders party thereto, SunTrust Bank, as administrative agent and collateral agent, and solely with respect to Section 4.9, PNNT CI (GALLS) Prime</w:t>
              </w:r>
            </w:hyperlink>
          </w:p>
        </w:tc>
        <w:tc>
          <w:tcPr>
            <w:tcW w:w="16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100" w:type="dxa"/>
            <w:vAlign w:val="bottom"/>
            <w:tcBorders>
              <w:bottom w:val="single" w:sz="8" w:color="0000FF"/>
            </w:tcBorders>
            <w:gridSpan w:val="17"/>
          </w:tcPr>
          <w:p>
            <w:pPr>
              <w:spacing w:after="0" w:line="136"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Investment Holdings, LLC, PNNT Investment Holdings, LLC, PNNT New Gulf Resources, LLC, PNNT ecoserve, LLC and PNNT Cascade Environmental Holdings, LLC</w:t>
              </w:r>
            </w:hyperlink>
          </w:p>
        </w:tc>
        <w:tc>
          <w:tcPr>
            <w:tcW w:w="48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580" w:type="dxa"/>
            <w:vAlign w:val="bottom"/>
            <w:gridSpan w:val="24"/>
          </w:tcPr>
          <w:p>
            <w:pPr>
              <w:spacing w:after="0" w:line="136"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(Incorporated by reference to Exhibit 10.1 to the Registrant’s Form 8-K (File No. 814-00736), filed on September 4, 2019).</w:t>
              </w:r>
            </w:hyperlink>
          </w:p>
        </w:tc>
        <w:tc>
          <w:tcPr>
            <w:tcW w:w="20" w:type="dxa"/>
            <w:vAlign w:val="bottom"/>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902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Amended and Restated Limited Liability Company Agreement of PennantPark Senior Loan Fund, LLC, dated as of July 31, 2020, by and among PennantPark Investment</w:t>
              </w:r>
            </w:hyperlink>
          </w:p>
        </w:tc>
        <w:tc>
          <w:tcPr>
            <w:tcW w:w="5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36"/>
        </w:trPr>
        <w:tc>
          <w:tcPr>
            <w:tcW w:w="860" w:type="dxa"/>
            <w:vAlign w:val="bottom"/>
          </w:tcPr>
          <w:p>
            <w:pPr>
              <w:spacing w:after="0"/>
              <w:rPr>
                <w:sz w:val="11"/>
                <w:szCs w:val="11"/>
                <w:color w:val="auto"/>
              </w:rPr>
            </w:pPr>
          </w:p>
        </w:tc>
        <w:tc>
          <w:tcPr>
            <w:tcW w:w="9580" w:type="dxa"/>
            <w:vAlign w:val="bottom"/>
            <w:tcBorders>
              <w:bottom w:val="single" w:sz="8" w:color="0000FF"/>
            </w:tcBorders>
            <w:gridSpan w:val="24"/>
          </w:tcPr>
          <w:p>
            <w:pPr>
              <w:spacing w:after="0" w:line="136"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Corporation, Pantheon Private Debt Program SCSp SICAV – RAIF In Respect Of Its Compartment Pantheon Senior Debt Secondaries II (USD) and Solutio Premium Private Debt I</w:t>
              </w:r>
            </w:hyperlink>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6660" w:type="dxa"/>
            <w:vAlign w:val="bottom"/>
            <w:tcBorders>
              <w:bottom w:val="single" w:sz="8" w:color="0000FF"/>
            </w:tcBorders>
            <w:gridSpan w:val="14"/>
          </w:tcPr>
          <w:p>
            <w:pPr>
              <w:spacing w:after="0" w:line="136"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SCSp (Incorporated by reference to Exhibit 10.1 to the Registrant’s Form 8-K (File No. 814-00736), filed on August 4, 2020).</w:t>
              </w:r>
            </w:hyperlink>
          </w:p>
        </w:tc>
        <w:tc>
          <w:tcPr>
            <w:tcW w:w="292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918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First Amendment to the Amended and Restated Limited Liability Company Agreement of PennantPark Senior Loan Fund, LLC, dated as of October 31, 2020, by and among</w:t>
              </w:r>
            </w:hyperlink>
          </w:p>
        </w:tc>
        <w:tc>
          <w:tcPr>
            <w:tcW w:w="4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36"/>
        </w:trPr>
        <w:tc>
          <w:tcPr>
            <w:tcW w:w="860" w:type="dxa"/>
            <w:vAlign w:val="bottom"/>
          </w:tcPr>
          <w:p>
            <w:pPr>
              <w:spacing w:after="0"/>
              <w:rPr>
                <w:sz w:val="11"/>
                <w:szCs w:val="11"/>
                <w:color w:val="auto"/>
              </w:rPr>
            </w:pPr>
          </w:p>
        </w:tc>
        <w:tc>
          <w:tcPr>
            <w:tcW w:w="9540" w:type="dxa"/>
            <w:vAlign w:val="bottom"/>
            <w:tcBorders>
              <w:bottom w:val="single" w:sz="8" w:color="0000FF"/>
            </w:tcBorders>
            <w:gridSpan w:val="22"/>
          </w:tcPr>
          <w:p>
            <w:pPr>
              <w:spacing w:after="0" w:line="136"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PennantPark Investment Corporation, Pantheon Private Debt Program SCSp SICAV – RAIF In Respect Of Its Compartment Pantheon Senior Debt Secondaries II (USD), Pantheon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560" w:type="dxa"/>
            <w:vAlign w:val="bottom"/>
            <w:tcBorders>
              <w:bottom w:val="single" w:sz="8" w:color="0000FF"/>
            </w:tcBorders>
            <w:gridSpan w:val="23"/>
          </w:tcPr>
          <w:p>
            <w:pPr>
              <w:spacing w:after="0" w:line="136"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Private Debt Program SCSp SICAV-RAIF In Respect Of Its Compartment Pantheon Credit Opportunities II (USD), Pantheon Private Debt Program SCSp SICAV-RAIF In Respect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9560" w:type="dxa"/>
            <w:vAlign w:val="bottom"/>
            <w:tcBorders>
              <w:bottom w:val="single" w:sz="8" w:color="0000FF"/>
            </w:tcBorders>
            <w:gridSpan w:val="23"/>
          </w:tcPr>
          <w:p>
            <w:pPr>
              <w:spacing w:after="0" w:line="136"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Of Its Compartment Tubera Credit 2020 and Solutio Premium Private Debt I SCSp (Incorporated by reference to Exhibit 10.12 to the Registrant’s Form 10-K (File No. 814-00736),</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1560" w:type="dxa"/>
            <w:vAlign w:val="bottom"/>
            <w:tcBorders>
              <w:bottom w:val="single" w:sz="8" w:color="0000FF"/>
            </w:tcBorders>
            <w:gridSpan w:val="3"/>
          </w:tcPr>
          <w:p>
            <w:pPr>
              <w:spacing w:after="0" w:line="136" w:lineRule="exact"/>
              <w:rPr>
                <w:rFonts w:ascii="Times New Roman" w:cs="Times New Roman" w:eastAsia="Times New Roman" w:hAnsi="Times New Roman"/>
                <w:sz w:val="13"/>
                <w:szCs w:val="13"/>
                <w:color w:val="0000FF"/>
                <w:w w:val="99"/>
              </w:rPr>
            </w:pPr>
            <w:hyperlink r:id="rId149">
              <w:r>
                <w:rPr>
                  <w:rFonts w:ascii="Times New Roman" w:cs="Times New Roman" w:eastAsia="Times New Roman" w:hAnsi="Times New Roman"/>
                  <w:sz w:val="13"/>
                  <w:szCs w:val="13"/>
                  <w:color w:val="0000FF"/>
                  <w:w w:val="99"/>
                </w:rPr>
                <w:t>filed on November 19, 2020).</w:t>
              </w:r>
            </w:hyperlink>
          </w:p>
        </w:tc>
        <w:tc>
          <w:tcPr>
            <w:tcW w:w="8020" w:type="dxa"/>
            <w:vAlign w:val="bottom"/>
            <w:gridSpan w:val="21"/>
          </w:tcPr>
          <w:p>
            <w:pPr>
              <w:spacing w:after="0"/>
              <w:rPr>
                <w:sz w:val="11"/>
                <w:szCs w:val="11"/>
                <w:color w:val="auto"/>
              </w:rPr>
            </w:pPr>
          </w:p>
        </w:tc>
        <w:tc>
          <w:tcPr>
            <w:tcW w:w="20" w:type="dxa"/>
            <w:vAlign w:val="bottom"/>
          </w:tcPr>
          <w:p>
            <w:pPr>
              <w:spacing w:after="0"/>
              <w:rPr>
                <w:sz w:val="11"/>
                <w:szCs w:val="11"/>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958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Fifth Amendment to Second Amended and Restated Senior Secured Revolving Credit Agreement and Second Amended and Restated Guarantee and Security Agreement, dated as of</w:t>
              </w:r>
            </w:hyperlink>
          </w:p>
        </w:tc>
        <w:tc>
          <w:tcPr>
            <w:tcW w:w="20" w:type="dxa"/>
            <w:vAlign w:val="bottom"/>
            <w:tcBorders>
              <w:bottom w:val="single" w:sz="8" w:color="0000FF"/>
            </w:tcBorders>
          </w:tcPr>
          <w:p>
            <w:pPr>
              <w:spacing w:after="0"/>
              <w:rPr>
                <w:sz w:val="24"/>
                <w:szCs w:val="24"/>
                <w:color w:val="auto"/>
              </w:rPr>
            </w:pPr>
          </w:p>
        </w:tc>
      </w:tr>
      <w:tr>
        <w:trPr>
          <w:trHeight w:val="136"/>
        </w:trPr>
        <w:tc>
          <w:tcPr>
            <w:tcW w:w="860" w:type="dxa"/>
            <w:vAlign w:val="bottom"/>
          </w:tcPr>
          <w:p>
            <w:pPr>
              <w:spacing w:after="0"/>
              <w:rPr>
                <w:sz w:val="11"/>
                <w:szCs w:val="11"/>
                <w:color w:val="auto"/>
              </w:rPr>
            </w:pPr>
          </w:p>
        </w:tc>
        <w:tc>
          <w:tcPr>
            <w:tcW w:w="9500" w:type="dxa"/>
            <w:vAlign w:val="bottom"/>
            <w:tcBorders>
              <w:bottom w:val="single" w:sz="8" w:color="0000FF"/>
            </w:tcBorders>
            <w:gridSpan w:val="21"/>
          </w:tcPr>
          <w:p>
            <w:pPr>
              <w:spacing w:after="0" w:line="136"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July 29, 2022, among the Registrant, the lenders party thereto and Truist Bank, as administrative agent for the lenders (Incorporated by reference to Exhibit 10.2 to the Registrant’s</w:t>
              </w:r>
            </w:hyperlink>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860" w:type="dxa"/>
            <w:vAlign w:val="bottom"/>
          </w:tcPr>
          <w:p>
            <w:pPr>
              <w:spacing w:after="0"/>
              <w:rPr>
                <w:sz w:val="11"/>
                <w:szCs w:val="11"/>
                <w:color w:val="auto"/>
              </w:rPr>
            </w:pPr>
          </w:p>
        </w:tc>
        <w:tc>
          <w:tcPr>
            <w:tcW w:w="3140" w:type="dxa"/>
            <w:vAlign w:val="bottom"/>
            <w:tcBorders>
              <w:bottom w:val="single" w:sz="8" w:color="0000FF"/>
            </w:tcBorders>
            <w:gridSpan w:val="8"/>
          </w:tcPr>
          <w:p>
            <w:pPr>
              <w:spacing w:after="0" w:line="136"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Form 10-Q (File No. 814-00736), filed on August 3, 2022).</w:t>
              </w:r>
            </w:hyperlink>
          </w:p>
        </w:tc>
        <w:tc>
          <w:tcPr>
            <w:tcW w:w="6440" w:type="dxa"/>
            <w:vAlign w:val="bottom"/>
            <w:gridSpan w:val="16"/>
          </w:tcPr>
          <w:p>
            <w:pPr>
              <w:spacing w:after="0"/>
              <w:rPr>
                <w:sz w:val="11"/>
                <w:szCs w:val="11"/>
                <w:color w:val="auto"/>
              </w:rPr>
            </w:pPr>
          </w:p>
        </w:tc>
        <w:tc>
          <w:tcPr>
            <w:tcW w:w="20" w:type="dxa"/>
            <w:vAlign w:val="bottom"/>
          </w:tcPr>
          <w:p>
            <w:pPr>
              <w:spacing w:after="0"/>
              <w:rPr>
                <w:sz w:val="11"/>
                <w:szCs w:val="11"/>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14.1*</w:t>
            </w:r>
          </w:p>
        </w:tc>
        <w:tc>
          <w:tcPr>
            <w:tcW w:w="9580" w:type="dxa"/>
            <w:vAlign w:val="bottom"/>
            <w:gridSpan w:val="2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Joint Code of Ethics of the Registrant.</w:t>
              </w:r>
            </w:hyperlink>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158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Subsidiaries of the Registrant.</w:t>
              </w:r>
            </w:hyperlink>
          </w:p>
        </w:tc>
        <w:tc>
          <w:tcPr>
            <w:tcW w:w="420" w:type="dxa"/>
            <w:vAlign w:val="bottom"/>
            <w:tcBorders>
              <w:top w:val="single" w:sz="8" w:color="0000FF"/>
            </w:tcBorders>
            <w:gridSpan w:val="2"/>
          </w:tcPr>
          <w:p>
            <w:pPr>
              <w:spacing w:after="0"/>
              <w:rPr>
                <w:sz w:val="24"/>
                <w:szCs w:val="24"/>
                <w:color w:val="auto"/>
              </w:rPr>
            </w:pPr>
          </w:p>
        </w:tc>
        <w:tc>
          <w:tcPr>
            <w:tcW w:w="758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13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9"/>
              </w:rPr>
            </w:pPr>
            <w:hyperlink w:anchor="page1">
              <w:r>
                <w:rPr>
                  <w:rFonts w:ascii="Times New Roman" w:cs="Times New Roman" w:eastAsia="Times New Roman" w:hAnsi="Times New Roman"/>
                  <w:sz w:val="13"/>
                  <w:szCs w:val="13"/>
                  <w:color w:val="0000FF"/>
                  <w:w w:val="99"/>
                </w:rPr>
                <w:t>Consent of RSM US LLP.</w:t>
              </w:r>
            </w:hyperlink>
          </w:p>
        </w:tc>
        <w:tc>
          <w:tcPr>
            <w:tcW w:w="820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6240" w:type="dxa"/>
            <w:vAlign w:val="bottom"/>
            <w:tcBorders>
              <w:bottom w:val="single" w:sz="8" w:color="0000FF"/>
            </w:tcBorders>
            <w:gridSpan w:val="12"/>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33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620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c>
          <w:tcPr>
            <w:tcW w:w="33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528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43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524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434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97.1*</w:t>
            </w:r>
          </w:p>
        </w:tc>
        <w:tc>
          <w:tcPr>
            <w:tcW w:w="9580" w:type="dxa"/>
            <w:vAlign w:val="bottom"/>
            <w:gridSpan w:val="2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Clawback Policy</w:t>
              </w:r>
            </w:hyperlink>
            <w:r>
              <w:rPr>
                <w:rFonts w:ascii="Times New Roman" w:cs="Times New Roman" w:eastAsia="Times New Roman" w:hAnsi="Times New Roman"/>
                <w:sz w:val="13"/>
                <w:szCs w:val="13"/>
                <w:color w:val="000000"/>
              </w:rPr>
              <w:t>.</w:t>
            </w:r>
          </w:p>
        </w:tc>
        <w:tc>
          <w:tcPr>
            <w:tcW w:w="2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9580" w:type="dxa"/>
            <w:vAlign w:val="bottom"/>
            <w:gridSpan w:val="2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Privacy Policy of the Registrant.</w:t>
              </w:r>
            </w:hyperlink>
          </w:p>
        </w:tc>
        <w:tc>
          <w:tcPr>
            <w:tcW w:w="2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274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Report of RSM US LLP on Senior Securities Table.</w:t>
              </w:r>
            </w:hyperlink>
          </w:p>
        </w:tc>
        <w:tc>
          <w:tcPr>
            <w:tcW w:w="684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9580" w:type="dxa"/>
            <w:vAlign w:val="bottom"/>
            <w:gridSpan w:val="2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Audited Consolidated Financial Statement of PennantPark Senior Loan Fund LLC for the Year Ended September 30, 2023 and 2022</w:t>
              </w:r>
            </w:hyperlink>
            <w:r>
              <w:rPr>
                <w:rFonts w:ascii="Times New Roman" w:cs="Times New Roman" w:eastAsia="Times New Roman" w:hAnsi="Times New Roman"/>
                <w:sz w:val="13"/>
                <w:szCs w:val="13"/>
                <w:color w:val="000000"/>
              </w:rPr>
              <w:t>.</w:t>
            </w:r>
          </w:p>
        </w:tc>
        <w:tc>
          <w:tcPr>
            <w:tcW w:w="2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7000" w:type="dxa"/>
            <w:vAlign w:val="bottom"/>
            <w:tcBorders>
              <w:right w:val="single" w:sz="8" w:color="0000FF"/>
            </w:tcBorders>
            <w:gridSpan w:val="15"/>
            <w:shd w:val="clear" w:color="auto" w:fill="0000FF"/>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99.4*</w:t>
            </w:r>
          </w:p>
        </w:tc>
        <w:tc>
          <w:tcPr>
            <w:tcW w:w="9580" w:type="dxa"/>
            <w:vAlign w:val="bottom"/>
            <w:gridSpan w:val="24"/>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Audited Consolidated Financial Statement of PennantPark Senior Loan Fund LLC for the Year Ended September 30, 2022 and 2021</w:t>
              </w:r>
            </w:hyperlink>
            <w:r>
              <w:rPr>
                <w:rFonts w:ascii="Times New Roman" w:cs="Times New Roman" w:eastAsia="Times New Roman" w:hAnsi="Times New Roman"/>
                <w:sz w:val="13"/>
                <w:szCs w:val="13"/>
                <w:color w:val="000000"/>
              </w:rPr>
              <w:t>.</w:t>
            </w:r>
          </w:p>
        </w:tc>
        <w:tc>
          <w:tcPr>
            <w:tcW w:w="20" w:type="dxa"/>
            <w:vAlign w:val="bottom"/>
          </w:tcPr>
          <w:p>
            <w:pPr>
              <w:spacing w:after="0"/>
              <w:rPr>
                <w:sz w:val="24"/>
                <w:szCs w:val="24"/>
                <w:color w:val="auto"/>
              </w:rPr>
            </w:pPr>
          </w:p>
        </w:tc>
      </w:tr>
      <w:tr>
        <w:trPr>
          <w:trHeight w:val="34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70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25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33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58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20" w:type="dxa"/>
            <w:vAlign w:val="bottom"/>
          </w:tcPr>
          <w:p>
            <w:pPr>
              <w:spacing w:after="0"/>
              <w:rPr>
                <w:sz w:val="24"/>
                <w:szCs w:val="24"/>
                <w:color w:val="auto"/>
              </w:rPr>
            </w:pPr>
          </w:p>
        </w:tc>
      </w:tr>
      <w:tr>
        <w:trPr>
          <w:trHeight w:val="33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958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20" w:type="dxa"/>
            <w:vAlign w:val="bottom"/>
          </w:tcPr>
          <w:p>
            <w:pPr>
              <w:spacing w:after="0"/>
              <w:rPr>
                <w:sz w:val="24"/>
                <w:szCs w:val="24"/>
                <w:color w:val="auto"/>
              </w:rPr>
            </w:pPr>
          </w:p>
        </w:tc>
      </w:tr>
      <w:tr>
        <w:trPr>
          <w:trHeight w:val="33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958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20" w:type="dxa"/>
            <w:vAlign w:val="bottom"/>
          </w:tcPr>
          <w:p>
            <w:pPr>
              <w:spacing w:after="0"/>
              <w:rPr>
                <w:sz w:val="24"/>
                <w:szCs w:val="24"/>
                <w:color w:val="auto"/>
              </w:rPr>
            </w:pPr>
          </w:p>
        </w:tc>
      </w:tr>
      <w:tr>
        <w:trPr>
          <w:trHeight w:val="4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958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20" w:type="dxa"/>
            <w:vAlign w:val="bottom"/>
          </w:tcPr>
          <w:p>
            <w:pPr>
              <w:spacing w:after="0"/>
              <w:rPr>
                <w:sz w:val="24"/>
                <w:szCs w:val="24"/>
                <w:color w:val="auto"/>
              </w:rPr>
            </w:pPr>
          </w:p>
        </w:tc>
      </w:tr>
      <w:tr>
        <w:trPr>
          <w:trHeight w:val="33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9580" w:type="dxa"/>
            <w:vAlign w:val="bottom"/>
            <w:gridSpan w:val="24"/>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-3683635</wp:posOffset>
            </wp:positionV>
            <wp:extent cx="22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-1968500</wp:posOffset>
            </wp:positionV>
            <wp:extent cx="22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2298065</wp:posOffset>
            </wp:positionH>
            <wp:positionV relativeFrom="paragraph">
              <wp:posOffset>-1778000</wp:posOffset>
            </wp:positionV>
            <wp:extent cx="2286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144" w:lineRule="exact"/>
        <w:rPr>
          <w:sz w:val="20"/>
          <w:szCs w:val="20"/>
          <w:color w:val="auto"/>
        </w:rPr>
      </w:pPr>
    </w:p>
    <w:p>
      <w:pPr>
        <w:ind w:left="880" w:hanging="862"/>
        <w:spacing w:after="0"/>
        <w:tabs>
          <w:tab w:leader="none" w:pos="880" w:val="left"/>
        </w:tabs>
        <w:numPr>
          <w:ilvl w:val="1"/>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as inline XBRL and contained in Exhibit 101)</w:t>
      </w:r>
    </w:p>
    <w:p>
      <w:pPr>
        <w:spacing w:after="0" w:line="174"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Filed herewith</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6" w:right="76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INVESTMENT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9"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 on December 7, 2023.</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  ARTHUR H. PENN</w:t>
            </w: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Arthur H. Penn</w:t>
            </w:r>
          </w:p>
        </w:tc>
      </w:tr>
      <w:tr>
        <w:trPr>
          <w:trHeight w:val="161"/>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w:t>
            </w:r>
          </w:p>
        </w:tc>
      </w:tr>
      <w:tr>
        <w:trPr>
          <w:trHeight w:val="174"/>
        </w:trPr>
        <w:tc>
          <w:tcPr>
            <w:tcW w:w="6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Directors</w:t>
            </w:r>
          </w:p>
        </w:tc>
      </w:tr>
    </w:tbl>
    <w:p>
      <w:pPr>
        <w:spacing w:after="0" w:line="116"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20" w:type="dxa"/>
            <w:vAlign w:val="bottom"/>
          </w:tcPr>
          <w:p>
            <w:pPr>
              <w:spacing w:after="0"/>
              <w:rPr>
                <w:sz w:val="15"/>
                <w:szCs w:val="15"/>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2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320" w:type="dxa"/>
            <w:vAlign w:val="bottom"/>
          </w:tcPr>
          <w:p>
            <w:pPr>
              <w:spacing w:after="0"/>
              <w:rPr>
                <w:sz w:val="15"/>
                <w:szCs w:val="15"/>
                <w:color w:val="auto"/>
              </w:rPr>
            </w:pPr>
          </w:p>
        </w:tc>
      </w:tr>
      <w:tr>
        <w:trPr>
          <w:trHeight w:val="176"/>
        </w:trPr>
        <w:tc>
          <w:tcPr>
            <w:tcW w:w="32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ARTHUR H. PENN</w:t>
            </w:r>
          </w:p>
        </w:tc>
        <w:tc>
          <w:tcPr>
            <w:tcW w:w="120" w:type="dxa"/>
            <w:vAlign w:val="bottom"/>
          </w:tcPr>
          <w:p>
            <w:pPr>
              <w:spacing w:after="0"/>
              <w:rPr>
                <w:sz w:val="15"/>
                <w:szCs w:val="15"/>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Executive Officer and Chairman of the Board of Directors</w:t>
            </w:r>
          </w:p>
        </w:tc>
        <w:tc>
          <w:tcPr>
            <w:tcW w:w="12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7, 2023</w:t>
            </w:r>
          </w:p>
        </w:tc>
        <w:tc>
          <w:tcPr>
            <w:tcW w:w="320" w:type="dxa"/>
            <w:vAlign w:val="bottom"/>
          </w:tcPr>
          <w:p>
            <w:pPr>
              <w:spacing w:after="0"/>
              <w:rPr>
                <w:sz w:val="15"/>
                <w:szCs w:val="15"/>
                <w:color w:val="auto"/>
              </w:rPr>
            </w:pPr>
          </w:p>
        </w:tc>
      </w:tr>
      <w:tr>
        <w:trPr>
          <w:trHeight w:val="166"/>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Arthur H. Penn</w:t>
            </w:r>
          </w:p>
        </w:tc>
        <w:tc>
          <w:tcPr>
            <w:tcW w:w="1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Executive Officer)</w:t>
            </w: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0"/>
        </w:trPr>
        <w:tc>
          <w:tcPr>
            <w:tcW w:w="3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RICHARD T. ALLOTO, JR.</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Chief Financial Officer and Treasurer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7, 2023</w:t>
            </w:r>
          </w:p>
        </w:tc>
        <w:tc>
          <w:tcPr>
            <w:tcW w:w="320" w:type="dxa"/>
            <w:vAlign w:val="bottom"/>
          </w:tcPr>
          <w:p>
            <w:pPr>
              <w:spacing w:after="0"/>
              <w:rPr>
                <w:sz w:val="24"/>
                <w:szCs w:val="24"/>
                <w:color w:val="auto"/>
              </w:rPr>
            </w:pPr>
          </w:p>
        </w:tc>
      </w:tr>
      <w:tr>
        <w:trPr>
          <w:trHeight w:val="164"/>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Richard T. Allorto, Jr.</w:t>
            </w:r>
          </w:p>
        </w:tc>
        <w:tc>
          <w:tcPr>
            <w:tcW w:w="120" w:type="dxa"/>
            <w:vAlign w:val="bottom"/>
          </w:tcPr>
          <w:p>
            <w:pPr>
              <w:spacing w:after="0"/>
              <w:rPr>
                <w:sz w:val="14"/>
                <w:szCs w:val="1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8"/>
        </w:trPr>
        <w:tc>
          <w:tcPr>
            <w:tcW w:w="3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ADAM K. BERNSTEIN</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7, 2023</w:t>
            </w:r>
          </w:p>
        </w:tc>
        <w:tc>
          <w:tcPr>
            <w:tcW w:w="320" w:type="dxa"/>
            <w:vAlign w:val="bottom"/>
          </w:tcPr>
          <w:p>
            <w:pPr>
              <w:spacing w:after="0"/>
              <w:rPr>
                <w:sz w:val="24"/>
                <w:szCs w:val="24"/>
                <w:color w:val="auto"/>
              </w:rPr>
            </w:pPr>
          </w:p>
        </w:tc>
      </w:tr>
      <w:tr>
        <w:trPr>
          <w:trHeight w:val="170"/>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Adam K. Bernstein</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6"/>
        </w:trPr>
        <w:tc>
          <w:tcPr>
            <w:tcW w:w="3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JEFFREY FLUG</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7, 2023</w:t>
            </w:r>
          </w:p>
        </w:tc>
        <w:tc>
          <w:tcPr>
            <w:tcW w:w="320" w:type="dxa"/>
            <w:vAlign w:val="bottom"/>
          </w:tcPr>
          <w:p>
            <w:pPr>
              <w:spacing w:after="0"/>
              <w:rPr>
                <w:sz w:val="24"/>
                <w:szCs w:val="24"/>
                <w:color w:val="auto"/>
              </w:rPr>
            </w:pPr>
          </w:p>
        </w:tc>
      </w:tr>
      <w:tr>
        <w:trPr>
          <w:trHeight w:val="170"/>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Jeffrey Flug</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6"/>
        </w:trPr>
        <w:tc>
          <w:tcPr>
            <w:tcW w:w="3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MARSHALL BROZOST</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7, 2023</w:t>
            </w:r>
          </w:p>
        </w:tc>
        <w:tc>
          <w:tcPr>
            <w:tcW w:w="320" w:type="dxa"/>
            <w:vAlign w:val="bottom"/>
          </w:tcPr>
          <w:p>
            <w:pPr>
              <w:spacing w:after="0"/>
              <w:rPr>
                <w:sz w:val="24"/>
                <w:szCs w:val="24"/>
                <w:color w:val="auto"/>
              </w:rPr>
            </w:pPr>
          </w:p>
        </w:tc>
      </w:tr>
      <w:tr>
        <w:trPr>
          <w:trHeight w:val="170"/>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Marshall Brozost</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26"/>
        </w:trPr>
        <w:tc>
          <w:tcPr>
            <w:tcW w:w="3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w:t>
            </w:r>
          </w:p>
        </w:tc>
        <w:tc>
          <w:tcPr>
            <w:tcW w:w="2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SAMUEL L. KATZ</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7, 2023</w:t>
            </w:r>
          </w:p>
        </w:tc>
        <w:tc>
          <w:tcPr>
            <w:tcW w:w="320" w:type="dxa"/>
            <w:vAlign w:val="bottom"/>
          </w:tcPr>
          <w:p>
            <w:pPr>
              <w:spacing w:after="0"/>
              <w:rPr>
                <w:sz w:val="24"/>
                <w:szCs w:val="24"/>
                <w:color w:val="auto"/>
              </w:rPr>
            </w:pPr>
          </w:p>
        </w:tc>
      </w:tr>
      <w:tr>
        <w:trPr>
          <w:trHeight w:val="170"/>
        </w:trPr>
        <w:tc>
          <w:tcPr>
            <w:tcW w:w="32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Samuel L. Katz</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58"/>
        </w:trPr>
        <w:tc>
          <w:tcPr>
            <w:tcW w:w="3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/s/  </w:t>
            </w:r>
            <w:r>
              <w:rPr>
                <w:rFonts w:ascii="Times New Roman" w:cs="Times New Roman" w:eastAsia="Times New Roman" w:hAnsi="Times New Roman"/>
                <w:sz w:val="13"/>
                <w:szCs w:val="13"/>
                <w:color w:val="auto"/>
              </w:rPr>
              <w:t>JOSÉ A. BRIONES, JR</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7, 2023</w:t>
            </w:r>
          </w:p>
        </w:tc>
        <w:tc>
          <w:tcPr>
            <w:tcW w:w="320" w:type="dxa"/>
            <w:vAlign w:val="bottom"/>
          </w:tcPr>
          <w:p>
            <w:pPr>
              <w:spacing w:after="0"/>
              <w:rPr>
                <w:sz w:val="24"/>
                <w:szCs w:val="24"/>
                <w:color w:val="auto"/>
              </w:rPr>
            </w:pPr>
          </w:p>
        </w:tc>
      </w:tr>
      <w:tr>
        <w:trPr>
          <w:trHeight w:val="180"/>
        </w:trPr>
        <w:tc>
          <w:tcPr>
            <w:tcW w:w="320" w:type="dxa"/>
            <w:vAlign w:val="bottom"/>
          </w:tcPr>
          <w:p>
            <w:pPr>
              <w:spacing w:after="0"/>
              <w:rPr>
                <w:sz w:val="15"/>
                <w:szCs w:val="15"/>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José A. Briones, Jr.</w:t>
            </w: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516"/>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60" w:type="dxa"/>
            <w:vAlign w:val="bottom"/>
            <w:gridSpan w:val="2"/>
          </w:tcPr>
          <w:p>
            <w:pPr>
              <w:jc w:val="right"/>
              <w:ind w:right="2054"/>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4"/>
        </w:trPr>
        <w:tc>
          <w:tcPr>
            <w:tcW w:w="32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212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474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2620" w:type="dxa"/>
            <w:vAlign w:val="bottom"/>
            <w:tcBorders>
              <w:bottom w:val="single" w:sz="8" w:color="EEEEEE"/>
            </w:tcBorders>
          </w:tcPr>
          <w:p>
            <w:pPr>
              <w:spacing w:after="0"/>
              <w:rPr>
                <w:sz w:val="9"/>
                <w:szCs w:val="9"/>
                <w:color w:val="auto"/>
              </w:rPr>
            </w:pPr>
          </w:p>
        </w:tc>
        <w:tc>
          <w:tcPr>
            <w:tcW w:w="32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3"/>
          <w:szCs w:val="13"/>
          <w:b w:val="1"/>
          <w:bCs w:val="1"/>
          <w:color w:val="auto"/>
        </w:rPr>
        <w:t>Exhibit 14.1</w:t>
      </w:r>
    </w:p>
    <w:p>
      <w:pPr>
        <w:spacing w:after="0" w:line="19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JOINT CODE OF ETHICS</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FOR</w:t>
      </w:r>
    </w:p>
    <w:p>
      <w:pPr>
        <w:spacing w:after="0" w:line="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PENNANTPARK INVESTMENT ADVISERS,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 Statement of General Fiduciary Principles</w:t>
      </w:r>
    </w:p>
    <w:p>
      <w:pPr>
        <w:spacing w:after="0" w:line="165" w:lineRule="exact"/>
        <w:rPr>
          <w:sz w:val="20"/>
          <w:szCs w:val="20"/>
          <w:color w:val="auto"/>
        </w:rPr>
      </w:pPr>
    </w:p>
    <w:p>
      <w:pPr>
        <w:ind w:right="140" w:firstLine="165"/>
        <w:spacing w:after="0" w:line="256" w:lineRule="auto"/>
        <w:rPr>
          <w:sz w:val="20"/>
          <w:szCs w:val="20"/>
          <w:color w:val="auto"/>
        </w:rPr>
      </w:pPr>
      <w:r>
        <w:rPr>
          <w:rFonts w:ascii="Times New Roman" w:cs="Times New Roman" w:eastAsia="Times New Roman" w:hAnsi="Times New Roman"/>
          <w:sz w:val="13"/>
          <w:szCs w:val="13"/>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conflict-of -interest situations to which Rule 17j-1 under the Act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32" w:lineRule="exact"/>
        <w:rPr>
          <w:sz w:val="20"/>
          <w:szCs w:val="20"/>
          <w:color w:val="auto"/>
        </w:rPr>
      </w:pPr>
    </w:p>
    <w:p>
      <w:pPr>
        <w:ind w:right="100" w:firstLine="165"/>
        <w:spacing w:after="0" w:line="259" w:lineRule="auto"/>
        <w:rPr>
          <w:sz w:val="20"/>
          <w:szCs w:val="20"/>
          <w:color w:val="auto"/>
        </w:rPr>
      </w:pPr>
      <w:r>
        <w:rPr>
          <w:rFonts w:ascii="Times New Roman" w:cs="Times New Roman" w:eastAsia="Times New Roman" w:hAnsi="Times New Roman"/>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30" w:lineRule="exact"/>
        <w:rPr>
          <w:sz w:val="20"/>
          <w:szCs w:val="20"/>
          <w:color w:val="auto"/>
        </w:rPr>
      </w:pPr>
    </w:p>
    <w:p>
      <w:pPr>
        <w:ind w:right="160" w:firstLine="165"/>
        <w:spacing w:after="0" w:line="268" w:lineRule="auto"/>
        <w:rPr>
          <w:sz w:val="20"/>
          <w:szCs w:val="20"/>
          <w:color w:val="auto"/>
        </w:rPr>
      </w:pPr>
      <w:r>
        <w:rPr>
          <w:rFonts w:ascii="Times New Roman" w:cs="Times New Roman" w:eastAsia="Times New Roman" w:hAnsi="Times New Roman"/>
          <w:sz w:val="13"/>
          <w:szCs w:val="13"/>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393065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4" w:right="68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color w:val="auto"/>
        </w:rPr>
        <w:t>All Covered Personnel must read and retain this Code.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II Definitions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a)“Access Person” means any director, officer, general partner or Advisory Person (as defined below) of the Corporations or the Adviser.</w:t>
      </w:r>
    </w:p>
    <w:p>
      <w:pPr>
        <w:spacing w:after="0" w:line="103"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3"/>
          <w:szCs w:val="13"/>
          <w:color w:val="auto"/>
        </w:rPr>
        <w:t>b)An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70" w:lineRule="exact"/>
        <w:rPr>
          <w:sz w:val="20"/>
          <w:szCs w:val="20"/>
          <w:color w:val="auto"/>
        </w:rPr>
      </w:pPr>
    </w:p>
    <w:p>
      <w:pPr>
        <w:ind w:left="480" w:right="300"/>
        <w:spacing w:after="0" w:line="286" w:lineRule="auto"/>
        <w:rPr>
          <w:sz w:val="20"/>
          <w:szCs w:val="20"/>
          <w:color w:val="auto"/>
        </w:rPr>
      </w:pPr>
      <w:r>
        <w:rPr>
          <w:rFonts w:ascii="Times New Roman" w:cs="Times New Roman" w:eastAsia="Times New Roman" w:hAnsi="Times New Roman"/>
          <w:sz w:val="13"/>
          <w:szCs w:val="13"/>
          <w:color w:val="auto"/>
        </w:rPr>
        <w:t>c)“Beneficial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52" w:lineRule="exact"/>
        <w:rPr>
          <w:sz w:val="20"/>
          <w:szCs w:val="20"/>
          <w:color w:val="auto"/>
        </w:rPr>
      </w:pPr>
    </w:p>
    <w:p>
      <w:pPr>
        <w:ind w:left="480" w:right="320"/>
        <w:spacing w:after="0" w:line="286" w:lineRule="auto"/>
        <w:rPr>
          <w:sz w:val="20"/>
          <w:szCs w:val="20"/>
          <w:color w:val="auto"/>
        </w:rPr>
      </w:pPr>
      <w:r>
        <w:rPr>
          <w:rFonts w:ascii="Times New Roman" w:cs="Times New Roman" w:eastAsia="Times New Roman" w:hAnsi="Times New Roman"/>
          <w:sz w:val="13"/>
          <w:szCs w:val="13"/>
          <w:color w:val="auto"/>
        </w:rPr>
        <w:t>d)“Chief Compliance Officer” means the Chief Compliance Officer of the Corporation (who also may serve as the compliance officer of the Adviser and/or one or more affiliates of the Adviser).</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e)“Control” shall have the same meaning as that set forth in Section 2(a)(9) of the Act.</w:t>
      </w:r>
    </w:p>
    <w:p>
      <w:pPr>
        <w:spacing w:after="0" w:line="103" w:lineRule="exact"/>
        <w:rPr>
          <w:sz w:val="20"/>
          <w:szCs w:val="20"/>
          <w:color w:val="auto"/>
        </w:rPr>
      </w:pPr>
    </w:p>
    <w:p>
      <w:pPr>
        <w:ind w:left="480"/>
        <w:spacing w:after="0" w:line="253" w:lineRule="auto"/>
        <w:rPr>
          <w:sz w:val="20"/>
          <w:szCs w:val="20"/>
          <w:color w:val="auto"/>
        </w:rPr>
      </w:pPr>
      <w:r>
        <w:rPr>
          <w:rFonts w:ascii="Times New Roman" w:cs="Times New Roman" w:eastAsia="Times New Roman" w:hAnsi="Times New Roman"/>
          <w:sz w:val="13"/>
          <w:szCs w:val="13"/>
          <w:color w:val="auto"/>
        </w:rPr>
        <w:t>f)“Covered Security” means a security as defined in Section 2(a)(36) of the Act, which includes: any note, stock, treasury stock, security future, bond, debenture, evidence of indebtedness, certificate of interest or participation in any profit-sharing agreement, collateral- trust certificate, pre -organization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However, a “Covered Security” does not include: (i) direct obligations of the Government of the United States; (ii) bankers’ acceptances, bank certificates of deposit, commercial paper and high-quality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g)“Independent Director” means a director of the Corporation who is not an “interested person” of the Corporation within the meaning of Section 2(a)(19) of the Act.</w:t>
      </w:r>
    </w:p>
    <w:p>
      <w:pPr>
        <w:spacing w:after="0" w:line="103" w:lineRule="exact"/>
        <w:rPr>
          <w:sz w:val="20"/>
          <w:szCs w:val="20"/>
          <w:color w:val="auto"/>
        </w:rPr>
      </w:pPr>
    </w:p>
    <w:p>
      <w:pPr>
        <w:ind w:left="480" w:right="40"/>
        <w:spacing w:after="0" w:line="286" w:lineRule="auto"/>
        <w:rPr>
          <w:sz w:val="20"/>
          <w:szCs w:val="20"/>
          <w:color w:val="auto"/>
        </w:rPr>
      </w:pPr>
      <w:r>
        <w:rPr>
          <w:rFonts w:ascii="Times New Roman" w:cs="Times New Roman" w:eastAsia="Times New Roman" w:hAnsi="Times New Roman"/>
          <w:sz w:val="13"/>
          <w:szCs w:val="13"/>
          <w:color w:val="auto"/>
        </w:rPr>
        <w:t>A)“Initial Public Offering” means an offering of securities registered under the Securities Act of 1933, as amended (the “1933 Act”), the issuer of which, immediately before the registration, was not subject to the reporting requirements of Sections 13 or 15(d) of the 1934 Act.</w:t>
      </w:r>
    </w:p>
    <w:p>
      <w:pPr>
        <w:spacing w:after="0" w:line="52"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3"/>
          <w:szCs w:val="13"/>
          <w:color w:val="auto"/>
        </w:rPr>
        <w:t>B)“Limited Offering” means an offering that is exempt from registration under the 1933 Act pursuant to Section 4(2) or Section 4(6) thereof or pursuant to Rule 504, Rule 505, or Rule 506 thereunder.</w:t>
      </w:r>
    </w:p>
    <w:p>
      <w:pPr>
        <w:spacing w:after="0" w:line="52" w:lineRule="exact"/>
        <w:rPr>
          <w:sz w:val="20"/>
          <w:szCs w:val="20"/>
          <w:color w:val="auto"/>
        </w:rPr>
      </w:pPr>
    </w:p>
    <w:p>
      <w:pPr>
        <w:ind w:left="480" w:right="380"/>
        <w:spacing w:after="0" w:line="286" w:lineRule="auto"/>
        <w:rPr>
          <w:sz w:val="20"/>
          <w:szCs w:val="20"/>
          <w:color w:val="auto"/>
        </w:rPr>
      </w:pPr>
      <w:r>
        <w:rPr>
          <w:rFonts w:ascii="Times New Roman" w:cs="Times New Roman" w:eastAsia="Times New Roman" w:hAnsi="Times New Roman"/>
          <w:sz w:val="13"/>
          <w:szCs w:val="13"/>
          <w:color w:val="auto"/>
        </w:rPr>
        <w:t>C)“Restricted List” means the “Pipeline” report of potential investments combined with the current holdings of the clients. PennantPark Access Persons are restricted from trading any security on the Restricted List.</w:t>
      </w:r>
    </w:p>
    <w:p>
      <w:pPr>
        <w:spacing w:after="0" w:line="52" w:lineRule="exact"/>
        <w:rPr>
          <w:sz w:val="20"/>
          <w:szCs w:val="20"/>
          <w:color w:val="auto"/>
        </w:rPr>
      </w:pPr>
    </w:p>
    <w:p>
      <w:pPr>
        <w:ind w:left="480" w:right="20"/>
        <w:spacing w:after="0" w:line="268" w:lineRule="auto"/>
        <w:rPr>
          <w:sz w:val="20"/>
          <w:szCs w:val="20"/>
          <w:color w:val="auto"/>
        </w:rPr>
      </w:pPr>
      <w:r>
        <w:rPr>
          <w:rFonts w:ascii="Times New Roman" w:cs="Times New Roman" w:eastAsia="Times New Roman" w:hAnsi="Times New Roman"/>
          <w:sz w:val="13"/>
          <w:szCs w:val="13"/>
          <w:color w:val="auto"/>
        </w:rPr>
        <w:t>D)“Security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 of this Code.</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E)“17j-1 Organization” means the Corporation or the Adviser, as the context requires.</w:t>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38" w:right="72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b w:val="1"/>
          <w:bCs w:val="1"/>
          <w:color w:val="auto"/>
        </w:rPr>
        <w:t>Section III Objective and General Prohibitions</w:t>
      </w:r>
    </w:p>
    <w:p>
      <w:pPr>
        <w:spacing w:after="0" w:line="165" w:lineRule="exact"/>
        <w:rPr>
          <w:sz w:val="20"/>
          <w:szCs w:val="20"/>
          <w:color w:val="auto"/>
        </w:rPr>
      </w:pPr>
    </w:p>
    <w:p>
      <w:pPr>
        <w:jc w:val="both"/>
        <w:ind w:right="140" w:firstLine="165"/>
        <w:spacing w:after="0" w:line="268" w:lineRule="auto"/>
        <w:rPr>
          <w:sz w:val="20"/>
          <w:szCs w:val="20"/>
          <w:color w:val="auto"/>
        </w:rPr>
      </w:pPr>
      <w:r>
        <w:rPr>
          <w:rFonts w:ascii="Times New Roman" w:cs="Times New Roman" w:eastAsia="Times New Roman" w:hAnsi="Times New Roman"/>
          <w:sz w:val="13"/>
          <w:szCs w:val="13"/>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23" w:lineRule="exact"/>
        <w:rPr>
          <w:sz w:val="20"/>
          <w:szCs w:val="20"/>
          <w:color w:val="auto"/>
        </w:rPr>
      </w:pPr>
    </w:p>
    <w:p>
      <w:pPr>
        <w:ind w:firstLine="165"/>
        <w:spacing w:after="0" w:line="267" w:lineRule="auto"/>
        <w:rPr>
          <w:sz w:val="20"/>
          <w:szCs w:val="20"/>
          <w:color w:val="auto"/>
        </w:rPr>
      </w:pPr>
      <w:r>
        <w:rPr>
          <w:rFonts w:ascii="Times New Roman" w:cs="Times New Roman" w:eastAsia="Times New Roman" w:hAnsi="Times New Roman"/>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w:t>
      </w:r>
      <w:r>
        <w:rPr>
          <w:rFonts w:ascii="Arial" w:cs="Arial" w:eastAsia="Arial" w:hAnsi="Arial"/>
          <w:sz w:val="13"/>
          <w:szCs w:val="13"/>
          <w:color w:val="auto"/>
        </w:rPr>
        <w:t>​</w:t>
      </w:r>
      <w:r>
        <w:rPr>
          <w:rFonts w:ascii="Times New Roman" w:cs="Times New Roman" w:eastAsia="Times New Roman" w:hAnsi="Times New Roman"/>
          <w:sz w:val="13"/>
          <w:szCs w:val="13"/>
          <w:color w:val="auto"/>
        </w:rPr>
        <w:t>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(i)employ any device, scheme or artifice to defraud the Corporation;</w:t>
      </w:r>
    </w:p>
    <w:p>
      <w:pPr>
        <w:spacing w:after="0" w:line="103" w:lineRule="exact"/>
        <w:rPr>
          <w:sz w:val="20"/>
          <w:szCs w:val="20"/>
          <w:color w:val="auto"/>
        </w:rPr>
      </w:pPr>
    </w:p>
    <w:p>
      <w:pPr>
        <w:ind w:left="480" w:right="640"/>
        <w:spacing w:after="0" w:line="286" w:lineRule="auto"/>
        <w:rPr>
          <w:sz w:val="20"/>
          <w:szCs w:val="20"/>
          <w:color w:val="auto"/>
        </w:rPr>
      </w:pPr>
      <w:r>
        <w:rPr>
          <w:rFonts w:ascii="Times New Roman" w:cs="Times New Roman" w:eastAsia="Times New Roman" w:hAnsi="Times New Roman"/>
          <w:sz w:val="13"/>
          <w:szCs w:val="13"/>
          <w:color w:val="auto"/>
        </w:rPr>
        <w:t>(ii)make any untrue statement of a material fact to the Corporation or omit to state to the Corporation a material fact necessary in order to make the statements made, in light of the circumstances under which they are made, not misleading;</w:t>
      </w:r>
    </w:p>
    <w:p>
      <w:pPr>
        <w:spacing w:after="0" w:line="52" w:lineRule="exact"/>
        <w:rPr>
          <w:sz w:val="20"/>
          <w:szCs w:val="20"/>
          <w:color w:val="auto"/>
        </w:rPr>
      </w:pPr>
    </w:p>
    <w:p>
      <w:pPr>
        <w:ind w:left="480" w:right="3420"/>
        <w:spacing w:after="0" w:line="338" w:lineRule="auto"/>
        <w:rPr>
          <w:sz w:val="20"/>
          <w:szCs w:val="20"/>
          <w:color w:val="auto"/>
        </w:rPr>
      </w:pPr>
      <w:r>
        <w:rPr>
          <w:rFonts w:ascii="Times New Roman" w:cs="Times New Roman" w:eastAsia="Times New Roman" w:hAnsi="Times New Roman"/>
          <w:sz w:val="13"/>
          <w:szCs w:val="13"/>
          <w:color w:val="auto"/>
        </w:rPr>
        <w:t>(i)engage in any act, practice or course of business that operates or would operate as a fraud or deceit upon the Corporation; or (ii)engage in any manipulative practice with respect to the Corporation.</w:t>
      </w:r>
    </w:p>
    <w:p>
      <w:pPr>
        <w:spacing w:after="0" w:line="1"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3"/>
          <w:szCs w:val="13"/>
          <w:color w:val="auto"/>
        </w:rPr>
        <w:t>Covered Personnel should also recognize that a violation of this Code or of Rule 17j-1 may result in the imposition of: (1) sanctions as provided by Section VIII of this Code; or (2) administrative, civil and, in certain cases, criminal fines, sanctions or penalties.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IV Pre-Clearance of Personal Account Transactions; Window Period to Trade PennantPark shares</w:t>
      </w:r>
    </w:p>
    <w:p>
      <w:pPr>
        <w:spacing w:after="0" w:line="165" w:lineRule="exact"/>
        <w:rPr>
          <w:sz w:val="20"/>
          <w:szCs w:val="20"/>
          <w:color w:val="auto"/>
        </w:rPr>
      </w:pPr>
    </w:p>
    <w:p>
      <w:pPr>
        <w:ind w:firstLine="165"/>
        <w:spacing w:after="0" w:line="255" w:lineRule="auto"/>
        <w:rPr>
          <w:sz w:val="20"/>
          <w:szCs w:val="20"/>
          <w:color w:val="auto"/>
        </w:rPr>
      </w:pPr>
      <w:r>
        <w:rPr>
          <w:rFonts w:ascii="Times New Roman" w:cs="Times New Roman" w:eastAsia="Times New Roman" w:hAnsi="Times New Roman"/>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 and a statement that the Access Person has reviewed the Pipeline Report for any conflicts.</w:t>
      </w:r>
    </w:p>
    <w:p>
      <w:pPr>
        <w:ind w:left="180"/>
        <w:spacing w:after="0"/>
        <w:rPr>
          <w:sz w:val="20"/>
          <w:szCs w:val="20"/>
          <w:color w:val="auto"/>
        </w:rPr>
      </w:pPr>
      <w:r>
        <w:rPr>
          <w:rFonts w:ascii="Times New Roman" w:cs="Times New Roman" w:eastAsia="Times New Roman" w:hAnsi="Times New Roman"/>
          <w:sz w:val="13"/>
          <w:szCs w:val="13"/>
          <w:color w:val="auto"/>
        </w:rPr>
        <w:t>Any approval given under this paragraph will be provided by email and will remain in effect for 72 hours.</w:t>
      </w:r>
    </w:p>
    <w:p>
      <w:pPr>
        <w:spacing w:after="0" w:line="1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u w:val="single" w:color="auto"/>
          <w:color w:val="auto"/>
        </w:rPr>
        <w:t>Exceptions to the Pre-Clearance Requirement Policy,</w:t>
      </w:r>
    </w:p>
    <w:p>
      <w:pPr>
        <w:spacing w:after="0" w:line="163" w:lineRule="exact"/>
        <w:rPr>
          <w:sz w:val="20"/>
          <w:szCs w:val="20"/>
          <w:color w:val="auto"/>
        </w:rPr>
      </w:pPr>
    </w:p>
    <w:p>
      <w:pPr>
        <w:ind w:right="20" w:firstLine="165"/>
        <w:spacing w:after="0" w:line="256" w:lineRule="auto"/>
        <w:rPr>
          <w:sz w:val="20"/>
          <w:szCs w:val="20"/>
          <w:color w:val="auto"/>
        </w:rPr>
      </w:pPr>
      <w:r>
        <w:rPr>
          <w:rFonts w:ascii="Times New Roman" w:cs="Times New Roman" w:eastAsia="Times New Roman" w:hAnsi="Times New Roman"/>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either Corporation’s and the Adviser’s decision to buy or sell the applicable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about the Corporation, including any decision by the Corporation to buy or sell its own shares. Further, the window period may not open in a particular quarter, and it may be closed, as the case may be, prior to the expiration of 30 days or the applicable quarter end, in each case as events require.</w:t>
      </w:r>
    </w:p>
    <w:p>
      <w:pPr>
        <w:spacing w:after="0" w:line="132" w:lineRule="exact"/>
        <w:rPr>
          <w:sz w:val="20"/>
          <w:szCs w:val="20"/>
          <w:color w:val="auto"/>
        </w:rPr>
      </w:pPr>
    </w:p>
    <w:p>
      <w:pPr>
        <w:ind w:right="340" w:firstLine="165"/>
        <w:spacing w:after="0" w:line="286" w:lineRule="auto"/>
        <w:rPr>
          <w:sz w:val="20"/>
          <w:szCs w:val="20"/>
          <w:color w:val="auto"/>
        </w:rPr>
      </w:pPr>
      <w:r>
        <w:rPr>
          <w:rFonts w:ascii="Times New Roman" w:cs="Times New Roman" w:eastAsia="Times New Roman" w:hAnsi="Times New Roman"/>
          <w:sz w:val="13"/>
          <w:szCs w:val="13"/>
          <w:color w:val="auto"/>
        </w:rPr>
        <w:t>Additionally, Independent Directors are not required to seek preapproval for any transactions other than those which would trigger reporting requirements as set forth in Section VI (C) of this Code.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6" w:right="68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b w:val="1"/>
          <w:bCs w:val="1"/>
          <w:color w:val="auto"/>
        </w:rPr>
        <w:t>Section V Prohibited Transactions</w:t>
      </w:r>
    </w:p>
    <w:p>
      <w:pPr>
        <w:spacing w:after="0" w:line="261" w:lineRule="exact"/>
        <w:rPr>
          <w:sz w:val="20"/>
          <w:szCs w:val="20"/>
          <w:color w:val="auto"/>
        </w:rPr>
      </w:pPr>
    </w:p>
    <w:p>
      <w:pPr>
        <w:ind w:left="480" w:hanging="6"/>
        <w:spacing w:after="0" w:line="262" w:lineRule="auto"/>
        <w:tabs>
          <w:tab w:leader="none" w:pos="822"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w:t>
      </w:r>
    </w:p>
    <w:p>
      <w:pPr>
        <w:spacing w:after="0" w:line="1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Corporation or within the next 15 calendar days intend to consider purchasing or selling the Covered Security for the Corporation.</w:t>
      </w:r>
    </w:p>
    <w:p>
      <w:pPr>
        <w:spacing w:after="0" w:line="103" w:lineRule="exact"/>
        <w:rPr>
          <w:sz w:val="20"/>
          <w:szCs w:val="20"/>
          <w:color w:val="auto"/>
        </w:rPr>
      </w:pPr>
    </w:p>
    <w:p>
      <w:pPr>
        <w:ind w:left="480" w:right="280" w:hanging="6"/>
        <w:spacing w:after="0" w:line="268" w:lineRule="auto"/>
        <w:tabs>
          <w:tab w:leader="none" w:pos="77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3" w:lineRule="exact"/>
        <w:rPr>
          <w:rFonts w:ascii="Times New Roman" w:cs="Times New Roman" w:eastAsia="Times New Roman" w:hAnsi="Times New Roman"/>
          <w:sz w:val="13"/>
          <w:szCs w:val="13"/>
          <w:color w:val="auto"/>
        </w:rPr>
      </w:pPr>
    </w:p>
    <w:p>
      <w:pPr>
        <w:ind w:left="480" w:hanging="6"/>
        <w:spacing w:after="0" w:line="262" w:lineRule="auto"/>
        <w:tabs>
          <w:tab w:leader="none" w:pos="77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VI Reports by Access Persons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A)Personal Securities Holdings Reports.</w:t>
      </w:r>
    </w:p>
    <w:p>
      <w:pPr>
        <w:spacing w:after="0" w:line="163" w:lineRule="exact"/>
        <w:rPr>
          <w:sz w:val="20"/>
          <w:szCs w:val="20"/>
          <w:color w:val="auto"/>
        </w:rPr>
      </w:pPr>
    </w:p>
    <w:p>
      <w:pPr>
        <w:ind w:left="960" w:right="80" w:firstLine="165"/>
        <w:spacing w:after="0" w:line="257" w:lineRule="auto"/>
        <w:rPr>
          <w:sz w:val="20"/>
          <w:szCs w:val="20"/>
          <w:color w:val="auto"/>
        </w:rPr>
      </w:pPr>
      <w:r>
        <w:rPr>
          <w:rFonts w:ascii="Times New Roman" w:cs="Times New Roman" w:eastAsia="Times New Roman" w:hAnsi="Times New Roman"/>
          <w:sz w:val="13"/>
          <w:szCs w:val="13"/>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hereto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B)Quarterly Transaction Reports.</w:t>
      </w:r>
    </w:p>
    <w:p>
      <w:pPr>
        <w:spacing w:after="0" w:line="163" w:lineRule="exact"/>
        <w:rPr>
          <w:sz w:val="20"/>
          <w:szCs w:val="20"/>
          <w:color w:val="auto"/>
        </w:rPr>
      </w:pPr>
    </w:p>
    <w:p>
      <w:pPr>
        <w:ind w:left="960" w:right="40" w:firstLine="165"/>
        <w:spacing w:after="0" w:line="268" w:lineRule="auto"/>
        <w:rPr>
          <w:sz w:val="20"/>
          <w:szCs w:val="20"/>
          <w:color w:val="auto"/>
        </w:rPr>
      </w:pPr>
      <w:r>
        <w:rPr>
          <w:rFonts w:ascii="Times New Roman" w:cs="Times New Roman" w:eastAsia="Times New Roman" w:hAnsi="Times New Roman"/>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hereto as Schedule B.</w:t>
      </w:r>
    </w:p>
    <w:p>
      <w:pPr>
        <w:spacing w:after="0" w:line="123" w:lineRule="exact"/>
        <w:rPr>
          <w:sz w:val="20"/>
          <w:szCs w:val="20"/>
          <w:color w:val="auto"/>
        </w:rPr>
      </w:pPr>
    </w:p>
    <w:p>
      <w:pPr>
        <w:ind w:left="960" w:right="500"/>
        <w:spacing w:after="0" w:line="286" w:lineRule="auto"/>
        <w:rPr>
          <w:sz w:val="20"/>
          <w:szCs w:val="20"/>
          <w:color w:val="auto"/>
        </w:rPr>
      </w:pPr>
      <w:r>
        <w:rPr>
          <w:rFonts w:ascii="Times New Roman" w:cs="Times New Roman" w:eastAsia="Times New Roman" w:hAnsi="Times New Roman"/>
          <w:sz w:val="13"/>
          <w:szCs w:val="13"/>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(1)Date and nature of the transaction (purchase, sale or any other type of acquisition or disposition);</w:t>
      </w:r>
    </w:p>
    <w:p>
      <w:pPr>
        <w:spacing w:after="0" w:line="103" w:lineRule="exact"/>
        <w:rPr>
          <w:sz w:val="20"/>
          <w:szCs w:val="20"/>
          <w:color w:val="auto"/>
        </w:rPr>
      </w:pPr>
    </w:p>
    <w:p>
      <w:pPr>
        <w:ind w:left="960" w:right="60"/>
        <w:spacing w:after="0" w:line="286" w:lineRule="auto"/>
        <w:rPr>
          <w:sz w:val="20"/>
          <w:szCs w:val="20"/>
          <w:color w:val="auto"/>
        </w:rPr>
      </w:pPr>
      <w:r>
        <w:rPr>
          <w:rFonts w:ascii="Times New Roman" w:cs="Times New Roman" w:eastAsia="Times New Roman" w:hAnsi="Times New Roman"/>
          <w:sz w:val="13"/>
          <w:szCs w:val="13"/>
          <w:color w:val="auto"/>
        </w:rPr>
        <w:t>(2)Title, interest rate and maturity date (if applicable), number of shares and principal amount of each Covered Security involved and the price of the Covered Security at which the transaction was effected;</w:t>
      </w:r>
    </w:p>
    <w:p>
      <w:pPr>
        <w:spacing w:after="0" w:line="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(3)Name of the broker, dealer or bank with or through whom the transaction was effected; and</w:t>
      </w:r>
    </w:p>
    <w:p>
      <w:pPr>
        <w:spacing w:after="0" w:line="1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(4)The date the report is submitted by the Access Person.</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 Independent Directors.</w:t>
      </w:r>
    </w:p>
    <w:p>
      <w:pPr>
        <w:spacing w:after="0" w:line="163" w:lineRule="exact"/>
        <w:rPr>
          <w:sz w:val="20"/>
          <w:szCs w:val="20"/>
          <w:color w:val="auto"/>
        </w:rPr>
      </w:pPr>
    </w:p>
    <w:p>
      <w:pPr>
        <w:jc w:val="both"/>
        <w:ind w:left="960" w:firstLine="165"/>
        <w:spacing w:after="0" w:line="258" w:lineRule="auto"/>
        <w:rPr>
          <w:sz w:val="20"/>
          <w:szCs w:val="20"/>
          <w:color w:val="auto"/>
        </w:rPr>
      </w:pPr>
      <w:r>
        <w:rPr>
          <w:rFonts w:ascii="Times New Roman" w:cs="Times New Roman" w:eastAsia="Times New Roman" w:hAnsi="Times New Roman"/>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295910</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36" w:right="740" w:bottom="1440" w:gutter="0" w:footer="0" w:header="0"/>
        </w:sectPr>
      </w:pPr>
    </w:p>
    <w:bookmarkStart w:id="109" w:name="page110"/>
    <w:bookmarkEnd w:id="109"/>
    <w:p>
      <w:pPr>
        <w:ind w:left="480" w:right="20"/>
        <w:spacing w:after="0" w:line="268" w:lineRule="auto"/>
        <w:rPr>
          <w:sz w:val="20"/>
          <w:szCs w:val="20"/>
          <w:color w:val="auto"/>
        </w:rPr>
      </w:pPr>
      <w:r>
        <w:rPr>
          <w:rFonts w:ascii="Times New Roman" w:cs="Times New Roman" w:eastAsia="Times New Roman" w:hAnsi="Times New Roman"/>
          <w:sz w:val="13"/>
          <w:szCs w:val="13"/>
          <w:color w:val="auto"/>
        </w:rPr>
        <w:t>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Access Persons of the Adviser.</w:t>
      </w:r>
    </w:p>
    <w:p>
      <w:pPr>
        <w:spacing w:after="0" w:line="163" w:lineRule="exact"/>
        <w:rPr>
          <w:sz w:val="20"/>
          <w:szCs w:val="20"/>
          <w:color w:val="auto"/>
        </w:rPr>
      </w:pPr>
    </w:p>
    <w:p>
      <w:pPr>
        <w:ind w:left="480" w:right="460" w:firstLine="165"/>
        <w:spacing w:after="0" w:line="286" w:lineRule="auto"/>
        <w:rPr>
          <w:sz w:val="20"/>
          <w:szCs w:val="20"/>
          <w:color w:val="auto"/>
        </w:rPr>
      </w:pPr>
      <w:r>
        <w:rPr>
          <w:rFonts w:ascii="Times New Roman" w:cs="Times New Roman" w:eastAsia="Times New Roman" w:hAnsi="Times New Roman"/>
          <w:sz w:val="13"/>
          <w:szCs w:val="13"/>
          <w:color w:val="auto"/>
        </w:rPr>
        <w:t>An Access Person of the Adviser need not make a Quarterly Transaction Report if all of the information in the report would duplicate information required to be recorded pursuant to Rules 204-2(a)(12) or (13) under the Advisers 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 Brokerage Accounts and Statements.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Access Persons, except Independent Directors, shall:</w:t>
      </w:r>
    </w:p>
    <w:p>
      <w:pPr>
        <w:spacing w:after="0" w:line="103" w:lineRule="exact"/>
        <w:rPr>
          <w:sz w:val="20"/>
          <w:szCs w:val="20"/>
          <w:color w:val="auto"/>
        </w:rPr>
      </w:pPr>
    </w:p>
    <w:p>
      <w:pPr>
        <w:ind w:left="480" w:right="40"/>
        <w:spacing w:after="0" w:line="268" w:lineRule="auto"/>
        <w:rPr>
          <w:sz w:val="20"/>
          <w:szCs w:val="20"/>
          <w:color w:val="auto"/>
        </w:rPr>
      </w:pPr>
      <w:r>
        <w:rPr>
          <w:rFonts w:ascii="Times New Roman" w:cs="Times New Roman" w:eastAsia="Times New Roman" w:hAnsi="Times New Roman"/>
          <w:sz w:val="13"/>
          <w:szCs w:val="13"/>
          <w:color w:val="auto"/>
        </w:rPr>
        <w:t>(1)within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(2)instruct the brokers, dealers or banks with whom they maintain such an account to provide duplicate account statements to the Chief Compliance Officer.</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(3)on an annual basis, certify that they have complied with the requirements of (1) and (2)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 Form of Reports.</w:t>
      </w:r>
    </w:p>
    <w:p>
      <w:pPr>
        <w:spacing w:after="0" w:line="163" w:lineRule="exact"/>
        <w:rPr>
          <w:sz w:val="20"/>
          <w:szCs w:val="20"/>
          <w:color w:val="auto"/>
        </w:rPr>
      </w:pPr>
    </w:p>
    <w:p>
      <w:pPr>
        <w:ind w:left="480" w:right="100" w:firstLine="165"/>
        <w:spacing w:after="0" w:line="286" w:lineRule="auto"/>
        <w:rPr>
          <w:sz w:val="20"/>
          <w:szCs w:val="20"/>
          <w:color w:val="auto"/>
        </w:rPr>
      </w:pPr>
      <w:r>
        <w:rPr>
          <w:rFonts w:ascii="Times New Roman" w:cs="Times New Roman" w:eastAsia="Times New Roman" w:hAnsi="Times New Roman"/>
          <w:sz w:val="13"/>
          <w:szCs w:val="13"/>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 Responsibility to Report.</w:t>
      </w:r>
    </w:p>
    <w:p>
      <w:pPr>
        <w:spacing w:after="0" w:line="163" w:lineRule="exact"/>
        <w:rPr>
          <w:sz w:val="20"/>
          <w:szCs w:val="20"/>
          <w:color w:val="auto"/>
        </w:rPr>
      </w:pPr>
    </w:p>
    <w:p>
      <w:pPr>
        <w:jc w:val="both"/>
        <w:ind w:firstLine="165"/>
        <w:spacing w:after="0" w:line="268" w:lineRule="auto"/>
        <w:rPr>
          <w:sz w:val="20"/>
          <w:szCs w:val="20"/>
          <w:color w:val="auto"/>
        </w:rPr>
      </w:pPr>
      <w:r>
        <w:rPr>
          <w:rFonts w:ascii="Times New Roman" w:cs="Times New Roman" w:eastAsia="Times New Roman" w:hAnsi="Times New Roman"/>
          <w:sz w:val="13"/>
          <w:szCs w:val="13"/>
          <w:color w:val="auto"/>
        </w:rPr>
        <w:t>It is the responsibility of each Access Person to take the initiative to comply with the requirements of this Section VI.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H)Where to File Reports.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Quarterly Securities Transaction Reports and Personal Securities Holdings Reports must be filed with the Chief Compliance Officer.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F)Disclaimers.</w:t>
      </w:r>
    </w:p>
    <w:p>
      <w:pPr>
        <w:spacing w:after="0" w:line="21"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3"/>
          <w:szCs w:val="13"/>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3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306705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1140" w:top="738" w:right="70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b w:val="1"/>
          <w:bCs w:val="1"/>
          <w:color w:val="auto"/>
        </w:rPr>
        <w:t>Section VII Additional Prohibitions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a)Confidentiality of the Corporation’s Transactions.</w:t>
      </w:r>
    </w:p>
    <w:p>
      <w:pPr>
        <w:spacing w:after="0" w:line="21" w:lineRule="exact"/>
        <w:rPr>
          <w:sz w:val="20"/>
          <w:szCs w:val="20"/>
          <w:color w:val="auto"/>
        </w:rPr>
      </w:pPr>
    </w:p>
    <w:p>
      <w:pPr>
        <w:ind w:left="480" w:right="60"/>
        <w:spacing w:after="0" w:line="257" w:lineRule="auto"/>
        <w:rPr>
          <w:sz w:val="20"/>
          <w:szCs w:val="20"/>
          <w:color w:val="auto"/>
        </w:rPr>
      </w:pPr>
      <w:r>
        <w:rPr>
          <w:rFonts w:ascii="Times New Roman" w:cs="Times New Roman" w:eastAsia="Times New Roman" w:hAnsi="Times New Roman"/>
          <w:sz w:val="13"/>
          <w:szCs w:val="13"/>
          <w:color w:val="auto"/>
        </w:rPr>
        <w:t>Until disclosed in a public report to shareholders or to the Securities and Exchange Commission (the “SEC”)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b)Outside Business Activities and Directorships.</w:t>
      </w:r>
    </w:p>
    <w:p>
      <w:pPr>
        <w:spacing w:after="0" w:line="21" w:lineRule="exact"/>
        <w:rPr>
          <w:sz w:val="20"/>
          <w:szCs w:val="20"/>
          <w:color w:val="auto"/>
        </w:rPr>
      </w:pPr>
    </w:p>
    <w:p>
      <w:pPr>
        <w:ind w:left="480" w:right="280"/>
        <w:spacing w:after="0" w:line="257" w:lineRule="auto"/>
        <w:rPr>
          <w:sz w:val="20"/>
          <w:szCs w:val="20"/>
          <w:color w:val="auto"/>
        </w:rPr>
      </w:pPr>
      <w:r>
        <w:rPr>
          <w:rFonts w:ascii="Times New Roman" w:cs="Times New Roman" w:eastAsia="Times New Roman" w:hAnsi="Times New Roman"/>
          <w:sz w:val="13"/>
          <w:szCs w:val="13"/>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c)Gratuities.</w:t>
      </w:r>
    </w:p>
    <w:p>
      <w:pPr>
        <w:spacing w:after="0" w:line="21" w:lineRule="exact"/>
        <w:rPr>
          <w:sz w:val="20"/>
          <w:szCs w:val="20"/>
          <w:color w:val="auto"/>
        </w:rPr>
      </w:pPr>
    </w:p>
    <w:p>
      <w:pPr>
        <w:ind w:left="480" w:right="40"/>
        <w:spacing w:after="0" w:line="263" w:lineRule="auto"/>
        <w:rPr>
          <w:sz w:val="20"/>
          <w:szCs w:val="20"/>
          <w:color w:val="auto"/>
        </w:rPr>
      </w:pPr>
      <w:r>
        <w:rPr>
          <w:rFonts w:ascii="Times New Roman" w:cs="Times New Roman" w:eastAsia="Times New Roman" w:hAnsi="Times New Roman"/>
          <w:sz w:val="13"/>
          <w:szCs w:val="13"/>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VIII Prohibition Against Insider Trading</w:t>
      </w:r>
    </w:p>
    <w:p>
      <w:pPr>
        <w:spacing w:after="0" w:line="16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w:t>
      </w:r>
    </w:p>
    <w:p>
      <w:pPr>
        <w:spacing w:after="0" w:line="12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3"/>
          <w:szCs w:val="13"/>
          <w:color w:val="auto"/>
        </w:rPr>
        <w:t>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63" w:lineRule="exact"/>
        <w:rPr>
          <w:sz w:val="20"/>
          <w:szCs w:val="20"/>
          <w:color w:val="auto"/>
        </w:rPr>
      </w:pPr>
    </w:p>
    <w:p>
      <w:pPr>
        <w:ind w:left="480" w:right="260" w:hanging="6"/>
        <w:spacing w:after="0" w:line="286" w:lineRule="auto"/>
        <w:tabs>
          <w:tab w:leader="none" w:pos="786"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1" w:lineRule="exact"/>
        <w:rPr>
          <w:rFonts w:ascii="Times New Roman" w:cs="Times New Roman" w:eastAsia="Times New Roman" w:hAnsi="Times New Roman"/>
          <w:sz w:val="13"/>
          <w:szCs w:val="13"/>
          <w:color w:val="auto"/>
        </w:rPr>
      </w:pPr>
    </w:p>
    <w:p>
      <w:pPr>
        <w:ind w:left="480" w:right="80" w:hanging="6"/>
        <w:spacing w:after="0" w:line="255" w:lineRule="auto"/>
        <w:tabs>
          <w:tab w:leader="none" w:pos="7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w:t>
      </w:r>
    </w:p>
    <w:p>
      <w:pPr>
        <w:ind w:left="480"/>
        <w:spacing w:after="0" w:line="26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company’s securities. Information about a significant order to purchase or sell Securities may, in some contexts, be material. Prepublication</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information regarding reports in the financial press may also be material.</w:t>
      </w:r>
    </w:p>
    <w:p>
      <w:pPr>
        <w:spacing w:after="0" w:line="67" w:lineRule="exact"/>
        <w:rPr>
          <w:rFonts w:ascii="Times New Roman" w:cs="Times New Roman" w:eastAsia="Times New Roman" w:hAnsi="Times New Roman"/>
          <w:sz w:val="13"/>
          <w:szCs w:val="13"/>
          <w:color w:val="auto"/>
        </w:rPr>
      </w:pPr>
    </w:p>
    <w:p>
      <w:pPr>
        <w:ind w:left="480" w:right="100" w:hanging="6"/>
        <w:spacing w:after="0" w:line="268" w:lineRule="auto"/>
        <w:tabs>
          <w:tab w:leader="none" w:pos="75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63" w:lineRule="exact"/>
        <w:rPr>
          <w:rFonts w:ascii="Times New Roman" w:cs="Times New Roman" w:eastAsia="Times New Roman" w:hAnsi="Times New Roman"/>
          <w:sz w:val="13"/>
          <w:szCs w:val="13"/>
          <w:color w:val="auto"/>
        </w:rPr>
      </w:pPr>
    </w:p>
    <w:p>
      <w:pPr>
        <w:jc w:val="both"/>
        <w:ind w:left="480" w:right="40" w:hanging="6"/>
        <w:spacing w:after="0" w:line="268" w:lineRule="auto"/>
        <w:tabs>
          <w:tab w:leader="none" w:pos="753"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Advisory Person, before executing any trade for himself or herself, or others, including the Corporation or other accounts managed by the Adviser or by a stockholder of the Adviser, or any affiliate of the stockholder (collectively, “Client Accounts”), must determine whether he or she has material, non-public information. Any Advisory Person who believes he or she is in possession of material, non-public information must take the following steps:</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(1)Report the information and proposed trade immediately to the Chief Compliance Officer.</w:t>
      </w:r>
    </w:p>
    <w:p>
      <w:pPr>
        <w:spacing w:after="0" w:line="1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(2)Do not purchase or sell the securities on behalf of anyone, including Client Accounts.</w:t>
      </w:r>
    </w:p>
    <w:p>
      <w:pPr>
        <w:spacing w:after="0" w:line="1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(3)Do not communicate the information to any person, other than to the Chief Compliance Officer.</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6" w:right="66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color w:val="auto"/>
        </w:rPr>
        <w:t>After the Chief Compliance Officer has reviewed the issue, the Chief Compliance Officer will determine whether the information is material and non-public and, if so, what action the Advisory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Person should take. An Advisory Person must consult with the Chief Compliance Officer before taking any further action. This degree of caution will protect the Advisory Person and the Adviser.</w:t>
      </w:r>
    </w:p>
    <w:p>
      <w:pPr>
        <w:spacing w:after="0" w:line="103" w:lineRule="exact"/>
        <w:rPr>
          <w:sz w:val="20"/>
          <w:szCs w:val="20"/>
          <w:color w:val="auto"/>
        </w:rPr>
      </w:pPr>
    </w:p>
    <w:p>
      <w:pPr>
        <w:ind w:left="740" w:hanging="266"/>
        <w:spacing w:after="0"/>
        <w:tabs>
          <w:tab w:leader="none" w:pos="7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prevent and detect insider trading from occurring, the Chief Compliance Officer shall prepare and maintain a “Restricted List” in order to monitor and prevent the occurrence of</w:t>
      </w:r>
    </w:p>
    <w:p>
      <w:pPr>
        <w:spacing w:after="0" w:line="20" w:lineRule="exact"/>
        <w:rPr>
          <w:rFonts w:ascii="Times New Roman" w:cs="Times New Roman" w:eastAsia="Times New Roman" w:hAnsi="Times New Roman"/>
          <w:sz w:val="13"/>
          <w:szCs w:val="13"/>
          <w:color w:val="auto"/>
        </w:rPr>
      </w:pPr>
    </w:p>
    <w:p>
      <w:pPr>
        <w:ind w:left="480" w:right="40"/>
        <w:spacing w:after="0" w:line="25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72" w:lineRule="exact"/>
        <w:rPr>
          <w:rFonts w:ascii="Times New Roman" w:cs="Times New Roman" w:eastAsia="Times New Roman" w:hAnsi="Times New Roman"/>
          <w:sz w:val="13"/>
          <w:szCs w:val="13"/>
          <w:color w:val="auto"/>
        </w:rPr>
      </w:pPr>
    </w:p>
    <w:p>
      <w:pPr>
        <w:ind w:left="480" w:right="80" w:hanging="6"/>
        <w:spacing w:after="0" w:line="257" w:lineRule="auto"/>
        <w:tabs>
          <w:tab w:leader="none" w:pos="729"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IX Annual Certification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a)Access Persons.</w:t>
      </w:r>
    </w:p>
    <w:p>
      <w:pPr>
        <w:spacing w:after="0" w:line="2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b)Board Review.</w:t>
      </w:r>
    </w:p>
    <w:p>
      <w:pPr>
        <w:spacing w:after="0" w:line="2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3"/>
          <w:szCs w:val="13"/>
          <w:color w:val="auto"/>
        </w:rPr>
        <w:t>No less frequently than annually, the Corporation and the Adviser must furnish to the Corporation’s board of directors, and the board must consider, a written report that: (1) describes any issues arising under this Code or procedures since the last report to the board, including, but not limited to, information about material violations of this Code or procedures and sanctions imposed in response to material violations; and (2) certifies that the Corporation or the Adviser, as applicable, has adopted procedures reasonably necessary to prevent Access Persons from violating this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Section X Sanctions</w:t>
      </w:r>
    </w:p>
    <w:p>
      <w:pPr>
        <w:spacing w:after="0" w:line="23" w:lineRule="exact"/>
        <w:rPr>
          <w:sz w:val="20"/>
          <w:szCs w:val="20"/>
          <w:color w:val="auto"/>
        </w:rPr>
      </w:pPr>
    </w:p>
    <w:p>
      <w:pPr>
        <w:ind w:firstLine="198"/>
        <w:spacing w:after="0" w:line="253" w:lineRule="auto"/>
        <w:rPr>
          <w:sz w:val="20"/>
          <w:szCs w:val="20"/>
          <w:color w:val="auto"/>
        </w:rPr>
      </w:pPr>
      <w:r>
        <w:rPr>
          <w:rFonts w:ascii="Times New Roman" w:cs="Times New Roman" w:eastAsia="Times New Roman" w:hAnsi="Times New Roman"/>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8" w:right="70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b w:val="1"/>
          <w:bCs w:val="1"/>
          <w:color w:val="auto"/>
        </w:rPr>
        <w:t>Section XI Administration and Construction</w:t>
      </w:r>
    </w:p>
    <w:p>
      <w:pPr>
        <w:spacing w:after="0" w:line="165" w:lineRule="exact"/>
        <w:rPr>
          <w:sz w:val="20"/>
          <w:szCs w:val="20"/>
          <w:color w:val="auto"/>
        </w:rPr>
      </w:pPr>
    </w:p>
    <w:p>
      <w:pPr>
        <w:ind w:left="220" w:hanging="214"/>
        <w:spacing w:after="0"/>
        <w:tabs>
          <w:tab w:leader="none" w:pos="2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administration of this Code shall be the responsibility of the Chief Compliance Officer.</w:t>
      </w:r>
    </w:p>
    <w:p>
      <w:pPr>
        <w:spacing w:after="0" w:line="162" w:lineRule="exact"/>
        <w:rPr>
          <w:rFonts w:ascii="Times New Roman" w:cs="Times New Roman" w:eastAsia="Times New Roman" w:hAnsi="Times New Roman"/>
          <w:sz w:val="13"/>
          <w:szCs w:val="13"/>
          <w:color w:val="auto"/>
        </w:rPr>
      </w:pPr>
    </w:p>
    <w:p>
      <w:pPr>
        <w:ind w:left="220" w:hanging="214"/>
        <w:spacing w:after="0"/>
        <w:tabs>
          <w:tab w:leader="none" w:pos="2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duties of the Chief Compliance Officer are as follows:</w:t>
      </w:r>
    </w:p>
    <w:p>
      <w:pPr>
        <w:spacing w:after="0" w:line="103" w:lineRule="exact"/>
        <w:rPr>
          <w:sz w:val="20"/>
          <w:szCs w:val="20"/>
          <w:color w:val="auto"/>
        </w:rPr>
      </w:pPr>
    </w:p>
    <w:p>
      <w:pPr>
        <w:ind w:left="480" w:right="80"/>
        <w:spacing w:after="0" w:line="286" w:lineRule="auto"/>
        <w:rPr>
          <w:sz w:val="20"/>
          <w:szCs w:val="20"/>
          <w:color w:val="auto"/>
        </w:rPr>
      </w:pPr>
      <w:r>
        <w:rPr>
          <w:rFonts w:ascii="Times New Roman" w:cs="Times New Roman" w:eastAsia="Times New Roman" w:hAnsi="Times New Roman"/>
          <w:sz w:val="13"/>
          <w:szCs w:val="13"/>
          <w:color w:val="auto"/>
        </w:rPr>
        <w:t>(1)Continuous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52"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3"/>
          <w:szCs w:val="13"/>
          <w:color w:val="auto"/>
        </w:rPr>
        <w:t>(2)On an annual basis, providing all Covered Personnel a copy of this Code and informing such persons of their duties and obligations hereunder including any supplemental training that may be required from time to time;</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(3)Maintaining or supervising the maintenance of all records and reports required by this Code;</w:t>
      </w:r>
    </w:p>
    <w:p>
      <w:pPr>
        <w:spacing w:after="0" w:line="103"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3"/>
          <w:szCs w:val="13"/>
          <w:color w:val="auto"/>
        </w:rPr>
        <w:t>(4)Preparing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52"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3"/>
          <w:szCs w:val="13"/>
          <w:color w:val="auto"/>
        </w:rPr>
        <w:t>(5)Issuance either personally or with the assistance of counsel as may be appropriate, of any interpretation of this Code that may appear consistent with the objectives of Rule 17j-1 and this Code;</w:t>
      </w:r>
    </w:p>
    <w:p>
      <w:pPr>
        <w:spacing w:after="0" w:line="52" w:lineRule="exact"/>
        <w:rPr>
          <w:sz w:val="20"/>
          <w:szCs w:val="20"/>
          <w:color w:val="auto"/>
        </w:rPr>
      </w:pPr>
    </w:p>
    <w:p>
      <w:pPr>
        <w:ind w:left="480" w:right="40"/>
        <w:spacing w:after="0" w:line="286" w:lineRule="auto"/>
        <w:rPr>
          <w:sz w:val="20"/>
          <w:szCs w:val="20"/>
          <w:color w:val="auto"/>
        </w:rPr>
      </w:pPr>
      <w:r>
        <w:rPr>
          <w:rFonts w:ascii="Times New Roman" w:cs="Times New Roman" w:eastAsia="Times New Roman" w:hAnsi="Times New Roman"/>
          <w:sz w:val="13"/>
          <w:szCs w:val="13"/>
          <w:color w:val="auto"/>
        </w:rPr>
        <w:t>(6)Conduct such inspections or investigations as shall reasonably be required to detect and report, with recommendations, any apparent violations of this Code to the board of directors of the Corporation;</w:t>
      </w:r>
    </w:p>
    <w:p>
      <w:pPr>
        <w:spacing w:after="0" w:line="52" w:lineRule="exact"/>
        <w:rPr>
          <w:sz w:val="20"/>
          <w:szCs w:val="20"/>
          <w:color w:val="auto"/>
        </w:rPr>
      </w:pPr>
    </w:p>
    <w:p>
      <w:pPr>
        <w:ind w:left="480" w:right="200"/>
        <w:spacing w:after="0" w:line="261" w:lineRule="auto"/>
        <w:rPr>
          <w:sz w:val="20"/>
          <w:szCs w:val="20"/>
          <w:color w:val="auto"/>
        </w:rPr>
      </w:pPr>
      <w:r>
        <w:rPr>
          <w:rFonts w:ascii="Times New Roman" w:cs="Times New Roman" w:eastAsia="Times New Roman" w:hAnsi="Times New Roman"/>
          <w:sz w:val="13"/>
          <w:szCs w:val="13"/>
          <w:color w:val="auto"/>
        </w:rPr>
        <w:t>(7)Submission of a report to the board of directors of the Corporation, no less frequently than annually, a written report that describes any issues arising under the Code since the last such report, including but not limited to the information described in Section VI (B);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 The Chief Financial Officer shall maintain and cause to be maintained in an easily accessible place at the principal place of business of the 17j-1 Organization, the following records:</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(1)A copy of all codes of ethics adopted by the Corporation or the Adviser and its affiliates, as the case may be, pursuant to Rule 17j-1 that have been in effect at any time during the past five</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(5) years;</w:t>
      </w:r>
    </w:p>
    <w:p>
      <w:pPr>
        <w:spacing w:after="0" w:line="89" w:lineRule="exact"/>
        <w:rPr>
          <w:sz w:val="20"/>
          <w:szCs w:val="20"/>
          <w:color w:val="auto"/>
        </w:rPr>
      </w:pPr>
    </w:p>
    <w:p>
      <w:pPr>
        <w:ind w:left="480" w:right="400"/>
        <w:spacing w:after="0" w:line="286" w:lineRule="auto"/>
        <w:rPr>
          <w:sz w:val="20"/>
          <w:szCs w:val="20"/>
          <w:color w:val="auto"/>
        </w:rPr>
      </w:pPr>
      <w:r>
        <w:rPr>
          <w:rFonts w:ascii="Times New Roman" w:cs="Times New Roman" w:eastAsia="Times New Roman" w:hAnsi="Times New Roman"/>
          <w:sz w:val="13"/>
          <w:szCs w:val="13"/>
          <w:color w:val="auto"/>
        </w:rPr>
        <w:t>(2)A record of each violation of such codes of ethics and of any action taken as a result of such violation for at least five (5) years after the end of the fiscal year in which the violation occurs;</w:t>
      </w:r>
    </w:p>
    <w:p>
      <w:pPr>
        <w:spacing w:after="0" w:line="52" w:lineRule="exact"/>
        <w:rPr>
          <w:sz w:val="20"/>
          <w:szCs w:val="20"/>
          <w:color w:val="auto"/>
        </w:rPr>
      </w:pPr>
    </w:p>
    <w:p>
      <w:pPr>
        <w:ind w:left="480" w:right="180"/>
        <w:spacing w:after="0" w:line="286" w:lineRule="auto"/>
        <w:rPr>
          <w:sz w:val="20"/>
          <w:szCs w:val="20"/>
          <w:color w:val="auto"/>
        </w:rPr>
      </w:pPr>
      <w:r>
        <w:rPr>
          <w:rFonts w:ascii="Times New Roman" w:cs="Times New Roman" w:eastAsia="Times New Roman" w:hAnsi="Times New Roman"/>
          <w:sz w:val="13"/>
          <w:szCs w:val="13"/>
          <w:color w:val="auto"/>
        </w:rPr>
        <w:t>(3)A copy of each report made by an Access Person for at least two (2) years after the end of the fiscal year in which the report is made, and for an additional three (3) years in a place that need not be easily accessible;</w:t>
      </w:r>
    </w:p>
    <w:p>
      <w:pPr>
        <w:spacing w:after="0" w:line="52"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3"/>
          <w:szCs w:val="13"/>
          <w:color w:val="auto"/>
        </w:rPr>
        <w:t>(4)A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52" w:lineRule="exact"/>
        <w:rPr>
          <w:sz w:val="20"/>
          <w:szCs w:val="20"/>
          <w:color w:val="auto"/>
        </w:rPr>
      </w:pPr>
    </w:p>
    <w:p>
      <w:pPr>
        <w:ind w:left="480" w:right="60"/>
        <w:spacing w:after="0" w:line="286" w:lineRule="auto"/>
        <w:rPr>
          <w:sz w:val="20"/>
          <w:szCs w:val="20"/>
          <w:color w:val="auto"/>
        </w:rPr>
      </w:pPr>
      <w:r>
        <w:rPr>
          <w:rFonts w:ascii="Times New Roman" w:cs="Times New Roman" w:eastAsia="Times New Roman" w:hAnsi="Times New Roman"/>
          <w:sz w:val="13"/>
          <w:szCs w:val="13"/>
          <w:color w:val="auto"/>
        </w:rPr>
        <w:t>(5)A list of all persons who are, or within the past five (5) years have been, required to make reports pursuant to Rule 17j-1 and this Code, or who are or were responsible for reviewing such reports;</w:t>
      </w:r>
    </w:p>
    <w:p>
      <w:pPr>
        <w:spacing w:after="0" w:line="52" w:lineRule="exact"/>
        <w:rPr>
          <w:sz w:val="20"/>
          <w:szCs w:val="20"/>
          <w:color w:val="auto"/>
        </w:rPr>
      </w:pPr>
    </w:p>
    <w:p>
      <w:pPr>
        <w:ind w:left="480" w:right="120"/>
        <w:spacing w:after="0" w:line="286" w:lineRule="auto"/>
        <w:rPr>
          <w:sz w:val="20"/>
          <w:szCs w:val="20"/>
          <w:color w:val="auto"/>
        </w:rPr>
      </w:pPr>
      <w:r>
        <w:rPr>
          <w:rFonts w:ascii="Times New Roman" w:cs="Times New Roman" w:eastAsia="Times New Roman" w:hAnsi="Times New Roman"/>
          <w:sz w:val="13"/>
          <w:szCs w:val="13"/>
          <w:color w:val="auto"/>
        </w:rPr>
        <w:t>(6)A copy of each report required by Section VII (B) of this Code for at least two (2) years after the end of the fiscal year in which it is made, and for an additional three (3) years in a place that need not be easily accessible; and</w:t>
      </w:r>
    </w:p>
    <w:p>
      <w:pPr>
        <w:spacing w:after="0" w:line="52" w:lineRule="exact"/>
        <w:rPr>
          <w:sz w:val="20"/>
          <w:szCs w:val="20"/>
          <w:color w:val="auto"/>
        </w:rPr>
      </w:pPr>
    </w:p>
    <w:p>
      <w:pPr>
        <w:ind w:left="480" w:right="200"/>
        <w:spacing w:after="0" w:line="286" w:lineRule="auto"/>
        <w:rPr>
          <w:sz w:val="20"/>
          <w:szCs w:val="20"/>
          <w:color w:val="auto"/>
        </w:rPr>
      </w:pPr>
      <w:r>
        <w:rPr>
          <w:rFonts w:ascii="Times New Roman" w:cs="Times New Roman" w:eastAsia="Times New Roman" w:hAnsi="Times New Roman"/>
          <w:sz w:val="13"/>
          <w:szCs w:val="13"/>
          <w:color w:val="auto"/>
        </w:rPr>
        <w:t>(7)A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This Code may not be amended or modified except in a written form that is specifically approved by majority vote of the Independent Directors.</w:t>
      </w:r>
    </w:p>
    <w:p>
      <w:pPr>
        <w:spacing w:after="0" w:line="16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3"/>
          <w:szCs w:val="13"/>
          <w:color w:val="auto"/>
        </w:rPr>
        <w:t>This Joint Code of Ethics, originally adopted December 12, 2007 and amended as of December 7, 2023, is annually reviewed and approved by the Board of Directors of the Corporation, including a majority of the Independent Directors.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736" w:right="720"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CODE OF BUSINESS CONDUCT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 Covered Persons/Purpose of the Code</w:t>
      </w:r>
    </w:p>
    <w:p>
      <w:pPr>
        <w:spacing w:after="0" w:line="165" w:lineRule="exact"/>
        <w:rPr>
          <w:sz w:val="20"/>
          <w:szCs w:val="20"/>
          <w:color w:val="auto"/>
        </w:rPr>
      </w:pPr>
    </w:p>
    <w:p>
      <w:pPr>
        <w:ind w:right="180" w:firstLine="165"/>
        <w:spacing w:after="0" w:line="268" w:lineRule="auto"/>
        <w:rPr>
          <w:sz w:val="20"/>
          <w:szCs w:val="20"/>
          <w:color w:val="auto"/>
        </w:rPr>
      </w:pPr>
      <w:r>
        <w:rPr>
          <w:rFonts w:ascii="Times New Roman" w:cs="Times New Roman" w:eastAsia="Times New Roman" w:hAnsi="Times New Roman"/>
          <w:sz w:val="13"/>
          <w:szCs w:val="13"/>
          <w:color w:val="auto"/>
        </w:rPr>
        <w:t>This code of business conduct (this “Code”) for PennantPark Investment Corporation (the “Corporation”) applies to the Corporation’s principal executive officer, principal financial officer, principal accounting officer or controller, or persons performing similar functions (collectively, the “Covered Officers”), as well as directors, officers, and employees (collectively with the Covered Officers, the “Covered Persons”) for the purpose of promoting:</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•honest and ethical conduct, including the ethical handling of actual or apparent conflicts of interest between personal and professional relationships;</w:t>
      </w:r>
    </w:p>
    <w:p>
      <w:pPr>
        <w:spacing w:after="0" w:line="103"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3"/>
          <w:szCs w:val="13"/>
          <w:color w:val="auto"/>
        </w:rPr>
        <w:t>•full, fair, accurate, timely and understandable disclosure in reports and documents that a registrant files with, or submits to, the Securities and Exchange Commission (“SEC”) or the New York Stock Exchange (“NYSE”) and in other public communications made by the Corporation;</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•compliance with applicable laws and governmental rules and regulations;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prompt internal reporting of violations of the Code to an appropriate person or persons identified in the Code; and</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•accountability for adherence to the Code.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Covered Person should adhere to a high standard of business ethics and should be sensitive to situations that may give rise to actual as well as apparent conflicts of interest.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II. Covered Persons Should Handle Ethically Actual and Apparent Conflicts of Interest</w:t>
      </w:r>
    </w:p>
    <w:p>
      <w:pPr>
        <w:spacing w:after="0" w:line="165" w:lineRule="exact"/>
        <w:rPr>
          <w:sz w:val="20"/>
          <w:szCs w:val="20"/>
          <w:color w:val="auto"/>
        </w:rPr>
      </w:pPr>
    </w:p>
    <w:p>
      <w:pPr>
        <w:ind w:right="260" w:firstLine="198"/>
        <w:spacing w:after="0" w:line="286" w:lineRule="auto"/>
        <w:rPr>
          <w:sz w:val="20"/>
          <w:szCs w:val="20"/>
          <w:color w:val="auto"/>
        </w:rPr>
      </w:pPr>
      <w:r>
        <w:rPr>
          <w:rFonts w:ascii="Times New Roman" w:cs="Times New Roman" w:eastAsia="Times New Roman" w:hAnsi="Times New Roman"/>
          <w:sz w:val="13"/>
          <w:szCs w:val="13"/>
          <w:color w:val="auto"/>
        </w:rPr>
        <w:t>A “conflict of interest” occurs when a Covered Person’s private interest interferes with the interests of, or his/her service to, the Corporation. For example, a conflict of interest would arise if a Covered Person, or a member of his/her family, receives improper personal benefits as a result of his/her position in the Corporation.</w:t>
      </w:r>
    </w:p>
    <w:p>
      <w:pPr>
        <w:spacing w:after="0" w:line="112" w:lineRule="exact"/>
        <w:rPr>
          <w:sz w:val="20"/>
          <w:szCs w:val="20"/>
          <w:color w:val="auto"/>
        </w:rPr>
      </w:pPr>
    </w:p>
    <w:p>
      <w:pPr>
        <w:ind w:right="120" w:firstLine="165"/>
        <w:spacing w:after="0" w:line="262" w:lineRule="auto"/>
        <w:rPr>
          <w:sz w:val="20"/>
          <w:szCs w:val="20"/>
          <w:color w:val="auto"/>
        </w:rPr>
      </w:pPr>
      <w:r>
        <w:rPr>
          <w:rFonts w:ascii="Times New Roman" w:cs="Times New Roman" w:eastAsia="Times New Roman" w:hAnsi="Times New Roman"/>
          <w:sz w:val="13"/>
          <w:szCs w:val="13"/>
          <w:color w:val="auto"/>
        </w:rPr>
        <w:t>Certain conflicts of interest arise out of the relationships between Covered Persons and the Corporation and already are subject to conflict of interest provisions in the Investment Company Act of 1940, as amended (the “Investment Company Act”). For example, Covered Officers may not individually engage in certain transactions (such as the purchase or sale of securities or other property) with the Corporation because of their status as “affiliated persons” of the Corporation. The Corporation’s compliance programs and procedures are designed to prevent, or identify and correct, violations of these provisions. Each Covered Officer is an employee of a service provider</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(“Service Provider”) to the Corporation. Although typically not presenting an opportunity for improper personal benefit, conflicts arise from, or as a result of, the contractual relationship between the Corporation and the Service Providers of which the Covered Officers are also officers or employees. As a result, this Code recognizes that the Covered Officers will, in the normal course of their duties (whether formally for the Corporation or for the Service Provider of which the Covered Officer is an employee, or for both), be involved in establishing policies and implementing decisions which will have different effects on the Service Provider and the Corporation. The participation of the Covered Officers in such activities is inherent in the contractual relationship between the Corporation and the Service Provider and is consistent with the performance by the Covered Officers of their duties as officers of the Corporation. Thus, if performed in conformity with the provisions of the Investment Company Act, such activities will be deemed to have been handled ethically. In addition, it is recognized by the Board of Directors that the Covered Officers may also be or in the future become officers or employees of one or more other investment companies covered by this or other Codes.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6" w:right="680" w:bottom="1440" w:gutter="0" w:footer="0" w:header="0"/>
        </w:sectPr>
      </w:pPr>
    </w:p>
    <w:bookmarkStart w:id="114" w:name="page115"/>
    <w:bookmarkEnd w:id="114"/>
    <w:p>
      <w:pPr>
        <w:jc w:val="both"/>
        <w:ind w:right="80" w:firstLine="165"/>
        <w:spacing w:after="0" w:line="268" w:lineRule="auto"/>
        <w:rPr>
          <w:sz w:val="20"/>
          <w:szCs w:val="20"/>
          <w:color w:val="auto"/>
        </w:rPr>
      </w:pPr>
      <w:r>
        <w:rPr>
          <w:rFonts w:ascii="Times New Roman" w:cs="Times New Roman" w:eastAsia="Times New Roman" w:hAnsi="Times New Roman"/>
          <w:sz w:val="13"/>
          <w:szCs w:val="13"/>
          <w:color w:val="auto"/>
        </w:rPr>
        <w:t>Other conflicts of interest are covered by the Code, even if such conflicts of interest are not subject to provisions in the Investment Company Act. The following list provides examples of conflicts of interest under the Code, but Covered Persons should keep in mind that these examples are not exhaustive. The overarching principle is that the personal interest of a Covered Person should not be placed improperly before the interest of the Corporation.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Each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Covered Person must:</w:t>
      </w:r>
    </w:p>
    <w:p>
      <w:pPr>
        <w:spacing w:after="0" w:line="103"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3"/>
          <w:szCs w:val="13"/>
          <w:color w:val="auto"/>
        </w:rPr>
        <w:t>•not use his personal influence or personal relationships improperly to influence investment decisions or financial reporting by the Corporation whereby the Covered Person would benefit personally to the detriment of the Corporation;</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 cause the Corporation to take action, or fail to take action, for the individual personal benefit of the Covered Person rather than for the benefit of the Corporation; and</w:t>
      </w:r>
    </w:p>
    <w:p>
      <w:pPr>
        <w:spacing w:after="0" w:line="103" w:lineRule="exact"/>
        <w:rPr>
          <w:sz w:val="20"/>
          <w:szCs w:val="20"/>
          <w:color w:val="auto"/>
        </w:rPr>
      </w:pPr>
    </w:p>
    <w:p>
      <w:pPr>
        <w:ind w:left="480" w:right="300"/>
        <w:spacing w:after="0" w:line="286" w:lineRule="auto"/>
        <w:rPr>
          <w:sz w:val="20"/>
          <w:szCs w:val="20"/>
          <w:color w:val="auto"/>
        </w:rPr>
      </w:pPr>
      <w:r>
        <w:rPr>
          <w:rFonts w:ascii="Times New Roman" w:cs="Times New Roman" w:eastAsia="Times New Roman" w:hAnsi="Times New Roman"/>
          <w:sz w:val="13"/>
          <w:szCs w:val="13"/>
          <w:color w:val="auto"/>
        </w:rPr>
        <w:t>•not use material non -public knowledge of portfolio transactions made or contemplated for the Corporation to trade personally or cause others to trade personally in contemplation of the market effect of such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are some conflict of interest situations that may be discussed with the Corporation’s Chief Compliance Officer if material. Examples of these include:</w:t>
      </w:r>
      <w:r>
        <w:rPr>
          <w:rFonts w:ascii="Times New Roman" w:cs="Times New Roman" w:eastAsia="Times New Roman" w:hAnsi="Times New Roman"/>
          <w:sz w:val="16"/>
          <w:szCs w:val="16"/>
          <w:color w:val="auto"/>
          <w:vertAlign w:val="superscript"/>
        </w:rPr>
        <w:t>1</w:t>
      </w:r>
    </w:p>
    <w:p>
      <w:pPr>
        <w:spacing w:after="0" w:line="104" w:lineRule="exact"/>
        <w:rPr>
          <w:sz w:val="20"/>
          <w:szCs w:val="20"/>
          <w:color w:val="auto"/>
        </w:rPr>
      </w:pPr>
    </w:p>
    <w:p>
      <w:pPr>
        <w:ind w:left="540" w:hanging="6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3"/>
          <w:szCs w:val="13"/>
          <w:color w:val="auto"/>
        </w:rPr>
        <w:t>service as a director on the board of any public or private company;</w:t>
      </w:r>
    </w:p>
    <w:p>
      <w:pPr>
        <w:spacing w:after="0" w:line="1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3"/>
          <w:szCs w:val="13"/>
          <w:color w:val="auto"/>
        </w:rPr>
        <w:t>_________________</w:t>
      </w:r>
    </w:p>
    <w:p>
      <w:pPr>
        <w:spacing w:after="0" w:line="187" w:lineRule="exact"/>
        <w:rPr>
          <w:sz w:val="20"/>
          <w:szCs w:val="20"/>
          <w:color w:val="auto"/>
        </w:rPr>
      </w:pPr>
    </w:p>
    <w:p>
      <w:pPr>
        <w:ind w:right="260" w:firstLine="6"/>
        <w:spacing w:after="0" w:line="227" w:lineRule="auto"/>
        <w:tabs>
          <w:tab w:leader="none" w:pos="81"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Any activity or relationship that would present a conflict for a Covered Person would likely also present a conflict for the Covered Person if a member of the Covered Person’s family engages in such an activity or has such a relationship.</w:t>
      </w:r>
    </w:p>
    <w:p>
      <w:pPr>
        <w:spacing w:after="0" w:line="394" w:lineRule="exact"/>
        <w:rPr>
          <w:sz w:val="20"/>
          <w:szCs w:val="20"/>
          <w:color w:val="auto"/>
        </w:rPr>
      </w:pPr>
    </w:p>
    <w:p>
      <w:pPr>
        <w:ind w:left="480"/>
        <w:spacing w:after="0" w:line="286" w:lineRule="auto"/>
        <w:rPr>
          <w:sz w:val="20"/>
          <w:szCs w:val="20"/>
          <w:color w:val="auto"/>
        </w:rPr>
      </w:pPr>
      <w:r>
        <w:rPr>
          <w:rFonts w:ascii="Times New Roman" w:cs="Times New Roman" w:eastAsia="Times New Roman" w:hAnsi="Times New Roman"/>
          <w:sz w:val="13"/>
          <w:szCs w:val="13"/>
          <w:color w:val="auto"/>
        </w:rPr>
        <w:t>•the receipt of any non-nominal gifts from any person or company with which the Corporation has current or prospective business dealings. For purposes of this Code, “nonnominal” are those gifts in excess of $100;</w:t>
      </w:r>
    </w:p>
    <w:p>
      <w:pPr>
        <w:spacing w:after="0" w:line="52"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3"/>
          <w:szCs w:val="13"/>
          <w:color w:val="auto"/>
        </w:rPr>
        <w:t>•the receipt of any entertainment from any company with which the Corporation has current or prospective business dealings, unless such entertainment is business-related, reasonable in cost, appropriate as to time and place, and not so frequent as to raise any question of impropriety;</w:t>
      </w:r>
    </w:p>
    <w:p>
      <w:pPr>
        <w:spacing w:after="0" w:line="52" w:lineRule="exact"/>
        <w:rPr>
          <w:sz w:val="20"/>
          <w:szCs w:val="20"/>
          <w:color w:val="auto"/>
        </w:rPr>
      </w:pPr>
    </w:p>
    <w:p>
      <w:pPr>
        <w:ind w:left="480" w:right="680"/>
        <w:spacing w:after="0" w:line="286" w:lineRule="auto"/>
        <w:rPr>
          <w:sz w:val="20"/>
          <w:szCs w:val="20"/>
          <w:color w:val="auto"/>
        </w:rPr>
      </w:pPr>
      <w:r>
        <w:rPr>
          <w:rFonts w:ascii="Times New Roman" w:cs="Times New Roman" w:eastAsia="Times New Roman" w:hAnsi="Times New Roman"/>
          <w:sz w:val="13"/>
          <w:szCs w:val="13"/>
          <w:color w:val="auto"/>
        </w:rPr>
        <w:t>•any ownership interest in, or any consulting or employment relationship with, any of the Corporation’s service providers, other than its investment adviser, sub-adviser, principal underwriter, administrator or any affiliated person thereof and the Service Provider of which such Covered Person is an employee; and</w:t>
      </w:r>
    </w:p>
    <w:p>
      <w:pPr>
        <w:spacing w:after="0" w:line="52"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3"/>
          <w:szCs w:val="13"/>
          <w:color w:val="auto"/>
        </w:rPr>
        <w:t>•a direct or indirect financial interest in commissions, transaction charges or spreads paid by the Corporation for effecting portfolio transactions or for selling or repurchasing shares other than an interest arising from the Covered Person’s employment, such as compensation or equity ownership.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III. Disclosure &amp; Compliance</w:t>
      </w:r>
    </w:p>
    <w:p>
      <w:pPr>
        <w:spacing w:after="0" w:line="2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•Each Covered Person should be familiar with the disclosure requirements generally applicable to the Corporation;</w:t>
      </w:r>
    </w:p>
    <w:p>
      <w:pPr>
        <w:spacing w:after="0" w:line="103" w:lineRule="exact"/>
        <w:rPr>
          <w:sz w:val="20"/>
          <w:szCs w:val="20"/>
          <w:color w:val="auto"/>
        </w:rPr>
      </w:pPr>
    </w:p>
    <w:p>
      <w:pPr>
        <w:ind w:left="480" w:right="160"/>
        <w:spacing w:after="0" w:line="286" w:lineRule="auto"/>
        <w:rPr>
          <w:sz w:val="20"/>
          <w:szCs w:val="20"/>
          <w:color w:val="auto"/>
        </w:rPr>
      </w:pPr>
      <w:r>
        <w:rPr>
          <w:rFonts w:ascii="Times New Roman" w:cs="Times New Roman" w:eastAsia="Times New Roman" w:hAnsi="Times New Roman"/>
          <w:sz w:val="13"/>
          <w:szCs w:val="13"/>
          <w:color w:val="auto"/>
        </w:rPr>
        <w:t>•each Covered Person should not knowingly misrepresent, or cause others to misrepresent, facts about the Corporation to others, whether within or outside the Corporation, including to the Corporation’s directors and auditors, and to governmental regulators and self-regulatory organizations;</w:t>
      </w:r>
    </w:p>
    <w:p>
      <w:pPr>
        <w:spacing w:after="0" w:line="52" w:lineRule="exact"/>
        <w:rPr>
          <w:sz w:val="20"/>
          <w:szCs w:val="20"/>
          <w:color w:val="auto"/>
        </w:rPr>
      </w:pPr>
    </w:p>
    <w:p>
      <w:pPr>
        <w:ind w:left="480" w:right="40"/>
        <w:spacing w:after="0" w:line="268" w:lineRule="auto"/>
        <w:rPr>
          <w:sz w:val="20"/>
          <w:szCs w:val="20"/>
          <w:color w:val="auto"/>
        </w:rPr>
      </w:pPr>
      <w:r>
        <w:rPr>
          <w:rFonts w:ascii="Times New Roman" w:cs="Times New Roman" w:eastAsia="Times New Roman" w:hAnsi="Times New Roman"/>
          <w:sz w:val="13"/>
          <w:szCs w:val="13"/>
          <w:color w:val="auto"/>
        </w:rPr>
        <w:t>•each Covered Person should, to the extent appropriate within his area of responsibility, consult with other officers and employees of the Corporation and the Corporation’s adviser or sub-adviser with the goal of promoting full, fair, accurate, timely and understandable disclosure in the reports and documents the Corporation files with, or submits to, the SEC and in other public communications made by the Corporation; and</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•it is the responsibility of each Covered Person to promote compliance with the standards and restrictions imposed by applicable laws, rules and regulations.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295910</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8" w:right="68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b w:val="1"/>
          <w:bCs w:val="1"/>
          <w:color w:val="auto"/>
        </w:rPr>
        <w:t>IV. Reporting and Accountability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Covered Person must:</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•upon adoption of the Code (or thereafter as applicable, upon becoming a Covered Person), affirm in writing to the Board that he has received, read, and understands the Code;</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•annually thereafter affirm to the Board that he has complied with the requirements of the Code;</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 retaliate against any employee or Covered Person or their affiliated persons for reports of potential violations that are made in good faith;</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•notify the Chief Compliance Officer of the Corporation promptly if he knows of any violation of this Code. Failure to do so is itself a violation of this Code; and</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•report at least annually any change in his affiliations from the prior year.</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The Chief Compliance Officer is responsible for applying this Code to specific situations in which questions are presented under it and has the authority to interpret this Code in any particular</w:t>
      </w:r>
    </w:p>
    <w:p>
      <w:pPr>
        <w:spacing w:after="0" w:line="22"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13"/>
          <w:szCs w:val="13"/>
          <w:color w:val="auto"/>
        </w:rPr>
        <w:t>situation. However, notwithstanding the foregoing, the Audit Committee (the “Committee”) is responsible for granting waivers</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and determining sanctions, as appropriate, and any approvals, interpretations or waivers sought by the Corporation’s principal executive officers or directors will be considered by the Committee.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Corporation will follow these procedures in investigating and enforcing this Code:</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Chief Compliance Officer will take any action he considers appropriate to investigate any actual or potential violations reported to him;</w:t>
      </w:r>
    </w:p>
    <w:p>
      <w:pPr>
        <w:spacing w:after="0" w:line="103" w:lineRule="exact"/>
        <w:rPr>
          <w:sz w:val="20"/>
          <w:szCs w:val="20"/>
          <w:color w:val="auto"/>
        </w:rPr>
      </w:pPr>
    </w:p>
    <w:p>
      <w:pPr>
        <w:ind w:left="480" w:right="260"/>
        <w:spacing w:after="0" w:line="286" w:lineRule="auto"/>
        <w:rPr>
          <w:sz w:val="20"/>
          <w:szCs w:val="20"/>
          <w:color w:val="auto"/>
        </w:rPr>
      </w:pPr>
      <w:r>
        <w:rPr>
          <w:rFonts w:ascii="Times New Roman" w:cs="Times New Roman" w:eastAsia="Times New Roman" w:hAnsi="Times New Roman"/>
          <w:sz w:val="13"/>
          <w:szCs w:val="13"/>
          <w:color w:val="auto"/>
        </w:rPr>
        <w:t>•if, after such investigation, the Chief Compliance Officer believes that no violation has occurred, the Chief Compliance Officer shall meet with the person reporting the violation for the purposes of informing such person of the reason for not taking action;</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•any matter that the Chief Compliance Officer believes is a violation will be reported to the Committee;</w:t>
      </w:r>
    </w:p>
    <w:p>
      <w:pPr>
        <w:spacing w:after="0" w:line="103" w:lineRule="exact"/>
        <w:rPr>
          <w:sz w:val="20"/>
          <w:szCs w:val="20"/>
          <w:color w:val="auto"/>
        </w:rPr>
      </w:pPr>
    </w:p>
    <w:p>
      <w:pPr>
        <w:jc w:val="both"/>
        <w:ind w:left="480" w:right="160"/>
        <w:spacing w:after="0" w:line="268" w:lineRule="auto"/>
        <w:rPr>
          <w:sz w:val="20"/>
          <w:szCs w:val="20"/>
          <w:color w:val="auto"/>
        </w:rPr>
      </w:pPr>
      <w:r>
        <w:rPr>
          <w:rFonts w:ascii="Times New Roman" w:cs="Times New Roman" w:eastAsia="Times New Roman" w:hAnsi="Times New Roman"/>
          <w:sz w:val="13"/>
          <w:szCs w:val="13"/>
          <w:color w:val="auto"/>
        </w:rPr>
        <w:t>•if the Committee concurs that a violation has occurred, it will inform and make a recommendation to the Board, which will consider appropriate action, which may include review of, and appropriate modifications to, applicable policies and procedures; notification to appropriate personnel of the Service Provider of which such Covered Person is an employee or its board; a recommendation to such Service Provider to dismiss the Covered Person; or dismissal of the Covered Person as an officer of the</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•Corporation;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w:t>
      </w:r>
    </w:p>
    <w:p>
      <w:pPr>
        <w:spacing w:after="0" w:line="31" w:lineRule="exact"/>
        <w:rPr>
          <w:sz w:val="20"/>
          <w:szCs w:val="20"/>
          <w:color w:val="auto"/>
        </w:rPr>
      </w:pPr>
    </w:p>
    <w:p>
      <w:pPr>
        <w:jc w:val="both"/>
        <w:ind w:right="80" w:firstLine="6"/>
        <w:spacing w:after="0" w:line="234" w:lineRule="auto"/>
        <w:tabs>
          <w:tab w:leader="none" w:pos="81"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Instruction 2 to Item 5.05 of Form 8-K defines “waiver” as “the approval by the registrant of a material departure from a provision of the code of ethics” and “implicit waiver,” which must also be disclosed, as “the registrant’s failure to take action within a reasonable period of time regarding a material departure from a provision of the code of ethics that has been made known to an executive officer” of the registrant.</w:t>
      </w: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Committee will be responsible for granting waivers, as appropriate; and</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•any changes to or waivers of this Code will, to the extent required, be disclosed as provided by SEC rules.</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Please note that waivers for executive officers or directors must be promptly disclosed in Form 8-K or on the Corporation’s website within four business days.</w:t>
      </w:r>
    </w:p>
    <w:p>
      <w:pPr>
        <w:spacing w:after="0" w:line="163" w:lineRule="exact"/>
        <w:rPr>
          <w:sz w:val="20"/>
          <w:szCs w:val="20"/>
          <w:color w:val="auto"/>
        </w:rPr>
      </w:pPr>
    </w:p>
    <w:p>
      <w:pPr>
        <w:ind w:firstLine="165"/>
        <w:spacing w:after="0" w:line="256" w:lineRule="auto"/>
        <w:rPr>
          <w:sz w:val="20"/>
          <w:szCs w:val="20"/>
          <w:color w:val="auto"/>
        </w:rPr>
      </w:pPr>
      <w:r>
        <w:rPr>
          <w:rFonts w:ascii="Times New Roman" w:cs="Times New Roman" w:eastAsia="Times New Roman" w:hAnsi="Times New Roman"/>
          <w:sz w:val="13"/>
          <w:szCs w:val="13"/>
          <w:color w:val="auto"/>
        </w:rPr>
        <w:t>The Committee, in determining whether waivers should be granted and whether violations have occurred, and the Chief Compliance Officer, in rendering decisions and interpretations and in conducting investigations of potential violations under the Code, may, at their discretion, consult with such other persons as they may determine to be appropriate, including, but not limited to, a senior legal officer of the Corporation or its adviser or its sub-adviser, counsel to the Corporation or the Service Provider, independent auditors or other consultants, subject to any requirement to seek pre-approval from the Corporation’s Committee for the retention of independent auditors to perform permissible non-audit services.</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295910</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36" w:right="740" w:bottom="1440" w:gutter="0" w:footer="0" w:header="0"/>
        </w:sectPr>
      </w:pPr>
    </w:p>
    <w:bookmarkStart w:id="116" w:name="page117"/>
    <w:bookmarkEnd w:id="116"/>
    <w:p>
      <w:pPr>
        <w:ind w:left="480"/>
        <w:spacing w:after="0"/>
        <w:rPr>
          <w:sz w:val="20"/>
          <w:szCs w:val="20"/>
          <w:color w:val="auto"/>
        </w:rPr>
      </w:pPr>
      <w:r>
        <w:rPr>
          <w:rFonts w:ascii="Times New Roman" w:cs="Times New Roman" w:eastAsia="Times New Roman" w:hAnsi="Times New Roman"/>
          <w:sz w:val="19"/>
          <w:szCs w:val="19"/>
          <w:b w:val="1"/>
          <w:bCs w:val="1"/>
          <w:color w:val="auto"/>
        </w:rPr>
        <w:t>v.</w:t>
      </w:r>
      <w:r>
        <w:rPr>
          <w:rFonts w:ascii="Times New Roman" w:cs="Times New Roman" w:eastAsia="Times New Roman" w:hAnsi="Times New Roman"/>
          <w:sz w:val="13"/>
          <w:szCs w:val="13"/>
          <w:b w:val="1"/>
          <w:bCs w:val="1"/>
          <w:color w:val="auto"/>
        </w:rPr>
        <w:t>Waivers</w:t>
      </w:r>
    </w:p>
    <w:p>
      <w:pPr>
        <w:spacing w:after="0" w:line="169" w:lineRule="exact"/>
        <w:rPr>
          <w:sz w:val="20"/>
          <w:szCs w:val="20"/>
          <w:color w:val="auto"/>
        </w:rPr>
      </w:pPr>
    </w:p>
    <w:p>
      <w:pPr>
        <w:jc w:val="both"/>
        <w:ind w:right="20" w:firstLine="165"/>
        <w:spacing w:after="0" w:line="268" w:lineRule="auto"/>
        <w:rPr>
          <w:sz w:val="20"/>
          <w:szCs w:val="20"/>
          <w:color w:val="auto"/>
        </w:rPr>
      </w:pPr>
      <w:r>
        <w:rPr>
          <w:rFonts w:ascii="Times New Roman" w:cs="Times New Roman" w:eastAsia="Times New Roman" w:hAnsi="Times New Roman"/>
          <w:sz w:val="13"/>
          <w:szCs w:val="13"/>
          <w:color w:val="auto"/>
        </w:rPr>
        <w:t>An executive officer or director may request a waiver of any of the provisions of this Code by submitting a written request for such waiver to the Committee setting forth the basis for such request and explaining how the waiver would be consistent with the standards of conduct described herein. The Committee shall review such request and make a determination thereon in writing, which shall be binding.</w:t>
      </w:r>
    </w:p>
    <w:p>
      <w:pPr>
        <w:spacing w:after="0" w:line="1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In determining whether to waive any provisions of this Code, the Committee shall consider whether the proposed waiver is consistent with honest and ethical conduct.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Chief Compliance Officer shall submit an annual report to the Board regarding waivers granted.</w:t>
      </w:r>
    </w:p>
    <w:p>
      <w:pPr>
        <w:spacing w:after="0" w:line="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i.Other Policies and Procedures</w:t>
      </w:r>
    </w:p>
    <w:p>
      <w:pPr>
        <w:spacing w:after="0" w:line="165" w:lineRule="exact"/>
        <w:rPr>
          <w:sz w:val="20"/>
          <w:szCs w:val="20"/>
          <w:color w:val="auto"/>
        </w:rPr>
      </w:pPr>
    </w:p>
    <w:p>
      <w:pPr>
        <w:ind w:firstLine="165"/>
        <w:spacing w:after="0" w:line="259" w:lineRule="auto"/>
        <w:rPr>
          <w:sz w:val="20"/>
          <w:szCs w:val="20"/>
          <w:color w:val="auto"/>
        </w:rPr>
      </w:pPr>
      <w:r>
        <w:rPr>
          <w:rFonts w:ascii="Times New Roman" w:cs="Times New Roman" w:eastAsia="Times New Roman" w:hAnsi="Times New Roman"/>
          <w:sz w:val="13"/>
          <w:szCs w:val="13"/>
          <w:color w:val="auto"/>
        </w:rPr>
        <w:t>This Code will be the sole code of business conduct adopted by the Corporation for purposes of Section 406 of the Sarbanes-Oxley Act, and the rules and forms applicable to the Corporation thereunder, and Section 303A.10 of the Listed Company Manual of the NYSE. Insofar as other policies or procedures of the Corporation, the Corporation’s adviser, sub-adviser, principal underwriter, or the Service Providers govern or purport to govern the behavior or activities of the Covered Persons who are subject to this Code, they are superseded by this Code to the extent that they overlap or conflict with the provisions of this Code. The codes of ethics of the Corporation and their investment adviser, sub -adviser, principal underwriter and Service Providers under Rule 17j-1 under the Investment Company Act are separate requirements applying to the Covered Officers and others, and are not part of this Code.</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Amendments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amendments to this Code, other than amendments to Exhibit A, must be approved or ratified by a majority vote of the Corporation’s board, including a majority of independent directors.</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Confidentiality</w:t>
      </w:r>
    </w:p>
    <w:p>
      <w:pPr>
        <w:spacing w:after="0" w:line="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3"/>
          <w:szCs w:val="13"/>
          <w:color w:val="auto"/>
        </w:rPr>
        <w:t>All reports and records prepared or maintained pursuant to this Code will be considered confidential and shall be maintained and protected accordingly. Except as otherwise required by law or this Code, such matters shall not be disclosed to anyone other than the Board and its counsel, the investment adviser and its counsel, the Service Provider of which such Covered Person is an employee or independent auditors or other consultants referred to in Section IV above.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ii.Internal Use</w:t>
      </w:r>
    </w:p>
    <w:p>
      <w:pPr>
        <w:spacing w:after="0" w:line="16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3"/>
          <w:szCs w:val="13"/>
          <w:color w:val="auto"/>
        </w:rPr>
        <w:t>The Code is intended solely for the internal use by the Corporation and does not constitute an admission, by or on behalf of any person, as to any fact, circumstance, or legal conclusion. Date: December 7, 2023</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31" w:right="720" w:bottom="1440" w:gutter="0" w:footer="0" w:header="0"/>
        </w:sectPr>
      </w:pPr>
    </w:p>
    <w:bookmarkStart w:id="117" w:name="page118"/>
    <w:bookmarkEnd w:id="117"/>
    <w:p>
      <w:pPr>
        <w:jc w:val="right"/>
        <w:ind w:right="4180"/>
        <w:spacing w:after="0"/>
        <w:rPr>
          <w:sz w:val="20"/>
          <w:szCs w:val="20"/>
          <w:color w:val="auto"/>
        </w:rPr>
      </w:pPr>
      <w:r>
        <w:rPr>
          <w:rFonts w:ascii="Times New Roman" w:cs="Times New Roman" w:eastAsia="Times New Roman" w:hAnsi="Times New Roman"/>
          <w:sz w:val="13"/>
          <w:szCs w:val="13"/>
          <w:u w:val="single" w:color="auto"/>
          <w:color w:val="auto"/>
        </w:rPr>
        <w:t>EXHIBIT A</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Contact information for the Chief Compliance Officer of the Corporation and his staff;</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Compliance Officer: Frank Galea, CFA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Email: frank.galea@acaglobal.com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1 (332) 262.4581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Website: </w:t>
      </w:r>
      <w:r>
        <w:rPr>
          <w:rFonts w:ascii="Times New Roman" w:cs="Times New Roman" w:eastAsia="Times New Roman" w:hAnsi="Times New Roman"/>
          <w:sz w:val="13"/>
          <w:szCs w:val="13"/>
          <w:color w:val="0000FF"/>
        </w:rPr>
        <w:t>www.acaglobal.com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-12065</wp:posOffset>
            </wp:positionV>
            <wp:extent cx="22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Deputy Chief Compliance Officer: Aaron Criddle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Email: Aaron.Criddle@acaglobal.com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Tel: +1.332.262.4587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Website: </w:t>
      </w:r>
      <w:r>
        <w:rPr>
          <w:rFonts w:ascii="Times New Roman" w:cs="Times New Roman" w:eastAsia="Times New Roman" w:hAnsi="Times New Roman"/>
          <w:sz w:val="13"/>
          <w:szCs w:val="13"/>
          <w:color w:val="0000FF"/>
        </w:rPr>
        <w:t>www.acaglobal.com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-12065</wp:posOffset>
            </wp:positionV>
            <wp:extent cx="2286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1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306705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738"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7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tc>
      </w:tr>
      <w:tr>
        <w:trPr>
          <w:trHeight w:val="276"/>
        </w:trPr>
        <w:tc>
          <w:tcPr>
            <w:tcW w:w="3460" w:type="dxa"/>
            <w:vAlign w:val="bottom"/>
          </w:tcPr>
          <w:p>
            <w:pPr>
              <w:spacing w:after="0"/>
              <w:rPr>
                <w:sz w:val="24"/>
                <w:szCs w:val="24"/>
                <w:color w:val="auto"/>
              </w:rPr>
            </w:pPr>
          </w:p>
        </w:tc>
        <w:tc>
          <w:tcPr>
            <w:tcW w:w="7100" w:type="dxa"/>
            <w:vAlign w:val="bottom"/>
          </w:tcPr>
          <w:p>
            <w:pPr>
              <w:jc w:val="right"/>
              <w:ind w:right="4354"/>
              <w:spacing w:after="0"/>
              <w:rPr>
                <w:sz w:val="20"/>
                <w:szCs w:val="20"/>
                <w:color w:val="auto"/>
              </w:rPr>
            </w:pPr>
            <w:r>
              <w:rPr>
                <w:rFonts w:ascii="Times New Roman" w:cs="Times New Roman" w:eastAsia="Times New Roman" w:hAnsi="Times New Roman"/>
                <w:sz w:val="13"/>
                <w:szCs w:val="13"/>
                <w:b w:val="1"/>
                <w:bCs w:val="1"/>
                <w:color w:val="auto"/>
              </w:rPr>
              <w:t>Subsidiaries of the Registrant</w:t>
            </w:r>
          </w:p>
        </w:tc>
      </w:tr>
      <w:tr>
        <w:trPr>
          <w:trHeight w:val="330"/>
        </w:trPr>
        <w:tc>
          <w:tcPr>
            <w:tcW w:w="3460" w:type="dxa"/>
            <w:vAlign w:val="bottom"/>
          </w:tcPr>
          <w:p>
            <w:pPr>
              <w:spacing w:after="0"/>
              <w:rPr>
                <w:sz w:val="24"/>
                <w:szCs w:val="24"/>
                <w:color w:val="auto"/>
              </w:rPr>
            </w:pPr>
          </w:p>
        </w:tc>
        <w:tc>
          <w:tcPr>
            <w:tcW w:w="710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Voting Securities</w:t>
            </w:r>
          </w:p>
        </w:tc>
      </w:tr>
      <w:tr>
        <w:trPr>
          <w:trHeight w:val="178"/>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entity and place of jurisdiction</w:t>
            </w:r>
          </w:p>
        </w:tc>
        <w:tc>
          <w:tcPr>
            <w:tcW w:w="710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Owned Percentage</w:t>
            </w:r>
          </w:p>
        </w:tc>
      </w:tr>
      <w:tr>
        <w:trPr>
          <w:trHeight w:val="184"/>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PNNT Alabama Holdings Inc. (Delaware)</w:t>
            </w:r>
          </w:p>
        </w:tc>
        <w:tc>
          <w:tcPr>
            <w:tcW w:w="71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 xml:space="preserve">100 % </w:t>
            </w:r>
            <w:r>
              <w:rPr>
                <w:rFonts w:ascii="Times New Roman" w:cs="Times New Roman" w:eastAsia="Times New Roman" w:hAnsi="Times New Roman"/>
                <w:sz w:val="16"/>
                <w:szCs w:val="16"/>
                <w:color w:val="auto"/>
                <w:vertAlign w:val="superscript"/>
              </w:rPr>
              <w:t>(1)</w:t>
            </w: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PNNT Investment Holdings, LLC (Delaware)</w:t>
            </w:r>
          </w:p>
        </w:tc>
        <w:tc>
          <w:tcPr>
            <w:tcW w:w="710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100 %</w:t>
            </w:r>
          </w:p>
        </w:tc>
      </w:tr>
      <w:tr>
        <w:trPr>
          <w:trHeight w:val="184"/>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RAM Energy Holdings LLC (Delaware)</w:t>
            </w:r>
          </w:p>
        </w:tc>
        <w:tc>
          <w:tcPr>
            <w:tcW w:w="7100" w:type="dxa"/>
            <w:vAlign w:val="bottom"/>
            <w:shd w:val="clear" w:color="auto" w:fill="CCECFF"/>
          </w:tcPr>
          <w:p>
            <w:pPr>
              <w:jc w:val="right"/>
              <w:ind w:right="54"/>
              <w:spacing w:after="0"/>
              <w:rPr>
                <w:sz w:val="20"/>
                <w:szCs w:val="20"/>
                <w:color w:val="auto"/>
              </w:rPr>
            </w:pPr>
            <w:r>
              <w:rPr>
                <w:rFonts w:ascii="Times New Roman" w:cs="Times New Roman" w:eastAsia="Times New Roman" w:hAnsi="Times New Roman"/>
                <w:sz w:val="13"/>
                <w:szCs w:val="13"/>
                <w:color w:val="auto"/>
              </w:rPr>
              <w:t xml:space="preserve">100 % </w:t>
            </w:r>
            <w:r>
              <w:rPr>
                <w:rFonts w:ascii="Times New Roman" w:cs="Times New Roman" w:eastAsia="Times New Roman" w:hAnsi="Times New Roman"/>
                <w:sz w:val="16"/>
                <w:szCs w:val="16"/>
                <w:color w:val="auto"/>
                <w:vertAlign w:val="superscript"/>
              </w:rPr>
              <w:t>(2)</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MSpark, LLC (Alabama)</w:t>
            </w:r>
          </w:p>
        </w:tc>
        <w:tc>
          <w:tcPr>
            <w:tcW w:w="7100" w:type="dxa"/>
            <w:vAlign w:val="bottom"/>
          </w:tcPr>
          <w:p>
            <w:pPr>
              <w:jc w:val="right"/>
              <w:ind w:right="54"/>
              <w:spacing w:after="0" w:line="180" w:lineRule="exact"/>
              <w:rPr>
                <w:sz w:val="20"/>
                <w:szCs w:val="20"/>
                <w:color w:val="auto"/>
              </w:rPr>
            </w:pPr>
            <w:r>
              <w:rPr>
                <w:rFonts w:ascii="Times New Roman" w:cs="Times New Roman" w:eastAsia="Times New Roman" w:hAnsi="Times New Roman"/>
                <w:sz w:val="13"/>
                <w:szCs w:val="13"/>
                <w:color w:val="auto"/>
              </w:rPr>
              <w:t xml:space="preserve">51 % </w:t>
            </w:r>
            <w:r>
              <w:rPr>
                <w:rFonts w:ascii="Times New Roman" w:cs="Times New Roman" w:eastAsia="Times New Roman" w:hAnsi="Times New Roman"/>
                <w:sz w:val="16"/>
                <w:szCs w:val="16"/>
                <w:color w:val="auto"/>
                <w:vertAlign w:val="superscript"/>
              </w:rPr>
              <w:t>(2)</w:t>
            </w:r>
          </w:p>
        </w:tc>
      </w:tr>
      <w:tr>
        <w:trPr>
          <w:trHeight w:val="180"/>
        </w:trPr>
        <w:tc>
          <w:tcPr>
            <w:tcW w:w="3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PennantPark Senior Loan Fund, LLC</w:t>
            </w:r>
          </w:p>
        </w:tc>
        <w:tc>
          <w:tcPr>
            <w:tcW w:w="7100" w:type="dxa"/>
            <w:vAlign w:val="bottom"/>
            <w:shd w:val="clear" w:color="auto" w:fill="CCECFF"/>
          </w:tcPr>
          <w:p>
            <w:pPr>
              <w:jc w:val="right"/>
              <w:ind w:right="54"/>
              <w:spacing w:after="0" w:line="180" w:lineRule="exact"/>
              <w:rPr>
                <w:sz w:val="20"/>
                <w:szCs w:val="20"/>
                <w:color w:val="auto"/>
              </w:rPr>
            </w:pPr>
            <w:r>
              <w:rPr>
                <w:rFonts w:ascii="Times New Roman" w:cs="Times New Roman" w:eastAsia="Times New Roman" w:hAnsi="Times New Roman"/>
                <w:sz w:val="13"/>
                <w:szCs w:val="13"/>
                <w:color w:val="auto"/>
              </w:rPr>
              <w:t xml:space="preserve">61 % </w:t>
            </w:r>
            <w:r>
              <w:rPr>
                <w:rFonts w:ascii="Times New Roman" w:cs="Times New Roman" w:eastAsia="Times New Roman" w:hAnsi="Times New Roman"/>
                <w:sz w:val="16"/>
                <w:szCs w:val="16"/>
                <w:color w:val="auto"/>
                <w:vertAlign w:val="superscript"/>
              </w:rPr>
              <w:t>(2)</w:t>
            </w: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 (Isle of Man)</w:t>
            </w:r>
          </w:p>
        </w:tc>
        <w:tc>
          <w:tcPr>
            <w:tcW w:w="71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xml:space="preserve">82 % </w:t>
            </w:r>
            <w:r>
              <w:rPr>
                <w:rFonts w:ascii="Times New Roman" w:cs="Times New Roman" w:eastAsia="Times New Roman" w:hAnsi="Times New Roman"/>
                <w:sz w:val="16"/>
                <w:szCs w:val="16"/>
                <w:color w:val="auto"/>
                <w:vertAlign w:val="superscript"/>
              </w:rPr>
              <w:t>(2)</w:t>
            </w: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This entity is not operational.</w:t>
      </w:r>
    </w:p>
    <w:p>
      <w:pPr>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This is a controlled affiliated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116205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6" w:right="68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7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on Form N-2 of PennantPark Investment Corporation and Subsidiaries (the Company) of our reports dated December 7, 2023, relating to the consolidated financial statements and the effectiveness of internal control over financial reporting of the Company, appearing in the Annual Report on Form 10-K of the Company for the year ended September 30, 2023. We also consent to the use in such Registration Statement of our report dated December 7, 2023, relating to the senior securities table appearing as Exhibit 99.2 in the accompanying Form 10-K of the Company for the year ended September 30, 2023.</w:t>
      </w:r>
    </w:p>
    <w:p>
      <w:pPr>
        <w:spacing w:after="0" w:line="15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We also consent to the use in such Registration Statement of our report dated December 7, 2023, relating to the consolidated financial statements of PennantPark Senior Loan Fund LLC as of and for the years ended September 30, 2023 and 2022 appearing as Exhibit 99.3 and our report dated November 17, 2022, relating to the consolidated financial statements of PennantPark Senior Loan Fund LLC as of and for the years ended September 30, 2022 and 2021 appearing as Exhibits 99.4 in the accompanying Form 10-K of the Company for the year ended September 30, 2023.</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We also consent to the reference to our firm under the headings “Senior Securities” in the accompanying Form 10-K and “Independent Registered Public Accounting Firm” in such Registration Statement on Form N-2.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and Chairman of the Board of Directors of PennantPark Investment Corporation, certify that:</w:t>
      </w:r>
    </w:p>
    <w:p>
      <w:pPr>
        <w:spacing w:after="0" w:line="127" w:lineRule="exact"/>
        <w:rPr>
          <w:sz w:val="20"/>
          <w:szCs w:val="20"/>
          <w:color w:val="auto"/>
        </w:rPr>
      </w:pPr>
    </w:p>
    <w:p>
      <w:pPr>
        <w:ind w:left="360" w:hanging="126"/>
        <w:spacing w:after="0"/>
        <w:tabs>
          <w:tab w:leader="none" w:pos="36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Investment Corporation;</w:t>
      </w:r>
    </w:p>
    <w:p>
      <w:pPr>
        <w:spacing w:after="0" w:line="126" w:lineRule="exact"/>
        <w:rPr>
          <w:rFonts w:ascii="Times New Roman" w:cs="Times New Roman" w:eastAsia="Times New Roman" w:hAnsi="Times New Roman"/>
          <w:sz w:val="13"/>
          <w:szCs w:val="13"/>
          <w:color w:val="auto"/>
        </w:rPr>
      </w:pPr>
    </w:p>
    <w:p>
      <w:pPr>
        <w:ind w:left="240" w:right="60" w:hanging="6"/>
        <w:spacing w:after="0" w:line="286" w:lineRule="auto"/>
        <w:tabs>
          <w:tab w:leader="none" w:pos="37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3"/>
          <w:szCs w:val="13"/>
          <w:color w:val="auto"/>
        </w:rPr>
      </w:pPr>
    </w:p>
    <w:p>
      <w:pPr>
        <w:ind w:left="240" w:right="120" w:hanging="6"/>
        <w:spacing w:after="0" w:line="286" w:lineRule="auto"/>
        <w:tabs>
          <w:tab w:leader="none" w:pos="37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3"/>
          <w:szCs w:val="13"/>
          <w:color w:val="auto"/>
        </w:rPr>
      </w:pPr>
    </w:p>
    <w:p>
      <w:pPr>
        <w:ind w:left="240" w:right="180" w:hanging="6"/>
        <w:spacing w:after="0" w:line="286" w:lineRule="auto"/>
        <w:tabs>
          <w:tab w:leader="none" w:pos="37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5"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5"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3"/>
          <w:szCs w:val="13"/>
          <w:color w:val="auto"/>
        </w:rPr>
      </w:pPr>
    </w:p>
    <w:p>
      <w:pPr>
        <w:ind w:left="240" w:right="40" w:hanging="6"/>
        <w:spacing w:after="0" w:line="286" w:lineRule="auto"/>
        <w:tabs>
          <w:tab w:leader="none" w:pos="37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December 7, 2023</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181610</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Investment Corporation, certify that:</w:t>
      </w:r>
    </w:p>
    <w:p>
      <w:pPr>
        <w:spacing w:after="0" w:line="163" w:lineRule="exact"/>
        <w:rPr>
          <w:sz w:val="20"/>
          <w:szCs w:val="20"/>
          <w:color w:val="auto"/>
        </w:rPr>
      </w:pPr>
    </w:p>
    <w:p>
      <w:pPr>
        <w:ind w:left="140" w:hanging="134"/>
        <w:spacing w:after="0"/>
        <w:tabs>
          <w:tab w:leader="none" w:pos="1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PennantPark Investment Corporation;</w:t>
      </w:r>
    </w:p>
    <w:p>
      <w:pPr>
        <w:spacing w:after="0" w:line="162" w:lineRule="exact"/>
        <w:rPr>
          <w:rFonts w:ascii="Times New Roman" w:cs="Times New Roman" w:eastAsia="Times New Roman" w:hAnsi="Times New Roman"/>
          <w:sz w:val="13"/>
          <w:szCs w:val="13"/>
          <w:color w:val="auto"/>
        </w:rPr>
      </w:pPr>
    </w:p>
    <w:p>
      <w:pPr>
        <w:ind w:right="280" w:firstLine="6"/>
        <w:spacing w:after="0" w:line="286" w:lineRule="auto"/>
        <w:tabs>
          <w:tab w:leader="none" w:pos="13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80" w:firstLine="6"/>
        <w:spacing w:after="0" w:line="286" w:lineRule="auto"/>
        <w:tabs>
          <w:tab w:leader="none" w:pos="13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right="180" w:firstLine="6"/>
        <w:spacing w:after="0" w:line="286" w:lineRule="auto"/>
        <w:tabs>
          <w:tab w:leader="none" w:pos="13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left="480" w:right="160" w:hanging="6"/>
        <w:spacing w:after="0" w:line="286" w:lineRule="auto"/>
        <w:tabs>
          <w:tab w:leader="none" w:pos="615"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Times New Roman" w:cs="Times New Roman" w:eastAsia="Times New Roman" w:hAnsi="Times New Roman"/>
          <w:sz w:val="13"/>
          <w:szCs w:val="13"/>
          <w:color w:val="auto"/>
        </w:rPr>
      </w:pPr>
    </w:p>
    <w:p>
      <w:pPr>
        <w:ind w:left="480" w:right="360" w:hanging="6"/>
        <w:spacing w:after="0" w:line="286" w:lineRule="auto"/>
        <w:tabs>
          <w:tab w:leader="none" w:pos="623"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Times New Roman" w:cs="Times New Roman" w:eastAsia="Times New Roman" w:hAnsi="Times New Roman"/>
          <w:sz w:val="13"/>
          <w:szCs w:val="13"/>
          <w:color w:val="auto"/>
        </w:rPr>
      </w:pPr>
    </w:p>
    <w:p>
      <w:pPr>
        <w:ind w:left="480" w:right="520" w:hanging="6"/>
        <w:spacing w:after="0" w:line="286" w:lineRule="auto"/>
        <w:tabs>
          <w:tab w:leader="none" w:pos="615"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left="480" w:right="180" w:hanging="6"/>
        <w:spacing w:after="0" w:line="286" w:lineRule="auto"/>
        <w:tabs>
          <w:tab w:leader="none" w:pos="623"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120" w:firstLine="6"/>
        <w:spacing w:after="0" w:line="286" w:lineRule="auto"/>
        <w:tabs>
          <w:tab w:leader="none" w:pos="132"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left="480" w:right="240" w:hanging="6"/>
        <w:spacing w:after="0" w:line="286" w:lineRule="auto"/>
        <w:tabs>
          <w:tab w:leader="none" w:pos="615"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620" w:hanging="146"/>
        <w:spacing w:after="0"/>
        <w:tabs>
          <w:tab w:leader="none" w:pos="620"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December 7, 2023</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2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Richard T. Allorto, Jr.</w:t>
            </w:r>
          </w:p>
        </w:tc>
        <w:tc>
          <w:tcPr>
            <w:tcW w:w="7180" w:type="dxa"/>
            <w:vAlign w:val="bottom"/>
          </w:tcPr>
          <w:p>
            <w:pPr>
              <w:spacing w:after="0"/>
              <w:rPr>
                <w:sz w:val="13"/>
                <w:szCs w:val="13"/>
                <w:color w:val="auto"/>
              </w:rPr>
            </w:pPr>
          </w:p>
        </w:tc>
      </w:tr>
      <w:tr>
        <w:trPr>
          <w:trHeight w:val="172"/>
        </w:trPr>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2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Chief Financial Officer</w:t>
            </w:r>
          </w:p>
        </w:tc>
        <w:tc>
          <w:tcPr>
            <w:tcW w:w="7180" w:type="dxa"/>
            <w:vAlign w:val="bottom"/>
          </w:tcPr>
          <w:p>
            <w:pPr>
              <w:spacing w:after="0"/>
              <w:rPr>
                <w:sz w:val="14"/>
                <w:szCs w:val="14"/>
                <w:color w:val="auto"/>
              </w:rPr>
            </w:pPr>
          </w:p>
        </w:tc>
      </w:tr>
      <w:tr>
        <w:trPr>
          <w:trHeight w:val="296"/>
        </w:trPr>
        <w:tc>
          <w:tcPr>
            <w:tcW w:w="8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71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22" w:name="page123"/>
    <w:bookmarkEnd w:id="122"/>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Section 1350)</w:t>
      </w:r>
    </w:p>
    <w:p>
      <w:pPr>
        <w:spacing w:after="0" w:line="113" w:lineRule="exact"/>
        <w:rPr>
          <w:sz w:val="20"/>
          <w:szCs w:val="20"/>
          <w:color w:val="auto"/>
        </w:rPr>
      </w:pPr>
    </w:p>
    <w:p>
      <w:pPr>
        <w:ind w:right="38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 K of PennantPark Investment Corporation for the annual period ended September 30, 2023 as filed with the Securities and Exchange Commission on the date hereof (the “Report”), I, Arthur H. Penn, as Chief Executive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7, 2023</w:t>
            </w:r>
          </w:p>
        </w:tc>
      </w:tr>
      <w:tr>
        <w:trPr>
          <w:trHeight w:val="29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23" w:name="page124"/>
    <w:bookmarkEnd w:id="123"/>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Section 1350)</w:t>
      </w:r>
    </w:p>
    <w:p>
      <w:pPr>
        <w:spacing w:after="0" w:line="113" w:lineRule="exact"/>
        <w:rPr>
          <w:sz w:val="20"/>
          <w:szCs w:val="20"/>
          <w:color w:val="auto"/>
        </w:rPr>
      </w:pPr>
    </w:p>
    <w:p>
      <w:pPr>
        <w:ind w:right="380" w:firstLine="468"/>
        <w:spacing w:after="0" w:line="286" w:lineRule="auto"/>
        <w:rPr>
          <w:sz w:val="20"/>
          <w:szCs w:val="20"/>
          <w:color w:val="auto"/>
        </w:rPr>
      </w:pPr>
      <w:r>
        <w:rPr>
          <w:rFonts w:ascii="Times New Roman" w:cs="Times New Roman" w:eastAsia="Times New Roman" w:hAnsi="Times New Roman"/>
          <w:sz w:val="13"/>
          <w:szCs w:val="13"/>
          <w:color w:val="auto"/>
        </w:rPr>
        <w:t>In connection with the Annual Report on Form 10-K of PennantPark Investment Corporation for the annual period ended September 30, 2023 as filed with the Securities and Exchange Commission on the date hereof (the “Report”), I, Richard T. Allorto, Jr., as Chief Financial Officer of the Registrant hereby certify, to the best of my knowledge that:</w:t>
      </w:r>
    </w:p>
    <w:p>
      <w:pPr>
        <w:spacing w:after="0" w:line="76" w:lineRule="exact"/>
        <w:rPr>
          <w:sz w:val="20"/>
          <w:szCs w:val="20"/>
          <w:color w:val="auto"/>
        </w:rPr>
      </w:pPr>
    </w:p>
    <w:p>
      <w:pPr>
        <w:ind w:left="420" w:hanging="186"/>
        <w:spacing w:after="0"/>
        <w:tabs>
          <w:tab w:leader="none" w:pos="4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Allorto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7, 2023</w:t>
            </w:r>
          </w:p>
        </w:tc>
      </w:tr>
      <w:tr>
        <w:trPr>
          <w:trHeight w:val="476"/>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24" w:name="page125"/>
    <w:bookmarkEnd w:id="124"/>
    <w:p>
      <w:pPr>
        <w:ind w:left="9740"/>
        <w:spacing w:after="0"/>
        <w:rPr>
          <w:sz w:val="20"/>
          <w:szCs w:val="20"/>
          <w:color w:val="auto"/>
        </w:rPr>
      </w:pPr>
      <w:r>
        <w:rPr>
          <w:rFonts w:ascii="Times New Roman" w:cs="Times New Roman" w:eastAsia="Times New Roman" w:hAnsi="Times New Roman"/>
          <w:sz w:val="13"/>
          <w:szCs w:val="13"/>
          <w:b w:val="1"/>
          <w:bCs w:val="1"/>
          <w:color w:val="auto"/>
        </w:rPr>
        <w:t>EXHIBIT 97.1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PENNANTPARK INVESTMENT CORPORATION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CLAWBACK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 (the “</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 of each of PennantPark Investment Corporation, a Maryland corporation (“</w:t>
      </w:r>
      <w:r>
        <w:rPr>
          <w:rFonts w:ascii="Times New Roman" w:cs="Times New Roman" w:eastAsia="Times New Roman" w:hAnsi="Times New Roman"/>
          <w:sz w:val="13"/>
          <w:szCs w:val="13"/>
          <w:b w:val="1"/>
          <w:bCs w:val="1"/>
          <w:color w:val="auto"/>
        </w:rPr>
        <w:t>PNNT</w:t>
      </w:r>
      <w:r>
        <w:rPr>
          <w:rFonts w:ascii="Times New Roman" w:cs="Times New Roman" w:eastAsia="Times New Roman" w:hAnsi="Times New Roman"/>
          <w:sz w:val="13"/>
          <w:szCs w:val="13"/>
          <w:color w:val="auto"/>
        </w:rPr>
        <w:t>”), and PennantPark Floating Rate Capital Ltd., a Maryland corporation</w:t>
      </w:r>
    </w:p>
    <w:p>
      <w:pPr>
        <w:spacing w:after="0" w:line="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PFLT</w:t>
      </w:r>
      <w:r>
        <w:rPr>
          <w:rFonts w:ascii="Times New Roman" w:cs="Times New Roman" w:eastAsia="Times New Roman" w:hAnsi="Times New Roman"/>
          <w:sz w:val="13"/>
          <w:szCs w:val="13"/>
          <w:color w:val="auto"/>
        </w:rPr>
        <w:t>”, and collectively with PNNT,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believes that it is in the best interests of the Company and its stockholders to adopt this Clawback Policy (this “</w:t>
      </w:r>
      <w:r>
        <w:rPr>
          <w:rFonts w:ascii="Times New Roman" w:cs="Times New Roman" w:eastAsia="Times New Roman" w:hAnsi="Times New Roman"/>
          <w:sz w:val="13"/>
          <w:szCs w:val="13"/>
          <w:b w:val="1"/>
          <w:bCs w:val="1"/>
          <w:color w:val="auto"/>
        </w:rPr>
        <w:t>Policy</w:t>
      </w:r>
      <w:r>
        <w:rPr>
          <w:rFonts w:ascii="Times New Roman" w:cs="Times New Roman" w:eastAsia="Times New Roman" w:hAnsi="Times New Roman"/>
          <w:sz w:val="13"/>
          <w:szCs w:val="13"/>
          <w:color w:val="auto"/>
        </w:rPr>
        <w:t>”), which provides for the recovery of Incentive-Based Compensation received by Covered Executives, if any, in the event of an Accounting Restatement (as such terms are defined below). The Company currently does not pay or otherwise award Incentive-Based Compensation to Covered Executives but nevertheless has designed and implemented this Policy to comply with Section 10D of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Rule 10D- 1 promulgated under the Exchange Act (“</w:t>
      </w:r>
      <w:r>
        <w:rPr>
          <w:rFonts w:ascii="Times New Roman" w:cs="Times New Roman" w:eastAsia="Times New Roman" w:hAnsi="Times New Roman"/>
          <w:sz w:val="13"/>
          <w:szCs w:val="13"/>
          <w:b w:val="1"/>
          <w:bCs w:val="1"/>
          <w:color w:val="auto"/>
        </w:rPr>
        <w:t>Rule 10D-1</w:t>
      </w:r>
      <w:r>
        <w:rPr>
          <w:rFonts w:ascii="Times New Roman" w:cs="Times New Roman" w:eastAsia="Times New Roman" w:hAnsi="Times New Roman"/>
          <w:sz w:val="13"/>
          <w:szCs w:val="13"/>
          <w:color w:val="auto"/>
        </w:rPr>
        <w:t>”) and Section 303A.14 of the New York Stock Exchange Listed Company Manual (the “</w:t>
      </w:r>
      <w:r>
        <w:rPr>
          <w:rFonts w:ascii="Times New Roman" w:cs="Times New Roman" w:eastAsia="Times New Roman" w:hAnsi="Times New Roman"/>
          <w:sz w:val="13"/>
          <w:szCs w:val="13"/>
          <w:b w:val="1"/>
          <w:bCs w:val="1"/>
          <w:color w:val="auto"/>
        </w:rPr>
        <w:t>Listing Standards</w:t>
      </w:r>
      <w:r>
        <w:rPr>
          <w:rFonts w:ascii="Times New Roman" w:cs="Times New Roman" w:eastAsia="Times New Roman" w:hAnsi="Times New Roman"/>
          <w:sz w:val="13"/>
          <w:szCs w:val="13"/>
          <w:color w:val="auto"/>
        </w:rPr>
        <w:t>”). This Policy shall be interpreted in a manner consistent with Rule 10D-1 and the Listing Standards.</w:t>
      </w:r>
    </w:p>
    <w:p>
      <w:pPr>
        <w:spacing w:after="0" w:line="192" w:lineRule="exact"/>
        <w:rPr>
          <w:sz w:val="20"/>
          <w:szCs w:val="20"/>
          <w:color w:val="auto"/>
        </w:rPr>
      </w:pPr>
    </w:p>
    <w:p>
      <w:pPr>
        <w:ind w:left="400" w:hanging="394"/>
        <w:spacing w:after="0"/>
        <w:tabs>
          <w:tab w:leader="none" w:pos="400"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Administration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3"/>
          <w:szCs w:val="13"/>
          <w:color w:val="auto"/>
        </w:rPr>
        <w:t>Except as specifically set forth herein, this Policy shall be administered by the Board or, if so designated by the Board, a committee thereof (the Board or such committee charged with administration of this Policy, the “</w:t>
      </w:r>
      <w:r>
        <w:rPr>
          <w:rFonts w:ascii="Times New Roman" w:cs="Times New Roman" w:eastAsia="Times New Roman" w:hAnsi="Times New Roman"/>
          <w:sz w:val="13"/>
          <w:szCs w:val="13"/>
          <w:b w:val="1"/>
          <w:bCs w:val="1"/>
          <w:color w:val="auto"/>
        </w:rPr>
        <w:t>Administrator</w:t>
      </w:r>
      <w:r>
        <w:rPr>
          <w:rFonts w:ascii="Times New Roman" w:cs="Times New Roman" w:eastAsia="Times New Roman" w:hAnsi="Times New Roman"/>
          <w:sz w:val="13"/>
          <w:szCs w:val="13"/>
          <w:color w:val="auto"/>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this Policy. In the administration of this Policy, the Administrator is authorized and directed to consult with the full Board (if this Policy is administered by a committee of the Board in accordance herewith) or such committees of the Board, such as the Audit Committee, Compliance Committee or the Compensation Committee, as applicable and as may be necessary or appropriate as to matters within the scope of such committee’s responsibility and authority. Subject to any limitation of applicable law, the Administrator may authorize and empower any one or more officers of the Company to take any and all actions necessary or appropriate to carry out the purpose and intent of this Policy (other than with respect to any recovery under this Policy involving any such officer(s)).</w:t>
      </w:r>
    </w:p>
    <w:p>
      <w:pPr>
        <w:spacing w:after="0" w:line="190" w:lineRule="exact"/>
        <w:rPr>
          <w:sz w:val="20"/>
          <w:szCs w:val="20"/>
          <w:color w:val="auto"/>
        </w:rPr>
      </w:pPr>
    </w:p>
    <w:p>
      <w:pPr>
        <w:ind w:left="400" w:hanging="394"/>
        <w:spacing w:after="0"/>
        <w:tabs>
          <w:tab w:leader="none" w:pos="40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used in this Policy, the following definitions shall apply:</w:t>
      </w:r>
    </w:p>
    <w:p>
      <w:pPr>
        <w:spacing w:after="0" w:line="101" w:lineRule="exact"/>
        <w:rPr>
          <w:sz w:val="20"/>
          <w:szCs w:val="20"/>
          <w:color w:val="auto"/>
        </w:rPr>
      </w:pPr>
    </w:p>
    <w:p>
      <w:pPr>
        <w:ind w:left="480" w:right="140"/>
        <w:spacing w:after="0" w:line="269" w:lineRule="auto"/>
        <w:rPr>
          <w:sz w:val="20"/>
          <w:szCs w:val="20"/>
          <w:color w:val="auto"/>
        </w:rPr>
      </w:pPr>
      <w:r>
        <w:rPr>
          <w:rFonts w:ascii="Times New Roman" w:cs="Times New Roman" w:eastAsia="Times New Roman" w:hAnsi="Times New Roman"/>
          <w:sz w:val="13"/>
          <w:szCs w:val="13"/>
          <w:color w:val="auto"/>
        </w:rPr>
        <w:t>a)“</w:t>
      </w:r>
      <w:r>
        <w:rPr>
          <w:rFonts w:ascii="Times New Roman" w:cs="Times New Roman" w:eastAsia="Times New Roman" w:hAnsi="Times New Roman"/>
          <w:sz w:val="13"/>
          <w:szCs w:val="13"/>
          <w:b w:val="1"/>
          <w:bCs w:val="1"/>
          <w:color w:val="auto"/>
        </w:rPr>
        <w:t>Accounting Restatement</w:t>
      </w:r>
      <w:r>
        <w:rPr>
          <w:rFonts w:ascii="Times New Roman" w:cs="Times New Roman" w:eastAsia="Times New Roman" w:hAnsi="Times New Roman"/>
          <w:sz w:val="13"/>
          <w:szCs w:val="13"/>
          <w:color w:val="auto"/>
        </w:rPr>
        <w:t>” means an accounting restatement of the Company’s financial statements due to the Company’s material noncompliance with any financial reporting requirement under the securities laws of the United States of America,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w:t>
      </w:r>
      <w:r>
        <w:rPr>
          <w:rFonts w:ascii="Times New Roman" w:cs="Times New Roman" w:eastAsia="Times New Roman" w:hAnsi="Times New Roman"/>
          <w:sz w:val="13"/>
          <w:szCs w:val="13"/>
          <w:b w:val="1"/>
          <w:bCs w:val="1"/>
          <w:color w:val="auto"/>
        </w:rPr>
        <w:t>Administrator</w:t>
      </w:r>
      <w:r>
        <w:rPr>
          <w:rFonts w:ascii="Times New Roman" w:cs="Times New Roman" w:eastAsia="Times New Roman" w:hAnsi="Times New Roman"/>
          <w:sz w:val="13"/>
          <w:szCs w:val="13"/>
          <w:color w:val="auto"/>
        </w:rPr>
        <w:t>” has the meaning set forth in Section 1 hereof.</w:t>
      </w:r>
    </w:p>
    <w:p>
      <w:pPr>
        <w:spacing w:after="0" w:line="103" w:lineRule="exact"/>
        <w:rPr>
          <w:sz w:val="20"/>
          <w:szCs w:val="20"/>
          <w:color w:val="auto"/>
        </w:rPr>
      </w:pPr>
    </w:p>
    <w:p>
      <w:pPr>
        <w:ind w:left="480" w:right="100"/>
        <w:spacing w:after="0" w:line="256" w:lineRule="auto"/>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13"/>
          <w:szCs w:val="13"/>
          <w:b w:val="1"/>
          <w:bCs w:val="1"/>
          <w:color w:val="auto"/>
        </w:rPr>
        <w:t>Applicable Period</w:t>
      </w:r>
      <w:r>
        <w:rPr>
          <w:rFonts w:ascii="Times New Roman" w:cs="Times New Roman" w:eastAsia="Times New Roman" w:hAnsi="Times New Roman"/>
          <w:sz w:val="13"/>
          <w:szCs w:val="13"/>
          <w:color w:val="auto"/>
        </w:rPr>
        <w:t>”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nine to 12 months shall be deemed a completed fiscal year). The “</w:t>
      </w:r>
      <w:r>
        <w:rPr>
          <w:rFonts w:ascii="Times New Roman" w:cs="Times New Roman" w:eastAsia="Times New Roman" w:hAnsi="Times New Roman"/>
          <w:sz w:val="13"/>
          <w:szCs w:val="13"/>
          <w:b w:val="1"/>
          <w:bCs w:val="1"/>
          <w:color w:val="auto"/>
        </w:rPr>
        <w:t>date 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which the Company is required to prepare an Accounting Restatement</w:t>
      </w:r>
      <w:r>
        <w:rPr>
          <w:rFonts w:ascii="Times New Roman" w:cs="Times New Roman" w:eastAsia="Times New Roman" w:hAnsi="Times New Roman"/>
          <w:sz w:val="13"/>
          <w:szCs w:val="13"/>
          <w:color w:val="auto"/>
        </w:rPr>
        <w:t>” is the earlier to occur of (a) the date the Board, a committee thereof, or the officer or officers of the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to take such action if action by the Board or a committee thereof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spacing w:after="0" w:line="72" w:lineRule="exact"/>
        <w:rPr>
          <w:sz w:val="20"/>
          <w:szCs w:val="20"/>
          <w:color w:val="auto"/>
        </w:rPr>
      </w:pPr>
    </w:p>
    <w:p>
      <w:pPr>
        <w:ind w:left="480" w:right="100"/>
        <w:spacing w:after="0" w:line="258" w:lineRule="auto"/>
        <w:rPr>
          <w:sz w:val="20"/>
          <w:szCs w:val="20"/>
          <w:color w:val="auto"/>
        </w:rPr>
      </w:pPr>
      <w:r>
        <w:rPr>
          <w:rFonts w:ascii="Times New Roman" w:cs="Times New Roman" w:eastAsia="Times New Roman" w:hAnsi="Times New Roman"/>
          <w:sz w:val="13"/>
          <w:szCs w:val="13"/>
          <w:color w:val="auto"/>
        </w:rPr>
        <w:t>d)“</w:t>
      </w:r>
      <w:r>
        <w:rPr>
          <w:rFonts w:ascii="Times New Roman" w:cs="Times New Roman" w:eastAsia="Times New Roman" w:hAnsi="Times New Roman"/>
          <w:sz w:val="13"/>
          <w:szCs w:val="13"/>
          <w:b w:val="1"/>
          <w:bCs w:val="1"/>
          <w:color w:val="auto"/>
        </w:rPr>
        <w:t>Covered Executives</w:t>
      </w:r>
      <w:r>
        <w:rPr>
          <w:rFonts w:ascii="Times New Roman" w:cs="Times New Roman" w:eastAsia="Times New Roman" w:hAnsi="Times New Roman"/>
          <w:sz w:val="13"/>
          <w:szCs w:val="13"/>
          <w:color w:val="auto"/>
        </w:rPr>
        <w:t>” means any current or former executive officer of the Company, including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of the Company who performs a policy-making function, or any other person who performs similar policy-making functions for the Company, and any officer within the meaning of 17 C.F.R. 229.401(b). An executive officer of the Company’s parent or subsidiary is deemed a “Covered Executive” if the executive officer performs such policy making functions for the Company. Policy making function is not intended to include policy making functions that are not significant to the Company. The definition of “Covered Executives” shall be interpreted in accordance with the definition of “Executive Officer” set forth in Rule 10D-1 and the Listing Standards.</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w:t>
      </w:r>
      <w:r>
        <w:rPr>
          <w:rFonts w:ascii="Times New Roman" w:cs="Times New Roman" w:eastAsia="Times New Roman" w:hAnsi="Times New Roman"/>
          <w:sz w:val="13"/>
          <w:szCs w:val="13"/>
          <w:b w:val="1"/>
          <w:bCs w:val="1"/>
          <w:color w:val="auto"/>
        </w:rPr>
        <w:t>Erroneously Awarded Compensation</w:t>
      </w:r>
      <w:r>
        <w:rPr>
          <w:rFonts w:ascii="Times New Roman" w:cs="Times New Roman" w:eastAsia="Times New Roman" w:hAnsi="Times New Roman"/>
          <w:sz w:val="13"/>
          <w:szCs w:val="13"/>
          <w:color w:val="auto"/>
        </w:rPr>
        <w:t>” has the meaning set forth in Section 5 of this Policy.</w:t>
      </w:r>
    </w:p>
    <w:p>
      <w:pPr>
        <w:spacing w:after="0" w:line="103" w:lineRule="exact"/>
        <w:rPr>
          <w:sz w:val="20"/>
          <w:szCs w:val="20"/>
          <w:color w:val="auto"/>
        </w:rPr>
      </w:pPr>
    </w:p>
    <w:p>
      <w:pPr>
        <w:ind w:left="480"/>
        <w:spacing w:after="0" w:line="260" w:lineRule="auto"/>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3"/>
          <w:szCs w:val="13"/>
          <w:b w:val="1"/>
          <w:bCs w:val="1"/>
          <w:color w:val="auto"/>
        </w:rPr>
        <w:t>Financial Reporting Measure</w:t>
      </w:r>
      <w:r>
        <w:rPr>
          <w:rFonts w:ascii="Times New Roman" w:cs="Times New Roman" w:eastAsia="Times New Roman" w:hAnsi="Times New Roman"/>
          <w:sz w:val="13"/>
          <w:szCs w:val="13"/>
          <w:color w:val="auto"/>
        </w:rPr>
        <w:t>” means any measure that is determined and presented in accordance with the accounting principles used in preparing the Company’s financial statements, and any measure that is derived wholly or in part from such measure. For the avoidance of doubt, Financial Reporting Measures include but are not limited to the following (and any measure derived from the following): the Company’s stock price; total stockholder return (“</w:t>
      </w:r>
      <w:r>
        <w:rPr>
          <w:rFonts w:ascii="Times New Roman" w:cs="Times New Roman" w:eastAsia="Times New Roman" w:hAnsi="Times New Roman"/>
          <w:sz w:val="13"/>
          <w:szCs w:val="13"/>
          <w:b w:val="1"/>
          <w:bCs w:val="1"/>
          <w:color w:val="auto"/>
        </w:rPr>
        <w:t>TSR</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net asset value; net investment income; net investment gains; profitability; financial ratios; earnings before interest, taxes depreciation and amortization; funds from operations and adjusted funds from operations; liquidity measures; return measures (e.g., return on investment capital; return on assets); earnings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125" w:name="page126"/>
    <w:bookmarkEnd w:id="125"/>
    <w:p>
      <w:pPr>
        <w:ind w:left="480" w:right="500"/>
        <w:spacing w:after="0" w:line="286" w:lineRule="auto"/>
        <w:rPr>
          <w:sz w:val="20"/>
          <w:szCs w:val="20"/>
          <w:color w:val="auto"/>
        </w:rPr>
      </w:pPr>
      <w:r>
        <w:rPr>
          <w:rFonts w:ascii="Times New Roman" w:cs="Times New Roman" w:eastAsia="Times New Roman" w:hAnsi="Times New Roman"/>
          <w:sz w:val="13"/>
          <w:szCs w:val="13"/>
          <w:color w:val="auto"/>
        </w:rPr>
        <w:t>(e.g., earnings per share); and any of such financial reporting measures relative to a peer group. A Financial Reporting Measure need not be presented within the Company’s financial statements or included in a filing with the Securities and Exchange Commission.</w:t>
      </w:r>
    </w:p>
    <w:p>
      <w:pPr>
        <w:spacing w:after="0" w:line="50" w:lineRule="exact"/>
        <w:rPr>
          <w:sz w:val="20"/>
          <w:szCs w:val="20"/>
          <w:color w:val="auto"/>
        </w:rPr>
      </w:pPr>
    </w:p>
    <w:p>
      <w:pPr>
        <w:ind w:left="480" w:right="20"/>
        <w:spacing w:after="0" w:line="269" w:lineRule="auto"/>
        <w:rPr>
          <w:sz w:val="20"/>
          <w:szCs w:val="20"/>
          <w:color w:val="auto"/>
        </w:rPr>
      </w:pPr>
      <w:r>
        <w:rPr>
          <w:rFonts w:ascii="Times New Roman" w:cs="Times New Roman" w:eastAsia="Times New Roman" w:hAnsi="Times New Roman"/>
          <w:sz w:val="13"/>
          <w:szCs w:val="13"/>
          <w:color w:val="auto"/>
        </w:rPr>
        <w:t>g)“</w:t>
      </w:r>
      <w:r>
        <w:rPr>
          <w:rFonts w:ascii="Times New Roman" w:cs="Times New Roman" w:eastAsia="Times New Roman" w:hAnsi="Times New Roman"/>
          <w:sz w:val="13"/>
          <w:szCs w:val="13"/>
          <w:b w:val="1"/>
          <w:bCs w:val="1"/>
          <w:color w:val="auto"/>
        </w:rPr>
        <w:t>Incentive-Based Compensation</w:t>
      </w:r>
      <w:r>
        <w:rPr>
          <w:rFonts w:ascii="Times New Roman" w:cs="Times New Roman" w:eastAsia="Times New Roman" w:hAnsi="Times New Roman"/>
          <w:sz w:val="13"/>
          <w:szCs w:val="13"/>
          <w:color w:val="auto"/>
        </w:rPr>
        <w:t>” means any compensation that is granted, earned or vested based wholly or in part upon the attainment of a Financial Reporting Measure. For purposes of this Policy, Incentive-Based Compensation is deemed “received” in the Company’s fiscal period during which the Financial Reporting Measure specified in the Incentive -Based Compensation award is attained, even if the payment or grant of such Incentive-Based Compensation occurs after the end of that period.</w:t>
      </w:r>
    </w:p>
    <w:p>
      <w:pPr>
        <w:spacing w:after="0" w:line="122" w:lineRule="exact"/>
        <w:rPr>
          <w:sz w:val="20"/>
          <w:szCs w:val="20"/>
          <w:color w:val="auto"/>
        </w:rPr>
      </w:pPr>
    </w:p>
    <w:p>
      <w:pPr>
        <w:ind w:left="400" w:hanging="394"/>
        <w:spacing w:after="0"/>
        <w:tabs>
          <w:tab w:leader="none" w:pos="400"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Covered Executives; Incentive-Based Compensation</w:t>
      </w:r>
    </w:p>
    <w:p>
      <w:pPr>
        <w:spacing w:after="0" w:line="16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color w:val="auto"/>
        </w:rPr>
        <w:t>This Policy applies to all Incentive-Based Compensation received by a person (a) after beginning services as a Covered Executive; (b) if that person served as a Covered Executive at any time during the performance period for such Incentive-Based Compensation; and (c) while the Company had a class of its securities listed on a national securities exchange or a national securities association.</w:t>
      </w:r>
    </w:p>
    <w:p>
      <w:pPr>
        <w:spacing w:after="0" w:line="110" w:lineRule="exact"/>
        <w:rPr>
          <w:sz w:val="20"/>
          <w:szCs w:val="20"/>
          <w:color w:val="auto"/>
        </w:rPr>
      </w:pPr>
    </w:p>
    <w:p>
      <w:pPr>
        <w:ind w:left="280" w:hanging="274"/>
        <w:spacing w:after="0"/>
        <w:tabs>
          <w:tab w:leader="none" w:pos="28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Required Recovery of Erroneously Awarded Compensation in the Event of an Accounting Restatement</w:t>
      </w:r>
    </w:p>
    <w:p>
      <w:pPr>
        <w:spacing w:after="0" w:line="16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3"/>
          <w:szCs w:val="13"/>
          <w:color w:val="auto"/>
        </w:rPr>
        <w:t>In the event the Company is required to prepare an Accounting Restatement, the Company shall recover reasonably promptly the amount of any Erroneously Awarded Compensation received by any Covered Executive, as calculated pursuant to Section 5 hereof, during the Applicable Period.</w:t>
      </w:r>
    </w:p>
    <w:p>
      <w:pPr>
        <w:spacing w:after="0" w:line="110" w:lineRule="exact"/>
        <w:rPr>
          <w:sz w:val="20"/>
          <w:szCs w:val="20"/>
          <w:color w:val="auto"/>
        </w:rPr>
      </w:pPr>
    </w:p>
    <w:p>
      <w:pPr>
        <w:ind w:left="400" w:hanging="394"/>
        <w:spacing w:after="0"/>
        <w:tabs>
          <w:tab w:leader="none" w:pos="400" w:val="left"/>
        </w:tabs>
        <w:numPr>
          <w:ilvl w:val="0"/>
          <w:numId w:val="2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Erroneously Awarded Compensation: Amount Subject to Recovery</w:t>
      </w:r>
    </w:p>
    <w:p>
      <w:pPr>
        <w:spacing w:after="0" w:line="16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3"/>
          <w:szCs w:val="13"/>
          <w:color w:val="auto"/>
        </w:rPr>
        <w:t>The amount of “</w:t>
      </w:r>
      <w:r>
        <w:rPr>
          <w:rFonts w:ascii="Times New Roman" w:cs="Times New Roman" w:eastAsia="Times New Roman" w:hAnsi="Times New Roman"/>
          <w:sz w:val="13"/>
          <w:szCs w:val="13"/>
          <w:b w:val="1"/>
          <w:bCs w:val="1"/>
          <w:color w:val="auto"/>
        </w:rPr>
        <w:t>Erroneously Awarded Compensation</w:t>
      </w:r>
      <w:r>
        <w:rPr>
          <w:rFonts w:ascii="Times New Roman" w:cs="Times New Roman" w:eastAsia="Times New Roman" w:hAnsi="Times New Roman"/>
          <w:sz w:val="13"/>
          <w:szCs w:val="13"/>
          <w:color w:val="auto"/>
        </w:rPr>
        <w:t>” subject to recovery under this Policy, as determined by the Administrator, is the amount of Incentive -Based Compensation received by the Covered Executive that exceeds the amount of Incentive-Based Compensation that otherwise would have been received by the Covered Executive had it been determined based on the restated amounts.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Erroneously Awarded Compensation shall be computed without regard to any taxes paid by the Covered Executive with respect to the Erroneously Awarded Compensation.</w:t>
      </w:r>
    </w:p>
    <w:p>
      <w:pPr>
        <w:spacing w:after="0" w:line="16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3"/>
          <w:szCs w:val="13"/>
          <w:color w:val="auto"/>
        </w:rPr>
        <w:t>For Incentive-Based Compensation based on the Company’s stock price or TSR: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New York Stock Exchange (the “</w:t>
      </w:r>
      <w:r>
        <w:rPr>
          <w:rFonts w:ascii="Times New Roman" w:cs="Times New Roman" w:eastAsia="Times New Roman" w:hAnsi="Times New Roman"/>
          <w:sz w:val="13"/>
          <w:szCs w:val="13"/>
          <w:b w:val="1"/>
          <w:bCs w:val="1"/>
          <w:color w:val="auto"/>
        </w:rPr>
        <w:t>NYSE</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400" w:hanging="394"/>
        <w:spacing w:after="0"/>
        <w:tabs>
          <w:tab w:leader="none" w:pos="400" w:val="left"/>
        </w:tabs>
        <w:numPr>
          <w:ilvl w:val="0"/>
          <w:numId w:val="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Method of Recovery</w:t>
      </w:r>
    </w:p>
    <w:p>
      <w:pPr>
        <w:spacing w:after="0" w:line="16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3"/>
          <w:szCs w:val="13"/>
          <w:color w:val="auto"/>
        </w:rPr>
        <w:t>The Administrator shall determine, in its sole discretion, the timing and method for promptly recovering Erroneously Awarded Compensation hereunder, which may include without limitation (a) seeking reimbursement of all or part of any cash or equity-based award, (b) cancelling prior cash or equity- based awards, whether vested or unvested or paid or unpaid, (c) cancelling or offsetting against any planned future cash or equity- based awards, (d) forfeiture of deferred compensation, subject to compliance with Section 409A of the Internal Revenue Code and the regulations promulgated thereunder and (e) any other method authorized by applicable law or contract. Subject to compliance with applicable law, the Administrator may affect recovery under this Policy from any amount otherwise payable to the Covered Executive, including amounts payable to such individual under any otherwise applicable Company plan or program, including base salary, bonuses, other compensation, and/or compensation previously deferred by the Covered Executive.</w:t>
      </w:r>
    </w:p>
    <w:p>
      <w:pPr>
        <w:spacing w:after="0" w:line="13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3"/>
          <w:szCs w:val="13"/>
          <w:color w:val="auto"/>
        </w:rPr>
        <w:t>The Company is authorized and directed pursuant to this Policy to promptly recover Erroneously Awarded Compensation in compliance with this Policy unless the Board (including a majority of independent directors) or applicable committee thereof has determined that recovery would be impracticable solely for one of the following limited reasons, and subject to the following procedural requirements:</w:t>
      </w:r>
    </w:p>
    <w:p>
      <w:pPr>
        <w:spacing w:after="0" w:line="219" w:lineRule="exact"/>
        <w:rPr>
          <w:sz w:val="20"/>
          <w:szCs w:val="20"/>
          <w:color w:val="auto"/>
        </w:rPr>
      </w:pPr>
    </w:p>
    <w:p>
      <w:pPr>
        <w:ind w:left="480" w:right="80"/>
        <w:spacing w:after="0" w:line="268" w:lineRule="auto"/>
        <w:rPr>
          <w:sz w:val="20"/>
          <w:szCs w:val="20"/>
          <w:color w:val="auto"/>
        </w:rPr>
      </w:pPr>
      <w:r>
        <w:rPr>
          <w:rFonts w:ascii="Times New Roman" w:cs="Times New Roman" w:eastAsia="Times New Roman" w:hAnsi="Times New Roman"/>
          <w:sz w:val="13"/>
          <w:szCs w:val="13"/>
          <w:color w:val="auto"/>
        </w:rPr>
        <w:t>a)The direct expense paid to a third party to assist in enforcing this Policy would exceed the amount to be recovered. Before concluding that it would be impracticable to recover any amount of Erroneously Awarded Compensation based on expense of enforcement, the Company must make, or cause to be made, a reasonable attempt to recover such Erroneously Awarded Compensation, document such reasonable attempt(s) to recover and provide that documentation to the NYSE;</w:t>
      </w:r>
    </w:p>
    <w:p>
      <w:pPr>
        <w:spacing w:after="0" w:line="63" w:lineRule="exact"/>
        <w:rPr>
          <w:sz w:val="20"/>
          <w:szCs w:val="20"/>
          <w:color w:val="auto"/>
        </w:rPr>
      </w:pPr>
    </w:p>
    <w:p>
      <w:pPr>
        <w:ind w:left="480"/>
        <w:spacing w:after="0" w:line="268" w:lineRule="auto"/>
        <w:rPr>
          <w:sz w:val="20"/>
          <w:szCs w:val="20"/>
          <w:color w:val="auto"/>
        </w:rPr>
      </w:pPr>
      <w:r>
        <w:rPr>
          <w:rFonts w:ascii="Times New Roman" w:cs="Times New Roman" w:eastAsia="Times New Roman" w:hAnsi="Times New Roman"/>
          <w:sz w:val="13"/>
          <w:szCs w:val="13"/>
          <w:color w:val="auto"/>
        </w:rPr>
        <w:t>b)Recovery would violate home country law of the Company where that law was adopted prior to November 28, 2022. Before concluding that it would be impracticable to recovery any amount of Erroneously Awarded Compensation based on violation of home country law, the Company must obtain an opinion of home country counsel, acceptable to the NYSE, that recovery would result in such a violation and provide such opinion to the NYSE; or</w:t>
      </w:r>
    </w:p>
    <w:p>
      <w:pPr>
        <w:spacing w:after="0" w:line="63" w:lineRule="exact"/>
        <w:rPr>
          <w:sz w:val="20"/>
          <w:szCs w:val="20"/>
          <w:color w:val="auto"/>
        </w:rPr>
      </w:pPr>
    </w:p>
    <w:p>
      <w:pPr>
        <w:ind w:left="480" w:right="80"/>
        <w:spacing w:after="0" w:line="286" w:lineRule="auto"/>
        <w:rPr>
          <w:sz w:val="20"/>
          <w:szCs w:val="20"/>
          <w:color w:val="auto"/>
        </w:rPr>
      </w:pPr>
      <w:r>
        <w:rPr>
          <w:rFonts w:ascii="Times New Roman" w:cs="Times New Roman" w:eastAsia="Times New Roman" w:hAnsi="Times New Roman"/>
          <w:sz w:val="13"/>
          <w:szCs w:val="13"/>
          <w:color w:val="auto"/>
        </w:rPr>
        <w:t>c)Recovery would likely cause an otherwise tax-qualified requirement plan, under which benefits are broadly available to executive officers and/or employees, if any, of the Company, to fail to meet the requirements of 26 U.S.C. 401(a)(13) or 26 U.S.C. 411(a) and regulations thereunder.</w:t>
      </w:r>
    </w:p>
    <w:p>
      <w:pPr>
        <w:spacing w:after="0" w:line="110" w:lineRule="exact"/>
        <w:rPr>
          <w:sz w:val="20"/>
          <w:szCs w:val="20"/>
          <w:color w:val="auto"/>
        </w:rPr>
      </w:pPr>
    </w:p>
    <w:p>
      <w:pPr>
        <w:ind w:left="400" w:hanging="394"/>
        <w:spacing w:after="0"/>
        <w:tabs>
          <w:tab w:leader="none" w:pos="400"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 indemnification of Covered Executives</w:t>
      </w:r>
    </w:p>
    <w:p>
      <w:pPr>
        <w:spacing w:after="0" w:line="16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Notwithstanding the terms of any indemnification or insurance policy or any contractual or other arrangements with any Covered Executive that may be interpreted to the contrary, the Company shall not indemnify any Covered Executives against the loss of any Erroneously Awarded Compensation, including any payment or reimbursement for the cost of third-party insurance purchased by any Covered Executives to fund potential clawback obligations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149225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8" w:right="660" w:bottom="1440" w:gutter="0" w:footer="0" w:header="0"/>
        </w:sectPr>
      </w:pPr>
    </w:p>
    <w:bookmarkStart w:id="126" w:name="page127"/>
    <w:bookmarkEnd w:id="126"/>
    <w:p>
      <w:pPr>
        <w:ind w:left="400" w:hanging="394"/>
        <w:spacing w:after="0"/>
        <w:tabs>
          <w:tab w:leader="none" w:pos="40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Administrator Indemnification</w:t>
      </w:r>
    </w:p>
    <w:p>
      <w:pPr>
        <w:spacing w:after="0" w:line="16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3"/>
          <w:szCs w:val="13"/>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21" w:lineRule="exact"/>
        <w:rPr>
          <w:sz w:val="20"/>
          <w:szCs w:val="20"/>
          <w:color w:val="auto"/>
        </w:rPr>
      </w:pPr>
    </w:p>
    <w:p>
      <w:pPr>
        <w:ind w:left="400" w:hanging="394"/>
        <w:spacing w:after="0"/>
        <w:tabs>
          <w:tab w:leader="none" w:pos="40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Effective Date; Retroactive Application</w:t>
      </w:r>
    </w:p>
    <w:p>
      <w:pPr>
        <w:spacing w:after="0" w:line="16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This Policy shall be effective as of December 1, 2023 (the “</w:t>
      </w:r>
      <w:r>
        <w:rPr>
          <w:rFonts w:ascii="Times New Roman" w:cs="Times New Roman" w:eastAsia="Times New Roman" w:hAnsi="Times New Roman"/>
          <w:sz w:val="13"/>
          <w:szCs w:val="13"/>
          <w:b w:val="1"/>
          <w:bCs w:val="1"/>
          <w:color w:val="auto"/>
        </w:rPr>
        <w:t>Effective Date</w:t>
      </w:r>
      <w:r>
        <w:rPr>
          <w:rFonts w:ascii="Times New Roman" w:cs="Times New Roman" w:eastAsia="Times New Roman" w:hAnsi="Times New Roman"/>
          <w:sz w:val="13"/>
          <w:szCs w:val="13"/>
          <w:color w:val="auto"/>
        </w:rPr>
        <w:t>”). The terms of this Policy shall apply to any Incentive-Based Compensation that is received by Covered Executives on or after the Effective Date, even if such Incentive -Based Compensation was approved, awarded, granted or paid to Covered Executives prior to the Effective Date. Without limiting the generality of Section 6 hereof, and subject to applicable aw, the Administrator may affect recovery under this Policy from any amount of compensation approved, awarded, granted, payable or paid to the Covered Executive prior to, on or after the Effective Date.</w:t>
      </w:r>
    </w:p>
    <w:p>
      <w:pPr>
        <w:spacing w:after="0" w:line="125" w:lineRule="exact"/>
        <w:rPr>
          <w:sz w:val="20"/>
          <w:szCs w:val="20"/>
          <w:color w:val="auto"/>
        </w:rPr>
      </w:pPr>
    </w:p>
    <w:p>
      <w:pPr>
        <w:ind w:left="400" w:hanging="394"/>
        <w:spacing w:after="0"/>
        <w:tabs>
          <w:tab w:leader="none" w:pos="40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Amendment; Termination</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10" w:lineRule="exact"/>
        <w:rPr>
          <w:sz w:val="20"/>
          <w:szCs w:val="20"/>
          <w:color w:val="auto"/>
        </w:rPr>
      </w:pPr>
    </w:p>
    <w:p>
      <w:pPr>
        <w:ind w:left="400" w:hanging="394"/>
        <w:spacing w:after="0"/>
        <w:tabs>
          <w:tab w:leader="none" w:pos="40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Recovery Rights; Company Claims</w:t>
      </w:r>
    </w:p>
    <w:p>
      <w:pPr>
        <w:spacing w:after="0" w:line="16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The Board intends that this Policy shall be applied to the fullest extent of applicable law. Any right of recovery under this Policy is in addition to, and not in lieu of, any other remedies or rights of recovery that may be available to the Company under applicable law or pursuant to the terms of any similar policy in any employment agreement, equity award agreement, or similar agreement and any other legal remedies available to the Company.</w:t>
      </w:r>
    </w:p>
    <w:p>
      <w:pPr>
        <w:spacing w:after="0" w:line="12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3"/>
          <w:szCs w:val="13"/>
          <w:color w:val="auto"/>
        </w:rPr>
        <w:t>Nothing contained in this Policy, and no recovery as contemplated by this Policy, shall limit any claims, damages or other legal remedies the Company or any of its affiliates may have against a Covered Executive arising out of resulting from any actions or omissions by the Covered Executive.</w:t>
      </w:r>
    </w:p>
    <w:p>
      <w:pPr>
        <w:spacing w:after="0" w:line="110" w:lineRule="exact"/>
        <w:rPr>
          <w:sz w:val="20"/>
          <w:szCs w:val="20"/>
          <w:color w:val="auto"/>
        </w:rPr>
      </w:pPr>
    </w:p>
    <w:p>
      <w:pPr>
        <w:ind w:left="400" w:hanging="394"/>
        <w:spacing w:after="0"/>
        <w:tabs>
          <w:tab w:leader="none" w:pos="40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Successors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Policy shall be binding and enforceable against all Covered Executives and their beneficiaries, heirs, executors, administrators or other legal representatives.</w:t>
      </w:r>
    </w:p>
    <w:p>
      <w:pPr>
        <w:spacing w:after="0" w:line="161" w:lineRule="exact"/>
        <w:rPr>
          <w:sz w:val="20"/>
          <w:szCs w:val="20"/>
          <w:color w:val="auto"/>
        </w:rPr>
      </w:pPr>
    </w:p>
    <w:p>
      <w:pPr>
        <w:ind w:left="400" w:hanging="394"/>
        <w:spacing w:after="0"/>
        <w:tabs>
          <w:tab w:leader="none" w:pos="40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Exhibit Filing Requirement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copy of this Policy, including any amendments thereto, shall be filed as an exhibit to the Company’s annual report on Form 10-K to the extent required by applicable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Adopted: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6" w:right="76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PENNANTPARK INVESTMENT CORPORATION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PENNANTPARK FLOATING RATE CAPITAL LTD.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PRIVACY POLICY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PennantPark Investment Corporation and PennantPark Floating Rate Capital Ltd. Investors:</w:t>
      </w:r>
    </w:p>
    <w:p>
      <w:pPr>
        <w:spacing w:after="0" w:line="200" w:lineRule="exact"/>
        <w:rPr>
          <w:sz w:val="20"/>
          <w:szCs w:val="20"/>
          <w:color w:val="auto"/>
        </w:rPr>
      </w:pPr>
    </w:p>
    <w:p>
      <w:pPr>
        <w:spacing w:after="0" w:line="215"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We take precautions to maintain the privacy of personal information concerning our investors. These precautions include the adoption of certain procedures designed to maintain and secure your nonpublic personal information from inappropriate disclosure to unaffiliated third parties. We are sending this notice in accordance with applicable federal regulations. This notice applies to investors in PennantPark Investment Corporation and PennantPark Floating Rate Capital Ltd. (collectively, the “Corporation”).</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i w:val="1"/>
          <w:iCs w:val="1"/>
          <w:color w:val="auto"/>
        </w:rPr>
        <w:t>What kind of personal information do we have about you and where did we get it?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We collect nonpublic personal information about you from the following sources:</w:t>
      </w:r>
    </w:p>
    <w:p>
      <w:pPr>
        <w:spacing w:after="0" w:line="103" w:lineRule="exact"/>
        <w:rPr>
          <w:sz w:val="20"/>
          <w:szCs w:val="20"/>
          <w:color w:val="auto"/>
        </w:rPr>
      </w:pPr>
    </w:p>
    <w:p>
      <w:pPr>
        <w:ind w:left="480" w:right="4400"/>
        <w:spacing w:after="0" w:line="440" w:lineRule="auto"/>
        <w:rPr>
          <w:sz w:val="20"/>
          <w:szCs w:val="20"/>
          <w:color w:val="auto"/>
        </w:rPr>
      </w:pPr>
      <w:r>
        <w:rPr>
          <w:rFonts w:ascii="Times New Roman" w:cs="Times New Roman" w:eastAsia="Times New Roman" w:hAnsi="Times New Roman"/>
          <w:sz w:val="13"/>
          <w:szCs w:val="13"/>
          <w:color w:val="auto"/>
        </w:rPr>
        <w:t>•Information we may receive from you in subscription agreements or other related documents or forms; and •Information about your transactions with our affiliates and 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How do we protect your personal information?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We do not disclose any nonpublic personal information about our investors or former investors to anyone, except as permitted by law.</w:t>
      </w:r>
    </w:p>
    <w:p>
      <w:pPr>
        <w:spacing w:after="0" w:line="223" w:lineRule="exact"/>
        <w:rPr>
          <w:sz w:val="20"/>
          <w:szCs w:val="20"/>
          <w:color w:val="auto"/>
        </w:rPr>
      </w:pPr>
    </w:p>
    <w:p>
      <w:pPr>
        <w:ind w:right="340" w:firstLine="420"/>
        <w:spacing w:after="0" w:line="262" w:lineRule="auto"/>
        <w:rPr>
          <w:sz w:val="20"/>
          <w:szCs w:val="20"/>
          <w:color w:val="auto"/>
        </w:rPr>
      </w:pPr>
      <w:r>
        <w:rPr>
          <w:rFonts w:ascii="Times New Roman" w:cs="Times New Roman" w:eastAsia="Times New Roman" w:hAnsi="Times New Roman"/>
          <w:sz w:val="13"/>
          <w:szCs w:val="13"/>
          <w:color w:val="auto"/>
        </w:rPr>
        <w:t>We restrict access to nonpublic personal information about you to those employees and agents of PennantPark Investment Advisers, LLC, its affiliates and unaffiliated third party service providers (which may include a custodian, transfer agent or printer) who need to know that information in order to provide services to you or to the Corporation. In that regard, we note that we maintain physical, electronic, and procedural safeguards that comply with federal standards to safeguard your nonpublic personal information and which we believe is adequate to prevent unauthorized disclosure of such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What do we do with personal information about our former investors?</w:t>
      </w:r>
    </w:p>
    <w:p>
      <w:pPr>
        <w:spacing w:after="0" w:line="215" w:lineRule="exact"/>
        <w:rPr>
          <w:sz w:val="20"/>
          <w:szCs w:val="20"/>
          <w:color w:val="auto"/>
        </w:rPr>
      </w:pPr>
    </w:p>
    <w:p>
      <w:pPr>
        <w:ind w:right="440" w:firstLine="420"/>
        <w:spacing w:after="0" w:line="286" w:lineRule="auto"/>
        <w:rPr>
          <w:sz w:val="20"/>
          <w:szCs w:val="20"/>
          <w:color w:val="auto"/>
        </w:rPr>
      </w:pPr>
      <w:r>
        <w:rPr>
          <w:rFonts w:ascii="Times New Roman" w:cs="Times New Roman" w:eastAsia="Times New Roman" w:hAnsi="Times New Roman"/>
          <w:sz w:val="13"/>
          <w:szCs w:val="13"/>
          <w:color w:val="auto"/>
        </w:rPr>
        <w:t>If an investor decides to no longer do business with us, we will continue to follow this privacy policy with respect to the information we have in our possession about such investor and his/her account.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If you have any questions concerning our privacy policies, please contact our Chief Financial Officer, Richard T. Allorto, Jr., at (212) 905-1001.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59690</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Investment Corporation and its Subsidiaries</w:t>
      </w:r>
    </w:p>
    <w:p>
      <w:pPr>
        <w:spacing w:after="0" w:line="30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Our audits of the consolidated financial statements and internal control over financial reporting referred to in our reports dated December 7, 2023, (appearing in the accompanying Form 10-K) also included an audit of the senior securities table of PennantPark Investment Corporation and its Subsidiaries (the Company) appearing in Part II, Item 7 in this Form 10-K. This table is the responsibility of the Company’s management. Our responsibility is to express an opinion based on our audits of the consolidated financial statements.</w:t>
      </w:r>
    </w:p>
    <w:p>
      <w:pPr>
        <w:spacing w:after="0" w:line="12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In our opinion, the senior securities table, when considered in relation to the basic consolidated financial statements taken as a whole, presents fairly in all material respects the information set forth therein.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180340</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PennantPark Senior Loan Fund, LLC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749935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6" w:right="68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6"/>
          <w:szCs w:val="16"/>
          <w:color w:val="auto"/>
        </w:rPr>
        <w:t>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Independent Auditor’s Report</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r>
      <w:tr>
        <w:trPr>
          <w:trHeight w:val="360"/>
        </w:trPr>
        <w:tc>
          <w:tcPr>
            <w:tcW w:w="8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Financial Statements:</w:t>
            </w:r>
          </w:p>
        </w:tc>
        <w:tc>
          <w:tcPr>
            <w:tcW w:w="2440" w:type="dxa"/>
            <w:vAlign w:val="bottom"/>
          </w:tcPr>
          <w:p>
            <w:pPr>
              <w:spacing w:after="0"/>
              <w:rPr>
                <w:sz w:val="24"/>
                <w:szCs w:val="24"/>
                <w:color w:val="auto"/>
              </w:rPr>
            </w:pP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Assets, Liabilities and Members’ Equity as of September 30, 2023 and 2022</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Operations for the years ended September 30, 2023 and 2022</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Changes in Members’ Equity for the years ended September 30, 2023 and 2022</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Cash Flows for the years ended September 30, 2023 and 2022</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r>
      <w:tr>
        <w:trPr>
          <w:trHeight w:val="456"/>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Schedules of Investments as of September 30, 2023 and 2022</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Notes to Consolidated Financial Statements</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r>
      <w:tr>
        <w:trPr>
          <w:trHeight w:val="1292"/>
        </w:trPr>
        <w:tc>
          <w:tcPr>
            <w:tcW w:w="8120" w:type="dxa"/>
            <w:vAlign w:val="bottom"/>
            <w:tcBorders>
              <w:bottom w:val="single" w:sz="8" w:color="EEEEEE"/>
            </w:tcBorders>
          </w:tcPr>
          <w:p>
            <w:pPr>
              <w:spacing w:after="0"/>
              <w:rPr>
                <w:sz w:val="24"/>
                <w:szCs w:val="24"/>
                <w:color w:val="auto"/>
              </w:rPr>
            </w:pPr>
          </w:p>
        </w:tc>
        <w:tc>
          <w:tcPr>
            <w:tcW w:w="24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7" w:right="680" w:bottom="1440" w:gutter="0" w:footer="0" w:header="0"/>
        </w:sectPr>
      </w:pPr>
    </w:p>
    <w:bookmarkStart w:id="131" w:name="page132"/>
    <w:bookmarkEnd w:id="13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Member Designees’ 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Senior Loan Fund, LLC</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w:t>
      </w:r>
    </w:p>
    <w:p>
      <w:pPr>
        <w:spacing w:after="0" w:line="23"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3"/>
          <w:szCs w:val="13"/>
          <w:color w:val="auto"/>
        </w:rPr>
        <w:t>We have audited the consolidated financial statements of PennantPark Senior Loan Fund, LLC and its subsidiaries (the Fund), which comprise the consolidated statements of assets, liabilities and members’ equity, including the consolidated schedule of investments, as of September 30, 2023 and 2022, the related consolidated statements of operations, changes in members’ equity and cash flows for the years then ended, and the related notes to the consolidated financial statements (collectively, the financial statements).</w:t>
      </w:r>
    </w:p>
    <w:p>
      <w:pPr>
        <w:spacing w:after="0" w:line="13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In our opinion, the accompanying financial statements present fairly, in all material respects, the financial position of the Fund as of September 30, 2023 and 2022, and the results of its operations, changes in members’ equity and its cash flows for the years then ended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3"/>
          <w:szCs w:val="13"/>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Fund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Emphasis of Matter</w:t>
      </w:r>
    </w:p>
    <w:p>
      <w:pPr>
        <w:spacing w:after="0" w:line="23"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3"/>
          <w:szCs w:val="13"/>
          <w:color w:val="auto"/>
        </w:rPr>
        <w:t>As discussed in Note 2 of the consolidated financial statements, the 2022 financial statements have been restated to reclassify certain amounts presented within. Our opinion is not modified with respect to this matter.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Responsibilities of Management for the Financial Statements</w:t>
      </w:r>
    </w:p>
    <w:p>
      <w:pPr>
        <w:spacing w:after="0" w:line="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In preparing the financial statements, management is required to evaluate whether there are conditions or events, considered in the aggregate, that raise substantial doubt about the Fund’s ability to continue as a going concern within one year after the date that the financial statements are issued or available to be issued.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Auditor’s Responsibilities for the Audit of the Financial Statements</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performing an audit in accordance with GAAS, we:</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•Exercise professional judgment and maintain professional skepticism throughout the audit.</w:t>
      </w:r>
    </w:p>
    <w:p>
      <w:pPr>
        <w:spacing w:after="0" w:line="103" w:lineRule="exact"/>
        <w:rPr>
          <w:sz w:val="20"/>
          <w:szCs w:val="20"/>
          <w:color w:val="auto"/>
        </w:rPr>
      </w:pPr>
    </w:p>
    <w:p>
      <w:pPr>
        <w:ind w:left="480" w:right="340"/>
        <w:spacing w:after="0" w:line="286" w:lineRule="auto"/>
        <w:rPr>
          <w:sz w:val="20"/>
          <w:szCs w:val="20"/>
          <w:color w:val="auto"/>
        </w:rPr>
      </w:pPr>
      <w:r>
        <w:rPr>
          <w:rFonts w:ascii="Times New Roman" w:cs="Times New Roman" w:eastAsia="Times New Roman" w:hAnsi="Times New Roman"/>
          <w:sz w:val="13"/>
          <w:szCs w:val="13"/>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52" w:lineRule="exact"/>
        <w:rPr>
          <w:sz w:val="20"/>
          <w:szCs w:val="20"/>
          <w:color w:val="auto"/>
        </w:rPr>
      </w:pPr>
    </w:p>
    <w:p>
      <w:pPr>
        <w:ind w:left="480" w:right="40"/>
        <w:spacing w:after="0" w:line="286" w:lineRule="auto"/>
        <w:rPr>
          <w:sz w:val="20"/>
          <w:szCs w:val="20"/>
          <w:color w:val="auto"/>
        </w:rPr>
      </w:pPr>
      <w:r>
        <w:rPr>
          <w:rFonts w:ascii="Times New Roman" w:cs="Times New Roman" w:eastAsia="Times New Roman" w:hAnsi="Times New Roman"/>
          <w:sz w:val="13"/>
          <w:szCs w:val="13"/>
          <w:color w:val="auto"/>
        </w:rPr>
        <w:t>•Obtain an understanding of internal control relevant to the audit in order to design audit procedures that are appropriate in the circumstances, but not for the purpose of expressing an opinion on the effectiveness of the Fund’s internal control. Accordingly, no such opinion is expressed.</w:t>
      </w:r>
    </w:p>
    <w:p>
      <w:pPr>
        <w:spacing w:after="0" w:line="52" w:lineRule="exact"/>
        <w:rPr>
          <w:sz w:val="20"/>
          <w:szCs w:val="20"/>
          <w:color w:val="auto"/>
        </w:rPr>
      </w:pPr>
    </w:p>
    <w:p>
      <w:pPr>
        <w:ind w:left="480" w:right="100"/>
        <w:spacing w:after="0" w:line="286" w:lineRule="auto"/>
        <w:rPr>
          <w:sz w:val="20"/>
          <w:szCs w:val="20"/>
          <w:color w:val="auto"/>
        </w:rPr>
      </w:pPr>
      <w:r>
        <w:rPr>
          <w:rFonts w:ascii="Times New Roman" w:cs="Times New Roman" w:eastAsia="Times New Roman" w:hAnsi="Times New Roman"/>
          <w:sz w:val="13"/>
          <w:szCs w:val="13"/>
          <w:color w:val="auto"/>
        </w:rPr>
        <w:t>•Evaluate the appropriateness of accounting policies used and the reasonableness of significant accounting estimates made by management, as well as evaluate the overall presentation of the financial statements.</w:t>
      </w:r>
    </w:p>
    <w:p>
      <w:pPr>
        <w:spacing w:after="0" w:line="52" w:lineRule="exact"/>
        <w:rPr>
          <w:sz w:val="20"/>
          <w:szCs w:val="20"/>
          <w:color w:val="auto"/>
        </w:rPr>
      </w:pPr>
    </w:p>
    <w:p>
      <w:pPr>
        <w:ind w:left="480" w:right="340"/>
        <w:spacing w:after="0" w:line="286" w:lineRule="auto"/>
        <w:rPr>
          <w:sz w:val="20"/>
          <w:szCs w:val="20"/>
          <w:color w:val="auto"/>
        </w:rPr>
      </w:pPr>
      <w:r>
        <w:rPr>
          <w:rFonts w:ascii="Times New Roman" w:cs="Times New Roman" w:eastAsia="Times New Roman" w:hAnsi="Times New Roman"/>
          <w:sz w:val="13"/>
          <w:szCs w:val="13"/>
          <w:color w:val="auto"/>
        </w:rPr>
        <w:t>•Conclude whether, in our judgment, there are conditions or events, considered in the aggregate, that raise substantial doubt about the Fund’s ability to continue as a going concern for a reasonable period of time.</w:t>
      </w:r>
    </w:p>
    <w:p>
      <w:pPr>
        <w:spacing w:after="0" w:line="1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3"/>
          <w:szCs w:val="13"/>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7, 2023</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157480</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132" w:name="page133"/>
    <w:bookmarkEnd w:id="132"/>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Consolidated Statements of Assets, Liabilities and Members' Equity</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September 30, 2022</w:t>
            </w: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cost—$810,737 and $738,219, respectively)</w:t>
            </w:r>
          </w:p>
        </w:tc>
        <w:tc>
          <w:tcPr>
            <w:tcW w:w="1600" w:type="dxa"/>
            <w:vAlign w:val="bottom"/>
          </w:tcPr>
          <w:p>
            <w:pPr>
              <w:jc w:val="right"/>
              <w:ind w:right="145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(cost—$59,096 and $40,945, respectively)</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100" w:type="dxa"/>
            <w:vAlign w:val="bottom"/>
            <w:shd w:val="clear" w:color="auto" w:fill="CCECFF"/>
          </w:tcPr>
          <w:p>
            <w:pPr>
              <w:spacing w:after="0"/>
              <w:rPr>
                <w:sz w:val="16"/>
                <w:szCs w:val="16"/>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CFF"/>
          </w:tcPr>
          <w:p>
            <w:pPr>
              <w:spacing w:after="0"/>
              <w:rPr>
                <w:sz w:val="16"/>
                <w:szCs w:val="16"/>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100" w:type="dxa"/>
            <w:vAlign w:val="bottom"/>
            <w:shd w:val="clear" w:color="auto" w:fill="CCECFF"/>
          </w:tcPr>
          <w:p>
            <w:pPr>
              <w:spacing w:after="0"/>
              <w:rPr>
                <w:sz w:val="16"/>
                <w:szCs w:val="16"/>
                <w:color w:val="auto"/>
              </w:rPr>
            </w:pPr>
          </w:p>
        </w:tc>
      </w:tr>
      <w:tr>
        <w:trPr>
          <w:trHeight w:val="177"/>
        </w:trPr>
        <w:tc>
          <w:tcPr>
            <w:tcW w:w="60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100" w:type="dxa"/>
            <w:vAlign w:val="bottom"/>
          </w:tcPr>
          <w:p>
            <w:pPr>
              <w:spacing w:after="0"/>
              <w:rPr>
                <w:sz w:val="15"/>
                <w:szCs w:val="15"/>
                <w:color w:val="auto"/>
              </w:rPr>
            </w:pPr>
          </w:p>
        </w:tc>
      </w:tr>
      <w:tr>
        <w:trPr>
          <w:trHeight w:val="183"/>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244,284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243,896</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243,727</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169,131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145,472</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88,600</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257,600</w:t>
            </w:r>
          </w:p>
        </w:tc>
        <w:tc>
          <w:tcPr>
            <w:tcW w:w="100" w:type="dxa"/>
            <w:vAlign w:val="bottom"/>
            <w:shd w:val="clear" w:color="auto" w:fill="CCECFF"/>
          </w:tcPr>
          <w:p>
            <w:pPr>
              <w:spacing w:after="0"/>
              <w:rPr>
                <w:sz w:val="16"/>
                <w:szCs w:val="16"/>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10,421</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7,250</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CFF"/>
          </w:tcPr>
          <w:p>
            <w:pPr>
              <w:spacing w:after="0"/>
              <w:rPr>
                <w:sz w:val="16"/>
                <w:szCs w:val="16"/>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37,658</w:t>
            </w:r>
          </w:p>
        </w:tc>
        <w:tc>
          <w:tcPr>
            <w:tcW w:w="100" w:type="dxa"/>
            <w:vAlign w:val="bottom"/>
            <w:shd w:val="clear" w:color="auto" w:fill="CCECFF"/>
          </w:tcPr>
          <w:p>
            <w:pPr>
              <w:spacing w:after="0"/>
              <w:rPr>
                <w:sz w:val="16"/>
                <w:szCs w:val="16"/>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770,145</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696,825</w:t>
            </w:r>
          </w:p>
        </w:tc>
        <w:tc>
          <w:tcPr>
            <w:tcW w:w="100" w:type="dxa"/>
            <w:vAlign w:val="bottom"/>
            <w:shd w:val="clear" w:color="auto" w:fill="CCECFF"/>
          </w:tcPr>
          <w:p>
            <w:pPr>
              <w:spacing w:after="0"/>
              <w:rPr>
                <w:sz w:val="16"/>
                <w:szCs w:val="16"/>
                <w:color w:val="auto"/>
              </w:rPr>
            </w:pPr>
          </w:p>
        </w:tc>
      </w:tr>
      <w:tr>
        <w:trPr>
          <w:trHeight w:val="17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60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600" w:type="dxa"/>
            <w:vAlign w:val="bottom"/>
            <w:shd w:val="clear" w:color="auto" w:fill="CCECFF"/>
          </w:tcPr>
          <w:p>
            <w:pPr>
              <w:spacing w:after="0"/>
              <w:rPr>
                <w:sz w:val="16"/>
                <w:szCs w:val="16"/>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100" w:type="dxa"/>
            <w:vAlign w:val="bottom"/>
            <w:shd w:val="clear" w:color="auto" w:fill="CCECFF"/>
          </w:tcPr>
          <w:p>
            <w:pPr>
              <w:spacing w:after="0"/>
              <w:rPr>
                <w:sz w:val="16"/>
                <w:szCs w:val="16"/>
                <w:color w:val="auto"/>
              </w:rPr>
            </w:pPr>
          </w:p>
        </w:tc>
      </w:tr>
      <w:tr>
        <w:trPr>
          <w:trHeight w:val="177"/>
        </w:trPr>
        <w:tc>
          <w:tcPr>
            <w:tcW w:w="60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600" w:type="dxa"/>
            <w:vAlign w:val="bottom"/>
          </w:tcPr>
          <w:p>
            <w:pPr>
              <w:jc w:val="right"/>
              <w:ind w:right="1454"/>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872,763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100" w:type="dxa"/>
            <w:vAlign w:val="bottom"/>
          </w:tcPr>
          <w:p>
            <w:pPr>
              <w:spacing w:after="0"/>
              <w:rPr>
                <w:sz w:val="15"/>
                <w:szCs w:val="15"/>
                <w:color w:val="auto"/>
              </w:rPr>
            </w:pPr>
          </w:p>
        </w:tc>
      </w:tr>
      <w:tr>
        <w:trPr>
          <w:trHeight w:val="20"/>
        </w:trPr>
        <w:tc>
          <w:tcPr>
            <w:tcW w:w="60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2" w:right="68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3560" w:type="dxa"/>
            <w:vAlign w:val="bottom"/>
            <w:gridSpan w:val="2"/>
          </w:tcPr>
          <w:p>
            <w:pPr>
              <w:jc w:val="center"/>
              <w:ind w:right="1085"/>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3560" w:type="dxa"/>
            <w:vAlign w:val="bottom"/>
            <w:gridSpan w:val="2"/>
          </w:tcPr>
          <w:p>
            <w:pPr>
              <w:jc w:val="center"/>
              <w:ind w:right="1065"/>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3560" w:type="dxa"/>
            <w:vAlign w:val="bottom"/>
            <w:gridSpan w:val="2"/>
          </w:tcPr>
          <w:p>
            <w:pPr>
              <w:jc w:val="center"/>
              <w:ind w:right="1065"/>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80" w:type="dxa"/>
            <w:vAlign w:val="bottom"/>
            <w:gridSpan w:val="5"/>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3560" w:type="dxa"/>
            <w:vAlign w:val="bottom"/>
            <w:gridSpan w:val="2"/>
            <w:shd w:val="clear" w:color="auto" w:fill="CCECFF"/>
          </w:tcPr>
          <w:p>
            <w:pPr>
              <w:jc w:val="right"/>
              <w:ind w:right="225"/>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88,280</w:t>
            </w:r>
          </w:p>
        </w:tc>
        <w:tc>
          <w:tcPr>
            <w:tcW w:w="220" w:type="dxa"/>
            <w:vAlign w:val="bottom"/>
            <w:shd w:val="clear" w:color="auto" w:fill="CCECFF"/>
          </w:tcPr>
          <w:p>
            <w:pPr>
              <w:spacing w:after="0"/>
              <w:rPr>
                <w:sz w:val="16"/>
                <w:szCs w:val="16"/>
                <w:color w:val="auto"/>
              </w:rPr>
            </w:pPr>
          </w:p>
        </w:tc>
        <w:tc>
          <w:tcPr>
            <w:tcW w:w="36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37,905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32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89,690</w:t>
            </w:r>
          </w:p>
        </w:tc>
        <w:tc>
          <w:tcPr>
            <w:tcW w:w="22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38,151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3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37,977</w:t>
            </w: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11,023</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32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22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0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32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61,952</w:t>
            </w:r>
          </w:p>
        </w:tc>
        <w:tc>
          <w:tcPr>
            <w:tcW w:w="22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3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(498 )</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22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22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(8,334 )</w:t>
            </w:r>
          </w:p>
        </w:tc>
        <w:tc>
          <w:tcPr>
            <w:tcW w:w="0" w:type="dxa"/>
            <w:vAlign w:val="bottom"/>
          </w:tcPr>
          <w:p>
            <w:pPr>
              <w:spacing w:after="0"/>
              <w:rPr>
                <w:sz w:val="1"/>
                <w:szCs w:val="1"/>
                <w:color w:val="auto"/>
              </w:rPr>
            </w:pPr>
          </w:p>
        </w:tc>
      </w:tr>
      <w:tr>
        <w:trPr>
          <w:trHeight w:val="177"/>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(7,958 )</w:t>
            </w:r>
          </w:p>
        </w:tc>
        <w:tc>
          <w:tcPr>
            <w:tcW w:w="0" w:type="dxa"/>
            <w:vAlign w:val="bottom"/>
          </w:tcPr>
          <w:p>
            <w:pPr>
              <w:spacing w:after="0"/>
              <w:rPr>
                <w:sz w:val="1"/>
                <w:szCs w:val="1"/>
                <w:color w:val="auto"/>
              </w:rPr>
            </w:pPr>
          </w:p>
        </w:tc>
      </w:tr>
      <w:tr>
        <w:trPr>
          <w:trHeight w:val="220"/>
        </w:trPr>
        <w:tc>
          <w:tcPr>
            <w:tcW w:w="4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3220" w:type="dxa"/>
            <w:vAlign w:val="bottom"/>
            <w:tcBorders>
              <w:bottom w:val="single" w:sz="8" w:color="CCECFF"/>
            </w:tcBorders>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220" w:type="dxa"/>
            <w:vAlign w:val="bottom"/>
            <w:tcBorders>
              <w:bottom w:val="single" w:sz="8" w:color="CCECFF"/>
            </w:tcBorders>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2" w:right="680" w:bottom="1440" w:gutter="0" w:footer="0" w:header="0"/>
        </w:sectPr>
      </w:pPr>
    </w:p>
    <w:bookmarkStart w:id="134" w:name="page135"/>
    <w:bookmarkEnd w:id="134"/>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Members’ Equity</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80" w:type="dxa"/>
            <w:vAlign w:val="bottom"/>
          </w:tcPr>
          <w:p>
            <w:pPr>
              <w:spacing w:after="0"/>
              <w:rPr>
                <w:sz w:val="15"/>
                <w:szCs w:val="15"/>
                <w:color w:val="auto"/>
              </w:rPr>
            </w:pPr>
          </w:p>
        </w:tc>
        <w:tc>
          <w:tcPr>
            <w:tcW w:w="2760" w:type="dxa"/>
            <w:vAlign w:val="bottom"/>
            <w:gridSpan w:val="4"/>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7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members’ equity resulting from operations:</w:t>
            </w:r>
          </w:p>
        </w:tc>
        <w:tc>
          <w:tcPr>
            <w:tcW w:w="98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investment income</w:t>
            </w:r>
          </w:p>
        </w:tc>
        <w:tc>
          <w:tcPr>
            <w:tcW w:w="980" w:type="dxa"/>
            <w:vAlign w:val="bottom"/>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27,738</w:t>
            </w:r>
          </w:p>
        </w:tc>
        <w:tc>
          <w:tcPr>
            <w:tcW w:w="220" w:type="dxa"/>
            <w:vAlign w:val="bottom"/>
          </w:tcPr>
          <w:p>
            <w:pPr>
              <w:spacing w:after="0"/>
              <w:rPr>
                <w:sz w:val="15"/>
                <w:szCs w:val="15"/>
                <w:color w:val="auto"/>
              </w:rPr>
            </w:pP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100" w:type="dxa"/>
            <w:vAlign w:val="bottom"/>
          </w:tcPr>
          <w:p>
            <w:pPr>
              <w:spacing w:after="0"/>
              <w:rPr>
                <w:sz w:val="15"/>
                <w:szCs w:val="15"/>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980" w:type="dxa"/>
            <w:vAlign w:val="bottom"/>
            <w:shd w:val="clear" w:color="auto" w:fill="CCECFF"/>
          </w:tcPr>
          <w:p>
            <w:pPr>
              <w:spacing w:after="0"/>
              <w:rPr>
                <w:sz w:val="16"/>
                <w:szCs w:val="16"/>
                <w:color w:val="auto"/>
              </w:rPr>
            </w:pPr>
          </w:p>
        </w:tc>
        <w:tc>
          <w:tcPr>
            <w:tcW w:w="7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(498 )</w:t>
            </w: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CCECFF"/>
          </w:tcPr>
          <w:p>
            <w:pPr>
              <w:spacing w:after="0"/>
              <w:rPr>
                <w:sz w:val="16"/>
                <w:szCs w:val="16"/>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(8,334 )</w:t>
            </w: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increase (decrease) in members’ equity resulting from operations</w:t>
            </w:r>
          </w:p>
        </w:tc>
        <w:tc>
          <w:tcPr>
            <w:tcW w:w="98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22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100" w:type="dxa"/>
            <w:vAlign w:val="bottom"/>
            <w:shd w:val="clear" w:color="auto" w:fill="CCECFF"/>
          </w:tcPr>
          <w:p>
            <w:pPr>
              <w:spacing w:after="0"/>
              <w:rPr>
                <w:sz w:val="16"/>
                <w:szCs w:val="16"/>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Capital contributions (See Note 6)</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15,341</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25,570</w:t>
            </w:r>
          </w:p>
        </w:tc>
        <w:tc>
          <w:tcPr>
            <w:tcW w:w="100" w:type="dxa"/>
            <w:vAlign w:val="bottom"/>
          </w:tcPr>
          <w:p>
            <w:pPr>
              <w:spacing w:after="0"/>
              <w:rPr>
                <w:sz w:val="15"/>
                <w:szCs w:val="15"/>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Distributions</w:t>
            </w:r>
          </w:p>
        </w:tc>
        <w:tc>
          <w:tcPr>
            <w:tcW w:w="980" w:type="dxa"/>
            <w:vAlign w:val="bottom"/>
            <w:shd w:val="clear" w:color="auto" w:fill="CCECFF"/>
          </w:tcPr>
          <w:p>
            <w:pPr>
              <w:spacing w:after="0"/>
              <w:rPr>
                <w:sz w:val="16"/>
                <w:szCs w:val="16"/>
                <w:color w:val="auto"/>
              </w:rPr>
            </w:pPr>
          </w:p>
        </w:tc>
        <w:tc>
          <w:tcPr>
            <w:tcW w:w="7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(26,000 )</w:t>
            </w:r>
          </w:p>
        </w:tc>
        <w:tc>
          <w:tcPr>
            <w:tcW w:w="102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(15,000 )</w:t>
            </w:r>
          </w:p>
        </w:tc>
      </w:tr>
      <w:tr>
        <w:trPr>
          <w:trHeight w:val="177"/>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18,156</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16,430</w:t>
            </w:r>
          </w:p>
        </w:tc>
        <w:tc>
          <w:tcPr>
            <w:tcW w:w="100" w:type="dxa"/>
            <w:vAlign w:val="bottom"/>
          </w:tcPr>
          <w:p>
            <w:pPr>
              <w:spacing w:after="0"/>
              <w:rPr>
                <w:sz w:val="15"/>
                <w:szCs w:val="15"/>
                <w:color w:val="auto"/>
              </w:rPr>
            </w:pPr>
          </w:p>
        </w:tc>
      </w:tr>
      <w:tr>
        <w:trPr>
          <w:trHeight w:val="18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98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5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Beginning of year</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68,032</w:t>
            </w:r>
          </w:p>
        </w:tc>
        <w:tc>
          <w:tcPr>
            <w:tcW w:w="100" w:type="dxa"/>
            <w:vAlign w:val="bottom"/>
          </w:tcPr>
          <w:p>
            <w:pPr>
              <w:spacing w:after="0"/>
              <w:rPr>
                <w:sz w:val="15"/>
                <w:szCs w:val="15"/>
                <w:color w:val="auto"/>
              </w:rPr>
            </w:pPr>
          </w:p>
        </w:tc>
      </w:tr>
      <w:tr>
        <w:trPr>
          <w:trHeight w:val="224"/>
        </w:trPr>
        <w:tc>
          <w:tcPr>
            <w:tcW w:w="7180" w:type="dxa"/>
            <w:vAlign w:val="bottom"/>
            <w:tcBorders>
              <w:bottom w:val="single" w:sz="8" w:color="CCECFF"/>
            </w:tcBorders>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End of year</w:t>
            </w:r>
          </w:p>
        </w:tc>
        <w:tc>
          <w:tcPr>
            <w:tcW w:w="980" w:type="dxa"/>
            <w:vAlign w:val="bottom"/>
            <w:tcBorders>
              <w:bottom w:val="single" w:sz="8" w:color="auto"/>
            </w:tcBorders>
            <w:shd w:val="clear" w:color="auto" w:fill="CCEC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102,618</w:t>
            </w:r>
          </w:p>
        </w:tc>
        <w:tc>
          <w:tcPr>
            <w:tcW w:w="220" w:type="dxa"/>
            <w:vAlign w:val="bottom"/>
            <w:tcBorders>
              <w:bottom w:val="single" w:sz="8" w:color="CCECFF"/>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100" w:type="dxa"/>
            <w:vAlign w:val="bottom"/>
            <w:tcBorders>
              <w:bottom w:val="single" w:sz="8" w:color="CCECFF"/>
            </w:tcBorders>
            <w:shd w:val="clear" w:color="auto" w:fill="CCEC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4" w:right="68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4"/>
        </w:trPr>
        <w:tc>
          <w:tcPr>
            <w:tcW w:w="7440" w:type="dxa"/>
            <w:vAlign w:val="bottom"/>
          </w:tcPr>
          <w:p>
            <w:pPr>
              <w:jc w:val="center"/>
              <w:ind w:left="2954"/>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440" w:type="dxa"/>
            <w:vAlign w:val="bottom"/>
          </w:tcPr>
          <w:p>
            <w:pPr>
              <w:jc w:val="center"/>
              <w:ind w:left="2954"/>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440" w:type="dxa"/>
            <w:vAlign w:val="bottom"/>
          </w:tcPr>
          <w:p>
            <w:pPr>
              <w:jc w:val="center"/>
              <w:ind w:left="2954"/>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440" w:type="dxa"/>
            <w:vAlign w:val="bottom"/>
          </w:tcPr>
          <w:p>
            <w:pPr>
              <w:spacing w:after="0"/>
              <w:rPr>
                <w:sz w:val="15"/>
                <w:szCs w:val="15"/>
                <w:color w:val="auto"/>
              </w:rPr>
            </w:pPr>
          </w:p>
        </w:tc>
        <w:tc>
          <w:tcPr>
            <w:tcW w:w="2500" w:type="dxa"/>
            <w:vAlign w:val="bottom"/>
            <w:gridSpan w:val="4"/>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7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74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Net increase (decrease) in members’ equity resulting from operations</w:t>
            </w:r>
          </w:p>
        </w:tc>
        <w:tc>
          <w:tcPr>
            <w:tcW w:w="880" w:type="dxa"/>
            <w:vAlign w:val="bottom"/>
            <w:shd w:val="clear" w:color="auto" w:fill="CCEC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28,815</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100" w:type="dxa"/>
            <w:vAlign w:val="bottom"/>
            <w:shd w:val="clear" w:color="auto" w:fill="CCECFF"/>
          </w:tcPr>
          <w:p>
            <w:pPr>
              <w:spacing w:after="0"/>
              <w:rPr>
                <w:sz w:val="16"/>
                <w:szCs w:val="16"/>
                <w:color w:val="auto"/>
              </w:rPr>
            </w:pPr>
          </w:p>
        </w:tc>
      </w:tr>
      <w:tr>
        <w:trPr>
          <w:trHeight w:val="156"/>
        </w:trPr>
        <w:tc>
          <w:tcPr>
            <w:tcW w:w="7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increase (decrease) in members’ equity resulting from operations to net cash (used in) provided by</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activities: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880" w:type="dxa"/>
            <w:vAlign w:val="bottom"/>
            <w:shd w:val="clear" w:color="auto" w:fill="CCECFF"/>
          </w:tcPr>
          <w:p>
            <w:pPr>
              <w:spacing w:after="0"/>
              <w:rPr>
                <w:sz w:val="16"/>
                <w:szCs w:val="16"/>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(1,575 )</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8,334</w:t>
            </w:r>
          </w:p>
        </w:tc>
        <w:tc>
          <w:tcPr>
            <w:tcW w:w="100" w:type="dxa"/>
            <w:vAlign w:val="bottom"/>
            <w:shd w:val="clear" w:color="auto" w:fill="CCECFF"/>
          </w:tcPr>
          <w:p>
            <w:pPr>
              <w:spacing w:after="0"/>
              <w:rPr>
                <w:sz w:val="16"/>
                <w:szCs w:val="16"/>
                <w:color w:val="auto"/>
              </w:rPr>
            </w:pPr>
          </w:p>
        </w:tc>
      </w:tr>
      <w:tr>
        <w:trPr>
          <w:trHeight w:val="184"/>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(376 )</w:t>
            </w:r>
          </w:p>
        </w:tc>
      </w:tr>
      <w:tr>
        <w:trPr>
          <w:trHeight w:val="32"/>
        </w:trPr>
        <w:tc>
          <w:tcPr>
            <w:tcW w:w="7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0"/>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880" w:type="dxa"/>
            <w:vAlign w:val="bottom"/>
            <w:shd w:val="clear" w:color="auto" w:fill="CCECFF"/>
          </w:tcPr>
          <w:p>
            <w:pPr>
              <w:spacing w:after="0"/>
              <w:rPr>
                <w:sz w:val="15"/>
                <w:szCs w:val="15"/>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(3,146 )</w:t>
            </w:r>
          </w:p>
        </w:tc>
        <w:tc>
          <w:tcPr>
            <w:tcW w:w="880" w:type="dxa"/>
            <w:vAlign w:val="bottom"/>
            <w:shd w:val="clear" w:color="auto" w:fill="CCECFF"/>
          </w:tcPr>
          <w:p>
            <w:pPr>
              <w:spacing w:after="0"/>
              <w:rPr>
                <w:sz w:val="15"/>
                <w:szCs w:val="15"/>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(2,080 )</w:t>
            </w: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8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(176,199 )</w:t>
            </w: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(431,196 )</w:t>
            </w:r>
          </w:p>
        </w:tc>
      </w:tr>
      <w:tr>
        <w:trPr>
          <w:trHeight w:val="184"/>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Payment-in-kind interest</w:t>
            </w:r>
          </w:p>
        </w:tc>
        <w:tc>
          <w:tcPr>
            <w:tcW w:w="8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(225 )</w:t>
            </w: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(38 )</w:t>
            </w:r>
          </w:p>
        </w:tc>
      </w:tr>
      <w:tr>
        <w:trPr>
          <w:trHeight w:val="184"/>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Proceeds from disposition of investments</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106,568</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100,481</w:t>
            </w: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(Increase) Decrease in:</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74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(3,870 )</w:t>
            </w:r>
          </w:p>
        </w:tc>
      </w:tr>
      <w:tr>
        <w:trPr>
          <w:trHeight w:val="176"/>
        </w:trPr>
        <w:tc>
          <w:tcPr>
            <w:tcW w:w="7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receivable</w:t>
            </w:r>
          </w:p>
        </w:tc>
        <w:tc>
          <w:tcPr>
            <w:tcW w:w="8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(2,278 )</w:t>
            </w: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(1,794 )</w:t>
            </w:r>
          </w:p>
        </w:tc>
      </w:tr>
      <w:tr>
        <w:trPr>
          <w:trHeight w:val="184"/>
        </w:trPr>
        <w:tc>
          <w:tcPr>
            <w:tcW w:w="74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Due from affiliate</w:t>
            </w:r>
          </w:p>
        </w:tc>
        <w:tc>
          <w:tcPr>
            <w:tcW w:w="880" w:type="dxa"/>
            <w:vAlign w:val="bottom"/>
            <w:shd w:val="clear" w:color="auto" w:fill="CCECFF"/>
          </w:tcPr>
          <w:p>
            <w:pPr>
              <w:spacing w:after="0"/>
              <w:rPr>
                <w:sz w:val="16"/>
                <w:szCs w:val="16"/>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(1,275 )</w:t>
            </w:r>
          </w:p>
        </w:tc>
        <w:tc>
          <w:tcPr>
            <w:tcW w:w="88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(2,021 )</w:t>
            </w:r>
          </w:p>
        </w:tc>
      </w:tr>
      <w:tr>
        <w:trPr>
          <w:trHeight w:val="176"/>
        </w:trPr>
        <w:tc>
          <w:tcPr>
            <w:tcW w:w="7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(1,375 )</w:t>
            </w:r>
          </w:p>
        </w:tc>
      </w:tr>
      <w:tr>
        <w:trPr>
          <w:trHeight w:val="184"/>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Increase (Decrease) in:</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8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(35,656 )</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24,865</w:t>
            </w:r>
          </w:p>
        </w:tc>
        <w:tc>
          <w:tcPr>
            <w:tcW w:w="100" w:type="dxa"/>
            <w:vAlign w:val="bottom"/>
          </w:tcPr>
          <w:p>
            <w:pPr>
              <w:spacing w:after="0"/>
              <w:rPr>
                <w:sz w:val="15"/>
                <w:szCs w:val="15"/>
                <w:color w:val="auto"/>
              </w:rPr>
            </w:pPr>
          </w:p>
        </w:tc>
      </w:tr>
      <w:tr>
        <w:trPr>
          <w:trHeight w:val="184"/>
        </w:trPr>
        <w:tc>
          <w:tcPr>
            <w:tcW w:w="74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5,745</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3,177</w:t>
            </w: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100" w:type="dxa"/>
            <w:vAlign w:val="bottom"/>
          </w:tcPr>
          <w:p>
            <w:pPr>
              <w:spacing w:after="0"/>
              <w:rPr>
                <w:sz w:val="15"/>
                <w:szCs w:val="15"/>
                <w:color w:val="auto"/>
              </w:rPr>
            </w:pPr>
          </w:p>
        </w:tc>
      </w:tr>
      <w:tr>
        <w:trPr>
          <w:trHeight w:val="184"/>
        </w:trPr>
        <w:tc>
          <w:tcPr>
            <w:tcW w:w="74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Accrued expenses</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8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(72,755 )</w:t>
            </w: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(298,542 )</w:t>
            </w:r>
          </w:p>
        </w:tc>
      </w:tr>
      <w:tr>
        <w:trPr>
          <w:trHeight w:val="184"/>
        </w:trPr>
        <w:tc>
          <w:tcPr>
            <w:tcW w:w="7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Members’ capital contributions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15,341</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25,570</w:t>
            </w:r>
          </w:p>
        </w:tc>
        <w:tc>
          <w:tcPr>
            <w:tcW w:w="100" w:type="dxa"/>
            <w:vAlign w:val="bottom"/>
          </w:tcPr>
          <w:p>
            <w:pPr>
              <w:spacing w:after="0"/>
              <w:rPr>
                <w:sz w:val="15"/>
                <w:szCs w:val="15"/>
                <w:color w:val="auto"/>
              </w:rPr>
            </w:pPr>
          </w:p>
        </w:tc>
      </w:tr>
      <w:tr>
        <w:trPr>
          <w:trHeight w:val="184"/>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Notes issued to members</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23,659</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39,432</w:t>
            </w: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Distribution paid to members</w:t>
            </w:r>
          </w:p>
        </w:tc>
        <w:tc>
          <w:tcPr>
            <w:tcW w:w="8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(22,750 )</w:t>
            </w: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(13,800 )</w:t>
            </w:r>
          </w:p>
        </w:tc>
      </w:tr>
      <w:tr>
        <w:trPr>
          <w:trHeight w:val="184"/>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Proceeds from 2035 Asset Backed Debt issued</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100" w:type="dxa"/>
            <w:vAlign w:val="bottom"/>
            <w:shd w:val="clear" w:color="auto" w:fill="CCECFF"/>
          </w:tcPr>
          <w:p>
            <w:pPr>
              <w:spacing w:after="0"/>
              <w:rPr>
                <w:sz w:val="16"/>
                <w:szCs w:val="16"/>
                <w:color w:val="auto"/>
              </w:rPr>
            </w:pPr>
          </w:p>
        </w:tc>
      </w:tr>
      <w:tr>
        <w:trPr>
          <w:trHeight w:val="176"/>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Discount on 2035 Asset Backed Debt issued</w:t>
            </w:r>
          </w:p>
        </w:tc>
        <w:tc>
          <w:tcPr>
            <w:tcW w:w="8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(2,344 )</w:t>
            </w:r>
          </w:p>
        </w:tc>
        <w:tc>
          <w:tcPr>
            <w:tcW w:w="8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(2,328 )</w:t>
            </w:r>
          </w:p>
        </w:tc>
      </w:tr>
      <w:tr>
        <w:trPr>
          <w:trHeight w:val="184"/>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89,000</w:t>
            </w:r>
          </w:p>
        </w:tc>
        <w:tc>
          <w:tcPr>
            <w:tcW w:w="22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306,600</w:t>
            </w:r>
          </w:p>
        </w:tc>
        <w:tc>
          <w:tcPr>
            <w:tcW w:w="100" w:type="dxa"/>
            <w:vAlign w:val="bottom"/>
            <w:shd w:val="clear" w:color="auto" w:fill="CCECFF"/>
          </w:tcPr>
          <w:p>
            <w:pPr>
              <w:spacing w:after="0"/>
              <w:rPr>
                <w:sz w:val="16"/>
                <w:szCs w:val="16"/>
                <w:color w:val="auto"/>
              </w:rPr>
            </w:pPr>
          </w:p>
        </w:tc>
      </w:tr>
      <w:tr>
        <w:trPr>
          <w:trHeight w:val="312"/>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8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(258,000 </w:t>
            </w:r>
            <w:r>
              <w:rPr>
                <w:rFonts w:ascii="Times New Roman" w:cs="Times New Roman" w:eastAsia="Times New Roman" w:hAnsi="Times New Roman"/>
                <w:sz w:val="26"/>
                <w:szCs w:val="26"/>
                <w:color w:val="auto"/>
                <w:vertAlign w:val="subscript"/>
              </w:rPr>
              <w:t>)</w:t>
            </w:r>
          </w:p>
        </w:tc>
        <w:tc>
          <w:tcPr>
            <w:tcW w:w="88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(273,000 </w:t>
            </w:r>
            <w:r>
              <w:rPr>
                <w:rFonts w:ascii="Times New Roman" w:cs="Times New Roman" w:eastAsia="Times New Roman" w:hAnsi="Times New Roman"/>
                <w:sz w:val="26"/>
                <w:szCs w:val="26"/>
                <w:color w:val="auto"/>
                <w:vertAlign w:val="subscript"/>
              </w:rPr>
              <w:t>)</w:t>
            </w:r>
          </w:p>
        </w:tc>
      </w:tr>
      <w:tr>
        <w:trPr>
          <w:trHeight w:val="180"/>
        </w:trPr>
        <w:tc>
          <w:tcPr>
            <w:tcW w:w="744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90,906</w:t>
            </w:r>
          </w:p>
        </w:tc>
        <w:tc>
          <w:tcPr>
            <w:tcW w:w="22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328,474</w:t>
            </w:r>
          </w:p>
        </w:tc>
        <w:tc>
          <w:tcPr>
            <w:tcW w:w="100" w:type="dxa"/>
            <w:vAlign w:val="bottom"/>
            <w:shd w:val="clear" w:color="auto" w:fill="CCECFF"/>
          </w:tcPr>
          <w:p>
            <w:pPr>
              <w:spacing w:after="0"/>
              <w:rPr>
                <w:sz w:val="15"/>
                <w:szCs w:val="15"/>
                <w:color w:val="auto"/>
              </w:rPr>
            </w:pPr>
          </w:p>
        </w:tc>
      </w:tr>
      <w:tr>
        <w:trPr>
          <w:trHeight w:val="177"/>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18,151</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29,932</w:t>
            </w:r>
          </w:p>
        </w:tc>
        <w:tc>
          <w:tcPr>
            <w:tcW w:w="100" w:type="dxa"/>
            <w:vAlign w:val="bottom"/>
          </w:tcPr>
          <w:p>
            <w:pPr>
              <w:spacing w:after="0"/>
              <w:rPr>
                <w:sz w:val="15"/>
                <w:szCs w:val="15"/>
                <w:color w:val="auto"/>
              </w:rPr>
            </w:pPr>
          </w:p>
        </w:tc>
      </w:tr>
      <w:tr>
        <w:trPr>
          <w:trHeight w:val="183"/>
        </w:trPr>
        <w:tc>
          <w:tcPr>
            <w:tcW w:w="7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8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22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100" w:type="dxa"/>
            <w:vAlign w:val="bottom"/>
            <w:shd w:val="clear" w:color="auto" w:fill="CCECFF"/>
          </w:tcPr>
          <w:p>
            <w:pPr>
              <w:spacing w:after="0"/>
              <w:rPr>
                <w:sz w:val="15"/>
                <w:szCs w:val="15"/>
                <w:color w:val="auto"/>
              </w:rPr>
            </w:pP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10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80"/>
        </w:trPr>
        <w:tc>
          <w:tcPr>
            <w:tcW w:w="7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paid on notes to members</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19,666</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10,633</w:t>
            </w:r>
          </w:p>
        </w:tc>
        <w:tc>
          <w:tcPr>
            <w:tcW w:w="10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Borders>
              <w:bottom w:val="single" w:sz="8" w:color="CCECFF"/>
            </w:tcBorders>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Interest paid on credit facility and asset backed debt</w:t>
            </w:r>
          </w:p>
        </w:tc>
        <w:tc>
          <w:tcPr>
            <w:tcW w:w="880" w:type="dxa"/>
            <w:vAlign w:val="bottom"/>
            <w:tcBorders>
              <w:bottom w:val="single" w:sz="8" w:color="auto"/>
            </w:tcBorders>
            <w:shd w:val="clear" w:color="auto" w:fill="CCEC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32,232</w:t>
            </w:r>
          </w:p>
        </w:tc>
        <w:tc>
          <w:tcPr>
            <w:tcW w:w="220" w:type="dxa"/>
            <w:vAlign w:val="bottom"/>
            <w:tcBorders>
              <w:bottom w:val="single" w:sz="8" w:color="CCECFF"/>
            </w:tcBorders>
            <w:shd w:val="clear" w:color="auto" w:fill="CCECFF"/>
          </w:tcPr>
          <w:p>
            <w:pPr>
              <w:spacing w:after="0"/>
              <w:rPr>
                <w:sz w:val="17"/>
                <w:szCs w:val="17"/>
                <w:color w:val="auto"/>
              </w:rPr>
            </w:pPr>
          </w:p>
        </w:tc>
        <w:tc>
          <w:tcPr>
            <w:tcW w:w="880" w:type="dxa"/>
            <w:vAlign w:val="bottom"/>
            <w:tcBorders>
              <w:bottom w:val="single" w:sz="8" w:color="auto"/>
            </w:tcBorders>
            <w:shd w:val="clear" w:color="auto" w:fill="CCEC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7,846</w:t>
            </w:r>
          </w:p>
        </w:tc>
        <w:tc>
          <w:tcPr>
            <w:tcW w:w="100" w:type="dxa"/>
            <w:vAlign w:val="bottom"/>
            <w:tcBorders>
              <w:bottom w:val="single" w:sz="8" w:color="CCECFF"/>
            </w:tcBorders>
            <w:shd w:val="clear" w:color="auto" w:fill="CCEC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2" w:right="680" w:bottom="1440" w:gutter="0" w:footer="0" w:header="0"/>
        </w:sectPr>
      </w:pPr>
    </w:p>
    <w:bookmarkStart w:id="136" w:name="page137"/>
    <w:bookmarkEnd w:id="136"/>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440" w:type="dxa"/>
            <w:vAlign w:val="bottom"/>
          </w:tcPr>
          <w:p>
            <w:pPr>
              <w:spacing w:after="0"/>
              <w:rPr>
                <w:sz w:val="10"/>
                <w:szCs w:val="10"/>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4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40" w:type="dxa"/>
            <w:vAlign w:val="bottom"/>
          </w:tcPr>
          <w:p>
            <w:pPr>
              <w:spacing w:after="0"/>
              <w:rPr>
                <w:sz w:val="12"/>
                <w:szCs w:val="12"/>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Par</w:t>
            </w:r>
          </w:p>
        </w:tc>
        <w:tc>
          <w:tcPr>
            <w:tcW w:w="200" w:type="dxa"/>
            <w:vAlign w:val="bottom"/>
          </w:tcPr>
          <w:p>
            <w:pPr>
              <w:spacing w:after="0"/>
              <w:rPr>
                <w:sz w:val="12"/>
                <w:szCs w:val="12"/>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2"/>
                <w:szCs w:val="12"/>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3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- 783.7%</w:t>
            </w:r>
          </w:p>
        </w:tc>
        <w:tc>
          <w:tcPr>
            <w:tcW w:w="9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12/22/2028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11.84 %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SOFR+660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14,925</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14,668</w:t>
            </w:r>
          </w:p>
        </w:tc>
        <w:tc>
          <w:tcPr>
            <w:tcW w:w="22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14,850</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5/7/2026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11.65 %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11/30/2026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11.26 %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14,837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14,528</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14,244</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6/10/2025</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11.79 %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13,869</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5/23/2024</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12.04 %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SOFR+665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14,354</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14,319</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14,103</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7/21/2027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11.22 %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10,847</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10,665</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7/31/2025</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10.52 %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6,424</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6,408</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7/31/2025</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11.11 %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3,316</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3,299</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3,308</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7/31/2025</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10.76 %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7,531</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7,512</w:t>
            </w:r>
          </w:p>
        </w:tc>
        <w:tc>
          <w:tcPr>
            <w:tcW w:w="0" w:type="dxa"/>
            <w:vAlign w:val="bottom"/>
          </w:tcPr>
          <w:p>
            <w:pPr>
              <w:spacing w:after="0"/>
              <w:rPr>
                <w:sz w:val="1"/>
                <w:szCs w:val="1"/>
                <w:color w:val="auto"/>
              </w:rPr>
            </w:pPr>
          </w:p>
        </w:tc>
      </w:tr>
      <w:tr>
        <w:trPr>
          <w:trHeight w:val="136"/>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40" w:type="dxa"/>
            <w:vAlign w:val="bottom"/>
            <w:vMerge w:val="restart"/>
          </w:tcPr>
          <w:p>
            <w:pPr>
              <w:jc w:val="center"/>
              <w:ind w:left="172"/>
              <w:spacing w:after="0"/>
              <w:rPr>
                <w:sz w:val="20"/>
                <w:szCs w:val="20"/>
                <w:color w:val="auto"/>
              </w:rPr>
            </w:pPr>
            <w:r>
              <w:rPr>
                <w:rFonts w:ascii="Times New Roman" w:cs="Times New Roman" w:eastAsia="Times New Roman" w:hAnsi="Times New Roman"/>
                <w:sz w:val="10"/>
                <w:szCs w:val="10"/>
                <w:color w:val="auto"/>
                <w:w w:val="96"/>
              </w:rPr>
              <w:t>12/29/2026</w:t>
            </w:r>
          </w:p>
        </w:tc>
        <w:tc>
          <w:tcPr>
            <w:tcW w:w="23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20" w:type="dxa"/>
            <w:vAlign w:val="bottom"/>
          </w:tcPr>
          <w:p>
            <w:pPr>
              <w:spacing w:after="0"/>
              <w:rPr>
                <w:sz w:val="11"/>
                <w:szCs w:val="11"/>
                <w:color w:val="auto"/>
              </w:rPr>
            </w:pPr>
          </w:p>
        </w:tc>
        <w:tc>
          <w:tcPr>
            <w:tcW w:w="4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w w:val="89"/>
              </w:rPr>
              <w:t>11.51 %</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11,394</w:t>
            </w:r>
          </w:p>
        </w:tc>
        <w:tc>
          <w:tcPr>
            <w:tcW w:w="200" w:type="dxa"/>
            <w:vAlign w:val="bottom"/>
          </w:tcPr>
          <w:p>
            <w:pPr>
              <w:spacing w:after="0"/>
              <w:rPr>
                <w:sz w:val="11"/>
                <w:szCs w:val="11"/>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11,271</w:t>
            </w:r>
          </w:p>
        </w:tc>
        <w:tc>
          <w:tcPr>
            <w:tcW w:w="220" w:type="dxa"/>
            <w:vAlign w:val="bottom"/>
          </w:tcPr>
          <w:p>
            <w:pPr>
              <w:spacing w:after="0"/>
              <w:rPr>
                <w:sz w:val="11"/>
                <w:szCs w:val="11"/>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11,166</w:t>
            </w: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3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Unfunded Term Loan </w:t>
            </w:r>
            <w:r>
              <w:rPr>
                <w:rFonts w:ascii="Times New Roman" w:cs="Times New Roman" w:eastAsia="Times New Roman" w:hAnsi="Times New Roman"/>
                <w:sz w:val="12"/>
                <w:szCs w:val="12"/>
                <w:color w:val="auto"/>
                <w:vertAlign w:val="superscript"/>
              </w:rPr>
              <w:t>(3)</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12/29/2026</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8/3/2029</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11.62 %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11,820</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11,642</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11,702</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7/1/2029</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11.14 %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14,604</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13,811</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1/31/2028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11.83 %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8,874</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9/17/2024</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11.79 %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17,823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17,588</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17,556</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12/4/2025</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11.50 %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9,683</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9/26/2029</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10.67 %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SOFR+532</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836</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6/14/2028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11.39 %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17,281</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17,013</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17,281</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8/20/2026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11.60 %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2,921</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2,901</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2,862</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7/13/2027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11.16 %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8,808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8,792</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8,500</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8/16/2027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10.90 %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SOFR+551</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2,550</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2,562</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8/31/2027</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11.24 %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10,882</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10,834</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12/21/2028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10.67 %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3,959</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3,993</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11/3/2025</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11.77 %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14,395</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14,345</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14,222</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6/30/2024</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11.93 %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8,635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8,561</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8,505</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1/10/2029</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11.64 %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6,219</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6,148</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6,125</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1/17/2024</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10.93 %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3,665</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3,632</w:t>
            </w:r>
          </w:p>
        </w:tc>
        <w:tc>
          <w:tcPr>
            <w:tcW w:w="0" w:type="dxa"/>
            <w:vAlign w:val="bottom"/>
          </w:tcPr>
          <w:p>
            <w:pPr>
              <w:spacing w:after="0"/>
              <w:rPr>
                <w:sz w:val="1"/>
                <w:szCs w:val="1"/>
                <w:color w:val="auto"/>
              </w:rPr>
            </w:pPr>
          </w:p>
        </w:tc>
      </w:tr>
      <w:tr>
        <w:trPr>
          <w:trHeight w:val="136"/>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940" w:type="dxa"/>
            <w:vAlign w:val="bottom"/>
            <w:vMerge w:val="restart"/>
          </w:tcPr>
          <w:p>
            <w:pPr>
              <w:jc w:val="center"/>
              <w:ind w:left="192"/>
              <w:spacing w:after="0"/>
              <w:rPr>
                <w:sz w:val="20"/>
                <w:szCs w:val="20"/>
                <w:color w:val="auto"/>
              </w:rPr>
            </w:pPr>
            <w:r>
              <w:rPr>
                <w:rFonts w:ascii="Times New Roman" w:cs="Times New Roman" w:eastAsia="Times New Roman" w:hAnsi="Times New Roman"/>
                <w:sz w:val="10"/>
                <w:szCs w:val="10"/>
                <w:color w:val="auto"/>
                <w:w w:val="93"/>
              </w:rPr>
              <w:t>5/29/2029</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tcPr>
          <w:p>
            <w:pPr>
              <w:spacing w:after="0"/>
              <w:rPr>
                <w:sz w:val="11"/>
                <w:szCs w:val="11"/>
                <w:color w:val="auto"/>
              </w:rPr>
            </w:pPr>
          </w:p>
        </w:tc>
        <w:tc>
          <w:tcPr>
            <w:tcW w:w="44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w w:val="89"/>
              </w:rPr>
              <w:t>11.89 %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00" w:type="dxa"/>
            <w:vAlign w:val="bottom"/>
          </w:tcPr>
          <w:p>
            <w:pPr>
              <w:spacing w:after="0"/>
              <w:rPr>
                <w:sz w:val="11"/>
                <w:szCs w:val="11"/>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12,171</w:t>
            </w:r>
          </w:p>
        </w:tc>
        <w:tc>
          <w:tcPr>
            <w:tcW w:w="220" w:type="dxa"/>
            <w:vAlign w:val="bottom"/>
          </w:tcPr>
          <w:p>
            <w:pPr>
              <w:spacing w:after="0"/>
              <w:rPr>
                <w:sz w:val="11"/>
                <w:szCs w:val="11"/>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00"/>
        </w:trPr>
        <w:tc>
          <w:tcPr>
            <w:tcW w:w="2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23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3/15/2027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11.17 %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9,750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9,637</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9,555</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6/17/2028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10.40 %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SOFR+475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1,470</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1,506</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2/23/2028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Hotels, Motels, Inns and Gaming</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12.43 %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SOFR+710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4,373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4,291</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4,307</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3/16/2026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11.96 %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SOFR+660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7,027</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7,008</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6,676</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8/10/2027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10.99 %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1,925</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1,935</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4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12/31/2026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10.93 %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6,423</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6,262</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11/23/2028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11.32 %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19,717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19,388</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19,717</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4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12/17/2026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11.79 %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15,140</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14,974</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15,110</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12/10/2024</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11.70 %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14,250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14,171</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9/22/2028</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11.45 %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4,355</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11/15/2027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10.72 %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5,565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5,481</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5,482</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4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12/31/2024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12.50 %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SOFR+715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19,737</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19,410</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19,737</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12/28/2028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12.24 %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SOFR+685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11,053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10,867</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11,053</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11/1/2026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11.17 %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6,364</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6,364</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8/27/2026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11.57 %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19,701</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19,639</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19,504</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4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12/20/2023</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13.42 %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SOFR+810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12,061</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12,040</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12,061</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40" w:type="dxa"/>
            <w:vAlign w:val="bottom"/>
            <w:shd w:val="clear" w:color="auto" w:fill="CCECFF"/>
          </w:tcPr>
          <w:p>
            <w:pPr>
              <w:jc w:val="center"/>
              <w:ind w:left="172"/>
              <w:spacing w:after="0"/>
              <w:rPr>
                <w:sz w:val="20"/>
                <w:szCs w:val="20"/>
                <w:color w:val="auto"/>
              </w:rPr>
            </w:pPr>
            <w:r>
              <w:rPr>
                <w:rFonts w:ascii="Times New Roman" w:cs="Times New Roman" w:eastAsia="Times New Roman" w:hAnsi="Times New Roman"/>
                <w:sz w:val="10"/>
                <w:szCs w:val="10"/>
                <w:color w:val="auto"/>
                <w:w w:val="96"/>
              </w:rPr>
              <w:t>11/10/2027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11.54 %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16,920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16,641</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16,666</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4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10/31/2024</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11.46 %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4,631</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2/18/2027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12.13 %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SOFR+700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19,723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19,565</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2/3/2026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10.67 %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12,218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12,096</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1/31/2030</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11.77 %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6,318</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6,206</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6,192</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4/1/2027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10.99 %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SOFR+549</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7,601</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7,153</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7,202</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7/31/2028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10.63 %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SOFR+500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3,785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3,550</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2,805</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5/14/2026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11.04 %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10,885</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10,811</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10,776</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4/16/2027</w:t>
            </w:r>
          </w:p>
        </w:tc>
        <w:tc>
          <w:tcPr>
            <w:tcW w:w="23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11.22 %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7,780</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40" w:type="dxa"/>
            <w:vAlign w:val="bottom"/>
          </w:tcPr>
          <w:p>
            <w:pPr>
              <w:jc w:val="center"/>
              <w:ind w:left="172"/>
              <w:spacing w:after="0"/>
              <w:rPr>
                <w:sz w:val="20"/>
                <w:szCs w:val="20"/>
                <w:color w:val="auto"/>
              </w:rPr>
            </w:pPr>
            <w:r>
              <w:rPr>
                <w:rFonts w:ascii="Times New Roman" w:cs="Times New Roman" w:eastAsia="Times New Roman" w:hAnsi="Times New Roman"/>
                <w:sz w:val="10"/>
                <w:szCs w:val="10"/>
                <w:color w:val="auto"/>
                <w:w w:val="96"/>
              </w:rPr>
              <w:t>12/10/2027</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10.58 %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2,911</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10/1/2027</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11.04 %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5,975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5,860</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5,843</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8/19/2026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10.93 %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7,429</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7,369</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7,280</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5/9/2029</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11.97 %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8,020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7,910</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8,020</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5/7/2027</w:t>
            </w:r>
          </w:p>
        </w:tc>
        <w:tc>
          <w:tcPr>
            <w:tcW w:w="23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Transportation</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11.68 %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SOFR+636</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8,470</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8,311</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8,470</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2/4/2028</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10.80 %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3,794</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0"/>
        </w:trPr>
        <w:tc>
          <w:tcPr>
            <w:tcW w:w="29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4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3"/>
              </w:rPr>
              <w:t>5/18/2026</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2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12.90 %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SOFR+725</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4,378</w:t>
            </w:r>
          </w:p>
        </w:tc>
        <w:tc>
          <w:tcPr>
            <w:tcW w:w="200" w:type="dxa"/>
            <w:vAlign w:val="bottom"/>
          </w:tcPr>
          <w:p>
            <w:pPr>
              <w:spacing w:after="0"/>
              <w:rPr>
                <w:sz w:val="12"/>
                <w:szCs w:val="12"/>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4,343</w:t>
            </w:r>
          </w:p>
        </w:tc>
        <w:tc>
          <w:tcPr>
            <w:tcW w:w="220" w:type="dxa"/>
            <w:vAlign w:val="bottom"/>
          </w:tcPr>
          <w:p>
            <w:pPr>
              <w:spacing w:after="0"/>
              <w:rPr>
                <w:sz w:val="12"/>
                <w:szCs w:val="12"/>
                <w:color w:val="auto"/>
              </w:rPr>
            </w:pP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4,301</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Pequod Merger Sub, Inc.</w:t>
            </w:r>
          </w:p>
        </w:tc>
        <w:tc>
          <w:tcPr>
            <w:tcW w:w="94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3"/>
              </w:rPr>
              <w:t>12/2/2026</w:t>
            </w: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52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11.79 %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6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11,474</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11,267</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1" w:right="680" w:bottom="1440" w:gutter="0" w:footer="0" w:header="0"/>
        </w:sectPr>
      </w:pPr>
    </w:p>
    <w:bookmarkStart w:id="137" w:name="page138"/>
    <w:bookmarkEnd w:id="137"/>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440" w:type="dxa"/>
            <w:vAlign w:val="bottom"/>
          </w:tcPr>
          <w:p>
            <w:pPr>
              <w:spacing w:after="0"/>
              <w:rPr>
                <w:sz w:val="10"/>
                <w:szCs w:val="10"/>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440" w:type="dxa"/>
            <w:vAlign w:val="bottom"/>
          </w:tcPr>
          <w:p>
            <w:pPr>
              <w:spacing w:after="0"/>
              <w:rPr>
                <w:sz w:val="12"/>
                <w:szCs w:val="12"/>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70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w:t>
            </w:r>
          </w:p>
        </w:tc>
        <w:tc>
          <w:tcPr>
            <w:tcW w:w="100" w:type="dxa"/>
            <w:vAlign w:val="bottom"/>
          </w:tcPr>
          <w:p>
            <w:pPr>
              <w:spacing w:after="0"/>
              <w:rPr>
                <w:sz w:val="12"/>
                <w:szCs w:val="12"/>
                <w:color w:val="auto"/>
              </w:rPr>
            </w:pPr>
          </w:p>
        </w:tc>
        <w:tc>
          <w:tcPr>
            <w:tcW w:w="4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12.42 %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SOFR+700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7,930</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7,137</w:t>
            </w:r>
          </w:p>
        </w:tc>
        <w:tc>
          <w:tcPr>
            <w:tcW w:w="80" w:type="dxa"/>
            <w:vAlign w:val="bottom"/>
          </w:tcPr>
          <w:p>
            <w:pPr>
              <w:spacing w:after="0"/>
              <w:rPr>
                <w:sz w:val="11"/>
                <w:szCs w:val="1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10.92 %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2,551</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2,481</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11.74 %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3,314</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3,264</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11.29 %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12,703</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12,641</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12,576</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11.22 %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5,603</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5,603</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4/28/2028</w:t>
            </w:r>
          </w:p>
        </w:tc>
        <w:tc>
          <w:tcPr>
            <w:tcW w:w="206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Transportation</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11.54 %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5,000</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4,937</w:t>
            </w:r>
          </w:p>
        </w:tc>
        <w:tc>
          <w:tcPr>
            <w:tcW w:w="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4,800</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12.54 %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SOFR+700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9,750</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9,655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9,458</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11.13 %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SOFR+576</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14,389</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14,332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12,591</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6/20/2025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10.54 %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3,176</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3,131</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3/10/2025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11.29 %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10,895</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10,834</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10,786</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6/16/2029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11.52 %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3,749</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11.59 %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6,859</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6,825</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12.92 %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SOFR+750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4,872</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4,823</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11.54 %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14,850</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14,633</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14,405</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5/3/2024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12.04 %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11,201</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11,173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11,201</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SOFR+450</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1,300</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12.37 %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SOFR+715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9,239</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11.04 %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9,607</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9,352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9,396</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12/11/2026</w:t>
            </w:r>
          </w:p>
        </w:tc>
        <w:tc>
          <w:tcPr>
            <w:tcW w:w="206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Transportation</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10.67 %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12,099</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11,857</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10.43 %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SOFR+475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3,572</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3,559</w:t>
            </w:r>
          </w:p>
        </w:tc>
        <w:tc>
          <w:tcPr>
            <w:tcW w:w="80" w:type="dxa"/>
            <w:vAlign w:val="bottom"/>
            <w:shd w:val="clear" w:color="auto" w:fill="CCECFF"/>
          </w:tcPr>
          <w:p>
            <w:pPr>
              <w:spacing w:after="0"/>
              <w:rPr>
                <w:sz w:val="12"/>
                <w:szCs w:val="12"/>
                <w:color w:val="auto"/>
              </w:rPr>
            </w:pPr>
          </w:p>
        </w:tc>
      </w:tr>
      <w:tr>
        <w:trPr>
          <w:trHeight w:val="133"/>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11.49 %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15,966</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15,695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80" w:type="dxa"/>
            <w:vAlign w:val="bottom"/>
          </w:tcPr>
          <w:p>
            <w:pPr>
              <w:spacing w:after="0"/>
              <w:rPr>
                <w:sz w:val="11"/>
                <w:szCs w:val="1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10.75 %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2,688</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2,627</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10.67 %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2,936</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12.04 %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SOFR+665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11,095</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11,008</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10,929</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12.79 %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SOFR+740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7,855</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7,823</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11.70 %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7,690</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7,596</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7,628</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7"/>
              </w:rPr>
              <w:t>Food</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10.68 %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5,479</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5,479</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6/6/2025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11.80 %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7,177</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7,161</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7,177</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10.90 %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11,393</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10,391</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11.79 %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3,860</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3,792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3,780</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680" w:type="dxa"/>
            <w:vAlign w:val="bottom"/>
          </w:tcPr>
          <w:p>
            <w:pPr>
              <w:spacing w:after="0"/>
              <w:rPr>
                <w:sz w:val="12"/>
                <w:szCs w:val="12"/>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89"/>
              </w:rPr>
              <w:t>10.54 %</w:t>
            </w:r>
          </w:p>
        </w:tc>
        <w:tc>
          <w:tcPr>
            <w:tcW w:w="9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11,386</w:t>
            </w: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11,272</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89"/>
              </w:rPr>
              <w:t>12.67 %</w:t>
            </w:r>
          </w:p>
        </w:tc>
        <w:tc>
          <w:tcPr>
            <w:tcW w:w="9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SOFR+735</w:t>
            </w:r>
          </w:p>
        </w:tc>
        <w:tc>
          <w:tcPr>
            <w:tcW w:w="7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19,682</w:t>
            </w: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19,581</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19,042</w:t>
            </w:r>
          </w:p>
        </w:tc>
        <w:tc>
          <w:tcPr>
            <w:tcW w:w="80" w:type="dxa"/>
            <w:vAlign w:val="bottom"/>
            <w:shd w:val="clear" w:color="auto" w:fill="CCECFF"/>
          </w:tcPr>
          <w:p>
            <w:pPr>
              <w:spacing w:after="0"/>
              <w:rPr>
                <w:sz w:val="12"/>
                <w:szCs w:val="12"/>
                <w:color w:val="auto"/>
              </w:rPr>
            </w:pPr>
          </w:p>
        </w:tc>
      </w:tr>
      <w:tr>
        <w:trPr>
          <w:trHeight w:val="144"/>
        </w:trPr>
        <w:tc>
          <w:tcPr>
            <w:tcW w:w="3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810,737</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804,187</w:t>
            </w: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- 783.7%</w:t>
            </w:r>
          </w:p>
        </w:tc>
        <w:tc>
          <w:tcPr>
            <w:tcW w:w="1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- 57.6%</w:t>
            </w:r>
          </w:p>
        </w:tc>
        <w:tc>
          <w:tcPr>
            <w:tcW w:w="104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tcPr>
          <w:p>
            <w:pPr>
              <w:spacing w:after="0"/>
              <w:rPr>
                <w:sz w:val="12"/>
                <w:szCs w:val="12"/>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40" w:type="dxa"/>
            <w:vAlign w:val="bottom"/>
            <w:shd w:val="clear" w:color="auto" w:fill="CCECFF"/>
          </w:tcPr>
          <w:p>
            <w:pPr>
              <w:spacing w:after="0"/>
              <w:rPr>
                <w:sz w:val="12"/>
                <w:szCs w:val="12"/>
                <w:color w:val="auto"/>
              </w:rPr>
            </w:pPr>
          </w:p>
        </w:tc>
        <w:tc>
          <w:tcPr>
            <w:tcW w:w="20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59,096</w:t>
            </w:r>
          </w:p>
        </w:tc>
        <w:tc>
          <w:tcPr>
            <w:tcW w:w="80" w:type="dxa"/>
            <w:vAlign w:val="bottom"/>
            <w:shd w:val="clear" w:color="auto" w:fill="CCECFF"/>
          </w:tcPr>
          <w:p>
            <w:pPr>
              <w:spacing w:after="0"/>
              <w:rPr>
                <w:sz w:val="12"/>
                <w:szCs w:val="12"/>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- 841.3%</w:t>
            </w:r>
          </w:p>
        </w:tc>
        <w:tc>
          <w:tcPr>
            <w:tcW w:w="1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869,833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863,283</w:t>
            </w:r>
          </w:p>
        </w:tc>
        <w:tc>
          <w:tcPr>
            <w:tcW w:w="8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(741.3)%</w:t>
            </w:r>
          </w:p>
        </w:tc>
        <w:tc>
          <w:tcPr>
            <w:tcW w:w="1040" w:type="dxa"/>
            <w:vAlign w:val="bottom"/>
            <w:shd w:val="clear" w:color="auto" w:fill="CCECFF"/>
          </w:tcPr>
          <w:p>
            <w:pPr>
              <w:spacing w:after="0"/>
              <w:rPr>
                <w:sz w:val="10"/>
                <w:szCs w:val="10"/>
                <w:color w:val="auto"/>
              </w:rPr>
            </w:pPr>
          </w:p>
        </w:tc>
        <w:tc>
          <w:tcPr>
            <w:tcW w:w="20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(760,665 )</w:t>
            </w: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102,618</w:t>
            </w:r>
          </w:p>
        </w:tc>
        <w:tc>
          <w:tcPr>
            <w:tcW w:w="8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4" w:lineRule="exact"/>
        <w:rPr>
          <w:sz w:val="20"/>
          <w:szCs w:val="20"/>
          <w:color w:val="auto"/>
        </w:rPr>
      </w:pPr>
    </w:p>
    <w:p>
      <w:pPr>
        <w:ind w:left="20" w:right="200" w:hanging="2"/>
        <w:spacing w:after="0" w:line="259" w:lineRule="auto"/>
        <w:tabs>
          <w:tab w:leader="none" w:pos="156"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 or "SOFR") or Prime rate (“P” or "Prime").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the SOFR or Prime rate floor where a spread is provided, unless noted. The spread provided includes PIK interest and other fee rates, if any.</w:t>
      </w:r>
    </w:p>
    <w:p>
      <w:pPr>
        <w:spacing w:after="0" w:line="11"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PSLF's accounting policy .</w:t>
      </w:r>
    </w:p>
    <w:p>
      <w:pPr>
        <w:spacing w:after="0" w:line="29"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currenlty an unfunded investment. This security does not earn a basis point spread above an index while it is unfunded.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1" w:right="680" w:bottom="1440" w:gutter="0" w:footer="0" w:header="0"/>
        </w:sectPr>
      </w:pPr>
    </w:p>
    <w:bookmarkStart w:id="138" w:name="page139"/>
    <w:bookmarkEnd w:id="138"/>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54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460" w:type="dxa"/>
            <w:vAlign w:val="bottom"/>
          </w:tcPr>
          <w:p>
            <w:pPr>
              <w:spacing w:after="0"/>
              <w:rPr>
                <w:sz w:val="10"/>
                <w:szCs w:val="10"/>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540" w:type="dxa"/>
            <w:vAlign w:val="bottom"/>
          </w:tcPr>
          <w:p>
            <w:pPr>
              <w:jc w:val="center"/>
              <w:ind w:left="1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460" w:type="dxa"/>
            <w:vAlign w:val="bottom"/>
          </w:tcPr>
          <w:p>
            <w:pPr>
              <w:spacing w:after="0"/>
              <w:rPr>
                <w:sz w:val="12"/>
                <w:szCs w:val="12"/>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Par</w:t>
            </w:r>
          </w:p>
        </w:tc>
        <w:tc>
          <w:tcPr>
            <w:tcW w:w="240" w:type="dxa"/>
            <w:vAlign w:val="bottom"/>
          </w:tcPr>
          <w:p>
            <w:pPr>
              <w:spacing w:after="0"/>
              <w:rPr>
                <w:sz w:val="12"/>
                <w:szCs w:val="12"/>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2"/>
                <w:szCs w:val="12"/>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- 864.4%</w:t>
            </w:r>
          </w:p>
        </w:tc>
        <w:tc>
          <w:tcPr>
            <w:tcW w:w="9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05/06/26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9.67 %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4,938</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11/30/26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Packaging and Glass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8.69 %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L+800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9,785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9,576</w:t>
            </w:r>
          </w:p>
        </w:tc>
        <w:tc>
          <w:tcPr>
            <w:tcW w:w="0" w:type="dxa"/>
            <w:vAlign w:val="bottom"/>
          </w:tcPr>
          <w:p>
            <w:pPr>
              <w:spacing w:after="0"/>
              <w:rPr>
                <w:sz w:val="1"/>
                <w:szCs w:val="1"/>
                <w:color w:val="auto"/>
              </w:rPr>
            </w:pPr>
          </w:p>
        </w:tc>
      </w:tr>
      <w:tr>
        <w:trPr>
          <w:trHeight w:val="16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Technologies,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07/24/25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3"/>
                <w:szCs w:val="13"/>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89"/>
              </w:rPr>
              <w:t>10.81 %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240" w:type="dxa"/>
            <w:vAlign w:val="bottom"/>
            <w:shd w:val="clear" w:color="auto" w:fill="CCECFF"/>
          </w:tcPr>
          <w:p>
            <w:pPr>
              <w:spacing w:after="0"/>
              <w:rPr>
                <w:sz w:val="13"/>
                <w:szCs w:val="13"/>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864</w:t>
            </w:r>
          </w:p>
        </w:tc>
        <w:tc>
          <w:tcPr>
            <w:tcW w:w="160" w:type="dxa"/>
            <w:vAlign w:val="bottom"/>
            <w:shd w:val="clear" w:color="auto" w:fill="CCECFF"/>
          </w:tcPr>
          <w:p>
            <w:pPr>
              <w:spacing w:after="0"/>
              <w:rPr>
                <w:sz w:val="13"/>
                <w:szCs w:val="13"/>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12/21/23</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7.79 %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19,906</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19,868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06/10/25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9.95 %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L+550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14,104</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13,968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13,892</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05/23/24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9.17 %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15,084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07/21/27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7.98 %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9,942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6.25 %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6,569</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6,502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6.55 %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3,298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3,307</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6.50 %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7,607</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7,569</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12/29/26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9.42 %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8,822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8,725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8,602</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03/07/28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8.99 %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11,940</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11,721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07/01/29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7.56 %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L+525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09/17/24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8.57 %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17,993</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17,772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12/02/22</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7.39 %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05/13/28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9.55 %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17,456</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17,131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08/20/26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9.08 %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2,958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07/13/27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8.42 %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9,045</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9,029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8,819</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08/31/27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9.42 %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L+475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6,435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6,427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6,339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12/21/28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8.37 %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2,776</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2,489</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11/03/25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8.87 %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15,063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14,658</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06/30/24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8.62 %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8,139</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7,944</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05/01/28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89"/>
              </w:rPr>
              <w:t>10.62 %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4,558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4,558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ECM Industries,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12/23/25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6.32 %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2,823</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2,761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2,689</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03/15/27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8.87 %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L+575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9,950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9,817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9,726</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06/17/28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7.63 %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6M L+475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03/16/26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8.74 %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7,343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7,313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7,013</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08/10/27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8.00 %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1,974</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1,939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1,895</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12/31/26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8.67 %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L+575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6,835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6,835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6,733</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11/23/28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89"/>
              </w:rPr>
              <w:t>10.17 %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L+800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19,915</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19,535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19,516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12/17/26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9.67 %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15,255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15,045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14,721</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6.00 %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L+700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14,303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14,257</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III, LP</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05/11/28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6.87 %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L+475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1,705</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IDC Infusion Services,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12/30/26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89"/>
              </w:rPr>
              <w:t>10.20 %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L+750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17,400</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17,154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16,617</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09/22/28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9.45 %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L+575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4,473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11/15/27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6.91 %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L+625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5,636</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5,534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12/07/23</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9.96 %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20,000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19,545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11/01/26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9.42 %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08/27/25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9.21 %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19,954</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19,866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19,754</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12/20/23</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89"/>
              </w:rPr>
              <w:t>11.12 %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14,316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10/31/24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9.95 %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2,137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2,129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02/18/27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89"/>
              </w:rPr>
              <w:t>11.17 %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L+650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19,925</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19,708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02/03/26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8.87 %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L+475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12,345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12,119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11,944</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04/01/27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9.17 %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5,570</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5,128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5,069</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07/31/28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7.87 %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3,140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2,826</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05/14/26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8.62 %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L+565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7,920</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7,861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7,880</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04/16/27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8.56 %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7,406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7,326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7,332</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9.17 %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2,983</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2,953</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09/28/27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7.25 %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4,164</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4,102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3,923</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08/19/26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7.80 %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7,505</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7,426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7,505</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OIS Management Services,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07/09/26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9.45 %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5,257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5,210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5,257</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02/04/28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8.41 %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3,990</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3,874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3,890</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05/18/26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Distribution</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8.32 %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L+650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4,962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4,911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11/09/27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Retail</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9.62 %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8,634</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8,489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8,419</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05/08/26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9.17 %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L+525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2,580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2,309</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11/19/26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9.92 %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L+600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3,403</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3,342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3,335</w:t>
            </w:r>
          </w:p>
        </w:tc>
        <w:tc>
          <w:tcPr>
            <w:tcW w:w="0" w:type="dxa"/>
            <w:vAlign w:val="bottom"/>
          </w:tcPr>
          <w:p>
            <w:pPr>
              <w:spacing w:after="0"/>
              <w:rPr>
                <w:sz w:val="1"/>
                <w:szCs w:val="1"/>
                <w:color w:val="auto"/>
              </w:rPr>
            </w:pPr>
          </w:p>
        </w:tc>
      </w:tr>
      <w:tr>
        <w:trPr>
          <w:trHeight w:val="1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Quantic Electronics, LLC - Unfunded Term Loan </w:t>
            </w:r>
            <w:r>
              <w:rPr>
                <w:rFonts w:ascii="Times New Roman" w:cs="Times New Roman" w:eastAsia="Times New Roman" w:hAnsi="Times New Roman"/>
                <w:sz w:val="12"/>
                <w:szCs w:val="12"/>
                <w:color w:val="auto"/>
                <w:vertAlign w:val="superscript"/>
              </w:rPr>
              <w:t>(3)</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11/19/26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03/31/25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9.46 %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12,757</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12,657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12,566</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12/18/25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7.75 %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1M L+450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5,180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02/28/28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9.13 %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4,975</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4,904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01/29/26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Consumer Products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9.92 %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L+700</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9,850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9,718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9,505</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8.84 %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14,542</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14,440</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13,070</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06/20/25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and Childcare</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7.74 %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L+525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3,192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3,172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3,112</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03/10/25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9.95 %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9,949</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01/03/25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9.67 %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L+625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6,859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6,779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6,791</w:t>
            </w: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7.15 %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5,082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5,031</w:t>
            </w:r>
          </w:p>
        </w:tc>
        <w:tc>
          <w:tcPr>
            <w:tcW w:w="0" w:type="dxa"/>
            <w:vAlign w:val="bottom"/>
          </w:tcPr>
          <w:p>
            <w:pPr>
              <w:spacing w:after="0"/>
              <w:rPr>
                <w:sz w:val="1"/>
                <w:szCs w:val="1"/>
                <w:color w:val="auto"/>
              </w:rPr>
            </w:pPr>
          </w:p>
        </w:tc>
      </w:tr>
      <w:tr>
        <w:trPr>
          <w:trHeight w:val="140"/>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980" w:type="dxa"/>
            <w:vAlign w:val="bottom"/>
            <w:vMerge w:val="restart"/>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06/13/29</w:t>
            </w:r>
          </w:p>
        </w:tc>
        <w:tc>
          <w:tcPr>
            <w:tcW w:w="24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40" w:type="dxa"/>
            <w:vAlign w:val="bottom"/>
            <w:shd w:val="clear" w:color="auto" w:fill="CCECFF"/>
          </w:tcPr>
          <w:p>
            <w:pPr>
              <w:spacing w:after="0"/>
              <w:rPr>
                <w:sz w:val="12"/>
                <w:szCs w:val="12"/>
                <w:color w:val="auto"/>
              </w:rPr>
            </w:pPr>
          </w:p>
        </w:tc>
        <w:tc>
          <w:tcPr>
            <w:tcW w:w="460" w:type="dxa"/>
            <w:vAlign w:val="bottom"/>
            <w:vMerge w:val="restart"/>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7.90 %</w:t>
            </w:r>
          </w:p>
        </w:tc>
        <w:tc>
          <w:tcPr>
            <w:tcW w:w="94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15,000</w:t>
            </w:r>
          </w:p>
        </w:tc>
        <w:tc>
          <w:tcPr>
            <w:tcW w:w="24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14,794</w:t>
            </w:r>
          </w:p>
        </w:tc>
        <w:tc>
          <w:tcPr>
            <w:tcW w:w="16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c>
          <w:tcPr>
            <w:tcW w:w="0" w:type="dxa"/>
            <w:vAlign w:val="bottom"/>
          </w:tcPr>
          <w:p>
            <w:pPr>
              <w:spacing w:after="0"/>
              <w:rPr>
                <w:sz w:val="1"/>
                <w:szCs w:val="1"/>
                <w:color w:val="auto"/>
              </w:rPr>
            </w:pPr>
          </w:p>
        </w:tc>
      </w:tr>
      <w:tr>
        <w:trPr>
          <w:trHeight w:val="80"/>
        </w:trPr>
        <w:tc>
          <w:tcPr>
            <w:tcW w:w="3000" w:type="dxa"/>
            <w:vAlign w:val="bottom"/>
            <w:shd w:val="clear" w:color="auto" w:fill="CCECFF"/>
          </w:tcPr>
          <w:p>
            <w:pPr>
              <w:spacing w:after="0"/>
              <w:rPr>
                <w:sz w:val="6"/>
                <w:szCs w:val="6"/>
                <w:color w:val="auto"/>
              </w:rPr>
            </w:pPr>
          </w:p>
        </w:tc>
        <w:tc>
          <w:tcPr>
            <w:tcW w:w="980" w:type="dxa"/>
            <w:vAlign w:val="bottom"/>
            <w:vMerge w:val="continue"/>
            <w:shd w:val="clear" w:color="auto" w:fill="CCECFF"/>
          </w:tcPr>
          <w:p>
            <w:pPr>
              <w:spacing w:after="0"/>
              <w:rPr>
                <w:sz w:val="6"/>
                <w:szCs w:val="6"/>
                <w:color w:val="auto"/>
              </w:rPr>
            </w:pPr>
          </w:p>
        </w:tc>
        <w:tc>
          <w:tcPr>
            <w:tcW w:w="2420" w:type="dxa"/>
            <w:vAlign w:val="bottom"/>
            <w:vMerge w:val="continue"/>
            <w:shd w:val="clear" w:color="auto" w:fill="CCECFF"/>
          </w:tcPr>
          <w:p>
            <w:pPr>
              <w:spacing w:after="0"/>
              <w:rPr>
                <w:sz w:val="6"/>
                <w:szCs w:val="6"/>
                <w:color w:val="auto"/>
              </w:rPr>
            </w:pPr>
          </w:p>
        </w:tc>
        <w:tc>
          <w:tcPr>
            <w:tcW w:w="540" w:type="dxa"/>
            <w:vAlign w:val="bottom"/>
            <w:shd w:val="clear" w:color="auto" w:fill="CCECFF"/>
          </w:tcPr>
          <w:p>
            <w:pPr>
              <w:spacing w:after="0"/>
              <w:rPr>
                <w:sz w:val="6"/>
                <w:szCs w:val="6"/>
                <w:color w:val="auto"/>
              </w:rPr>
            </w:pPr>
          </w:p>
        </w:tc>
        <w:tc>
          <w:tcPr>
            <w:tcW w:w="460" w:type="dxa"/>
            <w:vAlign w:val="bottom"/>
            <w:vMerge w:val="continue"/>
            <w:shd w:val="clear" w:color="auto" w:fill="CCECFF"/>
          </w:tcPr>
          <w:p>
            <w:pPr>
              <w:spacing w:after="0"/>
              <w:rPr>
                <w:sz w:val="6"/>
                <w:szCs w:val="6"/>
                <w:color w:val="auto"/>
              </w:rPr>
            </w:pPr>
          </w:p>
        </w:tc>
        <w:tc>
          <w:tcPr>
            <w:tcW w:w="940" w:type="dxa"/>
            <w:vAlign w:val="bottom"/>
            <w:vMerge w:val="continue"/>
            <w:shd w:val="clear" w:color="auto" w:fill="CCECFF"/>
          </w:tcPr>
          <w:p>
            <w:pPr>
              <w:spacing w:after="0"/>
              <w:rPr>
                <w:sz w:val="6"/>
                <w:szCs w:val="6"/>
                <w:color w:val="auto"/>
              </w:rPr>
            </w:pPr>
          </w:p>
        </w:tc>
        <w:tc>
          <w:tcPr>
            <w:tcW w:w="500" w:type="dxa"/>
            <w:vAlign w:val="bottom"/>
            <w:vMerge w:val="continue"/>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620" w:type="dxa"/>
            <w:vAlign w:val="bottom"/>
            <w:vMerge w:val="continue"/>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05/03/24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5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89"/>
              </w:rPr>
              <w:t>10.17 %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1M L+450</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11,951</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11,879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11,861</w:t>
            </w:r>
          </w:p>
        </w:tc>
        <w:tc>
          <w:tcPr>
            <w:tcW w:w="0" w:type="dxa"/>
            <w:vAlign w:val="bottom"/>
          </w:tcPr>
          <w:p>
            <w:pPr>
              <w:spacing w:after="0"/>
              <w:rPr>
                <w:sz w:val="1"/>
                <w:szCs w:val="1"/>
                <w:color w:val="auto"/>
              </w:rPr>
            </w:pPr>
          </w:p>
        </w:tc>
      </w:tr>
      <w:tr>
        <w:trPr>
          <w:trHeight w:val="148"/>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980" w:type="dxa"/>
            <w:vAlign w:val="bottom"/>
            <w:shd w:val="clear" w:color="auto" w:fill="CCECFF"/>
          </w:tcPr>
          <w:p>
            <w:pPr>
              <w:jc w:val="center"/>
              <w:ind w:left="192"/>
              <w:spacing w:after="0"/>
              <w:rPr>
                <w:sz w:val="20"/>
                <w:szCs w:val="20"/>
                <w:color w:val="auto"/>
              </w:rPr>
            </w:pPr>
            <w:r>
              <w:rPr>
                <w:rFonts w:ascii="Times New Roman" w:cs="Times New Roman" w:eastAsia="Times New Roman" w:hAnsi="Times New Roman"/>
                <w:sz w:val="10"/>
                <w:szCs w:val="10"/>
                <w:color w:val="auto"/>
                <w:w w:val="95"/>
              </w:rPr>
              <w:t>01/17/24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5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8.87 %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6M L+675</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11,386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11,352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11,113</w:t>
            </w:r>
          </w:p>
        </w:tc>
        <w:tc>
          <w:tcPr>
            <w:tcW w:w="0" w:type="dxa"/>
            <w:vAlign w:val="bottom"/>
          </w:tcPr>
          <w:p>
            <w:pPr>
              <w:spacing w:after="0"/>
              <w:rPr>
                <w:sz w:val="1"/>
                <w:szCs w:val="1"/>
                <w:color w:val="auto"/>
              </w:rPr>
            </w:pPr>
          </w:p>
        </w:tc>
      </w:tr>
      <w:tr>
        <w:trPr>
          <w:trHeight w:val="136"/>
        </w:trPr>
        <w:tc>
          <w:tcPr>
            <w:tcW w:w="30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980" w:type="dxa"/>
            <w:vAlign w:val="bottom"/>
          </w:tcPr>
          <w:p>
            <w:pPr>
              <w:jc w:val="center"/>
              <w:ind w:left="192"/>
              <w:spacing w:after="0"/>
              <w:rPr>
                <w:sz w:val="20"/>
                <w:szCs w:val="20"/>
                <w:color w:val="auto"/>
              </w:rPr>
            </w:pPr>
            <w:r>
              <w:rPr>
                <w:rFonts w:ascii="Times New Roman" w:cs="Times New Roman" w:eastAsia="Times New Roman" w:hAnsi="Times New Roman"/>
                <w:sz w:val="10"/>
                <w:szCs w:val="10"/>
                <w:color w:val="auto"/>
                <w:w w:val="95"/>
              </w:rPr>
              <w:t>12/11/26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540" w:type="dxa"/>
            <w:vAlign w:val="bottom"/>
          </w:tcPr>
          <w:p>
            <w:pPr>
              <w:spacing w:after="0"/>
              <w:rPr>
                <w:sz w:val="11"/>
                <w:szCs w:val="11"/>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8.37 %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L+575</w:t>
            </w: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12,099</w:t>
            </w:r>
          </w:p>
        </w:tc>
        <w:tc>
          <w:tcPr>
            <w:tcW w:w="240" w:type="dxa"/>
            <w:vAlign w:val="bottom"/>
          </w:tcPr>
          <w:p>
            <w:pPr>
              <w:spacing w:after="0"/>
              <w:rPr>
                <w:sz w:val="11"/>
                <w:szCs w:val="11"/>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12,031</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11,978</w:t>
            </w:r>
          </w:p>
        </w:tc>
        <w:tc>
          <w:tcPr>
            <w:tcW w:w="0" w:type="dxa"/>
            <w:vAlign w:val="bottom"/>
          </w:tcPr>
          <w:p>
            <w:pPr>
              <w:spacing w:after="0"/>
              <w:rPr>
                <w:sz w:val="1"/>
                <w:szCs w:val="1"/>
                <w:color w:val="auto"/>
              </w:rPr>
            </w:pPr>
          </w:p>
        </w:tc>
      </w:tr>
    </w:tbl>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1" w:right="680" w:bottom="1440" w:gutter="0" w:footer="0" w:header="0"/>
        </w:sectPr>
      </w:pPr>
    </w:p>
    <w:bookmarkStart w:id="139" w:name="page140"/>
    <w:bookmarkEnd w:id="139"/>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460" w:type="dxa"/>
            <w:vAlign w:val="bottom"/>
          </w:tcPr>
          <w:p>
            <w:pPr>
              <w:spacing w:after="0"/>
              <w:rPr>
                <w:sz w:val="10"/>
                <w:szCs w:val="10"/>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ind w:left="38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64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460" w:type="dxa"/>
            <w:vAlign w:val="bottom"/>
          </w:tcPr>
          <w:p>
            <w:pPr>
              <w:spacing w:after="0"/>
              <w:rPr>
                <w:sz w:val="13"/>
                <w:szCs w:val="13"/>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6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Par</w:t>
            </w:r>
          </w:p>
        </w:tc>
        <w:tc>
          <w:tcPr>
            <w:tcW w:w="140" w:type="dxa"/>
            <w:vAlign w:val="bottom"/>
          </w:tcPr>
          <w:p>
            <w:pPr>
              <w:spacing w:after="0"/>
              <w:rPr>
                <w:sz w:val="13"/>
                <w:szCs w:val="13"/>
                <w:color w:val="auto"/>
              </w:rPr>
            </w:pP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r>
      <w:tr>
        <w:trPr>
          <w:trHeight w:val="118"/>
        </w:trPr>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1040" w:type="dxa"/>
            <w:vAlign w:val="bottom"/>
            <w:shd w:val="clear" w:color="auto" w:fill="CCECFF"/>
          </w:tcPr>
          <w:p>
            <w:pPr>
              <w:spacing w:after="0"/>
              <w:rPr>
                <w:sz w:val="11"/>
                <w:szCs w:val="11"/>
                <w:color w:val="auto"/>
              </w:rPr>
            </w:pPr>
          </w:p>
        </w:tc>
        <w:tc>
          <w:tcPr>
            <w:tcW w:w="22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2"/>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10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8"/>
              </w:rPr>
              <w:t>8/16/2027</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spacing w:after="0"/>
              <w:rPr>
                <w:sz w:val="11"/>
                <w:szCs w:val="11"/>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8.73 %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SOFR+600</w:t>
            </w:r>
          </w:p>
        </w:tc>
        <w:tc>
          <w:tcPr>
            <w:tcW w:w="6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16,128</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15,785</w:t>
            </w:r>
          </w:p>
        </w:tc>
        <w:tc>
          <w:tcPr>
            <w:tcW w:w="2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15,870</w:t>
            </w:r>
          </w:p>
        </w:tc>
        <w:tc>
          <w:tcPr>
            <w:tcW w:w="80" w:type="dxa"/>
            <w:vAlign w:val="bottom"/>
            <w:shd w:val="clear" w:color="auto" w:fill="CCECFF"/>
          </w:tcPr>
          <w:p>
            <w:pPr>
              <w:spacing w:after="0"/>
              <w:rPr>
                <w:sz w:val="11"/>
                <w:szCs w:val="1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10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8"/>
              </w:rPr>
              <w:t>7/18/2025</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6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7.73 %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L+525</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3,474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3,271</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10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6"/>
              </w:rPr>
              <w:t>10/31/2025</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9.67 %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6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11,208</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11,102</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11,096</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10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8"/>
              </w:rPr>
              <w:t>7/27/2026</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89"/>
              </w:rPr>
              <w:t>10.67 %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L+650</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5,502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5,557</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10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8"/>
              </w:rPr>
              <w:t>8/30/2027</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8.62 %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6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4,531</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4,509</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10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6"/>
              </w:rPr>
              <w:t>11/24/2025</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6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7.78 %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L+525</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5,536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5,392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5,370</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10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8"/>
              </w:rPr>
              <w:t>3/26/2026</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8.87 %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L+600</w:t>
            </w:r>
          </w:p>
        </w:tc>
        <w:tc>
          <w:tcPr>
            <w:tcW w:w="6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17,381</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17,244</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16,946</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10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8"/>
              </w:rPr>
              <w:t>6/16/2025</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6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8.76 %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L+625</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7,949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7,910</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104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5"/>
              </w:rPr>
              <w:t>4/3/2028</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7.76 %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L+550</w:t>
            </w:r>
          </w:p>
        </w:tc>
        <w:tc>
          <w:tcPr>
            <w:tcW w:w="6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12,064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11,938</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UBEO, LLC</w:t>
            </w:r>
          </w:p>
        </w:tc>
        <w:tc>
          <w:tcPr>
            <w:tcW w:w="104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95"/>
              </w:rPr>
              <w:t>4/3/2024</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Printing and Publishing</w:t>
            </w:r>
          </w:p>
        </w:tc>
        <w:tc>
          <w:tcPr>
            <w:tcW w:w="6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8.17 %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3M L+450</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4,674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4,604</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Unique Indoor Comfort, LLC</w:t>
            </w:r>
          </w:p>
        </w:tc>
        <w:tc>
          <w:tcPr>
            <w:tcW w:w="1040" w:type="dxa"/>
            <w:vAlign w:val="bottom"/>
            <w:shd w:val="clear" w:color="auto" w:fill="CCECFF"/>
          </w:tcPr>
          <w:p>
            <w:pPr>
              <w:jc w:val="center"/>
              <w:ind w:left="72"/>
              <w:spacing w:after="0"/>
              <w:rPr>
                <w:sz w:val="20"/>
                <w:szCs w:val="20"/>
                <w:color w:val="auto"/>
              </w:rPr>
            </w:pPr>
            <w:r>
              <w:rPr>
                <w:rFonts w:ascii="Times New Roman" w:cs="Times New Roman" w:eastAsia="Times New Roman" w:hAnsi="Times New Roman"/>
                <w:sz w:val="10"/>
                <w:szCs w:val="10"/>
                <w:color w:val="auto"/>
                <w:w w:val="98"/>
              </w:rPr>
              <w:t>5/24/2027</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w:t>
            </w: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8.95 %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L+525</w:t>
            </w:r>
          </w:p>
        </w:tc>
        <w:tc>
          <w:tcPr>
            <w:tcW w:w="6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9,975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9,840</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9,755</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1040" w:type="dxa"/>
            <w:vAlign w:val="bottom"/>
          </w:tcPr>
          <w:p>
            <w:pPr>
              <w:jc w:val="center"/>
              <w:ind w:left="72"/>
              <w:spacing w:after="0"/>
              <w:rPr>
                <w:sz w:val="20"/>
                <w:szCs w:val="20"/>
                <w:color w:val="auto"/>
              </w:rPr>
            </w:pPr>
            <w:r>
              <w:rPr>
                <w:rFonts w:ascii="Times New Roman" w:cs="Times New Roman" w:eastAsia="Times New Roman" w:hAnsi="Times New Roman"/>
                <w:sz w:val="10"/>
                <w:szCs w:val="10"/>
                <w:color w:val="auto"/>
                <w:w w:val="98"/>
              </w:rPr>
              <w:t>2/27/2026</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Electronics</w:t>
            </w:r>
          </w:p>
        </w:tc>
        <w:tc>
          <w:tcPr>
            <w:tcW w:w="640" w:type="dxa"/>
            <w:vAlign w:val="bottom"/>
          </w:tcPr>
          <w:p>
            <w:pPr>
              <w:spacing w:after="0"/>
              <w:rPr>
                <w:sz w:val="12"/>
                <w:szCs w:val="12"/>
                <w:color w:val="auto"/>
              </w:rPr>
            </w:pPr>
          </w:p>
        </w:tc>
        <w:tc>
          <w:tcPr>
            <w:tcW w:w="4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9.45 %</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SOFR+575</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11,506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11,110</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1040" w:type="dxa"/>
            <w:vAlign w:val="bottom"/>
            <w:shd w:val="clear" w:color="auto" w:fill="CCECFF"/>
          </w:tcPr>
          <w:p>
            <w:pPr>
              <w:jc w:val="center"/>
              <w:ind w:left="52"/>
              <w:spacing w:after="0"/>
              <w:rPr>
                <w:sz w:val="20"/>
                <w:szCs w:val="20"/>
                <w:color w:val="auto"/>
              </w:rPr>
            </w:pPr>
            <w:r>
              <w:rPr>
                <w:rFonts w:ascii="Times New Roman" w:cs="Times New Roman" w:eastAsia="Times New Roman" w:hAnsi="Times New Roman"/>
                <w:sz w:val="10"/>
                <w:szCs w:val="10"/>
                <w:color w:val="auto"/>
                <w:w w:val="95"/>
              </w:rPr>
              <w:t>3/1/2024</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w w:val="89"/>
              </w:rPr>
              <w:t>10.24 %</w:t>
            </w:r>
          </w:p>
        </w:tc>
        <w:tc>
          <w:tcPr>
            <w:tcW w:w="9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3M L+725</w:t>
            </w:r>
          </w:p>
        </w:tc>
        <w:tc>
          <w:tcPr>
            <w:tcW w:w="60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19,998</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19,499</w:t>
            </w:r>
          </w:p>
        </w:tc>
        <w:tc>
          <w:tcPr>
            <w:tcW w:w="80" w:type="dxa"/>
            <w:vAlign w:val="bottom"/>
            <w:shd w:val="clear" w:color="auto" w:fill="CCECFF"/>
          </w:tcPr>
          <w:p>
            <w:pPr>
              <w:spacing w:after="0"/>
              <w:rPr>
                <w:sz w:val="12"/>
                <w:szCs w:val="12"/>
                <w:color w:val="auto"/>
              </w:rPr>
            </w:pPr>
          </w:p>
        </w:tc>
      </w:tr>
      <w:tr>
        <w:trPr>
          <w:trHeight w:val="240"/>
        </w:trPr>
        <w:tc>
          <w:tcPr>
            <w:tcW w:w="3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44"/>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738,219</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730,108</w:t>
            </w: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- 864.4%</w:t>
            </w:r>
          </w:p>
        </w:tc>
        <w:tc>
          <w:tcPr>
            <w:tcW w:w="1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- 48.5%</w:t>
            </w:r>
          </w:p>
        </w:tc>
        <w:tc>
          <w:tcPr>
            <w:tcW w:w="104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1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80" w:type="dxa"/>
            <w:vAlign w:val="bottom"/>
          </w:tcPr>
          <w:p>
            <w:pPr>
              <w:spacing w:after="0"/>
              <w:rPr>
                <w:sz w:val="12"/>
                <w:szCs w:val="12"/>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4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40,945</w:t>
            </w:r>
          </w:p>
        </w:tc>
        <w:tc>
          <w:tcPr>
            <w:tcW w:w="80" w:type="dxa"/>
            <w:vAlign w:val="bottom"/>
            <w:shd w:val="clear" w:color="auto" w:fill="CCECFF"/>
          </w:tcPr>
          <w:p>
            <w:pPr>
              <w:spacing w:after="0"/>
              <w:rPr>
                <w:sz w:val="12"/>
                <w:szCs w:val="12"/>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- 912.9%</w:t>
            </w:r>
          </w:p>
        </w:tc>
        <w:tc>
          <w:tcPr>
            <w:tcW w:w="1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779,164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771,053</w:t>
            </w:r>
          </w:p>
        </w:tc>
        <w:tc>
          <w:tcPr>
            <w:tcW w:w="8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(812.9)%</w:t>
            </w:r>
          </w:p>
        </w:tc>
        <w:tc>
          <w:tcPr>
            <w:tcW w:w="1040" w:type="dxa"/>
            <w:vAlign w:val="bottom"/>
            <w:shd w:val="clear" w:color="auto" w:fill="CCECFF"/>
          </w:tcPr>
          <w:p>
            <w:pPr>
              <w:spacing w:after="0"/>
              <w:rPr>
                <w:sz w:val="10"/>
                <w:szCs w:val="10"/>
                <w:color w:val="auto"/>
              </w:rPr>
            </w:pPr>
          </w:p>
        </w:tc>
        <w:tc>
          <w:tcPr>
            <w:tcW w:w="2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(686,591 )</w:t>
            </w: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1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84,462</w:t>
            </w:r>
          </w:p>
        </w:tc>
        <w:tc>
          <w:tcPr>
            <w:tcW w:w="80" w:type="dxa"/>
            <w:vAlign w:val="bottom"/>
          </w:tcPr>
          <w:p>
            <w:pPr>
              <w:spacing w:after="0"/>
              <w:rPr>
                <w:sz w:val="12"/>
                <w:szCs w:val="12"/>
                <w:color w:val="auto"/>
              </w:rPr>
            </w:pPr>
          </w:p>
        </w:tc>
      </w:tr>
      <w:tr>
        <w:trPr>
          <w:trHeight w:val="20"/>
        </w:trPr>
        <w:tc>
          <w:tcPr>
            <w:tcW w:w="3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6" w:lineRule="exact"/>
        <w:rPr>
          <w:sz w:val="20"/>
          <w:szCs w:val="20"/>
          <w:color w:val="auto"/>
        </w:rPr>
      </w:pPr>
    </w:p>
    <w:p>
      <w:pPr>
        <w:ind w:left="160" w:hanging="142"/>
        <w:spacing w:after="0"/>
        <w:tabs>
          <w:tab w:leader="none" w:pos="16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LIBOR, or “L” , Secured Overnight Financing</w:t>
      </w:r>
    </w:p>
    <w:p>
      <w:pPr>
        <w:spacing w:after="0" w:line="29" w:lineRule="exact"/>
        <w:rPr>
          <w:rFonts w:ascii="Times New Roman" w:cs="Times New Roman" w:eastAsia="Times New Roman" w:hAnsi="Times New Roman"/>
          <w:sz w:val="10"/>
          <w:szCs w:val="10"/>
          <w:color w:val="auto"/>
        </w:rPr>
      </w:pPr>
    </w:p>
    <w:p>
      <w:pPr>
        <w:ind w:left="100" w:right="3500" w:firstLine="48"/>
        <w:spacing w:after="0" w:line="375" w:lineRule="auto"/>
        <w:rPr>
          <w:rFonts w:ascii="Times New Roman" w:cs="Times New Roman" w:eastAsia="Times New Roman" w:hAnsi="Times New Roman"/>
          <w:sz w:val="10"/>
          <w:szCs w:val="10"/>
          <w:color w:val="auto"/>
        </w:rPr>
      </w:pPr>
      <w:r>
        <w:rPr>
          <w:rFonts w:ascii="Times New Roman" w:cs="Times New Roman" w:eastAsia="Times New Roman" w:hAnsi="Times New Roman"/>
          <w:sz w:val="8"/>
          <w:szCs w:val="8"/>
          <w:color w:val="auto"/>
        </w:rPr>
        <w:t>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160" w:hanging="142"/>
        <w:spacing w:after="0"/>
        <w:tabs>
          <w:tab w:leader="none" w:pos="16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PSLF’s accounting policy.</w:t>
      </w:r>
    </w:p>
    <w:p>
      <w:pPr>
        <w:spacing w:after="0" w:line="29" w:lineRule="exact"/>
        <w:rPr>
          <w:rFonts w:ascii="Times New Roman" w:cs="Times New Roman" w:eastAsia="Times New Roman" w:hAnsi="Times New Roman"/>
          <w:sz w:val="10"/>
          <w:szCs w:val="10"/>
          <w:color w:val="auto"/>
        </w:rPr>
      </w:pPr>
    </w:p>
    <w:p>
      <w:pPr>
        <w:ind w:left="160" w:hanging="142"/>
        <w:spacing w:after="0"/>
        <w:tabs>
          <w:tab w:leader="none" w:pos="16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purchase of a security with a delayed settlement or a revolving line of credit that is currenlty an unfunded investment. This security does not earn a basis point spread above an index while it is unfunded.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1" w:right="680" w:bottom="1440" w:gutter="0" w:footer="0" w:header="0"/>
        </w:sectPr>
      </w:pPr>
    </w:p>
    <w:bookmarkStart w:id="140" w:name="page141"/>
    <w:bookmarkEnd w:id="14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65" w:lineRule="exact"/>
        <w:rPr>
          <w:sz w:val="20"/>
          <w:szCs w:val="20"/>
          <w:color w:val="auto"/>
        </w:rPr>
      </w:pPr>
    </w:p>
    <w:p>
      <w:pPr>
        <w:jc w:val="both"/>
        <w:ind w:right="180" w:firstLine="348"/>
        <w:spacing w:after="0" w:line="268" w:lineRule="auto"/>
        <w:rPr>
          <w:sz w:val="20"/>
          <w:szCs w:val="20"/>
          <w:color w:val="auto"/>
        </w:rPr>
      </w:pPr>
      <w:r>
        <w:rPr>
          <w:rFonts w:ascii="Times New Roman" w:cs="Times New Roman" w:eastAsia="Times New Roman" w:hAnsi="Times New Roman"/>
          <w:sz w:val="13"/>
          <w:szCs w:val="13"/>
          <w:color w:val="auto"/>
        </w:rPr>
        <w:t>PennantPark Senior Loan Fund, LLC, or PSLF, is organized as a Delaware limited liability company and commenced operations in July 2020. PSLF is a joint venture between PennantPark Investment Corporation ("PNNT") and Pantheon Ventures (UK), LLP ("Pantheon"). In this report, except where the context suggests otherwise, the terms “Company,” “we,” “our,” or “us” refer to PSLF and its consolidated subsidiary.</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Company's investment objectives are to generate both current income and capital appreciation while seeking to preserve capital through debt and equity investments primarily made to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middle-market companies in the form of first lien secured debt, second lien secured debt and subordinated debt and equity investments.</w:t>
      </w:r>
    </w:p>
    <w:p>
      <w:pPr>
        <w:spacing w:after="0" w:line="149"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PNNT and Pantheon (individually a "Member" and collectively the "Members"), provide capital to PSLF in the form of notes and equity interests. On July 31, 2020, PNNT contributed its formerly wholly- owned subsidiary, PennantPark Investment Funding I, LLC (“Funding I”) to the Company in exchange for a 72% stake in PSLF. As of July 31, 2020, Funding I held $356.1 million of senior loans at fair value and had $240.0 million of debt outstanding (see Note 10). On July 31, 2020 Pantheon invested $35.0 million to acquire a 28% stake in PSLF of which $22.5 million was used to partially pay down Funding I's outstanding debt. Subsequent to the contribution of Funding I by PNNT, Funding I became a wholly-owned subsidiary of PSLF and its operations are consolidated with and into the operations of PSLF.</w:t>
      </w:r>
    </w:p>
    <w:p>
      <w:pPr>
        <w:spacing w:after="0" w:line="130"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On October 31, 2020, PNNT and Pantheon contributed an additional $1.8 million and $27.5 million, respectively, to PSLF. PNNT’s and Pantheon’s additional investments came in at PSLF’s then current Members’ equity. As a result of the additional capital contribution, PNNT and Pantheon owned 60.5% and 39.5%, respectively, of the outstanding notes and equity interests of PSLF (see Note 6).</w:t>
      </w:r>
    </w:p>
    <w:p>
      <w:pPr>
        <w:spacing w:after="0" w:line="123" w:lineRule="exact"/>
        <w:rPr>
          <w:sz w:val="20"/>
          <w:szCs w:val="20"/>
          <w:color w:val="auto"/>
        </w:rPr>
      </w:pPr>
    </w:p>
    <w:p>
      <w:pPr>
        <w:jc w:val="both"/>
        <w:ind w:firstLine="348"/>
        <w:spacing w:after="0" w:line="286" w:lineRule="auto"/>
        <w:rPr>
          <w:sz w:val="20"/>
          <w:szCs w:val="20"/>
          <w:color w:val="auto"/>
        </w:rPr>
      </w:pPr>
      <w:r>
        <w:rPr>
          <w:rFonts w:ascii="Times New Roman" w:cs="Times New Roman" w:eastAsia="Times New Roman" w:hAnsi="Times New Roman"/>
          <w:sz w:val="13"/>
          <w:szCs w:val="13"/>
          <w:color w:val="auto"/>
        </w:rPr>
        <w:t>The administrative agent of the Company is PennantPark Investment Administration, LLC (the "Administrative Agent"). The Bank of New York Mellon Corporation (the "Sub-Administrator") provides certain services to the Company with respect to certain accounting matters and has the responsibility for the official books and records.</w:t>
      </w:r>
    </w:p>
    <w:p>
      <w:pPr>
        <w:spacing w:after="0" w:line="112"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3"/>
          <w:szCs w:val="13"/>
          <w:color w:val="auto"/>
        </w:rPr>
        <w:t>PNNT and Pantheon each appointed two members to PSLF’s four-person member designees’ committee. All material decisions with respect to PSLF, including those involving its investment portfolio, require unanimous approval of a quorum of the member designees. Quorum is defined as (i) the presence of two members of the member designees’ committee; provided that at least one individual is present that was elected, designated or appointed by each member; (ii) the presence of three members of the member designees’ committee, provided that the individual that was elected, designated or appointed by the member with only one individual present shall be entitled to cast two votes on each matter; and (iii) the presence of four members of the member designees or investment committee shall constitute a quorum, provided that two individuals are present that were elected, designated or appointed by each member.</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PennantPark CLO IV, LLC ("CLO IV") is a wholly-owned subsidiary and was formed in March 2022 for the purpose of executing a debt securitization (See Note 10).</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PennantPark CLO VII, LLC ("CLO VII") is a wholly-owned subsidiary and was formed in July 2023 for the purpose of executing a debt securitization (See Note 10).</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41" w:name="page142"/>
    <w:bookmarkEnd w:id="14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PSLF is considered an investment company under U.S. generally accepted accounting principles ("GAAP") and follows the accounting and reporting guidance applicable to investment companies in the Financial Accounting Standards Board Accounting Standards Codification Topic 946. References to the Accounting Standards Codification, as amended ("ASC"), serves as a source of accounting literature. Subsequent events are evaluated and disclosed as appropriate for events occurring through the date the consolidated financial statements are issued. The preparation of our consolidated financial statements in conformity with GAAP requires the Company to make estimates and assumptions that affect the reported amount of our assets and liabilities at the date of the consolidated financial statements and the reported amounts of income and expenses during the reported periods. In the opinion of the Company,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 Restatement of Previously Issued Financial Statement</w:t>
      </w:r>
    </w:p>
    <w:p>
      <w:pPr>
        <w:spacing w:after="0" w:line="167" w:lineRule="exact"/>
        <w:rPr>
          <w:sz w:val="20"/>
          <w:szCs w:val="20"/>
          <w:color w:val="auto"/>
        </w:rPr>
      </w:pPr>
    </w:p>
    <w:p>
      <w:pPr>
        <w:ind w:right="40" w:firstLine="297"/>
        <w:spacing w:after="0" w:line="256" w:lineRule="auto"/>
        <w:rPr>
          <w:sz w:val="20"/>
          <w:szCs w:val="20"/>
          <w:color w:val="auto"/>
        </w:rPr>
      </w:pPr>
      <w:r>
        <w:rPr>
          <w:rFonts w:ascii="Times New Roman" w:cs="Times New Roman" w:eastAsia="Times New Roman" w:hAnsi="Times New Roman"/>
          <w:sz w:val="13"/>
          <w:szCs w:val="13"/>
          <w:color w:val="auto"/>
        </w:rPr>
        <w:t>During the preparation of the financial statements as of and for the year ended September 30, 2023, Management identified an error in the classification and presentation of cash pertaining to the Company’s affiliate, PNNT, in the September 30, 2022 financial statements. The Company recorded cash activity and due from affiliate pertaining to their investments as an increase in the cash account instead of presenting the related cash and cash equivalents as an asset and another asset for due from affiliate. The impact of the error correction is reflected in a $2.0 million decrease to cash and offsetting increase to due from affiliates as of September 30, 2022 and a decrease in due from affiliates within operating activities on the consolidated statement of cash flows totaling $2.0 million for the year ended September 30, 2022. There was no impact from the error correction to total members' equity as reported on the consolidated statement of assets, liabilities and members' equity as of September 30, 2022. In addition, there was no impact from the error correction on net investment income or net increase (decrease) in members' equity resulting from operations in total as reported on the consolidated statement of operations for the year ended September 30, 2022. The corrections were reported in the year ended September 30, 2023.</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 Investment Valuations</w:t>
      </w:r>
    </w:p>
    <w:p>
      <w:pPr>
        <w:spacing w:after="0" w:line="16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member designees’ using a documented valuation policy, described herein, and a consistently applied valuation process.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4.</w:t>
      </w:r>
    </w:p>
    <w:p>
      <w:pPr>
        <w:spacing w:after="0" w:line="132"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investments. With respect to investments for which market quotations are not readily available, or for which market quotations are deemed not reflective of the fair value, our member designees’ undertakes a multi-step valuation process each quarter, as described below:</w:t>
      </w:r>
    </w:p>
    <w:p>
      <w:pPr>
        <w:spacing w:after="0" w:line="112" w:lineRule="exact"/>
        <w:rPr>
          <w:sz w:val="20"/>
          <w:szCs w:val="20"/>
          <w:color w:val="auto"/>
        </w:rPr>
      </w:pPr>
    </w:p>
    <w:p>
      <w:pPr>
        <w:ind w:left="540" w:right="18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PennantPark Investment Advisers, LLC, the investment adviser to PNNT, responsible for the portfolio investment;</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PennantPark Investment Advisers, LLC;</w:t>
      </w:r>
    </w:p>
    <w:p>
      <w:pPr>
        <w:spacing w:after="0" w:line="163" w:lineRule="exact"/>
        <w:rPr>
          <w:sz w:val="20"/>
          <w:szCs w:val="20"/>
          <w:color w:val="auto"/>
        </w:rPr>
      </w:pPr>
    </w:p>
    <w:p>
      <w:pPr>
        <w:ind w:left="540" w:right="60"/>
        <w:spacing w:after="0" w:line="268" w:lineRule="auto"/>
        <w:rPr>
          <w:sz w:val="20"/>
          <w:szCs w:val="20"/>
          <w:color w:val="auto"/>
        </w:rPr>
      </w:pPr>
      <w:r>
        <w:rPr>
          <w:rFonts w:ascii="Times New Roman" w:cs="Times New Roman" w:eastAsia="Times New Roman" w:hAnsi="Times New Roman"/>
          <w:sz w:val="13"/>
          <w:szCs w:val="13"/>
          <w:color w:val="auto"/>
        </w:rPr>
        <w:t>(3)Our member designees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540" w:right="160"/>
        <w:spacing w:after="0" w:line="268" w:lineRule="auto"/>
        <w:rPr>
          <w:sz w:val="20"/>
          <w:szCs w:val="20"/>
          <w:color w:val="auto"/>
        </w:rPr>
      </w:pPr>
      <w:r>
        <w:rPr>
          <w:rFonts w:ascii="Times New Roman" w:cs="Times New Roman" w:eastAsia="Times New Roman" w:hAnsi="Times New Roman"/>
          <w:sz w:val="13"/>
          <w:szCs w:val="13"/>
          <w:color w:val="auto"/>
        </w:rPr>
        <w:t>(4)Our member designees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3"/>
          <w:szCs w:val="13"/>
          <w:color w:val="auto"/>
        </w:rPr>
        <w:t>(5)Our member designees assesses these valuations and determines the fair value of each investment in our portfolio in good faith, based on the input of PennantPark Investment Advisers, LLC and the respective independent valuation firms.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20"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member designees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member designees’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 Security Transactions, Revenue Recognition, and Realized/Unrealized Gains or Losses</w:t>
      </w:r>
    </w:p>
    <w:p>
      <w:pPr>
        <w:spacing w:after="0" w:line="16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Security transactions are recorded on a trade date basis. 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2"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receivable is generally reversed when a loan is placed on non-accrual status. Interest payments received on non-accrual loans may be recognized as income or applied to principal depending upon the Company's judgment. Non-accrual loans are restored to accrual status when past due principal and interest is paid and, in the Company's judgment, are likely to remain current. There were no loans on non-accrual status as of September 30, 2023 and 2022.</w:t>
      </w:r>
    </w:p>
    <w:p>
      <w:pPr>
        <w:spacing w:after="0" w:line="12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measure realized gains and losses by the difference between the net proceeds from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during the reporting period, including any reversal of previously recorded unrealized appreciation and depreciation, when gains or losses are realized.</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 Income Taxes</w:t>
      </w:r>
    </w:p>
    <w:p>
      <w:pPr>
        <w:spacing w:after="0" w:line="16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PSLF is classified as a partnership for U.S. federal income tax purposes and is not subject to U.S. federal income tax. Accordingly, no provisions for U.S. income taxes have been made. The Members are responsible for reporting their share of the PSLF’s income or loss on their U.S. income tax returns.</w:t>
      </w:r>
    </w:p>
    <w:p>
      <w:pPr>
        <w:spacing w:after="0" w:line="112"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In accordance with FASB ASC Topic 740, the Company is required to determine whether a tax position of PSLF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PSLF recording a tax liability that would reduce members’ capital.</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years ended September 30, 2023 and 2022, there were no material uncertain income tax positions.</w:t>
      </w:r>
    </w:p>
    <w:p>
      <w:pPr>
        <w:spacing w:after="0" w:line="159" w:lineRule="exact"/>
        <w:rPr>
          <w:sz w:val="20"/>
          <w:szCs w:val="20"/>
          <w:color w:val="auto"/>
        </w:rPr>
      </w:pPr>
    </w:p>
    <w:p>
      <w:pPr>
        <w:ind w:left="420" w:hanging="186"/>
        <w:spacing w:after="0"/>
        <w:tabs>
          <w:tab w:leader="none" w:pos="420" w:val="left"/>
        </w:tabs>
        <w:numPr>
          <w:ilvl w:val="0"/>
          <w:numId w:val="3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6" w:lineRule="exact"/>
        <w:rPr>
          <w:rFonts w:ascii="Times New Roman" w:cs="Times New Roman" w:eastAsia="Times New Roman" w:hAnsi="Times New Roman"/>
          <w:sz w:val="13"/>
          <w:szCs w:val="13"/>
          <w:b w:val="1"/>
          <w:bCs w:val="1"/>
          <w:i w:val="1"/>
          <w:iCs w:val="1"/>
          <w:color w:val="auto"/>
        </w:rPr>
      </w:pPr>
    </w:p>
    <w:p>
      <w:pPr>
        <w:jc w:val="right"/>
        <w:ind w:left="540" w:right="2780" w:hanging="108"/>
        <w:spacing w:after="0" w:line="501"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 1.Fair value of investment securities, other assets and liabilities – at the exchange rates prevailing at the end of the applicable period; and</w:t>
      </w:r>
    </w:p>
    <w:p>
      <w:pPr>
        <w:ind w:left="5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 and liabilities.</w:t>
      </w:r>
    </w:p>
    <w:p>
      <w:pPr>
        <w:spacing w:after="0" w:line="123"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67"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As explained by ASC paragraph 946-810-45, PSLF will generally not consolidate its investment in a company other than an investment company subsidiary or a controlled operating company whose business consists of providing services to us.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Recent Accounting Pronouncements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 xml:space="preserve">In August 2018, the FASB issued ASU 2018-13, Fair Value Measurement (Topic 820): </w:t>
      </w:r>
      <w:r>
        <w:rPr>
          <w:rFonts w:ascii="Times New Roman" w:cs="Times New Roman" w:eastAsia="Times New Roman" w:hAnsi="Times New Roman"/>
          <w:sz w:val="13"/>
          <w:szCs w:val="13"/>
          <w:i w:val="1"/>
          <w:iCs w:val="1"/>
          <w:color w:val="auto"/>
        </w:rPr>
        <w:t>Disclosure Framework - Changes in the Disclosure Requirements for Fair Value Measurement</w:t>
      </w:r>
      <w:r>
        <w:rPr>
          <w:rFonts w:ascii="Times New Roman" w:cs="Times New Roman" w:eastAsia="Times New Roman" w:hAnsi="Times New Roman"/>
          <w:sz w:val="13"/>
          <w:szCs w:val="13"/>
          <w:color w:val="auto"/>
        </w:rPr>
        <w:t>, which changes the fair value measurement disclosure requirements on fair value measurements in Topic 820. The ASU removed the requirements to disclosure the policy for the timing of transfers between levels, the valuation processes for Level 3 fair value measurements, the Level 3 reconciliation from opening balances to closing balances, and the change in unrealized gains and losses of Level 3 fair value measurements held on the balance sheet date. While most changes are applied on a retrospective basis, the ASU still requires the change in unrealized gain and losses of Level 3 fair value measurements held as of the prior year to be disclosed. As a result of these removals certain modifications were made, including disclosure of the amount of and reason for transfers into and out of Level 3 of the fair value hierarchy and the amount of purchases and issues of Level 3 assets and liabilities. The Company adopted this ASU for the year ended September 30, 2023.</w:t>
      </w:r>
    </w:p>
    <w:p>
      <w:pPr>
        <w:spacing w:after="0" w:line="130"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2020- 04, “Reference Rate Reform (Topic 848): Facilitation of the Effects of Reference Rate Reform on Financial Reporting” ("ASU 2020 -04").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years ended September 30, 2023 and September 30, 2022, the effect of which was not material to the consolidated financial statements and the notes thereto.</w:t>
      </w:r>
    </w:p>
    <w:p>
      <w:pPr>
        <w:spacing w:after="0" w:line="130"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Accounting Standards Update 2022-02, “Financial Instruments - Credit Losses (Topic 326)” ("ASU 2022-02"),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adopted ASU 2022-02 on its consolidated financial statement and disclosures.</w:t>
      </w:r>
    </w:p>
    <w:p>
      <w:pPr>
        <w:spacing w:after="0" w:line="130"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"Fair Value Measurement (Topic 820): Fair Value Measurement of Equity Securities Subject to Contractual Sale Restrictions",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AGREEMENTS AND RELATED PARTY TRANSACTIONS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For the years ended September 30, 2023 and 2022, PSLF purchased $127.8 million and $395.3 million of investments from PNNT, respectively.</w:t>
      </w:r>
    </w:p>
    <w:p>
      <w:pPr>
        <w:spacing w:after="0" w:line="163" w:lineRule="exact"/>
        <w:rPr>
          <w:sz w:val="20"/>
          <w:szCs w:val="20"/>
          <w:color w:val="auto"/>
        </w:rPr>
      </w:pPr>
    </w:p>
    <w:p>
      <w:pPr>
        <w:ind w:right="220" w:firstLine="432"/>
        <w:spacing w:after="0" w:line="268" w:lineRule="auto"/>
        <w:rPr>
          <w:sz w:val="20"/>
          <w:szCs w:val="20"/>
          <w:color w:val="auto"/>
        </w:rPr>
      </w:pPr>
      <w:r>
        <w:rPr>
          <w:rFonts w:ascii="Times New Roman" w:cs="Times New Roman" w:eastAsia="Times New Roman" w:hAnsi="Times New Roman"/>
          <w:sz w:val="13"/>
          <w:szCs w:val="13"/>
          <w:color w:val="auto"/>
        </w:rPr>
        <w:t>For the years ended September 30, 2023 and 2022, PSLF incurred $2.0 million and $1.2 million of administration fees to the Administrative Agent, respectively. The Administrative Agent provides administration services to PSLF at an annual rate of 0.25% based on average gross assets under management payable quarterly in arrears and calculated based on average gross assets (measured at cost) at the end of the two recently completed calendar quarters.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For the years ended September 30, 2023 and 2022, PSLF incurred $20.9 million and $11.7 million of interest expense related to the notes outstanding with the Members, respectively.</w:t>
      </w:r>
    </w:p>
    <w:p>
      <w:pPr>
        <w:spacing w:after="0" w:line="163"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PSLF had a receivable from PNNT of $ 3.3 million and $2.0 million, respectively, presented as due from affiliate on the consolidated statement of assets, liabilities and members' equity. These amounts are related to cash owed from PNNT in connection with trades between the funds.</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FAIR VALUE OF FINANCIAL INSTRUMENTS</w:t>
      </w:r>
    </w:p>
    <w:p>
      <w:pPr>
        <w:spacing w:after="0" w:line="165"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Topic 820, Fair Value Measurement, is the price that we would receive upon selling an investment or pay to transfer a liability in an orderly transaction to a market participant in the principal or most advantageous market for the investment or liability. ASC Topic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1320" w:right="320" w:hanging="899"/>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jc w:val="both"/>
        <w:ind w:right="540" w:firstLine="420"/>
        <w:spacing w:after="0" w:line="268"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3"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30"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 based information including comparable transactions, performance multiples and yields, among other factors. These non-public investments using unobservable inputs are included in Level 3 of the fair value hierarchy.</w:t>
      </w:r>
    </w:p>
    <w:p>
      <w:pPr>
        <w:spacing w:after="0" w:line="127"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to using the above inputs in valuing cash equivalents and investments, we employ the valuation policy approved by our member designees’ that is consistent with ASC 820.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Consistent with our valuation policy, we evaluate the source of inputs, including any markets in which our investments are trading, in determining fair value. See Note 2.</w:t>
      </w:r>
    </w:p>
    <w:p>
      <w:pPr>
        <w:spacing w:after="0" w:line="149"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comparable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member designee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7" w:lineRule="exact"/>
        <w:rPr>
          <w:sz w:val="20"/>
          <w:szCs w:val="20"/>
          <w:color w:val="auto"/>
        </w:rPr>
      </w:pPr>
    </w:p>
    <w:p>
      <w:pPr>
        <w:ind w:right="20" w:firstLine="420"/>
        <w:spacing w:after="0" w:line="253" w:lineRule="auto"/>
        <w:rPr>
          <w:sz w:val="20"/>
          <w:szCs w:val="20"/>
          <w:color w:val="auto"/>
        </w:rPr>
      </w:pPr>
      <w:r>
        <w:rPr>
          <w:rFonts w:ascii="Times New Roman" w:cs="Times New Roman" w:eastAsia="Times New Roman" w:hAnsi="Times New Roman"/>
          <w:sz w:val="13"/>
          <w:szCs w:val="13"/>
          <w:color w:val="auto"/>
        </w:rPr>
        <w:t>Some of our investments can also be valued using a market comparable or an enterprise market value technique.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45" w:name="page146"/>
    <w:bookmarkEnd w:id="145"/>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an increase in an EBITDA multiple will result in an increase in the valuation of an investment, while a decrease in an EBITDA will have the opposite effect.</w:t>
      </w:r>
    </w:p>
    <w:p>
      <w:pPr>
        <w:spacing w:after="0" w:line="163"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93"/>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00" w:type="dxa"/>
            <w:vAlign w:val="bottom"/>
          </w:tcPr>
          <w:p>
            <w:pPr>
              <w:spacing w:after="0"/>
              <w:rPr>
                <w:sz w:val="16"/>
                <w:szCs w:val="16"/>
                <w:color w:val="auto"/>
              </w:rPr>
            </w:pP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85,500</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4"/>
        </w:trPr>
        <w:tc>
          <w:tcPr>
            <w:tcW w:w="232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CECFC"/>
          </w:tcPr>
          <w:p>
            <w:pPr>
              <w:spacing w:after="0"/>
              <w:rPr>
                <w:sz w:val="16"/>
                <w:szCs w:val="16"/>
                <w:color w:val="auto"/>
              </w:rPr>
            </w:pPr>
          </w:p>
        </w:tc>
        <w:tc>
          <w:tcPr>
            <w:tcW w:w="196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718,687</w:t>
            </w:r>
          </w:p>
        </w:tc>
        <w:tc>
          <w:tcPr>
            <w:tcW w:w="2300" w:type="dxa"/>
            <w:vAlign w:val="bottom"/>
            <w:shd w:val="clear" w:color="auto" w:fill="CCECFC"/>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shd w:val="clear" w:color="auto" w:fill="CCECFC"/>
          </w:tcPr>
          <w:p>
            <w:pPr>
              <w:jc w:val="center"/>
              <w:ind w:left="94"/>
              <w:spacing w:after="0"/>
              <w:rPr>
                <w:sz w:val="20"/>
                <w:szCs w:val="20"/>
                <w:color w:val="auto"/>
              </w:rPr>
            </w:pPr>
            <w:r>
              <w:rPr>
                <w:rFonts w:ascii="Times New Roman" w:cs="Times New Roman" w:eastAsia="Times New Roman" w:hAnsi="Times New Roman"/>
                <w:sz w:val="13"/>
                <w:szCs w:val="13"/>
                <w:color w:val="auto"/>
              </w:rPr>
              <w:t>Market Yield</w:t>
            </w:r>
          </w:p>
        </w:tc>
        <w:tc>
          <w:tcPr>
            <w:tcW w:w="1680" w:type="dxa"/>
            <w:vAlign w:val="bottom"/>
            <w:shd w:val="clear" w:color="auto" w:fill="CCECFC"/>
          </w:tcPr>
          <w:p>
            <w:pPr>
              <w:jc w:val="right"/>
              <w:ind w:right="114"/>
              <w:spacing w:after="0"/>
              <w:rPr>
                <w:sz w:val="20"/>
                <w:szCs w:val="20"/>
                <w:color w:val="auto"/>
              </w:rPr>
            </w:pPr>
            <w:r>
              <w:rPr>
                <w:rFonts w:ascii="Times New Roman" w:cs="Times New Roman" w:eastAsia="Times New Roman" w:hAnsi="Times New Roman"/>
                <w:sz w:val="13"/>
                <w:szCs w:val="13"/>
                <w:color w:val="auto"/>
              </w:rPr>
              <w:t>10.0% - 25.0% (12.2%)</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2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line="20" w:lineRule="exact"/>
              <w:rPr>
                <w:sz w:val="1"/>
                <w:szCs w:val="1"/>
                <w:color w:val="auto"/>
              </w:rPr>
            </w:pPr>
          </w:p>
        </w:tc>
      </w:tr>
      <w:tr>
        <w:trPr>
          <w:trHeight w:val="479"/>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00" w:type="dxa"/>
            <w:vAlign w:val="bottom"/>
          </w:tcPr>
          <w:p>
            <w:pPr>
              <w:spacing w:after="0"/>
              <w:rPr>
                <w:sz w:val="16"/>
                <w:szCs w:val="16"/>
                <w:color w:val="auto"/>
              </w:rPr>
            </w:pPr>
          </w:p>
        </w:tc>
        <w:tc>
          <w:tcPr>
            <w:tcW w:w="19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Fair value at September 30, 2022</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95,968</w:t>
            </w:r>
          </w:p>
        </w:tc>
        <w:tc>
          <w:tcPr>
            <w:tcW w:w="2300" w:type="dxa"/>
            <w:vAlign w:val="bottom"/>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4"/>
        </w:trPr>
        <w:tc>
          <w:tcPr>
            <w:tcW w:w="232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CECFC"/>
          </w:tcPr>
          <w:p>
            <w:pPr>
              <w:spacing w:after="0"/>
              <w:rPr>
                <w:sz w:val="16"/>
                <w:szCs w:val="16"/>
                <w:color w:val="auto"/>
              </w:rPr>
            </w:pPr>
          </w:p>
        </w:tc>
        <w:tc>
          <w:tcPr>
            <w:tcW w:w="196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634,140</w:t>
            </w:r>
          </w:p>
        </w:tc>
        <w:tc>
          <w:tcPr>
            <w:tcW w:w="2300" w:type="dxa"/>
            <w:vAlign w:val="bottom"/>
            <w:shd w:val="clear" w:color="auto" w:fill="CCECFC"/>
          </w:tcPr>
          <w:p>
            <w:pPr>
              <w:jc w:val="center"/>
              <w:ind w:left="254"/>
              <w:spacing w:after="0"/>
              <w:rPr>
                <w:sz w:val="20"/>
                <w:szCs w:val="20"/>
                <w:color w:val="auto"/>
              </w:rPr>
            </w:pPr>
            <w:r>
              <w:rPr>
                <w:rFonts w:ascii="Times New Roman" w:cs="Times New Roman" w:eastAsia="Times New Roman" w:hAnsi="Times New Roman"/>
                <w:sz w:val="13"/>
                <w:szCs w:val="13"/>
                <w:color w:val="auto"/>
              </w:rPr>
              <w:t>Market Comparable</w:t>
            </w:r>
          </w:p>
        </w:tc>
        <w:tc>
          <w:tcPr>
            <w:tcW w:w="2200" w:type="dxa"/>
            <w:vAlign w:val="bottom"/>
            <w:shd w:val="clear" w:color="auto" w:fill="CCECFC"/>
          </w:tcPr>
          <w:p>
            <w:pPr>
              <w:jc w:val="center"/>
              <w:ind w:left="94"/>
              <w:spacing w:after="0"/>
              <w:rPr>
                <w:sz w:val="20"/>
                <w:szCs w:val="20"/>
                <w:color w:val="auto"/>
              </w:rPr>
            </w:pPr>
            <w:r>
              <w:rPr>
                <w:rFonts w:ascii="Times New Roman" w:cs="Times New Roman" w:eastAsia="Times New Roman" w:hAnsi="Times New Roman"/>
                <w:sz w:val="13"/>
                <w:szCs w:val="13"/>
                <w:color w:val="auto"/>
              </w:rPr>
              <w:t>Market Yield</w:t>
            </w:r>
          </w:p>
        </w:tc>
        <w:tc>
          <w:tcPr>
            <w:tcW w:w="1680" w:type="dxa"/>
            <w:vAlign w:val="bottom"/>
            <w:shd w:val="clear" w:color="auto" w:fill="CCECFC"/>
          </w:tcPr>
          <w:p>
            <w:pPr>
              <w:jc w:val="right"/>
              <w:ind w:right="174"/>
              <w:spacing w:after="0"/>
              <w:rPr>
                <w:sz w:val="20"/>
                <w:szCs w:val="20"/>
                <w:color w:val="auto"/>
              </w:rPr>
            </w:pPr>
            <w:r>
              <w:rPr>
                <w:rFonts w:ascii="Times New Roman" w:cs="Times New Roman" w:eastAsia="Times New Roman" w:hAnsi="Times New Roman"/>
                <w:sz w:val="13"/>
                <w:szCs w:val="13"/>
                <w:color w:val="auto"/>
              </w:rPr>
              <w:t>6.0% - 11.2% (9.0%)</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2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26" w:hanging="126"/>
        <w:spacing w:after="0"/>
        <w:tabs>
          <w:tab w:leader="none" w:pos="126"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 disclosed in the tables above was weighted by its relative fair value.</w:t>
      </w:r>
    </w:p>
    <w:p>
      <w:pPr>
        <w:spacing w:after="0" w:line="1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Our investments and cash and cash equivalents were categorized as follows in the fair value hierarchy for ASC 820 purposes ($ in thousands):</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0" w:type="dxa"/>
            <w:vAlign w:val="bottom"/>
          </w:tcPr>
          <w:p>
            <w:pPr>
              <w:spacing w:after="0"/>
              <w:rPr>
                <w:sz w:val="16"/>
                <w:szCs w:val="16"/>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48"/>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60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416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580" w:type="dxa"/>
            <w:vAlign w:val="bottom"/>
            <w:gridSpan w:val="2"/>
            <w:vMerge w:val="continue"/>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480" w:type="dxa"/>
            <w:vAlign w:val="bottom"/>
            <w:gridSpan w:val="2"/>
            <w:vMerge w:val="continue"/>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13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3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59,096</w:t>
            </w: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804,187</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863,283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tbl>
      <w:tblPr>
        <w:tblLayout w:type="fixed"/>
        <w:tblInd w:w="6"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Fair Value at September 30, 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48"/>
        </w:trPr>
        <w:tc>
          <w:tcPr>
            <w:tcW w:w="4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20" w:type="dxa"/>
            <w:vAlign w:val="bottom"/>
            <w:shd w:val="clear" w:color="auto" w:fill="CFF0FC"/>
          </w:tcPr>
          <w:p>
            <w:pPr>
              <w:spacing w:after="0"/>
              <w:rPr>
                <w:sz w:val="21"/>
                <w:szCs w:val="21"/>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shd w:val="clear" w:color="auto" w:fill="CCEC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4040" w:type="dxa"/>
            <w:vAlign w:val="bottom"/>
            <w:shd w:val="clear" w:color="auto" w:fill="CCECFF"/>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980" w:type="dxa"/>
            <w:vAlign w:val="bottom"/>
            <w:shd w:val="clear" w:color="auto" w:fill="CCECFF"/>
          </w:tcPr>
          <w:p>
            <w:pPr>
              <w:spacing w:after="0"/>
              <w:rPr>
                <w:sz w:val="8"/>
                <w:szCs w:val="8"/>
                <w:color w:val="auto"/>
              </w:rPr>
            </w:pPr>
          </w:p>
        </w:tc>
        <w:tc>
          <w:tcPr>
            <w:tcW w:w="580" w:type="dxa"/>
            <w:vAlign w:val="bottom"/>
            <w:gridSpan w:val="2"/>
            <w:vMerge w:val="continue"/>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480" w:type="dxa"/>
            <w:vAlign w:val="bottom"/>
            <w:gridSpan w:val="2"/>
            <w:vMerge w:val="continue"/>
            <w:shd w:val="clear" w:color="auto" w:fill="CCECFF"/>
          </w:tcPr>
          <w:p>
            <w:pPr>
              <w:spacing w:after="0"/>
              <w:rPr>
                <w:sz w:val="8"/>
                <w:szCs w:val="8"/>
                <w:color w:val="auto"/>
              </w:rPr>
            </w:pPr>
          </w:p>
        </w:tc>
        <w:tc>
          <w:tcPr>
            <w:tcW w:w="10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80" w:type="dxa"/>
            <w:vAlign w:val="bottom"/>
            <w:shd w:val="clear" w:color="auto" w:fill="CCECFF"/>
          </w:tcPr>
          <w:p>
            <w:pPr>
              <w:spacing w:after="0"/>
              <w:rPr>
                <w:sz w:val="8"/>
                <w:szCs w:val="8"/>
                <w:color w:val="auto"/>
              </w:rPr>
            </w:pPr>
          </w:p>
        </w:tc>
        <w:tc>
          <w:tcPr>
            <w:tcW w:w="134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3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40,945</w:t>
            </w:r>
          </w:p>
        </w:tc>
        <w:tc>
          <w:tcPr>
            <w:tcW w:w="320" w:type="dxa"/>
            <w:vAlign w:val="bottom"/>
            <w:vMerge w:val="restart"/>
          </w:tcPr>
          <w:p>
            <w:pPr>
              <w:spacing w:after="0"/>
              <w:rPr>
                <w:sz w:val="23"/>
                <w:szCs w:val="23"/>
                <w:color w:val="auto"/>
              </w:rPr>
            </w:pPr>
          </w:p>
        </w:tc>
        <w:tc>
          <w:tcPr>
            <w:tcW w:w="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vMerge w:val="restart"/>
          </w:tcPr>
          <w:p>
            <w:pPr>
              <w:spacing w:after="0"/>
              <w:rPr>
                <w:sz w:val="23"/>
                <w:szCs w:val="23"/>
                <w:color w:val="auto"/>
              </w:rPr>
            </w:pPr>
          </w:p>
        </w:tc>
        <w:tc>
          <w:tcPr>
            <w:tcW w:w="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Pr>
          <w:p>
            <w:pPr>
              <w:spacing w:after="0"/>
              <w:rPr>
                <w:sz w:val="23"/>
                <w:szCs w:val="23"/>
                <w:color w:val="auto"/>
              </w:rPr>
            </w:pPr>
          </w:p>
        </w:tc>
        <w:tc>
          <w:tcPr>
            <w:tcW w:w="50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771,053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4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6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120" w:type="dxa"/>
            <w:vAlign w:val="bottom"/>
            <w:gridSpan w:val="13"/>
          </w:tcPr>
          <w:p>
            <w:pPr>
              <w:ind w:left="420"/>
              <w:spacing w:after="0"/>
              <w:rPr>
                <w:sz w:val="20"/>
                <w:szCs w:val="20"/>
                <w:color w:val="auto"/>
              </w:rPr>
            </w:pPr>
            <w:r>
              <w:rPr>
                <w:rFonts w:ascii="Times New Roman" w:cs="Times New Roman" w:eastAsia="Times New Roman" w:hAnsi="Times New Roman"/>
                <w:sz w:val="13"/>
                <w:szCs w:val="13"/>
                <w:color w:val="auto"/>
              </w:rPr>
              <w:t>For the year ended September 30, 2023, the amount of Level 3 purchases, including PIK interest, net discount accretion and non-cash exchanges, for the year were $</w:t>
            </w:r>
          </w:p>
        </w:tc>
        <w:tc>
          <w:tcPr>
            <w:tcW w:w="1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179.6 million. There were</w:t>
            </w:r>
          </w:p>
        </w:tc>
        <w:tc>
          <w:tcPr>
            <w:tcW w:w="0" w:type="dxa"/>
            <w:vAlign w:val="bottom"/>
          </w:tcPr>
          <w:p>
            <w:pPr>
              <w:spacing w:after="0"/>
              <w:rPr>
                <w:sz w:val="1"/>
                <w:szCs w:val="1"/>
                <w:color w:val="auto"/>
              </w:rPr>
            </w:pPr>
          </w:p>
        </w:tc>
      </w:tr>
      <w:tr>
        <w:trPr>
          <w:trHeight w:val="172"/>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no Level 3 transfers.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6" w:right="60" w:firstLine="420"/>
        <w:spacing w:after="0" w:line="286" w:lineRule="auto"/>
        <w:rPr>
          <w:sz w:val="20"/>
          <w:szCs w:val="20"/>
          <w:color w:val="auto"/>
        </w:rPr>
      </w:pPr>
      <w:r>
        <w:rPr>
          <w:rFonts w:ascii="Times New Roman" w:cs="Times New Roman" w:eastAsia="Times New Roman" w:hAnsi="Times New Roman"/>
          <w:sz w:val="13"/>
          <w:szCs w:val="13"/>
          <w:color w:val="auto"/>
        </w:rPr>
        <w:t>For the year ended September 30, 2022, the amount of Level 3 purchases, including PIK interest, net discount accretion and non-cash exchanges, for the year were $433.3 million. There were no Level 3 transfers.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b w:val="1"/>
          <w:bCs w:val="1"/>
          <w:color w:val="auto"/>
        </w:rPr>
        <w:t>5. CASH AND CASH EQUIVALENTS</w:t>
      </w:r>
    </w:p>
    <w:p>
      <w:pPr>
        <w:spacing w:after="0" w:line="165" w:lineRule="exact"/>
        <w:rPr>
          <w:sz w:val="20"/>
          <w:szCs w:val="20"/>
          <w:color w:val="auto"/>
        </w:rPr>
      </w:pPr>
    </w:p>
    <w:p>
      <w:pPr>
        <w:ind w:left="6" w:right="20" w:firstLine="420"/>
        <w:spacing w:after="0" w:line="259" w:lineRule="auto"/>
        <w:rPr>
          <w:sz w:val="20"/>
          <w:szCs w:val="20"/>
          <w:color w:val="auto"/>
        </w:rPr>
      </w:pPr>
      <w:r>
        <w:rPr>
          <w:rFonts w:ascii="Times New Roman" w:cs="Times New Roman" w:eastAsia="Times New Roman" w:hAnsi="Times New Roman"/>
          <w:sz w:val="13"/>
          <w:szCs w:val="13"/>
          <w:color w:val="auto"/>
        </w:rPr>
        <w:t>Cash equivalents represent cash invested in overnight money market funds. These temporary investments with original maturities of 90 days or less are deemed cash equivalents. Cash deposited at financial institutions is insured by the Federal Deposit Insurance Corporation (“FDIC”), up to specified limits. At times, such balances may exceed FDIC insured amounts. As of September 30, 2023, the entire amount of $59.1 million included in the cash and cash equivalents balance on the Consolidated Statement of Assets and Liabilities is comprised of money market funds, which are not subject to FDIC insurance. As of September 30, 2022, cash and cash equivalents consisted of money market funds in the amounts of $40.9 million at fair value. PSLF believes it is not exposed to any significant risk of loss on its cash and cash equivalents.</w:t>
      </w:r>
    </w:p>
    <w:p>
      <w:pPr>
        <w:spacing w:after="0" w:line="308"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555" w:right="680" w:bottom="1440" w:gutter="0" w:footer="0" w:header="0"/>
        </w:sectPr>
      </w:pPr>
    </w:p>
    <w:bookmarkStart w:id="146" w:name="page147"/>
    <w:bookmarkEnd w:id="146"/>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MEMBERS’ EQUITY</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PNNT and Pantheon provide capital to PSLF in the form of equity interests. As described in Note 1, PNNT and Pantheon's initial equity interests ownership percentages were 72.0% and 28%, respectively. On October 31, 2020, PNNT and Pantheon contributed an additional $10.8 million , non pro-rata, to PSLF. PNNT and Pantheon’s additional equity investments came in at PSLF’s then current Members equity. As a result, PNNT and Pantheon owned 60.5% and 39.5%, respectively, of the equity interests of PSLF. As of September 30, 2023 and 2022 the equity interest ownership percentages remained 60.5% and 39.5%, respectively.</w:t>
      </w:r>
    </w:p>
    <w:p>
      <w:pPr>
        <w:spacing w:after="0" w:line="127" w:lineRule="exact"/>
        <w:rPr>
          <w:sz w:val="20"/>
          <w:szCs w:val="20"/>
          <w:color w:val="auto"/>
        </w:rPr>
      </w:pPr>
    </w:p>
    <w:p>
      <w:pPr>
        <w:ind w:right="32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PNNT had commitments to fund equity interests to PSLF of $67.4 million and $67.4 million, respectively, of which $8.8 million and $18.1 million, respectively, were unfunded.</w:t>
      </w:r>
    </w:p>
    <w:p>
      <w:pPr>
        <w:spacing w:after="0" w:line="112" w:lineRule="exact"/>
        <w:rPr>
          <w:sz w:val="20"/>
          <w:szCs w:val="20"/>
          <w:color w:val="auto"/>
        </w:rPr>
      </w:pPr>
    </w:p>
    <w:p>
      <w:pPr>
        <w:ind w:right="340" w:firstLine="264"/>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Pantheon had commitments to fund equity interests to PSLF of $44.9 million and $44.9 million, respectively, of which $5.7 million and $11.8 million, respectively were unfunded.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NOTES PAYABLE TO MEMBERS</w:t>
      </w:r>
    </w:p>
    <w:p>
      <w:pPr>
        <w:spacing w:after="0" w:line="165"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PNNT and Pantheon provide capital to PSLF in the form of subordinated notes ("Member Notes"). As described in Note 1, PNNT and Pantheon initially owned 72.0% and 28.0% respectively, of the Member Notes. On October 31, 2020, PNNT and Pantheon contributed an additional $18.5 million, non pro-rata, to PSLF in the form of additional Member notes. As a result, PNNT and Pantheon owned 60.5% and 39.5%, respectively, of the Member notes of PSLF. As of September 30, 2023 and 2022, the subordinated notes ownership percentages remained 60.5% and 39.5% respectively. The notes bear interest at 3-month LIBOR plus 8% prior to June 30, 2023 and 3-month SOFR plus 8% after June 30, 2023 and matures on July 31, 2027.</w:t>
      </w:r>
    </w:p>
    <w:p>
      <w:pPr>
        <w:spacing w:after="0" w:line="127"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PNNT had commitments to fund Member Notes to PSLF of $115.9 million and $115.9 million, respectively, of which $13.6 million and $27.9 million, respectively, were unfunded.</w:t>
      </w:r>
    </w:p>
    <w:p>
      <w:pPr>
        <w:spacing w:after="0" w:line="112" w:lineRule="exact"/>
        <w:rPr>
          <w:sz w:val="20"/>
          <w:szCs w:val="20"/>
          <w:color w:val="auto"/>
        </w:rPr>
      </w:pPr>
    </w:p>
    <w:p>
      <w:pPr>
        <w:ind w:right="340" w:firstLine="264"/>
        <w:spacing w:after="0" w:line="286" w:lineRule="auto"/>
        <w:rPr>
          <w:sz w:val="20"/>
          <w:szCs w:val="20"/>
          <w:color w:val="auto"/>
        </w:rPr>
      </w:pPr>
      <w:r>
        <w:rPr>
          <w:rFonts w:ascii="Times New Roman" w:cs="Times New Roman" w:eastAsia="Times New Roman" w:hAnsi="Times New Roman"/>
          <w:sz w:val="13"/>
          <w:szCs w:val="13"/>
          <w:color w:val="auto"/>
        </w:rPr>
        <w:t>As of September 30, 2023 and 2022, Pantheon had commitments to fund Member Notes to PSLF of $75.7 million and $75.7 million, respectively, of which $8.9 million and $18.2 million, respectively were unfunded.</w:t>
      </w:r>
    </w:p>
    <w:p>
      <w:pPr>
        <w:spacing w:after="0" w:line="266" w:lineRule="exact"/>
        <w:rPr>
          <w:sz w:val="20"/>
          <w:szCs w:val="20"/>
          <w:color w:val="auto"/>
        </w:rPr>
      </w:pPr>
    </w:p>
    <w:p>
      <w:pPr>
        <w:ind w:right="8540" w:firstLine="6"/>
        <w:spacing w:after="0" w:line="502" w:lineRule="auto"/>
        <w:tabs>
          <w:tab w:leader="none" w:pos="132"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RISKS AND UNCERTAINTIES Investments</w:t>
      </w:r>
    </w:p>
    <w:p>
      <w:pPr>
        <w:spacing w:after="0" w:line="1" w:lineRule="exact"/>
        <w:rPr>
          <w:sz w:val="20"/>
          <w:szCs w:val="20"/>
          <w:color w:val="auto"/>
        </w:rPr>
      </w:pPr>
    </w:p>
    <w:p>
      <w:pPr>
        <w:ind w:right="20" w:firstLine="420"/>
        <w:spacing w:after="0" w:line="260" w:lineRule="auto"/>
        <w:rPr>
          <w:sz w:val="20"/>
          <w:szCs w:val="20"/>
          <w:color w:val="auto"/>
        </w:rPr>
      </w:pPr>
      <w:r>
        <w:rPr>
          <w:rFonts w:ascii="Times New Roman" w:cs="Times New Roman" w:eastAsia="Times New Roman" w:hAnsi="Times New Roman"/>
          <w:sz w:val="13"/>
          <w:szCs w:val="13"/>
          <w:color w:val="auto"/>
        </w:rPr>
        <w:t>PSLF seeks investment opportunities that offer the possibility of attaining income generation, capital preservation and capital appreciation including investments in private companies. Certain events particular to each industry in which PSLF’s investments conduct their operations, as well as general economic and political conditions, may have a significant negative impact on the investee’s operations and profitability. Such events are beyond PSLF’s controls, and the likelihood that they may occur cannot be predicted. Furthermore, investments of PSLF are made in private companies and there are generally no public markets for these securities at the current time. The ability of PSLF to liquidate these investments and realize value is subject to significant limitations and uncertainties.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Leverage Risk</w:t>
      </w:r>
    </w:p>
    <w:p>
      <w:pPr>
        <w:spacing w:after="0" w:line="165"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PSLF may borrow funds in order to increase the amount of capital available for investment. The use of leverage can improve the return on invested capital, however, such use may also magnify the potential for loss on invested capital. If the value of PSLF’s assets decreases, leveraging would cause members’ equity to decline more sharply than it otherwise would have had PSLF not used leverage. Similarly, any decrease in PSLF’s income would cause net income to decline more sharply than it would have had PSLF not borrowed. Borrowings will usually be from credit facilities or debt securitizations which will typically be secured by PSLF’s securities and other assets. Under certain circumstances, such debt may demand an increase in the collateral that secures PSLF’s obligations and if PSLF was unable to provide additional collateral, the debt could liquidate assets held in the account to satisfy PSLF’s obligations. Liquidation in this manner could have adverse consequences. Additionally, the amount of PSLF’s borrowings and the interest rates on those borrowings, which will fluctuate, could have a significant effect on PSLF’s profitability.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Credit Risk</w:t>
      </w:r>
    </w:p>
    <w:p>
      <w:pPr>
        <w:spacing w:after="0" w:line="165" w:lineRule="exact"/>
        <w:rPr>
          <w:sz w:val="20"/>
          <w:szCs w:val="20"/>
          <w:color w:val="auto"/>
        </w:rPr>
      </w:pPr>
    </w:p>
    <w:p>
      <w:pPr>
        <w:jc w:val="both"/>
        <w:ind w:right="160" w:firstLine="420"/>
        <w:spacing w:after="0" w:line="268" w:lineRule="auto"/>
        <w:rPr>
          <w:sz w:val="20"/>
          <w:szCs w:val="20"/>
          <w:color w:val="auto"/>
        </w:rPr>
      </w:pPr>
      <w:r>
        <w:rPr>
          <w:rFonts w:ascii="Times New Roman" w:cs="Times New Roman" w:eastAsia="Times New Roman" w:hAnsi="Times New Roman"/>
          <w:sz w:val="13"/>
          <w:szCs w:val="13"/>
          <w:color w:val="auto"/>
        </w:rPr>
        <w:t>PSLF primarily invests in first lien secured debt to middle- market companies. A majority of the investments held by PSLF are subject to restrictions on their resale or are otherwise illiquid. PSLF assumes the credit risk of the borrower. In the event that the borrower becomes insolvent or enters bankruptcy, PSLF may incur certain costs and delays in realizing payment, or may suffer a loss of principal and/or interest.</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47" w:name="page148"/>
    <w:bookmarkEnd w:id="14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p>
      <w:pPr>
        <w:spacing w:after="0" w:line="165"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The Members are responsible for all investment making and business decisions, therefore, there is no requirement to show financial highlights per ASC Topic 946, which have been omitted accordingly.</w:t>
      </w:r>
    </w:p>
    <w:p>
      <w:pPr>
        <w:spacing w:after="0" w:line="110" w:lineRule="exact"/>
        <w:rPr>
          <w:sz w:val="20"/>
          <w:szCs w:val="20"/>
          <w:color w:val="auto"/>
        </w:rPr>
      </w:pPr>
    </w:p>
    <w:p>
      <w:pPr>
        <w:ind w:right="9640" w:firstLine="6"/>
        <w:spacing w:after="0" w:line="502" w:lineRule="auto"/>
        <w:tabs>
          <w:tab w:leader="none" w:pos="204"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LEVERAGE Credit Facility</w:t>
      </w:r>
    </w:p>
    <w:p>
      <w:pPr>
        <w:spacing w:after="0" w:line="1" w:lineRule="exact"/>
        <w:rPr>
          <w:sz w:val="20"/>
          <w:szCs w:val="20"/>
          <w:color w:val="auto"/>
        </w:rPr>
      </w:pPr>
    </w:p>
    <w:p>
      <w:pPr>
        <w:ind w:right="180" w:firstLine="264"/>
        <w:spacing w:after="0" w:line="286" w:lineRule="auto"/>
        <w:rPr>
          <w:sz w:val="20"/>
          <w:szCs w:val="20"/>
          <w:color w:val="auto"/>
        </w:rPr>
      </w:pPr>
      <w:r>
        <w:rPr>
          <w:rFonts w:ascii="Times New Roman" w:cs="Times New Roman" w:eastAsia="Times New Roman" w:hAnsi="Times New Roman"/>
          <w:sz w:val="13"/>
          <w:szCs w:val="13"/>
          <w:color w:val="auto"/>
        </w:rPr>
        <w:t>As described in Note 1 above, PNNT contributed Funding I to the Company. As of the contribution date Funding I had a $250 million senior secured revolving credit facility with BNP Paribas (the “BNP Credit Facility”). The BNP Credit Facility is secured by all of the assets of Funding I.</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November 2020, Funding I amended the BNP Credit Facility and increased the size to $275 million.</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March 2022, Funding I amended the BNP Credit Facility and reduced the total commitment to $225 million, extended the revolving period to March 2025 and extended maturity to March 2027.</w:t>
      </w:r>
    </w:p>
    <w:p>
      <w:pPr>
        <w:spacing w:after="0" w:line="163" w:lineRule="exact"/>
        <w:rPr>
          <w:sz w:val="20"/>
          <w:szCs w:val="20"/>
          <w:color w:val="auto"/>
        </w:rPr>
      </w:pPr>
    </w:p>
    <w:p>
      <w:pPr>
        <w:ind w:right="60" w:firstLine="231"/>
        <w:spacing w:after="0" w:line="286" w:lineRule="auto"/>
        <w:rPr>
          <w:sz w:val="20"/>
          <w:szCs w:val="20"/>
          <w:color w:val="auto"/>
        </w:rPr>
      </w:pPr>
      <w:r>
        <w:rPr>
          <w:rFonts w:ascii="Times New Roman" w:cs="Times New Roman" w:eastAsia="Times New Roman" w:hAnsi="Times New Roman"/>
          <w:sz w:val="13"/>
          <w:szCs w:val="13"/>
          <w:color w:val="auto"/>
        </w:rPr>
        <w:t>In September 2022, Funding I amended the BNP Credit Facility and increased the total commitment to $325 million and amended the interest rate to SOFR plus 2.60%. As of September 30, 2023 there were $88.6 million in outstanding borrowings and we were in compliance with all required covenants.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 Backed Debt - CLO IV</w:t>
      </w:r>
    </w:p>
    <w:p>
      <w:pPr>
        <w:spacing w:after="0" w:line="165"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On March 2, 2022, CLO IV completed a $304 million debt securitization in the form of a collateralized loan obligation (the "2034 Debt Securitization" or "2034 Asset-Backed Debt"). The 2034 Asset-Backed Debt is secured by a diversified portfolio consisting primarily of middle market loans. The 2034 Debt Securitization was executed through a private placement of: (i) $30.0 million Class A-1a Loans maturing 2034, which bear interest at the three -month SOFR plus 1.7%, (ii) $50.0 million Class A -1b Senior Secured Fixed Rate Notes due 2034, which bear interest at 3.45%, (iii) $12.0 million Class A-2 Senior Secured Floating Rate Notes due 2034, which bear interest at the three-month SOFR plus 1.9%, (iv) $21.0 million Class B Senior Secured Floating Rate Notes due 2034, which bear interest at the three-month SOFR plus 2.1%, (v) $24.0 million Class C Secured Deferrable Floating Rate Notes due 2034, which bear interest at the three-month SOFR plus 2.9%,</w:t>
      </w:r>
    </w:p>
    <w:p>
      <w:pPr>
        <w:ind w:right="80" w:firstLine="6"/>
        <w:spacing w:after="0" w:line="254" w:lineRule="auto"/>
        <w:tabs>
          <w:tab w:leader="none" w:pos="223"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$18.0 million Class D Secured Deferrable Floating Rate Notes due 2034, which bear interest at the three-month SOFR plus 4.0%, and (vii) $91.0 million Class A-1a Senior Secured Floating Rate notes due 2034 which bears interest at the three-month SOFR plus 1.7%, under a credit agreement by and among CLO IV, as issuer, various financial institutions, as lenders, and Wilmington Trust, National Association, as collateral trustee and as loan agent. As of September 30, 2023 there was $246.0 million of 2034 Asset-Backed Debt and there was $1.7 million of un-amortized financing costs. As of September 30, 2023 the weighted average interest rate was 6.6%.</w:t>
      </w:r>
    </w:p>
    <w:p>
      <w:pPr>
        <w:spacing w:after="0" w:line="133" w:lineRule="exact"/>
        <w:rPr>
          <w:sz w:val="20"/>
          <w:szCs w:val="20"/>
          <w:color w:val="auto"/>
        </w:rPr>
      </w:pPr>
    </w:p>
    <w:p>
      <w:pPr>
        <w:jc w:val="both"/>
        <w:ind w:right="180" w:firstLine="420"/>
        <w:spacing w:after="0" w:line="268" w:lineRule="auto"/>
        <w:rPr>
          <w:sz w:val="20"/>
          <w:szCs w:val="20"/>
          <w:color w:val="auto"/>
        </w:rPr>
      </w:pPr>
      <w:r>
        <w:rPr>
          <w:rFonts w:ascii="Times New Roman" w:cs="Times New Roman" w:eastAsia="Times New Roman" w:hAnsi="Times New Roman"/>
          <w:sz w:val="13"/>
          <w:szCs w:val="13"/>
          <w:color w:val="auto"/>
        </w:rPr>
        <w:t>On the closing date of the 2034 Debt Securitization, in consideration of our transfer to CLO IV of the initial closing date loan portfolio, PSLF received 100% of the Subordinated Notes (the "2034 Sub Notes") of CLO IV, and a portion of the net cash proceeds received from the sale of the 2034 Asset-Backed Debt Securitization. The 2034 Sub Notes do not bear interest and had a stated value of approximately $58.0 million at the closing of the 2034 Debt Securitization.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 Backed Debt - CLO VII</w:t>
      </w:r>
    </w:p>
    <w:p>
      <w:pPr>
        <w:spacing w:after="0" w:line="165"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3"/>
          <w:szCs w:val="13"/>
          <w:color w:val="auto"/>
        </w:rPr>
        <w:t>On July 26, 2023, CLO VII completed a $300 million debt securitization in the form of a collateralized loan obligation (the "2035 Debt Securitization" or "2035 Asset-Backed Debt"). The 2035 Asset-Backed Debt is secured by a diversified portfolio consisting primarily of middle market loans. The 2035 Debt Securitization was executed through a private placement of: (i) $151.0 million Class A -1a Notes maturing 2035, which bear interest at the three -month SOFR plus 2.7%, (ii) $ 20.0 million Class A-1b Loans 2035, which bear interest at 6.5%, (iii) $12.0 million Class A- 2 Senior Secured Floating Rate Notes due 2035, which bear interest at the three-month SOFR plus 3.2%, (iv) $21.0 million Class B Senior Secured Floating Rate Notes due 2035, which bear interest at the three -month SOFR plus 4.1%, (v) $24.0 million Class C Secured Deferrable Floating Rate Notes due 2035, which bear interest at the three-month SOFR plus 4.7%, (vi) $18.0 million Class D Secured Deferrable Floating Rate Notes due 2035, which bear interest at the three-month SOFR plus 7.0%. As of September 30, 2023 there was $246.0 million of external 2035 Asset-Backed Debt and there was $2.3 million of un-amortized financing costs. As of September 30, 2023 the weighted average interest rate was 8.6%.</w:t>
      </w:r>
    </w:p>
    <w:p>
      <w:pPr>
        <w:spacing w:after="0" w:line="132"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On the closing date of the 2035 Debt Securitization, in consideration of our transfer to CLO VII of the initial closing date loan portfolio, PSLF received 100% of the Subordinated Notes (the "2035 Sub Notes") of CLO VII. The 2035 Sub Notes do not bear interest and had a stated value of approximately $54.0 million at the closing of the 2035 Debt Securitization.</w:t>
      </w:r>
    </w:p>
    <w:p>
      <w:pPr>
        <w:spacing w:after="0" w:line="11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3"/>
          <w:szCs w:val="13"/>
          <w:color w:val="auto"/>
        </w:rPr>
        <w:t>The 2034 Asset-Backed Debt and 2035 Asset-Backed Debt are included in the Consolidated Statement of Assets, Liabilities and Members' Equity as debt of the Company and the sub notes were eliminated in consolidation.</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48" w:name="page149"/>
    <w:bookmarkEnd w:id="14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 AND CONTINGENCIES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and 2022, the Company has $0.5 million and $0.1 million of unfunded commitments to fund investments.</w:t>
      </w:r>
    </w:p>
    <w:p>
      <w:pPr>
        <w:spacing w:after="0" w:line="163"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The Company has provided general indemnifications to the Members, any affiliate of the Members, and any person acting on behalf of he Members or that affiliate when they act ,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SUBSEQUENT EVENTS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Subsequent events are evaluated and disclosed as appropriate for events occurring through the date of the consolidated financial statements were available to be issued on December 7, 2023.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3"/>
          <w:szCs w:val="13"/>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PennantPark Senior Loan Fund, LLC</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Consolidated Financial Statements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Independent Auditor’s Report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749935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6" w:right="68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6"/>
          <w:szCs w:val="16"/>
          <w:color w:val="auto"/>
        </w:rPr>
        <w:t>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Independent Auditor’s Report</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r>
      <w:tr>
        <w:trPr>
          <w:trHeight w:val="360"/>
        </w:trPr>
        <w:tc>
          <w:tcPr>
            <w:tcW w:w="81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Financial Statements:</w:t>
            </w:r>
          </w:p>
        </w:tc>
        <w:tc>
          <w:tcPr>
            <w:tcW w:w="2440" w:type="dxa"/>
            <w:vAlign w:val="bottom"/>
          </w:tcPr>
          <w:p>
            <w:pPr>
              <w:spacing w:after="0"/>
              <w:rPr>
                <w:sz w:val="24"/>
                <w:szCs w:val="24"/>
                <w:color w:val="auto"/>
              </w:rPr>
            </w:pP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Assets, Liabilities and Members’ Equity as of September 30, 2022 and 2021</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Operations for the year ended September 30, 2022 and 2021</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Changes in Members’ Equity for the year ended September 30, 2022 and 2021</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Statements of Cash Flows for the years ended September 30, 2022 and 2021</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Schedules of Investments as of September 30, 2022 and 2021</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w:t>
            </w:r>
          </w:p>
        </w:tc>
      </w:tr>
      <w:tr>
        <w:trPr>
          <w:trHeight w:val="360"/>
        </w:trPr>
        <w:tc>
          <w:tcPr>
            <w:tcW w:w="8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Notes to Consolidated Financial Statements</w:t>
            </w:r>
          </w:p>
        </w:tc>
        <w:tc>
          <w:tcPr>
            <w:tcW w:w="2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w:t>
            </w:r>
          </w:p>
        </w:tc>
      </w:tr>
      <w:tr>
        <w:trPr>
          <w:trHeight w:val="1268"/>
        </w:trPr>
        <w:tc>
          <w:tcPr>
            <w:tcW w:w="8120" w:type="dxa"/>
            <w:vAlign w:val="bottom"/>
            <w:tcBorders>
              <w:bottom w:val="single" w:sz="8" w:color="EEEEEE"/>
            </w:tcBorders>
          </w:tcPr>
          <w:p>
            <w:pPr>
              <w:spacing w:after="0"/>
              <w:rPr>
                <w:sz w:val="24"/>
                <w:szCs w:val="24"/>
                <w:color w:val="auto"/>
              </w:rPr>
            </w:pPr>
          </w:p>
        </w:tc>
        <w:tc>
          <w:tcPr>
            <w:tcW w:w="24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7" w:right="680" w:bottom="1440" w:gutter="0" w:footer="0" w:header="0"/>
        </w:sectPr>
      </w:pPr>
    </w:p>
    <w:bookmarkStart w:id="151" w:name="page152"/>
    <w:bookmarkEnd w:id="15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Member Designees’ Committee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PennantPark Senior Loan Fund, LLC</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w:t>
      </w:r>
    </w:p>
    <w:p>
      <w:pPr>
        <w:spacing w:after="0" w:line="23"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3"/>
          <w:szCs w:val="13"/>
          <w:color w:val="auto"/>
        </w:rPr>
        <w:t>We have audited the consolidated financial statements of PennantPark Senior Loan Fund, LLC and its subsidiaries (the Fund), which comprise the consolidated statements of assets, liabilities, and members’ equity, including the consolidated schedules of investments, as of September 30, 2022 and 2021, the related consolidated statements of operations, changes in members’ equity and cash flows for the years then ended, and the related notes to the consolidated financial statements (collectively, the financial statements).</w:t>
      </w:r>
    </w:p>
    <w:p>
      <w:pPr>
        <w:spacing w:after="0" w:line="130"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3"/>
          <w:szCs w:val="13"/>
          <w:color w:val="auto"/>
        </w:rPr>
        <w:t>In our opinion, the accompanying financial statements present fairly, in all material respects, the financial position of the Fund as of September 30, 2022 and 2021, and the results of its operations, changes in members’ equity and its cash flows for the years then ended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3"/>
          <w:szCs w:val="13"/>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Fund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Responsibilities of Management for the Financial Statements</w:t>
      </w:r>
    </w:p>
    <w:p>
      <w:pPr>
        <w:spacing w:after="0" w:line="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3"/>
          <w:szCs w:val="13"/>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3"/>
          <w:szCs w:val="13"/>
          <w:color w:val="auto"/>
        </w:rPr>
        <w:t>In preparing the financial statements, management is required to evaluate whether there are conditions or events, considered in the aggregate, that raise substantial doubt about the Fund’s ability to continue as a going concern within one year after the date that the financial statements are issued or available to be issued.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Auditor’s Responsibilities for the Audit of the Financial Statements</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performing an audit in accordance with GAAS, we:</w:t>
      </w:r>
    </w:p>
    <w:p>
      <w:pPr>
        <w:spacing w:after="0" w:line="114" w:lineRule="exact"/>
        <w:rPr>
          <w:sz w:val="20"/>
          <w:szCs w:val="20"/>
          <w:color w:val="auto"/>
        </w:rPr>
      </w:pPr>
    </w:p>
    <w:p>
      <w:pPr>
        <w:ind w:left="540" w:hanging="66"/>
        <w:spacing w:after="0"/>
        <w:tabs>
          <w:tab w:leader="none" w:pos="5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Exercise professional judgment and maintain professional skepticism throughout the audit.</w:t>
      </w:r>
    </w:p>
    <w:p>
      <w:pPr>
        <w:spacing w:after="0" w:line="79" w:lineRule="exact"/>
        <w:rPr>
          <w:rFonts w:ascii="Times New Roman" w:cs="Times New Roman" w:eastAsia="Times New Roman" w:hAnsi="Times New Roman"/>
          <w:sz w:val="16"/>
          <w:szCs w:val="16"/>
          <w:color w:val="auto"/>
        </w:rPr>
      </w:pPr>
    </w:p>
    <w:p>
      <w:pPr>
        <w:ind w:left="480" w:right="320"/>
        <w:spacing w:after="0" w:line="23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Identify and assess the risks of material misstatement of the financial statements, whether due to fraud or error, and design and perform audit procedures responsive to those risks. Such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procedures include examining, on a test basis, evidence regarding the amounts and disclosures in the financial statements.</w:t>
      </w:r>
    </w:p>
    <w:p>
      <w:pPr>
        <w:spacing w:after="0" w:line="79" w:lineRule="exact"/>
        <w:rPr>
          <w:sz w:val="20"/>
          <w:szCs w:val="20"/>
          <w:color w:val="auto"/>
        </w:rPr>
      </w:pPr>
    </w:p>
    <w:p>
      <w:pPr>
        <w:ind w:left="480" w:right="20"/>
        <w:spacing w:after="0" w:line="23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Obtain an understanding of internal control relevant to the audit in order to design audit procedures that are appropriate in the circumstances, but not for the purpose of expressing an opinion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on the effectiveness of the Fund’s internal control. Accordingly, no such opinion is expressed.</w:t>
      </w:r>
    </w:p>
    <w:p>
      <w:pPr>
        <w:spacing w:after="0" w:line="79" w:lineRule="exact"/>
        <w:rPr>
          <w:sz w:val="20"/>
          <w:szCs w:val="20"/>
          <w:color w:val="auto"/>
        </w:rPr>
      </w:pPr>
    </w:p>
    <w:p>
      <w:pPr>
        <w:ind w:left="480" w:right="80"/>
        <w:spacing w:after="0" w:line="23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Evaluate the appropriateness of accounting policies used and the reasonableness of significant accounting estimates made by management, as well as evaluate the overall presentation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financial statements.</w:t>
      </w:r>
    </w:p>
    <w:p>
      <w:pPr>
        <w:spacing w:after="0" w:line="79" w:lineRule="exact"/>
        <w:rPr>
          <w:sz w:val="20"/>
          <w:szCs w:val="20"/>
          <w:color w:val="auto"/>
        </w:rPr>
      </w:pPr>
    </w:p>
    <w:p>
      <w:pPr>
        <w:ind w:left="480" w:right="340"/>
        <w:spacing w:after="0" w:line="23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Conclude whether, in our judgment, there are conditions or events, considered in the aggregate, that raise substantial doubt about the Fund’s ability to continue as a going concern for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3"/>
          <w:szCs w:val="13"/>
          <w:color w:val="auto"/>
        </w:rPr>
        <w:t>reasonable period of time.</w:t>
      </w:r>
    </w:p>
    <w:p>
      <w:pPr>
        <w:spacing w:after="0" w:line="14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November 17, 2022</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157480</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152" w:name="page153"/>
    <w:bookmarkEnd w:id="152"/>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Consolidated Statements of Assets, Liabilities and Members' Equity</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2021</w:t>
            </w:r>
          </w:p>
        </w:tc>
      </w:tr>
      <w:tr>
        <w:trPr>
          <w:trHeight w:val="184"/>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(cost—$738,219 and $405,009, respectively)</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405,233</w:t>
            </w:r>
          </w:p>
        </w:tc>
        <w:tc>
          <w:tcPr>
            <w:tcW w:w="100" w:type="dxa"/>
            <w:vAlign w:val="bottom"/>
          </w:tcPr>
          <w:p>
            <w:pPr>
              <w:spacing w:after="0"/>
              <w:rPr>
                <w:sz w:val="15"/>
                <w:szCs w:val="15"/>
                <w:color w:val="auto"/>
              </w:rPr>
            </w:pPr>
          </w:p>
        </w:tc>
      </w:tr>
      <w:tr>
        <w:trPr>
          <w:trHeight w:val="184"/>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(cost—$42,966 and $11,013, respectively)</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42,966</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100" w:type="dxa"/>
            <w:vAlign w:val="bottom"/>
            <w:shd w:val="clear" w:color="auto" w:fill="CCECFF"/>
          </w:tcPr>
          <w:p>
            <w:pPr>
              <w:spacing w:after="0"/>
              <w:rPr>
                <w:sz w:val="16"/>
                <w:szCs w:val="16"/>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shd w:val="clear" w:color="auto" w:fill="CCECFF"/>
          </w:tcPr>
          <w:p>
            <w:pPr>
              <w:spacing w:after="0"/>
              <w:rPr>
                <w:sz w:val="16"/>
                <w:szCs w:val="16"/>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5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417,421</w:t>
            </w:r>
          </w:p>
        </w:tc>
        <w:tc>
          <w:tcPr>
            <w:tcW w:w="100" w:type="dxa"/>
            <w:vAlign w:val="bottom"/>
            <w:shd w:val="clear" w:color="auto" w:fill="CCECFF"/>
          </w:tcPr>
          <w:p>
            <w:pPr>
              <w:spacing w:after="0"/>
              <w:rPr>
                <w:sz w:val="16"/>
                <w:szCs w:val="16"/>
                <w:color w:val="auto"/>
              </w:rPr>
            </w:pPr>
          </w:p>
        </w:tc>
      </w:tr>
      <w:tr>
        <w:trPr>
          <w:trHeight w:val="177"/>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24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257,600</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224,000</w:t>
            </w:r>
          </w:p>
        </w:tc>
        <w:tc>
          <w:tcPr>
            <w:tcW w:w="100" w:type="dxa"/>
            <w:vAlign w:val="bottom"/>
            <w:shd w:val="clear" w:color="auto" w:fill="CCECFF"/>
          </w:tcPr>
          <w:p>
            <w:pPr>
              <w:spacing w:after="0"/>
              <w:rPr>
                <w:sz w:val="15"/>
                <w:szCs w:val="15"/>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2034 Asset-backed debt, net (par—$246,000)</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243,896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145,472</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106,041</w:t>
            </w:r>
          </w:p>
        </w:tc>
        <w:tc>
          <w:tcPr>
            <w:tcW w:w="100" w:type="dxa"/>
            <w:vAlign w:val="bottom"/>
            <w:shd w:val="clear" w:color="auto" w:fill="CCECFF"/>
          </w:tcPr>
          <w:p>
            <w:pPr>
              <w:spacing w:after="0"/>
              <w:rPr>
                <w:sz w:val="16"/>
                <w:szCs w:val="16"/>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37,658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12,793</w:t>
            </w:r>
          </w:p>
        </w:tc>
        <w:tc>
          <w:tcPr>
            <w:tcW w:w="100" w:type="dxa"/>
            <w:vAlign w:val="bottom"/>
          </w:tcPr>
          <w:p>
            <w:pPr>
              <w:spacing w:after="0"/>
              <w:rPr>
                <w:sz w:val="15"/>
                <w:szCs w:val="15"/>
                <w:color w:val="auto"/>
              </w:rPr>
            </w:pPr>
          </w:p>
        </w:tc>
      </w:tr>
      <w:tr>
        <w:trPr>
          <w:trHeight w:val="184"/>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100" w:type="dxa"/>
            <w:vAlign w:val="bottom"/>
            <w:shd w:val="clear" w:color="auto" w:fill="CCECFF"/>
          </w:tcPr>
          <w:p>
            <w:pPr>
              <w:spacing w:after="0"/>
              <w:rPr>
                <w:sz w:val="16"/>
                <w:szCs w:val="16"/>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payable to Members</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100" w:type="dxa"/>
            <w:vAlign w:val="bottom"/>
          </w:tcPr>
          <w:p>
            <w:pPr>
              <w:spacing w:after="0"/>
              <w:rPr>
                <w:sz w:val="15"/>
                <w:szCs w:val="15"/>
                <w:color w:val="auto"/>
              </w:rPr>
            </w:pPr>
          </w:p>
        </w:tc>
      </w:tr>
      <w:tr>
        <w:trPr>
          <w:trHeight w:val="184"/>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100" w:type="dxa"/>
            <w:vAlign w:val="bottom"/>
            <w:shd w:val="clear" w:color="auto" w:fill="CCECFF"/>
          </w:tcPr>
          <w:p>
            <w:pPr>
              <w:spacing w:after="0"/>
              <w:rPr>
                <w:sz w:val="16"/>
                <w:szCs w:val="16"/>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Pr>
          <w:p>
            <w:pPr>
              <w:spacing w:after="0"/>
              <w:rPr>
                <w:sz w:val="15"/>
                <w:szCs w:val="15"/>
                <w:color w:val="auto"/>
              </w:rPr>
            </w:pPr>
          </w:p>
        </w:tc>
      </w:tr>
      <w:tr>
        <w:trPr>
          <w:trHeight w:val="184"/>
        </w:trPr>
        <w:tc>
          <w:tcPr>
            <w:tcW w:w="65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696,825</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349,389</w:t>
            </w:r>
          </w:p>
        </w:tc>
        <w:tc>
          <w:tcPr>
            <w:tcW w:w="100" w:type="dxa"/>
            <w:vAlign w:val="bottom"/>
            <w:shd w:val="clear" w:color="auto" w:fill="CCECFF"/>
          </w:tcPr>
          <w:p>
            <w:pPr>
              <w:spacing w:after="0"/>
              <w:rPr>
                <w:sz w:val="16"/>
                <w:szCs w:val="16"/>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65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4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68,032</w:t>
            </w:r>
          </w:p>
        </w:tc>
        <w:tc>
          <w:tcPr>
            <w:tcW w:w="100" w:type="dxa"/>
            <w:vAlign w:val="bottom"/>
            <w:shd w:val="clear" w:color="auto" w:fill="CCECFF"/>
          </w:tcPr>
          <w:p>
            <w:pPr>
              <w:spacing w:after="0"/>
              <w:rPr>
                <w:sz w:val="16"/>
                <w:szCs w:val="16"/>
                <w:color w:val="auto"/>
              </w:rPr>
            </w:pPr>
          </w:p>
        </w:tc>
      </w:tr>
      <w:tr>
        <w:trPr>
          <w:trHeight w:val="177"/>
        </w:trPr>
        <w:tc>
          <w:tcPr>
            <w:tcW w:w="65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781,287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417,421</w:t>
            </w:r>
          </w:p>
        </w:tc>
        <w:tc>
          <w:tcPr>
            <w:tcW w:w="100" w:type="dxa"/>
            <w:vAlign w:val="bottom"/>
          </w:tcPr>
          <w:p>
            <w:pPr>
              <w:spacing w:after="0"/>
              <w:rPr>
                <w:sz w:val="15"/>
                <w:szCs w:val="15"/>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2" w:right="68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3960" w:type="dxa"/>
            <w:vAlign w:val="bottom"/>
            <w:gridSpan w:val="2"/>
          </w:tcPr>
          <w:p>
            <w:pPr>
              <w:jc w:val="center"/>
              <w:ind w:right="1474"/>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3960" w:type="dxa"/>
            <w:vAlign w:val="bottom"/>
            <w:gridSpan w:val="2"/>
          </w:tcPr>
          <w:p>
            <w:pPr>
              <w:jc w:val="center"/>
              <w:ind w:right="1454"/>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3960" w:type="dxa"/>
            <w:vAlign w:val="bottom"/>
            <w:gridSpan w:val="2"/>
          </w:tcPr>
          <w:p>
            <w:pPr>
              <w:jc w:val="center"/>
              <w:ind w:right="1454"/>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gridSpan w:val="3"/>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80"/>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3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3960" w:type="dxa"/>
            <w:vAlign w:val="bottom"/>
            <w:gridSpan w:val="2"/>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37,905</w:t>
            </w:r>
          </w:p>
        </w:tc>
        <w:tc>
          <w:tcPr>
            <w:tcW w:w="220" w:type="dxa"/>
            <w:vAlign w:val="bottom"/>
            <w:shd w:val="clear" w:color="auto" w:fill="CCECFF"/>
          </w:tcPr>
          <w:p>
            <w:pPr>
              <w:spacing w:after="0"/>
              <w:rPr>
                <w:sz w:val="16"/>
                <w:szCs w:val="16"/>
                <w:color w:val="auto"/>
              </w:rPr>
            </w:pPr>
          </w:p>
        </w:tc>
        <w:tc>
          <w:tcPr>
            <w:tcW w:w="1100" w:type="dxa"/>
            <w:vAlign w:val="bottom"/>
            <w:shd w:val="clear" w:color="auto" w:fill="CCECFF"/>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27,489</w:t>
            </w:r>
          </w:p>
        </w:tc>
        <w:tc>
          <w:tcPr>
            <w:tcW w:w="100" w:type="dxa"/>
            <w:vAlign w:val="bottom"/>
            <w:shd w:val="clear" w:color="auto" w:fill="CCECFF"/>
          </w:tcPr>
          <w:p>
            <w:pPr>
              <w:spacing w:after="0"/>
              <w:rPr>
                <w:sz w:val="16"/>
                <w:szCs w:val="16"/>
                <w:color w:val="auto"/>
              </w:rPr>
            </w:pPr>
          </w:p>
        </w:tc>
      </w:tr>
      <w:tr>
        <w:trPr>
          <w:trHeight w:val="176"/>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100" w:type="dxa"/>
            <w:vAlign w:val="bottom"/>
          </w:tcPr>
          <w:p>
            <w:pPr>
              <w:spacing w:after="0"/>
              <w:rPr>
                <w:sz w:val="15"/>
                <w:szCs w:val="15"/>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30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38,151</w:t>
            </w:r>
          </w:p>
        </w:tc>
        <w:tc>
          <w:tcPr>
            <w:tcW w:w="22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29,292</w:t>
            </w:r>
          </w:p>
        </w:tc>
        <w:tc>
          <w:tcPr>
            <w:tcW w:w="100" w:type="dxa"/>
            <w:vAlign w:val="bottom"/>
            <w:shd w:val="clear" w:color="auto" w:fill="CCECFF"/>
          </w:tcPr>
          <w:p>
            <w:pPr>
              <w:spacing w:after="0"/>
              <w:rPr>
                <w:sz w:val="16"/>
                <w:szCs w:val="16"/>
                <w:color w:val="auto"/>
              </w:rPr>
            </w:pPr>
          </w:p>
        </w:tc>
      </w:tr>
      <w:tr>
        <w:trPr>
          <w:trHeight w:val="177"/>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expense on credit facility and asset-backed debt</w:t>
            </w:r>
          </w:p>
        </w:tc>
        <w:tc>
          <w:tcPr>
            <w:tcW w:w="30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11,023</w:t>
            </w:r>
          </w:p>
        </w:tc>
        <w:tc>
          <w:tcPr>
            <w:tcW w:w="22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6,284</w:t>
            </w:r>
          </w:p>
        </w:tc>
        <w:tc>
          <w:tcPr>
            <w:tcW w:w="100" w:type="dxa"/>
            <w:vAlign w:val="bottom"/>
            <w:shd w:val="clear" w:color="auto" w:fill="CCECFF"/>
          </w:tcPr>
          <w:p>
            <w:pPr>
              <w:spacing w:after="0"/>
              <w:rPr>
                <w:sz w:val="15"/>
                <w:szCs w:val="15"/>
                <w:color w:val="auto"/>
              </w:rPr>
            </w:pPr>
          </w:p>
        </w:tc>
      </w:tr>
      <w:tr>
        <w:trPr>
          <w:trHeight w:val="176"/>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11,692</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9,533</w:t>
            </w:r>
          </w:p>
        </w:tc>
        <w:tc>
          <w:tcPr>
            <w:tcW w:w="100" w:type="dxa"/>
            <w:vAlign w:val="bottom"/>
          </w:tcPr>
          <w:p>
            <w:pPr>
              <w:spacing w:after="0"/>
              <w:rPr>
                <w:sz w:val="15"/>
                <w:szCs w:val="15"/>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30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22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100" w:type="dxa"/>
            <w:vAlign w:val="bottom"/>
            <w:shd w:val="clear" w:color="auto" w:fill="CCECFF"/>
          </w:tcPr>
          <w:p>
            <w:pPr>
              <w:spacing w:after="0"/>
              <w:rPr>
                <w:sz w:val="16"/>
                <w:szCs w:val="16"/>
                <w:color w:val="auto"/>
              </w:rPr>
            </w:pPr>
          </w:p>
        </w:tc>
      </w:tr>
      <w:tr>
        <w:trPr>
          <w:trHeight w:val="176"/>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5"/>
                <w:szCs w:val="15"/>
                <w:color w:val="auto"/>
              </w:rPr>
            </w:pPr>
          </w:p>
        </w:tc>
      </w:tr>
      <w:tr>
        <w:trPr>
          <w:trHeight w:val="184"/>
        </w:trPr>
        <w:tc>
          <w:tcPr>
            <w:tcW w:w="40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30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24,333</w:t>
            </w:r>
          </w:p>
        </w:tc>
        <w:tc>
          <w:tcPr>
            <w:tcW w:w="22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17,436</w:t>
            </w:r>
          </w:p>
        </w:tc>
        <w:tc>
          <w:tcPr>
            <w:tcW w:w="100" w:type="dxa"/>
            <w:vAlign w:val="bottom"/>
            <w:shd w:val="clear" w:color="auto" w:fill="CCECFF"/>
          </w:tcPr>
          <w:p>
            <w:pPr>
              <w:spacing w:after="0"/>
              <w:rPr>
                <w:sz w:val="16"/>
                <w:szCs w:val="16"/>
                <w:color w:val="auto"/>
              </w:rPr>
            </w:pPr>
          </w:p>
        </w:tc>
      </w:tr>
      <w:tr>
        <w:trPr>
          <w:trHeight w:val="177"/>
        </w:trPr>
        <w:tc>
          <w:tcPr>
            <w:tcW w:w="4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11,856</w:t>
            </w:r>
          </w:p>
        </w:tc>
        <w:tc>
          <w:tcPr>
            <w:tcW w:w="100" w:type="dxa"/>
            <w:vAlign w:val="bottom"/>
          </w:tcPr>
          <w:p>
            <w:pPr>
              <w:spacing w:after="0"/>
              <w:rPr>
                <w:sz w:val="15"/>
                <w:szCs w:val="15"/>
                <w:color w:val="auto"/>
              </w:rPr>
            </w:pPr>
          </w:p>
        </w:tc>
      </w:tr>
      <w:tr>
        <w:trPr>
          <w:trHeight w:val="183"/>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30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6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on investments</w:t>
            </w: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tcPr>
          <w:p>
            <w:pPr>
              <w:spacing w:after="0"/>
              <w:rPr>
                <w:sz w:val="15"/>
                <w:szCs w:val="15"/>
                <w:color w:val="auto"/>
              </w:rPr>
            </w:pPr>
          </w:p>
        </w:tc>
      </w:tr>
      <w:tr>
        <w:trPr>
          <w:trHeight w:val="184"/>
        </w:trPr>
        <w:tc>
          <w:tcPr>
            <w:tcW w:w="4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04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8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(8,334 )</w:t>
            </w:r>
          </w:p>
        </w:tc>
        <w:tc>
          <w:tcPr>
            <w:tcW w:w="1100" w:type="dxa"/>
            <w:vAlign w:val="bottom"/>
            <w:shd w:val="clear" w:color="auto" w:fill="CCECFF"/>
          </w:tcPr>
          <w:p>
            <w:pPr>
              <w:spacing w:after="0"/>
              <w:rPr>
                <w:sz w:val="16"/>
                <w:szCs w:val="16"/>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4,880</w:t>
            </w:r>
          </w:p>
        </w:tc>
        <w:tc>
          <w:tcPr>
            <w:tcW w:w="100" w:type="dxa"/>
            <w:vAlign w:val="bottom"/>
            <w:shd w:val="clear" w:color="auto" w:fill="CCECFF"/>
          </w:tcPr>
          <w:p>
            <w:pPr>
              <w:spacing w:after="0"/>
              <w:rPr>
                <w:sz w:val="16"/>
                <w:szCs w:val="16"/>
                <w:color w:val="auto"/>
              </w:rPr>
            </w:pPr>
          </w:p>
        </w:tc>
      </w:tr>
      <w:tr>
        <w:trPr>
          <w:trHeight w:val="177"/>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w:t>
            </w:r>
          </w:p>
        </w:tc>
        <w:tc>
          <w:tcPr>
            <w:tcW w:w="3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(7,958 )</w:t>
            </w:r>
          </w:p>
        </w:tc>
        <w:tc>
          <w:tcPr>
            <w:tcW w:w="1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5,425</w:t>
            </w:r>
          </w:p>
        </w:tc>
        <w:tc>
          <w:tcPr>
            <w:tcW w:w="100" w:type="dxa"/>
            <w:vAlign w:val="bottom"/>
          </w:tcPr>
          <w:p>
            <w:pPr>
              <w:spacing w:after="0"/>
              <w:rPr>
                <w:sz w:val="15"/>
                <w:szCs w:val="15"/>
                <w:color w:val="auto"/>
              </w:rPr>
            </w:pPr>
          </w:p>
        </w:tc>
      </w:tr>
      <w:tr>
        <w:trPr>
          <w:trHeight w:val="220"/>
        </w:trPr>
        <w:tc>
          <w:tcPr>
            <w:tcW w:w="4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3040" w:type="dxa"/>
            <w:vAlign w:val="bottom"/>
            <w:tcBorders>
              <w:bottom w:val="single" w:sz="8" w:color="CCECFF"/>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22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auto"/>
            </w:tcBorders>
            <w:shd w:val="clear" w:color="auto" w:fill="CCECFF"/>
          </w:tcPr>
          <w:p>
            <w:pPr>
              <w:jc w:val="right"/>
              <w:ind w:right="95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17,281</w:t>
            </w:r>
          </w:p>
        </w:tc>
        <w:tc>
          <w:tcPr>
            <w:tcW w:w="100" w:type="dxa"/>
            <w:vAlign w:val="bottom"/>
            <w:tcBorders>
              <w:bottom w:val="single" w:sz="8" w:color="CCECFF"/>
            </w:tcBorders>
            <w:shd w:val="clear" w:color="auto" w:fill="CCECFF"/>
          </w:tcPr>
          <w:p>
            <w:pPr>
              <w:spacing w:after="0"/>
              <w:rPr>
                <w:sz w:val="19"/>
                <w:szCs w:val="19"/>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2" w:right="680" w:bottom="1440" w:gutter="0" w:footer="0" w:header="0"/>
        </w:sectPr>
      </w:pPr>
    </w:p>
    <w:bookmarkStart w:id="154" w:name="page155"/>
    <w:bookmarkEnd w:id="154"/>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Members’ Equity</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80" w:type="dxa"/>
            <w:vAlign w:val="bottom"/>
          </w:tcPr>
          <w:p>
            <w:pPr>
              <w:spacing w:after="0"/>
              <w:rPr>
                <w:sz w:val="15"/>
                <w:szCs w:val="15"/>
                <w:color w:val="auto"/>
              </w:rPr>
            </w:pPr>
          </w:p>
        </w:tc>
        <w:tc>
          <w:tcPr>
            <w:tcW w:w="2760" w:type="dxa"/>
            <w:vAlign w:val="bottom"/>
            <w:gridSpan w:val="4"/>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718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members’ equity resulting from operations:</w:t>
            </w:r>
          </w:p>
        </w:tc>
        <w:tc>
          <w:tcPr>
            <w:tcW w:w="100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2"/>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investment income</w:t>
            </w:r>
          </w:p>
        </w:tc>
        <w:tc>
          <w:tcPr>
            <w:tcW w:w="1000" w:type="dxa"/>
            <w:vAlign w:val="bottom"/>
          </w:tcPr>
          <w:p>
            <w:pPr>
              <w:jc w:val="right"/>
              <w:ind w:right="87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13,818</w:t>
            </w:r>
          </w:p>
        </w:tc>
        <w:tc>
          <w:tcPr>
            <w:tcW w:w="220" w:type="dxa"/>
            <w:vAlign w:val="bottom"/>
          </w:tcPr>
          <w:p>
            <w:pPr>
              <w:spacing w:after="0"/>
              <w:rPr>
                <w:sz w:val="14"/>
                <w:szCs w:val="14"/>
                <w:color w:val="auto"/>
              </w:rPr>
            </w:pPr>
          </w:p>
        </w:tc>
        <w:tc>
          <w:tcPr>
            <w:tcW w:w="10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11,856</w:t>
            </w:r>
          </w:p>
        </w:tc>
        <w:tc>
          <w:tcPr>
            <w:tcW w:w="100" w:type="dxa"/>
            <w:vAlign w:val="bottom"/>
          </w:tcPr>
          <w:p>
            <w:pPr>
              <w:spacing w:after="0"/>
              <w:rPr>
                <w:sz w:val="14"/>
                <w:szCs w:val="14"/>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18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3"/>
                <w:szCs w:val="13"/>
                <w:color w:val="auto"/>
              </w:rPr>
              <w:t>Net realized gain on investments</w:t>
            </w:r>
          </w:p>
        </w:tc>
        <w:tc>
          <w:tcPr>
            <w:tcW w:w="100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220" w:type="dxa"/>
            <w:vAlign w:val="bottom"/>
            <w:tcBorders>
              <w:bottom w:val="single" w:sz="8" w:color="CCECFF"/>
            </w:tcBorders>
            <w:shd w:val="clear" w:color="auto" w:fill="CCECFF"/>
          </w:tcPr>
          <w:p>
            <w:pPr>
              <w:spacing w:after="0"/>
              <w:rPr>
                <w:sz w:val="18"/>
                <w:szCs w:val="18"/>
                <w:color w:val="auto"/>
              </w:rPr>
            </w:pPr>
          </w:p>
        </w:tc>
        <w:tc>
          <w:tcPr>
            <w:tcW w:w="102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72"/>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0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(8,334 )</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w:t>
            </w:r>
          </w:p>
        </w:tc>
        <w:tc>
          <w:tcPr>
            <w:tcW w:w="100" w:type="dxa"/>
            <w:vAlign w:val="bottom"/>
          </w:tcPr>
          <w:p>
            <w:pPr>
              <w:spacing w:after="0"/>
              <w:rPr>
                <w:sz w:val="14"/>
                <w:szCs w:val="14"/>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00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22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17,281</w:t>
            </w:r>
          </w:p>
        </w:tc>
        <w:tc>
          <w:tcPr>
            <w:tcW w:w="100" w:type="dxa"/>
            <w:vAlign w:val="bottom"/>
            <w:shd w:val="clear" w:color="auto" w:fill="CCECFF"/>
          </w:tcPr>
          <w:p>
            <w:pPr>
              <w:spacing w:after="0"/>
              <w:rPr>
                <w:sz w:val="16"/>
                <w:szCs w:val="16"/>
                <w:color w:val="auto"/>
              </w:rPr>
            </w:pPr>
          </w:p>
        </w:tc>
      </w:tr>
      <w:tr>
        <w:trPr>
          <w:trHeight w:val="172"/>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contributions (See Note 6)</w:t>
            </w: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10,786</w:t>
            </w:r>
          </w:p>
        </w:tc>
        <w:tc>
          <w:tcPr>
            <w:tcW w:w="100" w:type="dxa"/>
            <w:vAlign w:val="bottom"/>
          </w:tcPr>
          <w:p>
            <w:pPr>
              <w:spacing w:after="0"/>
              <w:rPr>
                <w:sz w:val="14"/>
                <w:szCs w:val="14"/>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1000" w:type="dxa"/>
            <w:vAlign w:val="bottom"/>
            <w:shd w:val="clear" w:color="auto" w:fill="CCECFF"/>
          </w:tcPr>
          <w:p>
            <w:pPr>
              <w:spacing w:after="0"/>
              <w:rPr>
                <w:sz w:val="16"/>
                <w:szCs w:val="16"/>
                <w:color w:val="auto"/>
              </w:rPr>
            </w:pPr>
          </w:p>
        </w:tc>
        <w:tc>
          <w:tcPr>
            <w:tcW w:w="7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(15,000 )</w:t>
            </w:r>
          </w:p>
        </w:tc>
        <w:tc>
          <w:tcPr>
            <w:tcW w:w="1020" w:type="dxa"/>
            <w:vAlign w:val="bottom"/>
            <w:shd w:val="clear" w:color="auto" w:fill="CCECFF"/>
          </w:tcPr>
          <w:p>
            <w:pPr>
              <w:spacing w:after="0"/>
              <w:rPr>
                <w:sz w:val="16"/>
                <w:szCs w:val="16"/>
                <w:color w:val="auto"/>
              </w:rPr>
            </w:pPr>
          </w:p>
        </w:tc>
        <w:tc>
          <w:tcPr>
            <w:tcW w:w="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(10,400 </w:t>
            </w:r>
            <w:r>
              <w:rPr>
                <w:rFonts w:ascii="Times New Roman" w:cs="Times New Roman" w:eastAsia="Times New Roman" w:hAnsi="Times New Roman"/>
                <w:sz w:val="14"/>
                <w:szCs w:val="14"/>
                <w:color w:val="auto"/>
              </w:rPr>
              <w:t>)</w:t>
            </w:r>
          </w:p>
        </w:tc>
      </w:tr>
      <w:tr>
        <w:trPr>
          <w:trHeight w:val="183"/>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16,430</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17,667</w:t>
            </w:r>
          </w:p>
        </w:tc>
        <w:tc>
          <w:tcPr>
            <w:tcW w:w="100" w:type="dxa"/>
            <w:vAlign w:val="bottom"/>
          </w:tcPr>
          <w:p>
            <w:pPr>
              <w:spacing w:after="0"/>
              <w:rPr>
                <w:sz w:val="15"/>
                <w:szCs w:val="15"/>
                <w:color w:val="auto"/>
              </w:rPr>
            </w:pPr>
          </w:p>
        </w:tc>
      </w:tr>
      <w:tr>
        <w:trPr>
          <w:trHeight w:val="201"/>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000" w:type="dxa"/>
            <w:vAlign w:val="bottom"/>
            <w:shd w:val="clear" w:color="auto" w:fill="CCECFF"/>
          </w:tcPr>
          <w:p>
            <w:pPr>
              <w:spacing w:after="0"/>
              <w:rPr>
                <w:sz w:val="17"/>
                <w:szCs w:val="17"/>
                <w:color w:val="auto"/>
              </w:rPr>
            </w:pPr>
          </w:p>
        </w:tc>
        <w:tc>
          <w:tcPr>
            <w:tcW w:w="5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20" w:type="dxa"/>
            <w:vAlign w:val="bottom"/>
            <w:shd w:val="clear" w:color="auto" w:fill="CCECFF"/>
          </w:tcPr>
          <w:p>
            <w:pPr>
              <w:spacing w:after="0"/>
              <w:rPr>
                <w:sz w:val="17"/>
                <w:szCs w:val="17"/>
                <w:color w:val="auto"/>
              </w:rPr>
            </w:pPr>
          </w:p>
        </w:tc>
        <w:tc>
          <w:tcPr>
            <w:tcW w:w="5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172"/>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Beginning of year</w:t>
            </w:r>
          </w:p>
        </w:tc>
        <w:tc>
          <w:tcPr>
            <w:tcW w:w="10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68,032</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50,365</w:t>
            </w:r>
          </w:p>
        </w:tc>
        <w:tc>
          <w:tcPr>
            <w:tcW w:w="100" w:type="dxa"/>
            <w:vAlign w:val="bottom"/>
          </w:tcPr>
          <w:p>
            <w:pPr>
              <w:spacing w:after="0"/>
              <w:rPr>
                <w:sz w:val="14"/>
                <w:szCs w:val="14"/>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7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 of year</w:t>
            </w:r>
          </w:p>
        </w:tc>
        <w:tc>
          <w:tcPr>
            <w:tcW w:w="1000" w:type="dxa"/>
            <w:vAlign w:val="bottom"/>
            <w:tcBorders>
              <w:bottom w:val="single" w:sz="8" w:color="auto"/>
            </w:tcBorders>
            <w:shd w:val="clear" w:color="auto" w:fill="CCECFF"/>
          </w:tcPr>
          <w:p>
            <w:pPr>
              <w:jc w:val="right"/>
              <w:ind w:right="87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84,462</w:t>
            </w:r>
          </w:p>
        </w:tc>
        <w:tc>
          <w:tcPr>
            <w:tcW w:w="220" w:type="dxa"/>
            <w:vAlign w:val="bottom"/>
            <w:tcBorders>
              <w:bottom w:val="single" w:sz="8" w:color="CCECFF"/>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68,032</w:t>
            </w:r>
          </w:p>
        </w:tc>
        <w:tc>
          <w:tcPr>
            <w:tcW w:w="100" w:type="dxa"/>
            <w:vAlign w:val="bottom"/>
            <w:tcBorders>
              <w:bottom w:val="single" w:sz="8" w:color="CCECFF"/>
            </w:tcBorders>
            <w:shd w:val="clear" w:color="auto" w:fill="CCEC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4" w:right="68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74"/>
        </w:trPr>
        <w:tc>
          <w:tcPr>
            <w:tcW w:w="7180" w:type="dxa"/>
            <w:vAlign w:val="bottom"/>
          </w:tcPr>
          <w:p>
            <w:pPr>
              <w:jc w:val="center"/>
              <w:ind w:left="3214"/>
              <w:spacing w:after="0"/>
              <w:rPr>
                <w:sz w:val="20"/>
                <w:szCs w:val="20"/>
                <w:color w:val="auto"/>
              </w:rPr>
            </w:pPr>
            <w:r>
              <w:rPr>
                <w:rFonts w:ascii="Times New Roman" w:cs="Times New Roman" w:eastAsia="Times New Roman" w:hAnsi="Times New Roman"/>
                <w:sz w:val="13"/>
                <w:szCs w:val="13"/>
                <w:b w:val="1"/>
                <w:bCs w:val="1"/>
                <w:color w:val="auto"/>
              </w:rPr>
              <w:t>PennantPark Senior Loan Fund, LLC</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jc w:val="center"/>
              <w:ind w:left="3214"/>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jc w:val="center"/>
              <w:ind w:left="3214"/>
              <w:spacing w:after="0"/>
              <w:rPr>
                <w:sz w:val="20"/>
                <w:szCs w:val="20"/>
                <w:color w:val="auto"/>
              </w:rPr>
            </w:pPr>
            <w:r>
              <w:rPr>
                <w:rFonts w:ascii="Times New Roman" w:cs="Times New Roman" w:eastAsia="Times New Roman" w:hAnsi="Times New Roman"/>
                <w:sz w:val="13"/>
                <w:szCs w:val="13"/>
                <w:b w:val="1"/>
                <w:bCs w:val="1"/>
                <w:color w:val="auto"/>
              </w:rPr>
              <w:t>($ In Thousand)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Net increase in members’ equity resulting from operations</w:t>
            </w:r>
          </w:p>
        </w:tc>
        <w:tc>
          <w:tcPr>
            <w:tcW w:w="340" w:type="dxa"/>
            <w:vAlign w:val="bottom"/>
            <w:shd w:val="clear" w:color="auto" w:fill="CCEC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5,860</w:t>
            </w: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17,282</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increase in members’ equity resulting from operations to net cash used in operating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4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8,334</w:t>
            </w: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(4,880 )</w:t>
            </w: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(545 )</w:t>
            </w: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34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(2,080 )</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(1,573 )</w:t>
            </w: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(431,196 )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(149,393 )</w:t>
            </w: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Ammortization of deferred financing costs</w:t>
            </w:r>
          </w:p>
        </w:tc>
        <w:tc>
          <w:tcPr>
            <w:tcW w:w="34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(2,104 )</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8"/>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Payment-in-kind interest</w:t>
            </w:r>
          </w:p>
        </w:tc>
        <w:tc>
          <w:tcPr>
            <w:tcW w:w="340" w:type="dxa"/>
            <w:vAlign w:val="bottom"/>
          </w:tcPr>
          <w:p>
            <w:pPr>
              <w:spacing w:after="0"/>
              <w:rPr>
                <w:sz w:val="24"/>
                <w:szCs w:val="24"/>
                <w:color w:val="auto"/>
              </w:rPr>
            </w:pPr>
          </w:p>
        </w:tc>
        <w:tc>
          <w:tcPr>
            <w:tcW w:w="1300" w:type="dxa"/>
            <w:vAlign w:val="bottom"/>
            <w:gridSpan w:val="2"/>
          </w:tcPr>
          <w:p>
            <w:pPr>
              <w:jc w:val="right"/>
              <w:ind w:right="60"/>
              <w:spacing w:after="0" w:line="288" w:lineRule="exact"/>
              <w:rPr>
                <w:sz w:val="20"/>
                <w:szCs w:val="20"/>
                <w:color w:val="auto"/>
              </w:rPr>
            </w:pPr>
            <w:r>
              <w:rPr>
                <w:rFonts w:ascii="Times New Roman" w:cs="Times New Roman" w:eastAsia="Times New Roman" w:hAnsi="Times New Roman"/>
                <w:sz w:val="13"/>
                <w:szCs w:val="13"/>
                <w:color w:val="auto"/>
              </w:rPr>
              <w:t xml:space="preserve">(38 </w:t>
            </w:r>
            <w:r>
              <w:rPr>
                <w:rFonts w:ascii="Times New Roman" w:cs="Times New Roman" w:eastAsia="Times New Roman" w:hAnsi="Times New Roman"/>
                <w:sz w:val="26"/>
                <w:szCs w:val="26"/>
                <w:color w:val="auto"/>
                <w:vertAlign w:val="subscript"/>
              </w:rPr>
              <w: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(364 )</w:t>
            </w:r>
          </w:p>
        </w:tc>
        <w:tc>
          <w:tcPr>
            <w:tcW w:w="0" w:type="dxa"/>
            <w:vAlign w:val="bottom"/>
          </w:tcPr>
          <w:p>
            <w:pPr>
              <w:spacing w:after="0"/>
              <w:rPr>
                <w:sz w:val="1"/>
                <w:szCs w:val="1"/>
                <w:color w:val="auto"/>
              </w:rPr>
            </w:pPr>
          </w:p>
        </w:tc>
      </w:tr>
      <w:tr>
        <w:trPr>
          <w:trHeight w:val="180"/>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Proceeds from disposition of investments</w:t>
            </w:r>
          </w:p>
        </w:tc>
        <w:tc>
          <w:tcPr>
            <w:tcW w:w="34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100,481</w:t>
            </w:r>
          </w:p>
        </w:tc>
        <w:tc>
          <w:tcPr>
            <w:tcW w:w="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104,888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(Increase) or Decrease in:</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34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(3,870 )</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receivable</w:t>
            </w:r>
          </w:p>
        </w:tc>
        <w:tc>
          <w:tcPr>
            <w:tcW w:w="340" w:type="dxa"/>
            <w:vAlign w:val="bottom"/>
          </w:tcPr>
          <w:p>
            <w:pPr>
              <w:spacing w:after="0"/>
              <w:rPr>
                <w:sz w:val="14"/>
                <w:szCs w:val="14"/>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(1,794 )</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(298 )</w:t>
            </w:r>
          </w:p>
        </w:tc>
        <w:tc>
          <w:tcPr>
            <w:tcW w:w="0" w:type="dxa"/>
            <w:vAlign w:val="bottom"/>
          </w:tcPr>
          <w:p>
            <w:pPr>
              <w:spacing w:after="0"/>
              <w:rPr>
                <w:sz w:val="1"/>
                <w:szCs w:val="1"/>
                <w:color w:val="auto"/>
              </w:rPr>
            </w:pPr>
          </w:p>
        </w:tc>
      </w:tr>
      <w:tr>
        <w:trPr>
          <w:trHeight w:val="48"/>
        </w:trPr>
        <w:tc>
          <w:tcPr>
            <w:tcW w:w="7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7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1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(1,375 )</w:t>
            </w:r>
          </w:p>
        </w:tc>
        <w:tc>
          <w:tcPr>
            <w:tcW w:w="1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4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24,865</w:t>
            </w: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7,093</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(150 )</w:t>
            </w: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34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1,059</w:t>
            </w: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Accrued expenses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4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(298,849 )</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(27,356 )</w:t>
            </w:r>
          </w:p>
        </w:tc>
        <w:tc>
          <w:tcPr>
            <w:tcW w:w="0" w:type="dxa"/>
            <w:vAlign w:val="bottom"/>
          </w:tcPr>
          <w:p>
            <w:pPr>
              <w:spacing w:after="0"/>
              <w:rPr>
                <w:sz w:val="1"/>
                <w:szCs w:val="1"/>
                <w:color w:val="auto"/>
              </w:rPr>
            </w:pPr>
          </w:p>
        </w:tc>
      </w:tr>
      <w:tr>
        <w:trPr>
          <w:trHeight w:val="177"/>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Members’ capital contributions</w:t>
            </w:r>
          </w:p>
        </w:tc>
        <w:tc>
          <w:tcPr>
            <w:tcW w:w="34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25,570</w:t>
            </w:r>
          </w:p>
        </w:tc>
        <w:tc>
          <w:tcPr>
            <w:tcW w:w="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10,785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Notes issued to members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Distribution paid to members</w:t>
            </w:r>
          </w:p>
        </w:tc>
        <w:tc>
          <w:tcPr>
            <w:tcW w:w="34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3"/>
                <w:szCs w:val="13"/>
                <w:color w:val="auto"/>
              </w:rPr>
              <w:t>(13,800 )</w:t>
            </w: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2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(8,994 )</w:t>
            </w: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Asset Backed Debt issued</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34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306,600</w:t>
            </w: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50,500</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(273,000 )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(40,000 )</w:t>
            </w:r>
          </w:p>
        </w:tc>
        <w:tc>
          <w:tcPr>
            <w:tcW w:w="0" w:type="dxa"/>
            <w:vAlign w:val="bottom"/>
          </w:tcPr>
          <w:p>
            <w:pPr>
              <w:spacing w:after="0"/>
              <w:rPr>
                <w:sz w:val="1"/>
                <w:szCs w:val="1"/>
                <w:color w:val="auto"/>
              </w:rPr>
            </w:pPr>
          </w:p>
        </w:tc>
      </w:tr>
      <w:tr>
        <w:trPr>
          <w:trHeight w:val="184"/>
        </w:trPr>
        <w:tc>
          <w:tcPr>
            <w:tcW w:w="71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34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330,802</w:t>
            </w:r>
          </w:p>
        </w:tc>
        <w:tc>
          <w:tcPr>
            <w:tcW w:w="1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30,832</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year</w:t>
            </w:r>
          </w:p>
        </w:tc>
        <w:tc>
          <w:tcPr>
            <w:tcW w:w="34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7,537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year</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4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paid on notes to members</w:t>
            </w: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tcBorders>
              <w:bottom w:val="single" w:sz="8" w:color="CCECFF"/>
            </w:tcBorders>
            <w:shd w:val="clear" w:color="auto" w:fill="CCECFF"/>
          </w:tcPr>
          <w:p>
            <w:pPr>
              <w:ind w:left="260"/>
              <w:spacing w:after="0"/>
              <w:rPr>
                <w:sz w:val="20"/>
                <w:szCs w:val="20"/>
                <w:color w:val="auto"/>
              </w:rPr>
            </w:pPr>
            <w:r>
              <w:rPr>
                <w:rFonts w:ascii="Times New Roman" w:cs="Times New Roman" w:eastAsia="Times New Roman" w:hAnsi="Times New Roman"/>
                <w:sz w:val="13"/>
                <w:szCs w:val="13"/>
                <w:color w:val="auto"/>
              </w:rPr>
              <w:t>Interest paid on credit facility and asset backed debt</w:t>
            </w:r>
          </w:p>
        </w:tc>
        <w:tc>
          <w:tcPr>
            <w:tcW w:w="340" w:type="dxa"/>
            <w:vAlign w:val="bottom"/>
            <w:tcBorders>
              <w:bottom w:val="single" w:sz="8" w:color="auto"/>
            </w:tcBorders>
            <w:shd w:val="clear" w:color="auto" w:fill="CCEC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7,846</w:t>
            </w:r>
          </w:p>
        </w:tc>
        <w:tc>
          <w:tcPr>
            <w:tcW w:w="1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360" w:type="dxa"/>
            <w:vAlign w:val="bottom"/>
            <w:tcBorders>
              <w:bottom w:val="single" w:sz="8" w:color="auto"/>
            </w:tcBorders>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6,434</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2" w:right="680" w:bottom="1440" w:gutter="0" w:footer="0" w:header="0"/>
        </w:sectPr>
      </w:pPr>
    </w:p>
    <w:bookmarkStart w:id="156" w:name="page157"/>
    <w:bookmarkEnd w:id="156"/>
    <w:p>
      <w:pPr>
        <w:ind w:left="40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September 30, 2022</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In Thousand)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Spread Above</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0"/>
        </w:trPr>
        <w:tc>
          <w:tcPr>
            <w:tcW w:w="3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40" w:type="dxa"/>
            <w:vAlign w:val="bottom"/>
          </w:tcPr>
          <w:p>
            <w:pPr>
              <w:jc w:val="center"/>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Par</w:t>
            </w:r>
          </w:p>
        </w:tc>
        <w:tc>
          <w:tcPr>
            <w:tcW w:w="200" w:type="dxa"/>
            <w:vAlign w:val="bottom"/>
          </w:tcPr>
          <w:p>
            <w:pPr>
              <w:spacing w:after="0"/>
              <w:rPr>
                <w:sz w:val="12"/>
                <w:szCs w:val="12"/>
                <w:color w:val="auto"/>
              </w:rPr>
            </w:pPr>
          </w:p>
        </w:tc>
        <w:tc>
          <w:tcPr>
            <w:tcW w:w="50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2"/>
                <w:szCs w:val="12"/>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3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- 864.4%</w:t>
            </w:r>
          </w:p>
        </w:tc>
        <w:tc>
          <w:tcPr>
            <w:tcW w:w="10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05/06/26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4,938</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11/30/26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Containers, Packaging and Glass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8.69 %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L+800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9,785</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9,576</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Technologies,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07/24/25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10.81 %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871</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864</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12/21/23</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7.79 %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19,906</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19,867</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19,906</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06/10/25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L+550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14,104</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13,968</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13,892</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05/23/24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15,168</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15,084</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15,168</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07/21/27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7.98 %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9,942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9,934</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9,743</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07/31/25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6.25 %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6,569</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6,502</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6,536</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07/31/25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6.55 %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3,323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3,298</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3,307</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 Term Loan 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07/31/25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6.50 %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7,607</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7,607</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7,569</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12/29/26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9.42 %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8,822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8,725</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8,602</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03/07/28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8.99 %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11,940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11,721</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11,701</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07/01/29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7.56 %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L+525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15,000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14,700</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09/17/24</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17,993</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17,772</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17,596</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12/02/22</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Personal, Food and Miscellaneous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7.39 %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9,937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9,937</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05/13/28</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17,456</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17,131</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17,194</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08/20/26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9.08 %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2,985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2,958</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2,940</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07/13/27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9,045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9,029</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8,819</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08/31/27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and Non-Durable 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9.42 %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L+475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6,435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6,427</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6,338</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12/21/28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2,776</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2,526</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2,489</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11/03/25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15,142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15,063</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14,658</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06/30/24</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Manufacturing / Basic Industries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8,139</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8,008</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7,944</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05/01/28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10.62 %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4,558</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4,558</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4,489</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ECM Industries,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12/23/25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2,823</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2,761</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2,689</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03/15/27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9,817</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9,726</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06/17/28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7.63 %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6M L+475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754</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740</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03/16/26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8.74 %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7,343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7,313</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7,013</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08/10/27</w:t>
            </w:r>
          </w:p>
        </w:tc>
        <w:tc>
          <w:tcPr>
            <w:tcW w:w="24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8.00 %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1,974</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1,939</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1,895</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12/31/26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6,835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6,835</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6,733</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11/23/28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L+800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19,915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19,535</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19,516</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12/17/26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15,255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15,045</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14,721</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12/10/24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L+700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14,438</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14,303</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14,257</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Icon Partners III, LP</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05/11/28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L+475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2,333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2,001</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1,705</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IDC Infusion Services, Inc.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12/30/26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10.20 %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L+750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17,400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17,154</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16,617</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IG Investments Holdings,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09/22/28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9.45 %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4,473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4,388</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4,428</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11/15/27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6.91 %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L+625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5,636</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5,534</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5,495</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12/07/23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9.96 %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20,000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19,545</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19,800</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11/01/26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6,428</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6,428</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08/27/25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9.21 %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19,954</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19,866</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19,754</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12/20/23</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14,438</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14,316</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14,438</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10/31/24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Leisure, Amusement, Motion Pictures, Entertainment</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2,137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2,129</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2,088</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02/18/27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L+650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19,925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19,708</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19,526</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02/03/26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L+475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12,345</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12,119</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11,944</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04/01/27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5,570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5,128</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5,069</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07/31/28</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3,140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2,946</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2,826</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05/14/26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L+625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7,920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7,861</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7,880</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04/16/27</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8.56 %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7,406</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7,326</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7,332</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12/10/27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2,983</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2,926</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2,953</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09/28/27</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7.25 %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4,164</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4,102</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3,923</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08/19/26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7.80 %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7,426</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7,505</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OIS Management Services,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07/09/26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9.45 %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5,257</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5,210</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5,257</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02/04/28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8.41 %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3,990</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3,874</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3,890</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 (New Issue)</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05/18/26</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Distribution</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8.32 %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L+650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4,962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4,911</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11/09/27</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Retail</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8,634</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8,489</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8,419</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05/08/26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L+525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2,487</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2,309</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11/19/26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9.92 %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L+600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3,403</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3,342</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3,335</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 - Unfunded Term Loan</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11/19/26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L+625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03/31/25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9.46 %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L+600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12,757</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12,657</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12,566</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12/18/25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7.75 %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1M L+450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5,180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5,180</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02/28/28</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9.13 %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SOFR+600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4,975</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4,904</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4,751</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01/29/26</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9.92 %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L+700</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9,850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9,718</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9,505</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8.84 %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14,542</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14,440</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13,070</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06/20/25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7.74 %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L+525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3,192</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3,172</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3,112</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03/10/25</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9.95 %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L+575</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9,949</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9,872</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9,750</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01/03/25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L+625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6,859</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6,779</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6,791</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12/20/24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7.15 %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5,082</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5,082</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5,031</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06/13/29</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7.90 %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15,000</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14,794</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14,775</w:t>
            </w: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05/03/24</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1M L+450</w:t>
            </w:r>
          </w:p>
        </w:tc>
        <w:tc>
          <w:tcPr>
            <w:tcW w:w="180" w:type="dxa"/>
            <w:vAlign w:val="bottom"/>
          </w:tcPr>
          <w:p>
            <w:pPr>
              <w:spacing w:after="0"/>
              <w:rPr>
                <w:sz w:val="12"/>
                <w:szCs w:val="12"/>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11,951</w:t>
            </w:r>
          </w:p>
        </w:tc>
        <w:tc>
          <w:tcPr>
            <w:tcW w:w="200" w:type="dxa"/>
            <w:vAlign w:val="bottom"/>
          </w:tcPr>
          <w:p>
            <w:pPr>
              <w:spacing w:after="0"/>
              <w:rPr>
                <w:sz w:val="12"/>
                <w:szCs w:val="12"/>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11,879</w:t>
            </w:r>
          </w:p>
        </w:tc>
        <w:tc>
          <w:tcPr>
            <w:tcW w:w="180" w:type="dxa"/>
            <w:vAlign w:val="bottom"/>
          </w:tcPr>
          <w:p>
            <w:pPr>
              <w:spacing w:after="0"/>
              <w:rPr>
                <w:sz w:val="12"/>
                <w:szCs w:val="12"/>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11,861</w:t>
            </w: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1000" w:type="dxa"/>
            <w:vAlign w:val="bottom"/>
            <w:shd w:val="clear" w:color="auto" w:fill="CCECFF"/>
          </w:tcPr>
          <w:p>
            <w:pPr>
              <w:jc w:val="center"/>
              <w:ind w:left="252"/>
              <w:spacing w:after="0"/>
              <w:rPr>
                <w:sz w:val="20"/>
                <w:szCs w:val="20"/>
                <w:color w:val="auto"/>
              </w:rPr>
            </w:pPr>
            <w:r>
              <w:rPr>
                <w:rFonts w:ascii="Times New Roman" w:cs="Times New Roman" w:eastAsia="Times New Roman" w:hAnsi="Times New Roman"/>
                <w:sz w:val="10"/>
                <w:szCs w:val="10"/>
                <w:color w:val="auto"/>
                <w:w w:val="95"/>
              </w:rPr>
              <w:t>01/17/24</w:t>
            </w:r>
          </w:p>
        </w:tc>
        <w:tc>
          <w:tcPr>
            <w:tcW w:w="24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Communications</w:t>
            </w:r>
          </w:p>
        </w:tc>
        <w:tc>
          <w:tcPr>
            <w:tcW w:w="9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840" w:type="dxa"/>
            <w:vAlign w:val="bottom"/>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rPr>
              <w:t>6M L+675</w:t>
            </w:r>
          </w:p>
        </w:tc>
        <w:tc>
          <w:tcPr>
            <w:tcW w:w="18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11,386</w:t>
            </w: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11,352</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11,113</w:t>
            </w:r>
          </w:p>
        </w:tc>
      </w:tr>
      <w:tr>
        <w:trPr>
          <w:trHeight w:val="136"/>
        </w:trPr>
        <w:tc>
          <w:tcPr>
            <w:tcW w:w="3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100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5"/>
              </w:rPr>
              <w:t>12/11/26</w:t>
            </w:r>
          </w:p>
        </w:tc>
        <w:tc>
          <w:tcPr>
            <w:tcW w:w="24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8.37 %</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3M L+575</w:t>
            </w:r>
          </w:p>
        </w:tc>
        <w:tc>
          <w:tcPr>
            <w:tcW w:w="180" w:type="dxa"/>
            <w:vAlign w:val="bottom"/>
          </w:tcPr>
          <w:p>
            <w:pPr>
              <w:spacing w:after="0"/>
              <w:rPr>
                <w:sz w:val="11"/>
                <w:szCs w:val="11"/>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12,099</w:t>
            </w:r>
          </w:p>
        </w:tc>
        <w:tc>
          <w:tcPr>
            <w:tcW w:w="200" w:type="dxa"/>
            <w:vAlign w:val="bottom"/>
          </w:tcPr>
          <w:p>
            <w:pPr>
              <w:spacing w:after="0"/>
              <w:rPr>
                <w:sz w:val="11"/>
                <w:szCs w:val="11"/>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12,031</w:t>
            </w:r>
          </w:p>
        </w:tc>
        <w:tc>
          <w:tcPr>
            <w:tcW w:w="18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11,978</w:t>
            </w: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59" w:right="68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20"/>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2"/>
              </w:rPr>
              <w:t>Basis Point</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72"/>
              <w:spacing w:after="0" w:line="120" w:lineRule="exact"/>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3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0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spacing w:after="0"/>
              <w:rPr>
                <w:sz w:val="11"/>
                <w:szCs w:val="11"/>
                <w:color w:val="auto"/>
              </w:rPr>
            </w:pP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Par</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3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33"/>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 Research,</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8.73 %</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SOFR+600</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16,128</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15,785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15,870</w:t>
            </w:r>
          </w:p>
        </w:tc>
        <w:tc>
          <w:tcPr>
            <w:tcW w:w="80" w:type="dxa"/>
            <w:vAlign w:val="bottom"/>
          </w:tcPr>
          <w:p>
            <w:pPr>
              <w:spacing w:after="0"/>
              <w:rPr>
                <w:sz w:val="11"/>
                <w:szCs w:val="11"/>
                <w:color w:val="auto"/>
              </w:rPr>
            </w:pPr>
          </w:p>
        </w:tc>
      </w:tr>
      <w:tr>
        <w:trPr>
          <w:trHeight w:val="128"/>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9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7/18/2025</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10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7.73 %</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L+525</w:t>
            </w:r>
          </w:p>
        </w:tc>
        <w:tc>
          <w:tcPr>
            <w:tcW w:w="6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3,474</w:t>
            </w: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3,435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3,271</w:t>
            </w: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10/31/2025</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9.67 %</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L+600</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11,208</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11,102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11,096</w:t>
            </w: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L+650</w:t>
            </w:r>
          </w:p>
        </w:tc>
        <w:tc>
          <w:tcPr>
            <w:tcW w:w="6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5,502</w:t>
            </w: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5,549</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5,557</w:t>
            </w: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8/30/2027</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8.62 %</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L+550</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4,531</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4,509</w:t>
            </w: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9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11/24/2025</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Food</w:t>
            </w:r>
          </w:p>
        </w:tc>
        <w:tc>
          <w:tcPr>
            <w:tcW w:w="10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7.78 %</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L+525</w:t>
            </w:r>
          </w:p>
        </w:tc>
        <w:tc>
          <w:tcPr>
            <w:tcW w:w="6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5,536</w:t>
            </w: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5,392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5,370</w:t>
            </w: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3/26/2026</w:t>
            </w:r>
          </w:p>
        </w:tc>
        <w:tc>
          <w:tcPr>
            <w:tcW w:w="222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Transportation</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8.87 %</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L+600</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17,381</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17,244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16,946</w:t>
            </w: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10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8.76 %</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L+625</w:t>
            </w:r>
          </w:p>
        </w:tc>
        <w:tc>
          <w:tcPr>
            <w:tcW w:w="6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7,949</w:t>
            </w: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7,917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7,910</w:t>
            </w: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4/3/2028</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7.76 %</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L+550</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12,064</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UBEO, LLC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4/3/2024</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Printing and Publishing</w:t>
            </w:r>
          </w:p>
        </w:tc>
        <w:tc>
          <w:tcPr>
            <w:tcW w:w="10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8.17 %</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3M L+450</w:t>
            </w:r>
          </w:p>
        </w:tc>
        <w:tc>
          <w:tcPr>
            <w:tcW w:w="6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4,674</w:t>
            </w: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4,657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4,604</w:t>
            </w: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Unique Indoor Comfort,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5/24/2027</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Home and Office Furnishings, Housewares</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8.95 %</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L+525</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9,975</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9,840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9,755</w:t>
            </w: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2/27/2026</w:t>
            </w:r>
          </w:p>
        </w:tc>
        <w:tc>
          <w:tcPr>
            <w:tcW w:w="222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Electronics</w:t>
            </w:r>
          </w:p>
        </w:tc>
        <w:tc>
          <w:tcPr>
            <w:tcW w:w="10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9.45 %</w:t>
            </w:r>
          </w:p>
        </w:tc>
        <w:tc>
          <w:tcPr>
            <w:tcW w:w="9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SOFR+575</w:t>
            </w:r>
          </w:p>
        </w:tc>
        <w:tc>
          <w:tcPr>
            <w:tcW w:w="66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11,506</w:t>
            </w: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11,420</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11,110</w:t>
            </w: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3/1/2024</w:t>
            </w: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10.24 %</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3M L+725</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19,998</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19,498</w:t>
            </w: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738,219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730,108</w:t>
            </w: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- 864.4%</w:t>
            </w:r>
          </w:p>
        </w:tc>
        <w:tc>
          <w:tcPr>
            <w:tcW w:w="9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- 50.9%</w:t>
            </w: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9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42,966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42,966</w:t>
            </w:r>
          </w:p>
        </w:tc>
        <w:tc>
          <w:tcPr>
            <w:tcW w:w="80" w:type="dxa"/>
            <w:vAlign w:val="bottom"/>
            <w:shd w:val="clear" w:color="auto" w:fill="CCECFF"/>
          </w:tcPr>
          <w:p>
            <w:pPr>
              <w:spacing w:after="0"/>
              <w:rPr>
                <w:sz w:val="12"/>
                <w:szCs w:val="12"/>
                <w:color w:val="auto"/>
              </w:rPr>
            </w:pPr>
          </w:p>
        </w:tc>
      </w:tr>
      <w:tr>
        <w:trPr>
          <w:trHeight w:val="140"/>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42,966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42,966</w:t>
            </w:r>
          </w:p>
        </w:tc>
        <w:tc>
          <w:tcPr>
            <w:tcW w:w="80" w:type="dxa"/>
            <w:vAlign w:val="bottom"/>
          </w:tcPr>
          <w:p>
            <w:pPr>
              <w:spacing w:after="0"/>
              <w:rPr>
                <w:sz w:val="12"/>
                <w:szCs w:val="12"/>
                <w:color w:val="auto"/>
              </w:rPr>
            </w:pPr>
          </w:p>
        </w:tc>
      </w:tr>
      <w:tr>
        <w:trPr>
          <w:trHeight w:val="14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- 915.3%</w:t>
            </w:r>
          </w:p>
        </w:tc>
        <w:tc>
          <w:tcPr>
            <w:tcW w:w="900" w:type="dxa"/>
            <w:vAlign w:val="bottom"/>
            <w:shd w:val="clear" w:color="auto" w:fill="CCECFF"/>
          </w:tcPr>
          <w:p>
            <w:pPr>
              <w:spacing w:after="0"/>
              <w:rPr>
                <w:sz w:val="12"/>
                <w:szCs w:val="12"/>
                <w:color w:val="auto"/>
              </w:rPr>
            </w:pPr>
          </w:p>
        </w:tc>
        <w:tc>
          <w:tcPr>
            <w:tcW w:w="22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781,185</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773,073</w:t>
            </w:r>
          </w:p>
        </w:tc>
        <w:tc>
          <w:tcPr>
            <w:tcW w:w="80" w:type="dxa"/>
            <w:vAlign w:val="bottom"/>
            <w:shd w:val="clear" w:color="auto" w:fill="CCECFF"/>
          </w:tcPr>
          <w:p>
            <w:pPr>
              <w:spacing w:after="0"/>
              <w:rPr>
                <w:sz w:val="12"/>
                <w:szCs w:val="12"/>
                <w:color w:val="auto"/>
              </w:rPr>
            </w:pPr>
          </w:p>
        </w:tc>
      </w:tr>
      <w:tr>
        <w:trPr>
          <w:trHeight w:val="120"/>
        </w:trPr>
        <w:tc>
          <w:tcPr>
            <w:tcW w:w="3280" w:type="dxa"/>
            <w:vAlign w:val="bottom"/>
            <w:tcBorders>
              <w:bottom w:val="single" w:sz="8" w:color="CCECFF"/>
            </w:tcBorders>
            <w:shd w:val="clear" w:color="auto" w:fill="CCECFF"/>
          </w:tcPr>
          <w:p>
            <w:pPr>
              <w:spacing w:after="0"/>
              <w:rPr>
                <w:sz w:val="10"/>
                <w:szCs w:val="10"/>
                <w:color w:val="auto"/>
              </w:rPr>
            </w:pPr>
          </w:p>
        </w:tc>
        <w:tc>
          <w:tcPr>
            <w:tcW w:w="900" w:type="dxa"/>
            <w:vAlign w:val="bottom"/>
            <w:tcBorders>
              <w:bottom w:val="single" w:sz="8" w:color="CCECFF"/>
            </w:tcBorders>
            <w:shd w:val="clear" w:color="auto" w:fill="CCECFF"/>
          </w:tcPr>
          <w:p>
            <w:pPr>
              <w:spacing w:after="0"/>
              <w:rPr>
                <w:sz w:val="10"/>
                <w:szCs w:val="10"/>
                <w:color w:val="auto"/>
              </w:rPr>
            </w:pPr>
          </w:p>
        </w:tc>
        <w:tc>
          <w:tcPr>
            <w:tcW w:w="2220" w:type="dxa"/>
            <w:vAlign w:val="bottom"/>
            <w:tcBorders>
              <w:bottom w:val="single" w:sz="8" w:color="CCECFF"/>
            </w:tcBorders>
            <w:shd w:val="clear" w:color="auto" w:fill="CCECFF"/>
          </w:tcPr>
          <w:p>
            <w:pPr>
              <w:spacing w:after="0"/>
              <w:rPr>
                <w:sz w:val="10"/>
                <w:szCs w:val="10"/>
                <w:color w:val="auto"/>
              </w:rPr>
            </w:pPr>
          </w:p>
        </w:tc>
        <w:tc>
          <w:tcPr>
            <w:tcW w:w="1060" w:type="dxa"/>
            <w:vAlign w:val="bottom"/>
            <w:tcBorders>
              <w:bottom w:val="single" w:sz="8" w:color="CCECFF"/>
            </w:tcBorders>
            <w:shd w:val="clear" w:color="auto" w:fill="CCECFF"/>
          </w:tcPr>
          <w:p>
            <w:pPr>
              <w:spacing w:after="0"/>
              <w:rPr>
                <w:sz w:val="10"/>
                <w:szCs w:val="10"/>
                <w:color w:val="auto"/>
              </w:rPr>
            </w:pPr>
          </w:p>
        </w:tc>
        <w:tc>
          <w:tcPr>
            <w:tcW w:w="9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420" w:type="dxa"/>
            <w:vAlign w:val="bottom"/>
            <w:tcBorders>
              <w:bottom w:val="single" w:sz="8" w:color="auto"/>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660" w:type="dxa"/>
            <w:vAlign w:val="bottom"/>
            <w:tcBorders>
              <w:bottom w:val="single" w:sz="8" w:color="auto"/>
            </w:tcBorders>
            <w:shd w:val="clear" w:color="auto" w:fill="CCECFF"/>
          </w:tcPr>
          <w:p>
            <w:pPr>
              <w:spacing w:after="0"/>
              <w:rPr>
                <w:sz w:val="10"/>
                <w:szCs w:val="10"/>
                <w:color w:val="auto"/>
              </w:rPr>
            </w:pPr>
          </w:p>
        </w:tc>
        <w:tc>
          <w:tcPr>
            <w:tcW w:w="80" w:type="dxa"/>
            <w:vAlign w:val="bottom"/>
            <w:tcBorders>
              <w:bottom w:val="single" w:sz="8" w:color="CCECFF"/>
            </w:tcBorders>
            <w:shd w:val="clear" w:color="auto" w:fill="CCECFF"/>
          </w:tcPr>
          <w:p>
            <w:pPr>
              <w:spacing w:after="0"/>
              <w:rPr>
                <w:sz w:val="10"/>
                <w:szCs w:val="10"/>
                <w:color w:val="auto"/>
              </w:rPr>
            </w:pPr>
          </w:p>
        </w:tc>
      </w:tr>
      <w:tr>
        <w:trPr>
          <w:trHeight w:val="116"/>
        </w:trPr>
        <w:tc>
          <w:tcPr>
            <w:tcW w:w="32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(815.3)%</w:t>
            </w:r>
          </w:p>
        </w:tc>
        <w:tc>
          <w:tcPr>
            <w:tcW w:w="9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(688,612 )</w:t>
            </w:r>
          </w:p>
        </w:tc>
      </w:tr>
      <w:tr>
        <w:trPr>
          <w:trHeight w:val="184"/>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900" w:type="dxa"/>
            <w:vAlign w:val="bottom"/>
            <w:tcBorders>
              <w:bottom w:val="single" w:sz="8" w:color="CCECFF"/>
            </w:tcBorders>
            <w:shd w:val="clear" w:color="auto" w:fill="CCECFF"/>
          </w:tcPr>
          <w:p>
            <w:pPr>
              <w:spacing w:after="0"/>
              <w:rPr>
                <w:sz w:val="16"/>
                <w:szCs w:val="16"/>
                <w:color w:val="auto"/>
              </w:rPr>
            </w:pPr>
          </w:p>
        </w:tc>
        <w:tc>
          <w:tcPr>
            <w:tcW w:w="222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920" w:type="dxa"/>
            <w:vAlign w:val="bottom"/>
            <w:tcBorders>
              <w:bottom w:val="single" w:sz="8" w:color="CCECFF"/>
            </w:tcBorders>
            <w:shd w:val="clear" w:color="auto" w:fill="CCECFF"/>
          </w:tcPr>
          <w:p>
            <w:pPr>
              <w:spacing w:after="0"/>
              <w:rPr>
                <w:sz w:val="16"/>
                <w:szCs w:val="16"/>
                <w:color w:val="auto"/>
              </w:rPr>
            </w:pPr>
          </w:p>
        </w:tc>
        <w:tc>
          <w:tcPr>
            <w:tcW w:w="66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42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84,462</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line="324" w:lineRule="exact"/>
        <w:rPr>
          <w:sz w:val="20"/>
          <w:szCs w:val="20"/>
          <w:color w:val="auto"/>
        </w:rPr>
      </w:pPr>
    </w:p>
    <w:p>
      <w:pPr>
        <w:ind w:left="240" w:hanging="6"/>
        <w:spacing w:after="0" w:line="283" w:lineRule="auto"/>
        <w:tabs>
          <w:tab w:leader="none" w:pos="393" w:val="left"/>
        </w:tabs>
        <w:numPr>
          <w:ilvl w:val="0"/>
          <w:numId w:val="4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0"/>
          <w:szCs w:val="10"/>
          <w:color w:val="auto"/>
        </w:rPr>
      </w:pPr>
    </w:p>
    <w:p>
      <w:pPr>
        <w:ind w:left="380" w:hanging="146"/>
        <w:spacing w:after="0"/>
        <w:tabs>
          <w:tab w:leader="none" w:pos="38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084" w:right="660"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Current</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6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Coupon</w:t>
            </w:r>
          </w:p>
        </w:tc>
        <w:tc>
          <w:tcPr>
            <w:tcW w:w="960" w:type="dxa"/>
            <w:vAlign w:val="bottom"/>
          </w:tcPr>
          <w:p>
            <w:pPr>
              <w:jc w:val="center"/>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240" w:type="dxa"/>
            <w:vAlign w:val="bottom"/>
          </w:tcPr>
          <w:p>
            <w:pPr>
              <w:spacing w:after="0"/>
              <w:rPr>
                <w:sz w:val="11"/>
                <w:szCs w:val="11"/>
                <w:color w:val="auto"/>
              </w:rPr>
            </w:pPr>
          </w:p>
        </w:tc>
        <w:tc>
          <w:tcPr>
            <w:tcW w:w="64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Par</w:t>
            </w:r>
          </w:p>
        </w:tc>
        <w:tc>
          <w:tcPr>
            <w:tcW w:w="180" w:type="dxa"/>
            <w:vAlign w:val="bottom"/>
          </w:tcPr>
          <w:p>
            <w:pPr>
              <w:spacing w:after="0"/>
              <w:rPr>
                <w:sz w:val="11"/>
                <w:szCs w:val="11"/>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60"/>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- 595.6%</w:t>
            </w:r>
          </w:p>
        </w:tc>
        <w:tc>
          <w:tcPr>
            <w:tcW w:w="86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05/06/26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7.00%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3M L + 600</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4,988</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4,920</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Altamira Technologies,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07/24/25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8.00%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L+700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921</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American Insulated Glass,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12/21/23</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Building Materials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L+550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14,625</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07/21/27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L+525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6,500</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6,378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6,370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6.25%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L+550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6,569</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07/31/25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6.55%</w:t>
            </w:r>
          </w:p>
        </w:tc>
        <w:tc>
          <w:tcPr>
            <w:tcW w:w="9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3,347</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3,313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12/29/26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Environmental Services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L+575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7,444</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Bottom Line Systems,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02/13/23</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6.25%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L+550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13,729</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13,674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Crash Champions,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08/05/25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Sector</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6.00%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L+525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5,985</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11/03/25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7.25%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L+625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13,428</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13,335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03/31/28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Hotels, Motels, Inns and Gaming</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8.25%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L+750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4,604</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ECM Industries,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12/23/25</w:t>
            </w:r>
          </w:p>
        </w:tc>
        <w:tc>
          <w:tcPr>
            <w:tcW w:w="24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7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5.50%</w:t>
            </w:r>
          </w:p>
        </w:tc>
        <w:tc>
          <w:tcPr>
            <w:tcW w:w="9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L+450</w:t>
            </w:r>
          </w:p>
        </w:tc>
        <w:tc>
          <w:tcPr>
            <w:tcW w:w="24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2,827</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2,805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2,770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68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460" w:type="dxa"/>
            <w:vAlign w:val="bottom"/>
            <w:vMerge w:val="continue"/>
            <w:shd w:val="clear" w:color="auto" w:fill="CCECFF"/>
          </w:tcPr>
          <w:p>
            <w:pPr>
              <w:spacing w:after="0"/>
              <w:rPr>
                <w:sz w:val="10"/>
                <w:szCs w:val="10"/>
                <w:color w:val="auto"/>
              </w:rPr>
            </w:pPr>
          </w:p>
        </w:tc>
        <w:tc>
          <w:tcPr>
            <w:tcW w:w="760" w:type="dxa"/>
            <w:vAlign w:val="bottom"/>
            <w:vMerge w:val="continue"/>
            <w:shd w:val="clear" w:color="auto" w:fill="CCECFF"/>
          </w:tcPr>
          <w:p>
            <w:pPr>
              <w:spacing w:after="0"/>
              <w:rPr>
                <w:sz w:val="10"/>
                <w:szCs w:val="10"/>
                <w:color w:val="auto"/>
              </w:rPr>
            </w:pPr>
          </w:p>
        </w:tc>
        <w:tc>
          <w:tcPr>
            <w:tcW w:w="960" w:type="dxa"/>
            <w:vAlign w:val="bottom"/>
            <w:vMerge w:val="continue"/>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40" w:type="dxa"/>
            <w:vAlign w:val="bottom"/>
            <w:vMerge w:val="continue"/>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03/16/26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7.00%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L+600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7,463</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12/31/26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6.00%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L+500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5,955</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5,819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5,895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12/19/25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L+600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12,071</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5.50%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L+450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14,588</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14,499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IMIA Holdings,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04/09/27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L+600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9,059</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08/27/25</w:t>
            </w:r>
          </w:p>
        </w:tc>
        <w:tc>
          <w:tcPr>
            <w:tcW w:w="24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7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6.50%</w:t>
            </w:r>
          </w:p>
        </w:tc>
        <w:tc>
          <w:tcPr>
            <w:tcW w:w="9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L+550</w:t>
            </w:r>
          </w:p>
        </w:tc>
        <w:tc>
          <w:tcPr>
            <w:tcW w:w="24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7,868</w:t>
            </w:r>
          </w:p>
        </w:tc>
        <w:tc>
          <w:tcPr>
            <w:tcW w:w="18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7,803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80" w:type="dxa"/>
            <w:vAlign w:val="bottom"/>
            <w:shd w:val="clear" w:color="auto" w:fill="CCECFF"/>
          </w:tcPr>
          <w:p>
            <w:pPr>
              <w:spacing w:after="0"/>
              <w:rPr>
                <w:sz w:val="5"/>
                <w:szCs w:val="5"/>
                <w:color w:val="auto"/>
              </w:rPr>
            </w:pPr>
          </w:p>
        </w:tc>
        <w:tc>
          <w:tcPr>
            <w:tcW w:w="860" w:type="dxa"/>
            <w:vAlign w:val="bottom"/>
            <w:shd w:val="clear" w:color="auto" w:fill="CCECFF"/>
          </w:tcPr>
          <w:p>
            <w:pPr>
              <w:spacing w:after="0"/>
              <w:rPr>
                <w:sz w:val="5"/>
                <w:szCs w:val="5"/>
                <w:color w:val="auto"/>
              </w:rPr>
            </w:pPr>
          </w:p>
        </w:tc>
        <w:tc>
          <w:tcPr>
            <w:tcW w:w="2460" w:type="dxa"/>
            <w:vAlign w:val="bottom"/>
            <w:vMerge w:val="continue"/>
            <w:shd w:val="clear" w:color="auto" w:fill="CCECFF"/>
          </w:tcPr>
          <w:p>
            <w:pPr>
              <w:spacing w:after="0"/>
              <w:rPr>
                <w:sz w:val="5"/>
                <w:szCs w:val="5"/>
                <w:color w:val="auto"/>
              </w:rPr>
            </w:pPr>
          </w:p>
        </w:tc>
        <w:tc>
          <w:tcPr>
            <w:tcW w:w="760" w:type="dxa"/>
            <w:vAlign w:val="bottom"/>
            <w:vMerge w:val="continue"/>
            <w:shd w:val="clear" w:color="auto" w:fill="CCECFF"/>
          </w:tcPr>
          <w:p>
            <w:pPr>
              <w:spacing w:after="0"/>
              <w:rPr>
                <w:sz w:val="5"/>
                <w:szCs w:val="5"/>
                <w:color w:val="auto"/>
              </w:rPr>
            </w:pPr>
          </w:p>
        </w:tc>
        <w:tc>
          <w:tcPr>
            <w:tcW w:w="960" w:type="dxa"/>
            <w:vAlign w:val="bottom"/>
            <w:vMerge w:val="continue"/>
            <w:shd w:val="clear" w:color="auto" w:fill="CCECFF"/>
          </w:tcPr>
          <w:p>
            <w:pPr>
              <w:spacing w:after="0"/>
              <w:rPr>
                <w:sz w:val="5"/>
                <w:szCs w:val="5"/>
                <w:color w:val="auto"/>
              </w:rPr>
            </w:pPr>
          </w:p>
        </w:tc>
        <w:tc>
          <w:tcPr>
            <w:tcW w:w="240" w:type="dxa"/>
            <w:vAlign w:val="bottom"/>
            <w:shd w:val="clear" w:color="auto" w:fill="CCECFF"/>
          </w:tcPr>
          <w:p>
            <w:pPr>
              <w:spacing w:after="0"/>
              <w:rPr>
                <w:sz w:val="5"/>
                <w:szCs w:val="5"/>
                <w:color w:val="auto"/>
              </w:rPr>
            </w:pPr>
          </w:p>
        </w:tc>
        <w:tc>
          <w:tcPr>
            <w:tcW w:w="640" w:type="dxa"/>
            <w:vAlign w:val="bottom"/>
            <w:vMerge w:val="continue"/>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580" w:type="dxa"/>
            <w:vAlign w:val="bottom"/>
            <w:vMerge w:val="continue"/>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760" w:type="dxa"/>
            <w:vAlign w:val="bottom"/>
            <w:vMerge w:val="continue"/>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Juniper Landscaping of Florida,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12/22/21</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Personal, Food and Miscellaneous Services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L+550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9,420</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12/20/23</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8.00%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L+700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14,588</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14,479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14,199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10/31/24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Leisure, Amusement, Motion Pictures, Entertainment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8.50%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L+750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2,120</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02/03/26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L+550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12,472</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12,273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12,472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Lombart Brothers,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04/13/23</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7.25%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L+825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16,817</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16,729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04/01/27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6.50%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L+550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5,837</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5,581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05/14/26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L+575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8,000</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04/16/27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L+550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7,481</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7,338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7,332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MeritDirect,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05/23/24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L+550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13,386</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05/08/26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5.65%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L+575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3,805</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3,778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Radius Aerospace,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03/31/25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L+600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13,335</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12/18/25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L+550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5,232</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5,140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5,232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01/29/26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7.00%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L+450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9,950</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6.50%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L+600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14,695</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14,602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Education and Childcare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5.50%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L+550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3,246</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01/03/25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7.75%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L+750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7,632</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7,526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7,442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12/20/24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7.00%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L+575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5,232</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05/03/24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8.50%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L+525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13,500</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13,397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01/17/24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Communications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L+600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11,882</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12/11/26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5.33%</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L+450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12,099</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12,003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TAC LifePort Purchaser,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03/01/26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7.00%</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L+525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4,967</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4,891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TeleGuam Holdings,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5.50%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L+525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4,593</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4,558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07/18/25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6.25%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L+575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2,997</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11/24/25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Food</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6.25%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L+625</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5,593</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5,537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TVC Enterprises,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03/26/26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Transportation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6.75%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L+550</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12,773</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06/16/25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Education</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7.25%</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L+450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9,648</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9,515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9,648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04/03/28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6.25%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1M L+675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9,950</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UBEO, LLC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04/03/24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Printing and Publishing</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5.50%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1M L+500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4,710</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4,676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Vision Purchaser Corporation</w:t>
            </w:r>
          </w:p>
        </w:tc>
        <w:tc>
          <w:tcPr>
            <w:tcW w:w="860" w:type="dxa"/>
            <w:vAlign w:val="bottom"/>
          </w:tcPr>
          <w:p>
            <w:pPr>
              <w:jc w:val="center"/>
              <w:ind w:left="32"/>
              <w:spacing w:after="0"/>
              <w:rPr>
                <w:sz w:val="20"/>
                <w:szCs w:val="20"/>
                <w:color w:val="auto"/>
              </w:rPr>
            </w:pPr>
            <w:r>
              <w:rPr>
                <w:rFonts w:ascii="Times New Roman" w:cs="Times New Roman" w:eastAsia="Times New Roman" w:hAnsi="Times New Roman"/>
                <w:sz w:val="10"/>
                <w:szCs w:val="10"/>
                <w:color w:val="auto"/>
                <w:w w:val="95"/>
              </w:rPr>
              <w:t>06/10/25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7.75%</w:t>
            </w: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3M L+675</w:t>
            </w:r>
          </w:p>
        </w:tc>
        <w:tc>
          <w:tcPr>
            <w:tcW w:w="240" w:type="dxa"/>
            <w:vAlign w:val="bottom"/>
          </w:tcPr>
          <w:p>
            <w:pPr>
              <w:spacing w:after="0"/>
              <w:rPr>
                <w:sz w:val="12"/>
                <w:szCs w:val="12"/>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14,249</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60" w:type="dxa"/>
            <w:vAlign w:val="bottom"/>
            <w:shd w:val="clear" w:color="auto" w:fill="CCECFF"/>
          </w:tcPr>
          <w:p>
            <w:pPr>
              <w:jc w:val="center"/>
              <w:ind w:left="32"/>
              <w:spacing w:after="0"/>
              <w:rPr>
                <w:sz w:val="20"/>
                <w:szCs w:val="20"/>
                <w:color w:val="auto"/>
              </w:rPr>
            </w:pPr>
            <w:r>
              <w:rPr>
                <w:rFonts w:ascii="Times New Roman" w:cs="Times New Roman" w:eastAsia="Times New Roman" w:hAnsi="Times New Roman"/>
                <w:sz w:val="10"/>
                <w:szCs w:val="10"/>
                <w:color w:val="auto"/>
                <w:w w:val="95"/>
              </w:rPr>
              <w:t>02/27/26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Electronics</w:t>
            </w:r>
          </w:p>
        </w:tc>
        <w:tc>
          <w:tcPr>
            <w:tcW w:w="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6.00%</w:t>
            </w:r>
          </w:p>
        </w:tc>
        <w:tc>
          <w:tcPr>
            <w:tcW w:w="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3M L+500</w:t>
            </w: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7,425</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7,360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7,388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6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409,602</w:t>
            </w:r>
          </w:p>
        </w:tc>
        <w:tc>
          <w:tcPr>
            <w:tcW w:w="1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405,009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Equivalents—16.2%</w:t>
            </w:r>
          </w:p>
        </w:tc>
        <w:tc>
          <w:tcPr>
            <w:tcW w:w="860" w:type="dxa"/>
            <w:vAlign w:val="bottom"/>
            <w:shd w:val="clear" w:color="auto" w:fill="CCECFF"/>
          </w:tcPr>
          <w:p>
            <w:pPr>
              <w:spacing w:after="0"/>
              <w:rPr>
                <w:sz w:val="13"/>
                <w:szCs w:val="13"/>
                <w:color w:val="auto"/>
              </w:rPr>
            </w:pPr>
          </w:p>
        </w:tc>
        <w:tc>
          <w:tcPr>
            <w:tcW w:w="24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US Bank Cash</w:t>
            </w:r>
          </w:p>
        </w:tc>
        <w:tc>
          <w:tcPr>
            <w:tcW w:w="86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Equivalents—611.8%</w:t>
            </w:r>
          </w:p>
        </w:tc>
        <w:tc>
          <w:tcPr>
            <w:tcW w:w="860" w:type="dxa"/>
            <w:vAlign w:val="bottom"/>
            <w:tcBorders>
              <w:bottom w:val="single" w:sz="8" w:color="CCECFF"/>
            </w:tcBorders>
            <w:shd w:val="clear" w:color="auto" w:fill="CCECFF"/>
          </w:tcPr>
          <w:p>
            <w:pPr>
              <w:spacing w:after="0"/>
              <w:rPr>
                <w:sz w:val="16"/>
                <w:szCs w:val="16"/>
                <w:color w:val="auto"/>
              </w:rPr>
            </w:pPr>
          </w:p>
        </w:tc>
        <w:tc>
          <w:tcPr>
            <w:tcW w:w="2460" w:type="dxa"/>
            <w:vAlign w:val="bottom"/>
            <w:tcBorders>
              <w:bottom w:val="single" w:sz="8" w:color="CCECFF"/>
            </w:tcBorders>
            <w:shd w:val="clear" w:color="auto" w:fill="CCECFF"/>
          </w:tcPr>
          <w:p>
            <w:pPr>
              <w:spacing w:after="0"/>
              <w:rPr>
                <w:sz w:val="16"/>
                <w:szCs w:val="16"/>
                <w:color w:val="auto"/>
              </w:rPr>
            </w:pPr>
          </w:p>
        </w:tc>
        <w:tc>
          <w:tcPr>
            <w:tcW w:w="76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spacing w:after="0"/>
              <w:rPr>
                <w:sz w:val="16"/>
                <w:szCs w:val="16"/>
                <w:color w:val="auto"/>
              </w:rPr>
            </w:pPr>
          </w:p>
        </w:tc>
        <w:tc>
          <w:tcPr>
            <w:tcW w:w="64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416,023</w:t>
            </w:r>
          </w:p>
        </w:tc>
        <w:tc>
          <w:tcPr>
            <w:tcW w:w="22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416,246</w:t>
            </w:r>
          </w:p>
        </w:tc>
        <w:tc>
          <w:tcPr>
            <w:tcW w:w="10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6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Assets—(511.8)%</w:t>
            </w:r>
          </w:p>
        </w:tc>
        <w:tc>
          <w:tcPr>
            <w:tcW w:w="8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(348,213 )</w:t>
            </w:r>
          </w:p>
        </w:tc>
        <w:tc>
          <w:tcPr>
            <w:tcW w:w="0" w:type="dxa"/>
            <w:vAlign w:val="bottom"/>
          </w:tcPr>
          <w:p>
            <w:pPr>
              <w:spacing w:after="0"/>
              <w:rPr>
                <w:sz w:val="1"/>
                <w:szCs w:val="1"/>
                <w:color w:val="auto"/>
              </w:rPr>
            </w:pPr>
          </w:p>
        </w:tc>
      </w:tr>
      <w:tr>
        <w:trPr>
          <w:trHeight w:val="188"/>
        </w:trPr>
        <w:tc>
          <w:tcPr>
            <w:tcW w:w="2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860" w:type="dxa"/>
            <w:vAlign w:val="bottom"/>
            <w:tcBorders>
              <w:bottom w:val="single" w:sz="8" w:color="CCECFF"/>
            </w:tcBorders>
            <w:shd w:val="clear" w:color="auto" w:fill="CCECFF"/>
          </w:tcPr>
          <w:p>
            <w:pPr>
              <w:spacing w:after="0"/>
              <w:rPr>
                <w:sz w:val="16"/>
                <w:szCs w:val="16"/>
                <w:color w:val="auto"/>
              </w:rPr>
            </w:pPr>
          </w:p>
        </w:tc>
        <w:tc>
          <w:tcPr>
            <w:tcW w:w="2460" w:type="dxa"/>
            <w:vAlign w:val="bottom"/>
            <w:tcBorders>
              <w:bottom w:val="single" w:sz="8" w:color="CCECFF"/>
            </w:tcBorders>
            <w:shd w:val="clear" w:color="auto" w:fill="CCECFF"/>
          </w:tcPr>
          <w:p>
            <w:pPr>
              <w:spacing w:after="0"/>
              <w:rPr>
                <w:sz w:val="16"/>
                <w:szCs w:val="16"/>
                <w:color w:val="auto"/>
              </w:rPr>
            </w:pPr>
          </w:p>
        </w:tc>
        <w:tc>
          <w:tcPr>
            <w:tcW w:w="76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spacing w:after="0"/>
              <w:rPr>
                <w:sz w:val="16"/>
                <w:szCs w:val="16"/>
                <w:color w:val="auto"/>
              </w:rPr>
            </w:pPr>
          </w:p>
        </w:tc>
        <w:tc>
          <w:tcPr>
            <w:tcW w:w="64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580" w:type="dxa"/>
            <w:vAlign w:val="bottom"/>
            <w:tcBorders>
              <w:bottom w:val="single" w:sz="8" w:color="CCECFF"/>
            </w:tcBorders>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auto"/>
            </w:tcBorders>
            <w:shd w:val="clear" w:color="auto" w:fill="CCEC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68,032</w:t>
            </w:r>
          </w:p>
        </w:tc>
        <w:tc>
          <w:tcPr>
            <w:tcW w:w="10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right="180" w:firstLine="6"/>
        <w:spacing w:after="0" w:line="260" w:lineRule="auto"/>
        <w:tabs>
          <w:tab w:leader="none" w:pos="17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(1ML, 2ML, 3ML or 6ML, respectively), at the borrower's option. All securities are subject to a LIBOR or PRime rate floor where a spread is provided, unless noted. The spread provided inlcudes PIK interest and other fee rate, if any.</w:t>
      </w:r>
    </w:p>
    <w:p>
      <w:pPr>
        <w:spacing w:after="0" w:line="98" w:lineRule="exact"/>
        <w:rPr>
          <w:rFonts w:ascii="Times New Roman" w:cs="Times New Roman" w:eastAsia="Times New Roman" w:hAnsi="Times New Roman"/>
          <w:sz w:val="12"/>
          <w:szCs w:val="12"/>
          <w:color w:val="auto"/>
        </w:rPr>
      </w:pPr>
    </w:p>
    <w:p>
      <w:pPr>
        <w:ind w:left="180" w:hanging="174"/>
        <w:spacing w:after="0"/>
        <w:tabs>
          <w:tab w:leader="none" w:pos="1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PSLF's accounting policy.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159" w:name="page160"/>
    <w:bookmarkEnd w:id="159"/>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59"/>
        <w:spacing w:after="0" w:line="231" w:lineRule="auto"/>
        <w:rPr>
          <w:sz w:val="20"/>
          <w:szCs w:val="20"/>
          <w:color w:val="auto"/>
        </w:rPr>
      </w:pPr>
      <w:r>
        <w:rPr>
          <w:rFonts w:ascii="Times New Roman" w:cs="Times New Roman" w:eastAsia="Times New Roman" w:hAnsi="Times New Roman"/>
          <w:sz w:val="16"/>
          <w:szCs w:val="16"/>
          <w:b w:val="1"/>
          <w:bCs w:val="1"/>
          <w:color w:val="auto"/>
        </w:rPr>
        <w:t>SEPTEMBER 30, 2022</w:t>
      </w: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49" w:lineRule="exact"/>
        <w:rPr>
          <w:sz w:val="20"/>
          <w:szCs w:val="20"/>
          <w:color w:val="auto"/>
        </w:rPr>
      </w:pPr>
    </w:p>
    <w:p>
      <w:pPr>
        <w:jc w:val="both"/>
        <w:ind w:right="180" w:firstLine="348"/>
        <w:spacing w:after="0" w:line="268" w:lineRule="auto"/>
        <w:rPr>
          <w:sz w:val="20"/>
          <w:szCs w:val="20"/>
          <w:color w:val="auto"/>
        </w:rPr>
      </w:pPr>
      <w:r>
        <w:rPr>
          <w:rFonts w:ascii="Times New Roman" w:cs="Times New Roman" w:eastAsia="Times New Roman" w:hAnsi="Times New Roman"/>
          <w:sz w:val="13"/>
          <w:szCs w:val="13"/>
          <w:color w:val="auto"/>
        </w:rPr>
        <w:t>PennantPark Senior Loan Fund, LLC, or PSLF, is organized as a Delaware limited liability company and commenced operations in July 2020. PSLF is a joint venture between PennantPark Investment Corporation ("PNNT") and Pantheon Ventures (UK), LLP ("Pantheon"). In this report, except where the context suggests otherwise, the terms “Company,” “we,” “our,” or “us” refer to PSLF and its consolidated subsidiary.</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Company's investment objectives are to generate both current income and capital appreciation while seeking to preserve capital through debt and equity investments primarily made to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middle-market companies in the form of first lien secured debt, second lien secured debt and subordinated debt and equity investments.</w:t>
      </w:r>
    </w:p>
    <w:p>
      <w:pPr>
        <w:spacing w:after="0" w:line="149"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PNNT and Pantheon (individually a "Member" and collectively the "Members"), provide capital to PSLF in the form of notes and equity interests. On July 31, 2020, PNNT contributed its formerly wholly- owned subsidiary, PennantPark Investment Funding I, LLC (“Funding I”) to the Company in exchange for a 72% stake in PSLF. As of July 31, 2020, Funding I held $356.1 million of senior loans at fair value and had $240.0 million of debt outstanding (see Note 10). On July 31, 2020 Pantheon invested $35.0 million to acquire a 28% stake in PSLF of which $22.5 million was used to partially pay down Funding I's outstanding debt. Subsequent to the contribution of Funding I by PNNT, Funding I became a wholly-owned subsidiary of PSLF and its operations are consolidated with and into the operations of PSLF.</w:t>
      </w:r>
    </w:p>
    <w:p>
      <w:pPr>
        <w:spacing w:after="0" w:line="130"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On October 31, 2020, PNNT and Pantheon contributed an additional $1.8 million and $27.5 million, respectively, to PSLF. PNNT’s and Pantheon’s additional investments came in at PSLF’s then current Members’ equity. As a result of the additional capital contribution, PNNT and Pantheon owned 60.5% and 39.5%, respectively, of the outstanding notes and equity interests of PSLF (see Note 6).</w:t>
      </w:r>
    </w:p>
    <w:p>
      <w:pPr>
        <w:spacing w:after="0" w:line="123" w:lineRule="exact"/>
        <w:rPr>
          <w:sz w:val="20"/>
          <w:szCs w:val="20"/>
          <w:color w:val="auto"/>
        </w:rPr>
      </w:pPr>
    </w:p>
    <w:p>
      <w:pPr>
        <w:jc w:val="both"/>
        <w:ind w:firstLine="348"/>
        <w:spacing w:after="0" w:line="286" w:lineRule="auto"/>
        <w:rPr>
          <w:sz w:val="20"/>
          <w:szCs w:val="20"/>
          <w:color w:val="auto"/>
        </w:rPr>
      </w:pPr>
      <w:r>
        <w:rPr>
          <w:rFonts w:ascii="Times New Roman" w:cs="Times New Roman" w:eastAsia="Times New Roman" w:hAnsi="Times New Roman"/>
          <w:sz w:val="13"/>
          <w:szCs w:val="13"/>
          <w:color w:val="auto"/>
        </w:rPr>
        <w:t>The administrative agent of the Company is PennantPark Investment Administration, LLC (the "Administrative Agent"). The Bank of New York Mellon Corporation (the "Sub-Administrator") provides certain services to the Company with respect to certain accounting matters and has the responsibility for the official books and records.</w:t>
      </w:r>
    </w:p>
    <w:p>
      <w:pPr>
        <w:spacing w:after="0" w:line="112"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3"/>
          <w:szCs w:val="13"/>
          <w:color w:val="auto"/>
        </w:rPr>
        <w:t>PNNT and Pantheon each appointed two members to PSLF’s four-person member designees’ committee. All material decisions with respect to PSLF, including those involving its investment portfolio, require unanimous approval of a quorum of the member designees. Quorum is defined as (i) the presence of two members of the member designees’ committee; provided that at least one individual is present that was elected, designated or appointed by each member; (ii) the presence of three members of the member designees’ committee, provided that the individual that was elected, designated or appointed by the member with only one individual present shall be entitled to cast two votes on each matter; and (iii) the presence of four members of the member designees or investment committee shall constitute a quorum, provided that two individuals are present that were elected, designated or appointed by each member.</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PennantPark CLO IV, LLC ("CLO IV") is a wholly-owned subsidiary and was formed in March 2022 for the purpose of executing a debt securitization (See Note 10).</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line="231" w:lineRule="auto"/>
        <w:rPr>
          <w:sz w:val="20"/>
          <w:szCs w:val="20"/>
          <w:color w:val="auto"/>
        </w:rPr>
      </w:pPr>
      <w:r>
        <w:rPr>
          <w:rFonts w:ascii="Times New Roman" w:cs="Times New Roman" w:eastAsia="Times New Roman" w:hAnsi="Times New Roman"/>
          <w:sz w:val="16"/>
          <w:szCs w:val="16"/>
          <w:b w:val="1"/>
          <w:bCs w:val="1"/>
          <w:color w:val="auto"/>
        </w:rPr>
        <w:t>SEPTEMBER 30, 2022 (Continued)</w:t>
      </w: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4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3"/>
          <w:szCs w:val="13"/>
          <w:color w:val="auto"/>
        </w:rPr>
        <w:t>PSLF is considered an investment company under U.S. generally accepted accounting principles ("GAAP") and follows the accounting and reporting guidance applicable to investment companies in the Financial Accounting Standards Board Accounting Standards Codification Topic 946. References to the Accounting Standards Codification, as amended ("ASC"), serves as a source of accounting literature. Subsequent events are evaluated and disclosed as appropriate for events occurring through the date the consolidated financial statements are issued. The preparation of our consolidated financial statements in conformity with GAAP requires the Members to make estimates and assumptions that affect the reported amount of our assets and liabilities at the date of the consolidated financial statements and the reported amounts of income and expenses during the reported periods. In the opinion of the Members,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have eliminated all intercompany balances and transactions.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 Investment Valuations</w:t>
      </w:r>
    </w:p>
    <w:p>
      <w:pPr>
        <w:spacing w:after="0" w:line="16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member designees’ using a documented valuation policy, described herein, and a consistently applied valuation process.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4.</w:t>
      </w:r>
    </w:p>
    <w:p>
      <w:pPr>
        <w:spacing w:after="0" w:line="132" w:lineRule="exact"/>
        <w:rPr>
          <w:sz w:val="20"/>
          <w:szCs w:val="20"/>
          <w:color w:val="auto"/>
        </w:rPr>
      </w:pPr>
    </w:p>
    <w:p>
      <w:pPr>
        <w:ind w:right="40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investments. With respect to investments for which market quotations are not readily available, or for which market quotations are deemed not reflective of the fair value, our member designees’ undertakes a multi-step valuation process each quarter, as described below:</w:t>
      </w:r>
    </w:p>
    <w:p>
      <w:pPr>
        <w:spacing w:after="0" w:line="112" w:lineRule="exact"/>
        <w:rPr>
          <w:sz w:val="20"/>
          <w:szCs w:val="20"/>
          <w:color w:val="auto"/>
        </w:rPr>
      </w:pPr>
    </w:p>
    <w:p>
      <w:pPr>
        <w:ind w:left="540" w:right="16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PennantPark Investment Advisers, LLC, the investment adviser to PNNT, responsible for the portfolio investment;</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PennantPark Investment Advisers, LLC;</w:t>
      </w:r>
    </w:p>
    <w:p>
      <w:pPr>
        <w:spacing w:after="0" w:line="163"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3"/>
          <w:szCs w:val="13"/>
          <w:color w:val="auto"/>
        </w:rPr>
        <w:t>(3)Our member designees also engages independent valuation firms to conduct independent appraisals of our investments for which market quotations are not readily available or are readily available but deemed not reflective of the fair value of the investment. The independent valuation firms review PennantPark Investment Advisers, LLC’s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540" w:right="140"/>
        <w:spacing w:after="0" w:line="268" w:lineRule="auto"/>
        <w:rPr>
          <w:sz w:val="20"/>
          <w:szCs w:val="20"/>
          <w:color w:val="auto"/>
        </w:rPr>
      </w:pPr>
      <w:r>
        <w:rPr>
          <w:rFonts w:ascii="Times New Roman" w:cs="Times New Roman" w:eastAsia="Times New Roman" w:hAnsi="Times New Roman"/>
          <w:sz w:val="13"/>
          <w:szCs w:val="13"/>
          <w:color w:val="auto"/>
        </w:rPr>
        <w:t>(4)Our member designees reviews the preliminary valuations of PennantPark Investment Advisers, LLC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540" w:right="140"/>
        <w:spacing w:after="0" w:line="286" w:lineRule="auto"/>
        <w:rPr>
          <w:sz w:val="20"/>
          <w:szCs w:val="20"/>
          <w:color w:val="auto"/>
        </w:rPr>
      </w:pPr>
      <w:r>
        <w:rPr>
          <w:rFonts w:ascii="Times New Roman" w:cs="Times New Roman" w:eastAsia="Times New Roman" w:hAnsi="Times New Roman"/>
          <w:sz w:val="13"/>
          <w:szCs w:val="13"/>
          <w:color w:val="auto"/>
        </w:rPr>
        <w:t>(5)Our member designees assesses these valuations and determines the fair value of each investment in our portfolio in good faith, based on the input of PennantPark Investment Advisers, LLC and the respective independent valuation firms.</w:t>
      </w:r>
    </w:p>
    <w:p>
      <w:pPr>
        <w:spacing w:after="0" w:line="112"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member designees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PennantPark Investment Advisers, LLC assesses the source and reliability of bids from brokers or dealers. If the member designees’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 Security Transactions, Revenue Recognition, and Realized/Unrealized Gains or Losses</w:t>
      </w:r>
    </w:p>
    <w:p>
      <w:pPr>
        <w:spacing w:after="0" w:line="167"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Security transactions are recorded on a trade -date basis. 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61" w:name="page162"/>
    <w:bookmarkEnd w:id="16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line="231" w:lineRule="auto"/>
        <w:rPr>
          <w:sz w:val="20"/>
          <w:szCs w:val="20"/>
          <w:color w:val="auto"/>
        </w:rPr>
      </w:pPr>
      <w:r>
        <w:rPr>
          <w:rFonts w:ascii="Times New Roman" w:cs="Times New Roman" w:eastAsia="Times New Roman" w:hAnsi="Times New Roman"/>
          <w:sz w:val="16"/>
          <w:szCs w:val="16"/>
          <w:b w:val="1"/>
          <w:bCs w:val="1"/>
          <w:color w:val="auto"/>
        </w:rPr>
        <w:t>SEPTEMBER 30, 2022 (Continued)</w:t>
      </w:r>
    </w:p>
    <w:p>
      <w:pPr>
        <w:ind w:right="100" w:firstLine="420"/>
        <w:spacing w:after="0" w:line="254"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receivable is generally reversed when a loan is placed on non-accrual status. Interest payments received on non-accrual loans may be recognized as income or applied to principal depending upon the Members’ judgment. Non-accrual loans are restored to accrual status when past due principal and interest is paid and, in the Members’ judgment, are likely to remain current. There were no loans on non-accrual status as of September 30, 2022 and 2021.</w:t>
      </w:r>
    </w:p>
    <w:p>
      <w:pPr>
        <w:spacing w:after="0" w:line="157" w:lineRule="exact"/>
        <w:rPr>
          <w:sz w:val="20"/>
          <w:szCs w:val="20"/>
          <w:color w:val="auto"/>
        </w:rPr>
      </w:pPr>
    </w:p>
    <w:p>
      <w:pPr>
        <w:ind w:firstLine="420"/>
        <w:spacing w:after="0" w:line="258" w:lineRule="auto"/>
        <w:rPr>
          <w:sz w:val="20"/>
          <w:szCs w:val="20"/>
          <w:color w:val="auto"/>
        </w:rPr>
      </w:pPr>
      <w:r>
        <w:rPr>
          <w:rFonts w:ascii="Times New Roman" w:cs="Times New Roman" w:eastAsia="Times New Roman" w:hAnsi="Times New Roman"/>
          <w:sz w:val="13"/>
          <w:szCs w:val="13"/>
          <w:color w:val="auto"/>
        </w:rPr>
        <w:t>We measure realized gains and losses by the difference between the net proceeds from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during the reporting period period, including any reversal of previously recorded unrealized appreciation and depreciation</w:t>
      </w:r>
    </w:p>
    <w:p>
      <w:pPr>
        <w:ind w:left="80" w:hanging="74"/>
        <w:spacing w:after="0"/>
        <w:tabs>
          <w:tab w:leader="none" w:pos="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gains or losses are realized.</w:t>
      </w:r>
    </w:p>
    <w:p>
      <w:pPr>
        <w:spacing w:after="0" w:line="144" w:lineRule="exact"/>
        <w:rPr>
          <w:rFonts w:ascii="Times New Roman" w:cs="Times New Roman" w:eastAsia="Times New Roman" w:hAnsi="Times New Roman"/>
          <w:sz w:val="13"/>
          <w:szCs w:val="13"/>
          <w:color w:val="auto"/>
        </w:rPr>
      </w:pPr>
    </w:p>
    <w:p>
      <w:pPr>
        <w:ind w:left="420" w:hanging="186"/>
        <w:spacing w:after="0"/>
        <w:tabs>
          <w:tab w:leader="none" w:pos="420" w:val="left"/>
        </w:tabs>
        <w:numPr>
          <w:ilvl w:val="1"/>
          <w:numId w:val="4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Income Taxes</w:t>
      </w:r>
    </w:p>
    <w:p>
      <w:pPr>
        <w:spacing w:after="0" w:line="167"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PSLF is classified as a partnership for U.S. federal income tax purposes and is not subject to U.S. federal income tax. Accordingly, no provisions for U.S. income taxes have been made. The Members are responsible for reporting their share of the PSLF’s income or loss on their U.S. income tax returns.</w:t>
      </w:r>
    </w:p>
    <w:p>
      <w:pPr>
        <w:spacing w:after="0" w:line="112"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In accordance with FASB ASC Topic 740, the member designees are required to determine whether a tax position of PSLF is more likely than not, based on the technical merits of the position, to be sustained upon examination including resolution of any related appeals or litigation processes. The tax benefit to be recognized is measured as the largest amount of benefit that is greater than 50% likely of being realized upon ultimate settlement. De-recognition of a tax benefit previously recognized could result in PSLF recording a tax liability that would reduce members’ capital.</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years ended September 30, 2022 and 2021, there were no material uncertain income tax positions.</w:t>
      </w:r>
    </w:p>
    <w:p>
      <w:pPr>
        <w:spacing w:after="0" w:line="159" w:lineRule="exact"/>
        <w:rPr>
          <w:sz w:val="20"/>
          <w:szCs w:val="20"/>
          <w:color w:val="auto"/>
        </w:rPr>
      </w:pPr>
    </w:p>
    <w:p>
      <w:pPr>
        <w:ind w:left="420" w:hanging="186"/>
        <w:spacing w:after="0"/>
        <w:tabs>
          <w:tab w:leader="none" w:pos="420" w:val="left"/>
        </w:tabs>
        <w:numPr>
          <w:ilvl w:val="0"/>
          <w:numId w:val="4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6" w:lineRule="exact"/>
        <w:rPr>
          <w:rFonts w:ascii="Times New Roman" w:cs="Times New Roman" w:eastAsia="Times New Roman" w:hAnsi="Times New Roman"/>
          <w:sz w:val="13"/>
          <w:szCs w:val="13"/>
          <w:b w:val="1"/>
          <w:bCs w:val="1"/>
          <w:i w:val="1"/>
          <w:iCs w:val="1"/>
          <w:color w:val="auto"/>
        </w:rPr>
      </w:pPr>
    </w:p>
    <w:p>
      <w:pPr>
        <w:jc w:val="right"/>
        <w:ind w:left="540" w:right="2800" w:hanging="108"/>
        <w:spacing w:after="0" w:line="482" w:lineRule="auto"/>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 xml:space="preserve">Our books and records are maintained in U.S. dollars. Any foreign currency amounts are translated into U.S. dollars on the following basis: </w:t>
      </w:r>
      <w:r>
        <w:rPr>
          <w:rFonts w:ascii="Times New Roman" w:cs="Times New Roman" w:eastAsia="Times New Roman" w:hAnsi="Times New Roman"/>
          <w:sz w:val="15"/>
          <w:szCs w:val="15"/>
          <w:color w:val="auto"/>
        </w:rPr>
        <w:t>1.</w:t>
      </w:r>
      <w:r>
        <w:rPr>
          <w:rFonts w:ascii="Times New Roman" w:cs="Times New Roman" w:eastAsia="Times New Roman" w:hAnsi="Times New Roman"/>
          <w:sz w:val="13"/>
          <w:szCs w:val="13"/>
          <w:color w:val="auto"/>
        </w:rPr>
        <w:t>Fair value of investment securities, other assets and liabilities – at the exchange rates prevailing at the end of the applicable period; and</w:t>
      </w:r>
    </w:p>
    <w:p>
      <w:pPr>
        <w:ind w:left="5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3"/>
          <w:szCs w:val="13"/>
          <w:color w:val="auto"/>
        </w:rPr>
        <w:t>Purchases and sales of investment securities, income and expenses – at the exchange rates prevailing on the respective dates of such transactions.</w:t>
      </w:r>
    </w:p>
    <w:p>
      <w:pPr>
        <w:spacing w:after="0" w:line="153"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held. Such fluctuations are included with the net realized and unrealized gain or loss from investments and liabilities.</w:t>
      </w:r>
    </w:p>
    <w:p>
      <w:pPr>
        <w:spacing w:after="0" w:line="123" w:lineRule="exact"/>
        <w:rPr>
          <w:sz w:val="20"/>
          <w:szCs w:val="20"/>
          <w:color w:val="auto"/>
        </w:rPr>
      </w:pPr>
    </w:p>
    <w:p>
      <w:pPr>
        <w:ind w:right="16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 Consolidation</w:t>
      </w:r>
    </w:p>
    <w:p>
      <w:pPr>
        <w:spacing w:after="0" w:line="167"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As explained by ASC paragraph 946-810-45, PSLF will generally not consolidate its investment in a company other than an investment company subsidiary or a controlled operating company whose business consists of providing services to us.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Recent Accounting Pronouncements</w:t>
      </w:r>
    </w:p>
    <w:p>
      <w:pPr>
        <w:spacing w:after="0" w:line="16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September30, 2022, the effect of which was not material to the consolidated financial statements and the notes thereto.</w:t>
      </w:r>
    </w:p>
    <w:p>
      <w:pPr>
        <w:spacing w:after="0" w:line="13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is currently evaluating the impact of the adoption of ASU 2022-02 on its consolidated financial statement and disclosures.</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line="231" w:lineRule="auto"/>
        <w:rPr>
          <w:sz w:val="20"/>
          <w:szCs w:val="20"/>
          <w:color w:val="auto"/>
        </w:rPr>
      </w:pPr>
      <w:r>
        <w:rPr>
          <w:rFonts w:ascii="Times New Roman" w:cs="Times New Roman" w:eastAsia="Times New Roman" w:hAnsi="Times New Roman"/>
          <w:sz w:val="16"/>
          <w:szCs w:val="16"/>
          <w:b w:val="1"/>
          <w:bCs w:val="1"/>
          <w:color w:val="auto"/>
        </w:rPr>
        <w:t>SEPTEMBER 30, 2022 (Continued)</w:t>
      </w:r>
    </w:p>
    <w:p>
      <w:pPr>
        <w:ind w:right="80" w:firstLine="420"/>
        <w:spacing w:after="0" w:line="253" w:lineRule="auto"/>
        <w:rPr>
          <w:sz w:val="20"/>
          <w:szCs w:val="20"/>
          <w:color w:val="auto"/>
        </w:rPr>
      </w:pPr>
      <w:r>
        <w:rPr>
          <w:rFonts w:ascii="Times New Roman" w:cs="Times New Roman" w:eastAsia="Times New Roman" w:hAnsi="Times New Roman"/>
          <w:sz w:val="13"/>
          <w:szCs w:val="13"/>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AGREEMENTS AND RELATED PARTY TRANSACTIONS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For the years ended September 30, 2022 and 2021, PSLF purchased $431.2 million and $149.4 million, respectively, in investments from PNNT and other affiliated entities.</w:t>
      </w:r>
    </w:p>
    <w:p>
      <w:pPr>
        <w:spacing w:after="0" w:line="163" w:lineRule="exact"/>
        <w:rPr>
          <w:sz w:val="20"/>
          <w:szCs w:val="20"/>
          <w:color w:val="auto"/>
        </w:rPr>
      </w:pPr>
    </w:p>
    <w:p>
      <w:pPr>
        <w:ind w:right="460" w:firstLine="432"/>
        <w:spacing w:after="0" w:line="286" w:lineRule="auto"/>
        <w:rPr>
          <w:sz w:val="20"/>
          <w:szCs w:val="20"/>
          <w:color w:val="auto"/>
        </w:rPr>
      </w:pPr>
      <w:r>
        <w:rPr>
          <w:rFonts w:ascii="Times New Roman" w:cs="Times New Roman" w:eastAsia="Times New Roman" w:hAnsi="Times New Roman"/>
          <w:sz w:val="13"/>
          <w:szCs w:val="13"/>
          <w:color w:val="auto"/>
        </w:rPr>
        <w:t>For the years ended September 30, 2022 and 2021, PSLF incurred $1.2 million and $1.2 million in administrative services paid to the Administrative Agent. The Administrative Agent provides administration services to PSLF at an annual rate of 0.25% based on average gross assets.</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For the years ended September 30, 2022 and 2021, PSLF incurred $11.7 million and $9.5 million in interest expense related to the notes outstanding with the Members.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FAIR VALUE OF FINANCIAL INSTRUMENTS</w:t>
      </w:r>
    </w:p>
    <w:p>
      <w:pPr>
        <w:spacing w:after="0" w:line="165"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Topic 820, Fair Value Measurement, is the price that we would receive upon selling an investment or pay to transfer a liability in an orderly transaction to a market participant in the principal or most advantageous market for the investment or liability. ASC Topic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1320" w:right="320" w:hanging="899"/>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jc w:val="both"/>
        <w:ind w:right="540" w:firstLine="420"/>
        <w:spacing w:after="0" w:line="268"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3"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30"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Our investments are generally structured as debt in the form of first lien secured debt, but may also include second lien secured debt, subordinated debt and equity investments. The transaction price, excluding transaction costs, is typically the best estimate of fair value at inception. Ongoing reviews by the Members and independent valuation firms are based on an assessment of each underlying investment, incorporating valuations that consider the evaluation of financing and sale transactions with third parties, expected cash flows and market- based information including comparable transactions, performance multiples and yields, among other factors. These non-public investments using unobservable inputs are included in Level 3 of the fair value hierarchy.</w:t>
      </w:r>
    </w:p>
    <w:p>
      <w:pPr>
        <w:spacing w:after="0" w:line="127"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 addition to using the above inputs in valuing cash equivalents and investments, we employ the valuation policy approved by our member designees’ that is consistent with ASC 820.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Consistent with our valuation policy, we evaluate the source of inputs, including any markets in which our investments are trading, in determining fair value. See Note 2.</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63" w:name="page164"/>
    <w:bookmarkEnd w:id="163"/>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25"/>
        <w:spacing w:after="0" w:line="231" w:lineRule="auto"/>
        <w:rPr>
          <w:sz w:val="20"/>
          <w:szCs w:val="20"/>
          <w:color w:val="auto"/>
        </w:rPr>
      </w:pPr>
      <w:r>
        <w:rPr>
          <w:rFonts w:ascii="Times New Roman" w:cs="Times New Roman" w:eastAsia="Times New Roman" w:hAnsi="Times New Roman"/>
          <w:sz w:val="16"/>
          <w:szCs w:val="16"/>
          <w:b w:val="1"/>
          <w:bCs w:val="1"/>
          <w:color w:val="auto"/>
        </w:rPr>
        <w:t>SEPTEMBER 30, 2022 (Continued)</w:t>
      </w:r>
    </w:p>
    <w:p>
      <w:pPr>
        <w:ind w:left="6" w:right="160" w:firstLine="420"/>
        <w:spacing w:after="0" w:line="254"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comparable valuation technique are valued using the average of the bids from brokers or dealers. The bids include a disclaimer, may not have corroborating evidence, may be the result of a disorderly transaction and may be the result of consensus pricing. The Members assess the source and reliability of bids from brokers or dealers. If the member designee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3" w:lineRule="exact"/>
        <w:rPr>
          <w:sz w:val="20"/>
          <w:szCs w:val="20"/>
          <w:color w:val="auto"/>
        </w:rPr>
      </w:pPr>
    </w:p>
    <w:p>
      <w:pPr>
        <w:ind w:left="6" w:right="20" w:firstLine="420"/>
        <w:spacing w:after="0" w:line="254" w:lineRule="auto"/>
        <w:rPr>
          <w:sz w:val="20"/>
          <w:szCs w:val="20"/>
          <w:color w:val="auto"/>
        </w:rPr>
      </w:pPr>
      <w:r>
        <w:rPr>
          <w:rFonts w:ascii="Times New Roman" w:cs="Times New Roman" w:eastAsia="Times New Roman" w:hAnsi="Times New Roman"/>
          <w:sz w:val="13"/>
          <w:szCs w:val="13"/>
          <w:color w:val="auto"/>
        </w:rPr>
        <w:t>Some of our investments can also be valued using a market comparable or an enterprise market value technique. With respect to investments for which there is no readily available market value, the factors that the member designees’ may consider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3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w:t>
      </w:r>
    </w:p>
    <w:p>
      <w:pPr>
        <w:spacing w:after="0" w:line="377" w:lineRule="exact"/>
        <w:rPr>
          <w:sz w:val="20"/>
          <w:szCs w:val="20"/>
          <w:color w:val="auto"/>
        </w:rPr>
      </w:pPr>
    </w:p>
    <w:tbl>
      <w:tblPr>
        <w:tblLayout w:type="fixed"/>
        <w:tblInd w:w="6" w:type="dxa"/>
        <w:tblCellMar>
          <w:top w:w="0" w:type="dxa"/>
          <w:left w:w="0" w:type="dxa"/>
          <w:bottom w:w="0" w:type="dxa"/>
          <w:right w:w="0" w:type="dxa"/>
        </w:tblCellMar>
      </w:tblPr>
      <w:tr>
        <w:trPr>
          <w:trHeight w:val="174"/>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93"/>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20" w:type="dxa"/>
            <w:vAlign w:val="bottom"/>
          </w:tcPr>
          <w:p>
            <w:pPr>
              <w:spacing w:after="0"/>
              <w:rPr>
                <w:sz w:val="16"/>
                <w:szCs w:val="16"/>
                <w:color w:val="auto"/>
              </w:rPr>
            </w:pP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 September 30, 2022</w:t>
            </w:r>
          </w:p>
        </w:tc>
        <w:tc>
          <w:tcPr>
            <w:tcW w:w="2280" w:type="dxa"/>
            <w:vAlign w:val="bottom"/>
          </w:tcPr>
          <w:p>
            <w:pPr>
              <w:jc w:val="center"/>
              <w:ind w:left="23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12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95,968</w:t>
            </w:r>
          </w:p>
        </w:tc>
        <w:tc>
          <w:tcPr>
            <w:tcW w:w="2280" w:type="dxa"/>
            <w:vAlign w:val="bottom"/>
          </w:tcPr>
          <w:p>
            <w:pPr>
              <w:jc w:val="center"/>
              <w:ind w:left="234"/>
              <w:spacing w:after="0"/>
              <w:rPr>
                <w:sz w:val="20"/>
                <w:szCs w:val="20"/>
                <w:color w:val="auto"/>
              </w:rPr>
            </w:pPr>
            <w:r>
              <w:rPr>
                <w:rFonts w:ascii="Times New Roman" w:cs="Times New Roman" w:eastAsia="Times New Roman" w:hAnsi="Times New Roman"/>
                <w:sz w:val="13"/>
                <w:szCs w:val="13"/>
                <w:color w:val="auto"/>
              </w:rPr>
              <w:t>Market Comparable</w:t>
            </w:r>
          </w:p>
        </w:tc>
        <w:tc>
          <w:tcPr>
            <w:tcW w:w="212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4"/>
        </w:trPr>
        <w:tc>
          <w:tcPr>
            <w:tcW w:w="232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20" w:type="dxa"/>
            <w:vAlign w:val="bottom"/>
            <w:shd w:val="clear" w:color="auto" w:fill="CCECFC"/>
          </w:tcPr>
          <w:p>
            <w:pPr>
              <w:spacing w:after="0"/>
              <w:rPr>
                <w:sz w:val="16"/>
                <w:szCs w:val="16"/>
                <w:color w:val="auto"/>
              </w:rPr>
            </w:pPr>
          </w:p>
        </w:tc>
        <w:tc>
          <w:tcPr>
            <w:tcW w:w="206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634,140</w:t>
            </w:r>
          </w:p>
        </w:tc>
        <w:tc>
          <w:tcPr>
            <w:tcW w:w="2280" w:type="dxa"/>
            <w:vAlign w:val="bottom"/>
            <w:shd w:val="clear" w:color="auto" w:fill="CCECFC"/>
          </w:tcPr>
          <w:p>
            <w:pPr>
              <w:jc w:val="center"/>
              <w:ind w:left="234"/>
              <w:spacing w:after="0"/>
              <w:rPr>
                <w:sz w:val="20"/>
                <w:szCs w:val="20"/>
                <w:color w:val="auto"/>
              </w:rPr>
            </w:pPr>
            <w:r>
              <w:rPr>
                <w:rFonts w:ascii="Times New Roman" w:cs="Times New Roman" w:eastAsia="Times New Roman" w:hAnsi="Times New Roman"/>
                <w:sz w:val="13"/>
                <w:szCs w:val="13"/>
                <w:color w:val="auto"/>
              </w:rPr>
              <w:t>Market Comparable</w:t>
            </w:r>
          </w:p>
        </w:tc>
        <w:tc>
          <w:tcPr>
            <w:tcW w:w="2120" w:type="dxa"/>
            <w:vAlign w:val="bottom"/>
            <w:shd w:val="clear" w:color="auto" w:fill="CCECFC"/>
          </w:tcPr>
          <w:p>
            <w:pPr>
              <w:jc w:val="center"/>
              <w:ind w:left="74"/>
              <w:spacing w:after="0"/>
              <w:rPr>
                <w:sz w:val="20"/>
                <w:szCs w:val="20"/>
                <w:color w:val="auto"/>
              </w:rPr>
            </w:pPr>
            <w:r>
              <w:rPr>
                <w:rFonts w:ascii="Times New Roman" w:cs="Times New Roman" w:eastAsia="Times New Roman" w:hAnsi="Times New Roman"/>
                <w:sz w:val="13"/>
                <w:szCs w:val="13"/>
                <w:color w:val="auto"/>
              </w:rPr>
              <w:t>Market Yield</w:t>
            </w:r>
          </w:p>
        </w:tc>
        <w:tc>
          <w:tcPr>
            <w:tcW w:w="1660" w:type="dxa"/>
            <w:vAlign w:val="bottom"/>
            <w:shd w:val="clear" w:color="auto" w:fill="CCECFC"/>
          </w:tcPr>
          <w:p>
            <w:pPr>
              <w:jc w:val="right"/>
              <w:ind w:right="174"/>
              <w:spacing w:after="0"/>
              <w:rPr>
                <w:sz w:val="20"/>
                <w:szCs w:val="20"/>
                <w:color w:val="auto"/>
              </w:rPr>
            </w:pPr>
            <w:r>
              <w:rPr>
                <w:rFonts w:ascii="Times New Roman" w:cs="Times New Roman" w:eastAsia="Times New Roman" w:hAnsi="Times New Roman"/>
                <w:sz w:val="13"/>
                <w:szCs w:val="13"/>
                <w:color w:val="auto"/>
              </w:rPr>
              <w:t>6.0% - 11.2% (9.0%)</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2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line="20" w:lineRule="exact"/>
              <w:rPr>
                <w:sz w:val="1"/>
                <w:szCs w:val="1"/>
                <w:color w:val="auto"/>
              </w:rPr>
            </w:pPr>
          </w:p>
        </w:tc>
      </w:tr>
      <w:tr>
        <w:trPr>
          <w:trHeight w:val="479"/>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20" w:type="dxa"/>
            <w:vAlign w:val="bottom"/>
          </w:tcPr>
          <w:p>
            <w:pPr>
              <w:spacing w:after="0"/>
              <w:rPr>
                <w:sz w:val="16"/>
                <w:szCs w:val="16"/>
                <w:color w:val="auto"/>
              </w:rPr>
            </w:pPr>
          </w:p>
        </w:tc>
        <w:tc>
          <w:tcPr>
            <w:tcW w:w="20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 at September 30, 2021</w:t>
            </w:r>
          </w:p>
        </w:tc>
        <w:tc>
          <w:tcPr>
            <w:tcW w:w="2280" w:type="dxa"/>
            <w:vAlign w:val="bottom"/>
          </w:tcPr>
          <w:p>
            <w:pPr>
              <w:jc w:val="center"/>
              <w:ind w:left="23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12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(Weighted Average) </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76"/>
        </w:trPr>
        <w:tc>
          <w:tcPr>
            <w:tcW w:w="2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125,484</w:t>
            </w:r>
          </w:p>
        </w:tc>
        <w:tc>
          <w:tcPr>
            <w:tcW w:w="2280" w:type="dxa"/>
            <w:vAlign w:val="bottom"/>
            <w:shd w:val="clear" w:color="auto" w:fill="CCECFF"/>
          </w:tcPr>
          <w:p>
            <w:pPr>
              <w:jc w:val="center"/>
              <w:ind w:left="234"/>
              <w:spacing w:after="0"/>
              <w:rPr>
                <w:sz w:val="20"/>
                <w:szCs w:val="20"/>
                <w:color w:val="auto"/>
              </w:rPr>
            </w:pPr>
            <w:r>
              <w:rPr>
                <w:rFonts w:ascii="Times New Roman" w:cs="Times New Roman" w:eastAsia="Times New Roman" w:hAnsi="Times New Roman"/>
                <w:sz w:val="13"/>
                <w:szCs w:val="13"/>
                <w:color w:val="auto"/>
              </w:rPr>
              <w:t>Market Comparable</w:t>
            </w:r>
          </w:p>
        </w:tc>
        <w:tc>
          <w:tcPr>
            <w:tcW w:w="2120" w:type="dxa"/>
            <w:vAlign w:val="bottom"/>
            <w:shd w:val="clear" w:color="auto" w:fill="CCECFF"/>
          </w:tcPr>
          <w:p>
            <w:pPr>
              <w:jc w:val="center"/>
              <w:ind w:left="94"/>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6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4"/>
        </w:trPr>
        <w:tc>
          <w:tcPr>
            <w:tcW w:w="2320" w:type="dxa"/>
            <w:vAlign w:val="bottom"/>
            <w:shd w:val="clear" w:color="auto" w:fill="CCECFC"/>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20" w:type="dxa"/>
            <w:vAlign w:val="bottom"/>
            <w:shd w:val="clear" w:color="auto" w:fill="CCECFC"/>
          </w:tcPr>
          <w:p>
            <w:pPr>
              <w:spacing w:after="0"/>
              <w:rPr>
                <w:sz w:val="16"/>
                <w:szCs w:val="16"/>
                <w:color w:val="auto"/>
              </w:rPr>
            </w:pPr>
          </w:p>
        </w:tc>
        <w:tc>
          <w:tcPr>
            <w:tcW w:w="2060" w:type="dxa"/>
            <w:vAlign w:val="bottom"/>
            <w:shd w:val="clear" w:color="auto" w:fill="CCECFC"/>
          </w:tcPr>
          <w:p>
            <w:pPr>
              <w:jc w:val="right"/>
              <w:spacing w:after="0"/>
              <w:rPr>
                <w:sz w:val="20"/>
                <w:szCs w:val="20"/>
                <w:color w:val="auto"/>
              </w:rPr>
            </w:pPr>
            <w:r>
              <w:rPr>
                <w:rFonts w:ascii="Times New Roman" w:cs="Times New Roman" w:eastAsia="Times New Roman" w:hAnsi="Times New Roman"/>
                <w:sz w:val="13"/>
                <w:szCs w:val="13"/>
                <w:color w:val="auto"/>
              </w:rPr>
              <w:t>279,748</w:t>
            </w:r>
          </w:p>
        </w:tc>
        <w:tc>
          <w:tcPr>
            <w:tcW w:w="2280" w:type="dxa"/>
            <w:vAlign w:val="bottom"/>
            <w:shd w:val="clear" w:color="auto" w:fill="CCECFC"/>
          </w:tcPr>
          <w:p>
            <w:pPr>
              <w:jc w:val="center"/>
              <w:ind w:left="234"/>
              <w:spacing w:after="0"/>
              <w:rPr>
                <w:sz w:val="20"/>
                <w:szCs w:val="20"/>
                <w:color w:val="auto"/>
              </w:rPr>
            </w:pPr>
            <w:r>
              <w:rPr>
                <w:rFonts w:ascii="Times New Roman" w:cs="Times New Roman" w:eastAsia="Times New Roman" w:hAnsi="Times New Roman"/>
                <w:sz w:val="13"/>
                <w:szCs w:val="13"/>
                <w:color w:val="auto"/>
              </w:rPr>
              <w:t>Market Comparable</w:t>
            </w:r>
          </w:p>
        </w:tc>
        <w:tc>
          <w:tcPr>
            <w:tcW w:w="2120" w:type="dxa"/>
            <w:vAlign w:val="bottom"/>
            <w:shd w:val="clear" w:color="auto" w:fill="CCECFC"/>
          </w:tcPr>
          <w:p>
            <w:pPr>
              <w:jc w:val="center"/>
              <w:ind w:left="74"/>
              <w:spacing w:after="0"/>
              <w:rPr>
                <w:sz w:val="20"/>
                <w:szCs w:val="20"/>
                <w:color w:val="auto"/>
              </w:rPr>
            </w:pPr>
            <w:r>
              <w:rPr>
                <w:rFonts w:ascii="Times New Roman" w:cs="Times New Roman" w:eastAsia="Times New Roman" w:hAnsi="Times New Roman"/>
                <w:sz w:val="13"/>
                <w:szCs w:val="13"/>
                <w:color w:val="auto"/>
              </w:rPr>
              <w:t>Market Yield</w:t>
            </w:r>
          </w:p>
        </w:tc>
        <w:tc>
          <w:tcPr>
            <w:tcW w:w="1660" w:type="dxa"/>
            <w:vAlign w:val="bottom"/>
            <w:shd w:val="clear" w:color="auto" w:fill="CCECFC"/>
          </w:tcPr>
          <w:p>
            <w:pPr>
              <w:jc w:val="center"/>
              <w:spacing w:after="0"/>
              <w:rPr>
                <w:sz w:val="20"/>
                <w:szCs w:val="20"/>
                <w:color w:val="auto"/>
              </w:rPr>
            </w:pPr>
            <w:r>
              <w:rPr>
                <w:rFonts w:ascii="Times New Roman" w:cs="Times New Roman" w:eastAsia="Times New Roman" w:hAnsi="Times New Roman"/>
                <w:sz w:val="13"/>
                <w:szCs w:val="13"/>
                <w:color w:val="auto"/>
              </w:rPr>
              <w:t>6.1% – 11.1% (7.3%)</w:t>
            </w:r>
          </w:p>
        </w:tc>
        <w:tc>
          <w:tcPr>
            <w:tcW w:w="0" w:type="dxa"/>
            <w:vAlign w:val="bottom"/>
          </w:tcPr>
          <w:p>
            <w:pPr>
              <w:spacing w:after="0"/>
              <w:rPr>
                <w:sz w:val="1"/>
                <w:szCs w:val="1"/>
                <w:color w:val="auto"/>
              </w:rPr>
            </w:pPr>
          </w:p>
        </w:tc>
      </w:tr>
      <w:tr>
        <w:trPr>
          <w:trHeight w:val="180"/>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405,232</w:t>
            </w:r>
          </w:p>
        </w:tc>
        <w:tc>
          <w:tcPr>
            <w:tcW w:w="2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26" w:hanging="126"/>
        <w:spacing w:after="0"/>
        <w:tabs>
          <w:tab w:leader="none" w:pos="126" w:val="left"/>
        </w:tabs>
        <w:numPr>
          <w:ilvl w:val="0"/>
          <w:numId w:val="5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 disclosed in the table above was weighted by its relative fair value.</w:t>
      </w:r>
    </w:p>
    <w:p>
      <w:pPr>
        <w:spacing w:after="0" w:line="14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Our investments, cash and cash equivalents were categorized as follows in the fair value hierarchy for ASC 820 purposes:</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Fair Value at September 30, 2022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40" w:type="dxa"/>
            <w:vAlign w:val="bottom"/>
          </w:tcPr>
          <w:p>
            <w:pPr>
              <w:spacing w:after="0"/>
              <w:rPr>
                <w:sz w:val="16"/>
                <w:szCs w:val="16"/>
                <w:color w:val="auto"/>
              </w:rPr>
            </w:pP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Fair Value</w:t>
            </w:r>
          </w:p>
        </w:tc>
      </w:tr>
      <w:tr>
        <w:trPr>
          <w:trHeight w:val="184"/>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4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shd w:val="clear" w:color="auto" w:fill="CCECFF"/>
          </w:tcPr>
          <w:p>
            <w:pPr>
              <w:spacing w:after="0"/>
              <w:rPr>
                <w:sz w:val="16"/>
                <w:szCs w:val="16"/>
                <w:color w:val="auto"/>
              </w:rPr>
            </w:pPr>
          </w:p>
        </w:tc>
      </w:tr>
      <w:tr>
        <w:trPr>
          <w:trHeight w:val="184"/>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Pr>
          <w:p>
            <w:pPr>
              <w:spacing w:after="0"/>
              <w:rPr>
                <w:sz w:val="16"/>
                <w:szCs w:val="16"/>
                <w:color w:val="auto"/>
              </w:rPr>
            </w:pPr>
          </w:p>
        </w:tc>
      </w:tr>
      <w:tr>
        <w:trPr>
          <w:trHeight w:val="32"/>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0"/>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42,966</w:t>
            </w:r>
          </w:p>
        </w:tc>
        <w:tc>
          <w:tcPr>
            <w:tcW w:w="3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42,966</w:t>
            </w:r>
          </w:p>
        </w:tc>
        <w:tc>
          <w:tcPr>
            <w:tcW w:w="100" w:type="dxa"/>
            <w:vAlign w:val="bottom"/>
            <w:shd w:val="clear" w:color="auto" w:fill="CCECFF"/>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42,966</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773,073</w:t>
            </w:r>
          </w:p>
        </w:tc>
        <w:tc>
          <w:tcPr>
            <w:tcW w:w="100" w:type="dxa"/>
            <w:vAlign w:val="bottom"/>
          </w:tcPr>
          <w:p>
            <w:pPr>
              <w:spacing w:after="0"/>
              <w:rPr>
                <w:sz w:val="15"/>
                <w:szCs w:val="15"/>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8" w:lineRule="exact"/>
        <w:rPr>
          <w:sz w:val="20"/>
          <w:szCs w:val="20"/>
          <w:color w:val="auto"/>
        </w:rPr>
      </w:pPr>
    </w:p>
    <w:tbl>
      <w:tblPr>
        <w:tblLayout w:type="fixed"/>
        <w:tblInd w:w="6"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Fair Value at September 30, 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Fair Value</w:t>
            </w:r>
          </w:p>
        </w:tc>
      </w:tr>
      <w:tr>
        <w:trPr>
          <w:trHeight w:val="184"/>
        </w:trPr>
        <w:tc>
          <w:tcPr>
            <w:tcW w:w="4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20" w:type="dxa"/>
            <w:vAlign w:val="bottom"/>
            <w:shd w:val="clear" w:color="auto" w:fill="CFF0FC"/>
          </w:tcPr>
          <w:p>
            <w:pPr>
              <w:spacing w:after="0"/>
              <w:rPr>
                <w:sz w:val="16"/>
                <w:szCs w:val="16"/>
                <w:color w:val="auto"/>
              </w:rPr>
            </w:pP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405,232</w:t>
            </w:r>
          </w:p>
        </w:tc>
        <w:tc>
          <w:tcPr>
            <w:tcW w:w="100" w:type="dxa"/>
            <w:vAlign w:val="bottom"/>
            <w:shd w:val="clear" w:color="auto" w:fill="CCECFF"/>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405,232</w:t>
            </w:r>
          </w:p>
        </w:tc>
        <w:tc>
          <w:tcPr>
            <w:tcW w:w="100" w:type="dxa"/>
            <w:vAlign w:val="bottom"/>
            <w:shd w:val="clear" w:color="auto" w:fill="CCECFF"/>
          </w:tcPr>
          <w:p>
            <w:pPr>
              <w:spacing w:after="0"/>
              <w:rPr>
                <w:sz w:val="16"/>
                <w:szCs w:val="16"/>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405,232</w:t>
            </w:r>
          </w:p>
        </w:tc>
        <w:tc>
          <w:tcPr>
            <w:tcW w:w="100" w:type="dxa"/>
            <w:vAlign w:val="bottom"/>
          </w:tcPr>
          <w:p>
            <w:pPr>
              <w:spacing w:after="0"/>
              <w:rPr>
                <w:sz w:val="15"/>
                <w:szCs w:val="15"/>
                <w:color w:val="auto"/>
              </w:rPr>
            </w:pPr>
          </w:p>
        </w:tc>
      </w:tr>
      <w:tr>
        <w:trPr>
          <w:trHeight w:val="184"/>
        </w:trPr>
        <w:tc>
          <w:tcPr>
            <w:tcW w:w="4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3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40" w:type="dxa"/>
            <w:vAlign w:val="bottom"/>
            <w:shd w:val="clear" w:color="auto" w:fill="CCECFF"/>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100" w:type="dxa"/>
            <w:vAlign w:val="bottom"/>
            <w:shd w:val="clear" w:color="auto" w:fill="CCECFF"/>
          </w:tcPr>
          <w:p>
            <w:pPr>
              <w:spacing w:after="0"/>
              <w:rPr>
                <w:sz w:val="16"/>
                <w:szCs w:val="16"/>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cash and cash equivalents</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11,013</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405,232</w:t>
            </w:r>
          </w:p>
        </w:tc>
        <w:tc>
          <w:tcPr>
            <w:tcW w:w="100" w:type="dxa"/>
            <w:vAlign w:val="bottom"/>
          </w:tcPr>
          <w:p>
            <w:pPr>
              <w:spacing w:after="0"/>
              <w:rPr>
                <w:sz w:val="15"/>
                <w:szCs w:val="15"/>
                <w:color w:val="auto"/>
              </w:rPr>
            </w:pP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416,246</w:t>
            </w:r>
          </w:p>
        </w:tc>
        <w:tc>
          <w:tcPr>
            <w:tcW w:w="100" w:type="dxa"/>
            <w:vAlign w:val="bottom"/>
          </w:tcPr>
          <w:p>
            <w:pPr>
              <w:spacing w:after="0"/>
              <w:rPr>
                <w:sz w:val="15"/>
                <w:szCs w:val="15"/>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40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3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104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260" w:type="dxa"/>
            <w:vAlign w:val="bottom"/>
            <w:tcBorders>
              <w:bottom w:val="single" w:sz="8" w:color="EEEEEE"/>
            </w:tcBorders>
          </w:tcPr>
          <w:p>
            <w:pPr>
              <w:spacing w:after="0"/>
              <w:rPr>
                <w:sz w:val="8"/>
                <w:szCs w:val="8"/>
                <w:color w:val="auto"/>
              </w:rPr>
            </w:pPr>
          </w:p>
        </w:tc>
        <w:tc>
          <w:tcPr>
            <w:tcW w:w="104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15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555" w:right="68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 2022 (Continued)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60" w:type="dxa"/>
            <w:vAlign w:val="bottom"/>
            <w:gridSpan w:val="4"/>
          </w:tcPr>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fair valued investments measured using significant unobservable inputs (Level 3):</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2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For the Year Ended September 30, 2022</w:t>
            </w:r>
          </w:p>
        </w:tc>
        <w:tc>
          <w:tcPr>
            <w:tcW w:w="0" w:type="dxa"/>
            <w:vAlign w:val="bottom"/>
          </w:tcPr>
          <w:p>
            <w:pPr>
              <w:spacing w:after="0"/>
              <w:rPr>
                <w:sz w:val="1"/>
                <w:szCs w:val="1"/>
                <w:color w:val="auto"/>
              </w:rPr>
            </w:pP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80" w:type="dxa"/>
            <w:vAlign w:val="bottom"/>
          </w:tcPr>
          <w:p>
            <w:pPr>
              <w:spacing w:after="0"/>
              <w:rPr>
                <w:sz w:val="16"/>
                <w:szCs w:val="16"/>
                <w:color w:val="auto"/>
              </w:rPr>
            </w:pPr>
          </w:p>
        </w:tc>
        <w:tc>
          <w:tcPr>
            <w:tcW w:w="2120" w:type="dxa"/>
            <w:vAlign w:val="bottom"/>
            <w:gridSpan w:val="2"/>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300" w:type="dxa"/>
            <w:vAlign w:val="bottom"/>
          </w:tcPr>
          <w:p>
            <w:pPr>
              <w:spacing w:after="0"/>
              <w:rPr>
                <w:sz w:val="16"/>
                <w:szCs w:val="16"/>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8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405,233</w:t>
            </w:r>
          </w:p>
        </w:tc>
        <w:tc>
          <w:tcPr>
            <w:tcW w:w="220" w:type="dxa"/>
            <w:vAlign w:val="bottom"/>
            <w:shd w:val="clear" w:color="auto" w:fill="CCECFF"/>
          </w:tcPr>
          <w:p>
            <w:pPr>
              <w:spacing w:after="0"/>
              <w:rPr>
                <w:sz w:val="16"/>
                <w:szCs w:val="16"/>
                <w:color w:val="auto"/>
              </w:rPr>
            </w:pPr>
          </w:p>
        </w:tc>
        <w:tc>
          <w:tcPr>
            <w:tcW w:w="3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405,233</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w:t>
            </w: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depreciation</w:t>
            </w:r>
          </w:p>
        </w:tc>
        <w:tc>
          <w:tcPr>
            <w:tcW w:w="380" w:type="dxa"/>
            <w:vAlign w:val="bottom"/>
            <w:shd w:val="clear" w:color="auto" w:fill="CCECFF"/>
          </w:tcPr>
          <w:p>
            <w:pPr>
              <w:spacing w:after="0"/>
              <w:rPr>
                <w:sz w:val="16"/>
                <w:szCs w:val="16"/>
                <w:color w:val="auto"/>
              </w:rPr>
            </w:pPr>
          </w:p>
        </w:tc>
        <w:tc>
          <w:tcPr>
            <w:tcW w:w="2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(8,334 )</w:t>
            </w:r>
          </w:p>
        </w:tc>
        <w:tc>
          <w:tcPr>
            <w:tcW w:w="30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(8,334 )</w:t>
            </w: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PIK interest and net discount accretion</w:t>
            </w:r>
          </w:p>
        </w:tc>
        <w:tc>
          <w:tcPr>
            <w:tcW w:w="3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433,314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380" w:type="dxa"/>
            <w:vAlign w:val="bottom"/>
            <w:shd w:val="clear" w:color="auto" w:fill="CCECFF"/>
          </w:tcPr>
          <w:p>
            <w:pPr>
              <w:spacing w:after="0"/>
              <w:rPr>
                <w:sz w:val="16"/>
                <w:szCs w:val="16"/>
                <w:color w:val="auto"/>
              </w:rPr>
            </w:pPr>
          </w:p>
        </w:tc>
        <w:tc>
          <w:tcPr>
            <w:tcW w:w="21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(100,481 )</w:t>
            </w:r>
          </w:p>
        </w:tc>
        <w:tc>
          <w:tcPr>
            <w:tcW w:w="30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(100,481 )</w:t>
            </w: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into and/or out of Level 3</w:t>
            </w:r>
          </w:p>
        </w:tc>
        <w:tc>
          <w:tcPr>
            <w:tcW w:w="380" w:type="dxa"/>
            <w:vAlign w:val="bottom"/>
          </w:tcPr>
          <w:p>
            <w:pPr>
              <w:spacing w:after="0"/>
              <w:rPr>
                <w:sz w:val="15"/>
                <w:szCs w:val="15"/>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4"/>
        </w:trPr>
        <w:tc>
          <w:tcPr>
            <w:tcW w:w="66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80" w:type="dxa"/>
            <w:vAlign w:val="bottom"/>
            <w:tcBorders>
              <w:bottom w:val="single" w:sz="8" w:color="auto"/>
            </w:tcBorders>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2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730,108</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66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 (depreciation) appreciation on</w:t>
            </w:r>
          </w:p>
        </w:tc>
        <w:tc>
          <w:tcPr>
            <w:tcW w:w="380" w:type="dxa"/>
            <w:vAlign w:val="bottom"/>
            <w:vMerge w:val="restart"/>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2120" w:type="dxa"/>
            <w:vAlign w:val="bottom"/>
            <w:gridSpan w:val="2"/>
            <w:vMerge w:val="restart"/>
          </w:tcPr>
          <w:p>
            <w:pPr>
              <w:jc w:val="right"/>
              <w:ind w:right="160"/>
              <w:spacing w:after="0" w:line="276" w:lineRule="exact"/>
              <w:rPr>
                <w:sz w:val="20"/>
                <w:szCs w:val="20"/>
                <w:color w:val="auto"/>
              </w:rPr>
            </w:pPr>
            <w:r>
              <w:rPr>
                <w:rFonts w:ascii="Times New Roman" w:cs="Times New Roman" w:eastAsia="Times New Roman" w:hAnsi="Times New Roman"/>
                <w:sz w:val="13"/>
                <w:szCs w:val="13"/>
                <w:color w:val="auto"/>
              </w:rPr>
              <w:t xml:space="preserve">(8,186 </w:t>
            </w:r>
            <w:r>
              <w:rPr>
                <w:rFonts w:ascii="Times New Roman" w:cs="Times New Roman" w:eastAsia="Times New Roman" w:hAnsi="Times New Roman"/>
                <w:sz w:val="26"/>
                <w:szCs w:val="26"/>
                <w:color w:val="auto"/>
                <w:vertAlign w:val="subscript"/>
              </w:rPr>
              <w:t>)</w:t>
            </w:r>
          </w:p>
        </w:tc>
        <w:tc>
          <w:tcPr>
            <w:tcW w:w="30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vMerge w:val="restart"/>
          </w:tcPr>
          <w:p>
            <w:pPr>
              <w:jc w:val="right"/>
              <w:ind w:right="40"/>
              <w:spacing w:after="0" w:line="276" w:lineRule="exact"/>
              <w:rPr>
                <w:sz w:val="20"/>
                <w:szCs w:val="20"/>
                <w:color w:val="auto"/>
              </w:rPr>
            </w:pPr>
            <w:r>
              <w:rPr>
                <w:rFonts w:ascii="Times New Roman" w:cs="Times New Roman" w:eastAsia="Times New Roman" w:hAnsi="Times New Roman"/>
                <w:sz w:val="13"/>
                <w:szCs w:val="13"/>
                <w:color w:val="auto"/>
              </w:rPr>
              <w:t xml:space="preserve">(8,186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44"/>
        </w:trPr>
        <w:tc>
          <w:tcPr>
            <w:tcW w:w="66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investments in our Consolidated Statements of Operations attributable to our Level 3 assets still held at the reporting date</w:t>
            </w:r>
          </w:p>
        </w:tc>
        <w:tc>
          <w:tcPr>
            <w:tcW w:w="380" w:type="dxa"/>
            <w:vAlign w:val="bottom"/>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2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For the Year Ended September 30, 2021</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60" w:type="dxa"/>
            <w:vAlign w:val="bottom"/>
          </w:tcPr>
          <w:p>
            <w:pPr>
              <w:spacing w:after="0"/>
              <w:rPr>
                <w:sz w:val="16"/>
                <w:szCs w:val="16"/>
                <w:color w:val="auto"/>
              </w:rPr>
            </w:pPr>
          </w:p>
        </w:tc>
        <w:tc>
          <w:tcPr>
            <w:tcW w:w="214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260" w:type="dxa"/>
            <w:vAlign w:val="bottom"/>
          </w:tcPr>
          <w:p>
            <w:pPr>
              <w:spacing w:after="0"/>
              <w:rPr>
                <w:sz w:val="16"/>
                <w:szCs w:val="16"/>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60" w:type="dxa"/>
            <w:vAlign w:val="bottom"/>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353,366</w:t>
            </w: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353,366</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gains</w:t>
            </w:r>
          </w:p>
        </w:tc>
        <w:tc>
          <w:tcPr>
            <w:tcW w:w="36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unrealized depreciation</w:t>
            </w:r>
          </w:p>
        </w:tc>
        <w:tc>
          <w:tcPr>
            <w:tcW w:w="360" w:type="dxa"/>
            <w:vAlign w:val="bottom"/>
            <w:shd w:val="clear" w:color="auto" w:fill="CCECFF"/>
          </w:tcPr>
          <w:p>
            <w:pPr>
              <w:spacing w:after="0"/>
              <w:rPr>
                <w:sz w:val="16"/>
                <w:szCs w:val="16"/>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4,880</w:t>
            </w: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4,880</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net discount accretion and non-cash exchanges</w:t>
            </w:r>
          </w:p>
        </w:tc>
        <w:tc>
          <w:tcPr>
            <w:tcW w:w="36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151,330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360" w:type="dxa"/>
            <w:vAlign w:val="bottom"/>
            <w:shd w:val="clear" w:color="auto" w:fill="CCECFF"/>
          </w:tcPr>
          <w:p>
            <w:pPr>
              <w:spacing w:after="0"/>
              <w:rPr>
                <w:sz w:val="16"/>
                <w:szCs w:val="16"/>
                <w:color w:val="auto"/>
              </w:rPr>
            </w:pPr>
          </w:p>
        </w:tc>
        <w:tc>
          <w:tcPr>
            <w:tcW w:w="2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(104,888 )</w:t>
            </w:r>
          </w:p>
        </w:tc>
        <w:tc>
          <w:tcPr>
            <w:tcW w:w="26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(104,888 )</w:t>
            </w: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into and/or out of Level 3</w:t>
            </w:r>
          </w:p>
        </w:tc>
        <w:tc>
          <w:tcPr>
            <w:tcW w:w="360" w:type="dxa"/>
            <w:vAlign w:val="bottom"/>
          </w:tcPr>
          <w:p>
            <w:pPr>
              <w:spacing w:after="0"/>
              <w:rPr>
                <w:sz w:val="15"/>
                <w:szCs w:val="15"/>
                <w:color w:val="auto"/>
              </w:rPr>
            </w:pPr>
          </w:p>
        </w:tc>
        <w:tc>
          <w:tcPr>
            <w:tcW w:w="2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60" w:type="dxa"/>
            <w:vAlign w:val="bottom"/>
            <w:tcBorders>
              <w:bottom w:val="single" w:sz="8" w:color="auto"/>
            </w:tcBorders>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405,233</w:t>
            </w:r>
          </w:p>
        </w:tc>
        <w:tc>
          <w:tcPr>
            <w:tcW w:w="22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405,233</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678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 (depreciation) appreciation on</w:t>
            </w:r>
          </w:p>
        </w:tc>
        <w:tc>
          <w:tcPr>
            <w:tcW w:w="360" w:type="dxa"/>
            <w:vAlign w:val="bottom"/>
            <w:vMerge w:val="restart"/>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5,234</w:t>
            </w:r>
          </w:p>
        </w:tc>
        <w:tc>
          <w:tcPr>
            <w:tcW w:w="220" w:type="dxa"/>
            <w:vAlign w:val="bottom"/>
          </w:tcPr>
          <w:p>
            <w:pPr>
              <w:spacing w:after="0"/>
              <w:rPr>
                <w:sz w:val="11"/>
                <w:szCs w:val="11"/>
                <w:color w:val="auto"/>
              </w:rPr>
            </w:pPr>
          </w:p>
        </w:tc>
        <w:tc>
          <w:tcPr>
            <w:tcW w:w="26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investments in our Consolidated Statements of Operations attributable to our Level 3 assets still held at the reporting date</w:t>
            </w:r>
          </w:p>
        </w:tc>
        <w:tc>
          <w:tcPr>
            <w:tcW w:w="36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CASH AND CASH EQUIVALENTS</w:t>
      </w:r>
    </w:p>
    <w:p>
      <w:pPr>
        <w:spacing w:after="0" w:line="165"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U.S. Treasury Bills with maturities greater than 60 days from the time of purchase are valued consistent with our valuation policy. As of September 30, 2022 and 2021, cash and cash equivalents consisted of money market funds in the amounts of $42.9 million and $11.0 million at fair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MEMBERS’ EQUITY</w:t>
      </w:r>
    </w:p>
    <w:p>
      <w:pPr>
        <w:spacing w:after="0" w:line="165"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PNNT and Pantheon provide capital to PSLF in the form of equity interests. As described in Note 1, PNNT and Pantheon's initial equity interests ownership percentages were 72.0% and 28%, respectively. On October 31, 2020, PNNT and Pantheon contributed an additional $10.8 million , non pro-rata, to PSLF. PNNT and Pantheon’s additional equity investments came in at PSLF’s then current Members equity. As a result, PNNT and Pantheon owned 60.5% and 39.5%, respectively, of the equity interests of PSLF. As of September 30, 2022 and 2021 the equity interest ownership percentages remained 60.5% and 39.5%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NOTES PAYABLE TO MEMBERS</w:t>
      </w:r>
    </w:p>
    <w:p>
      <w:pPr>
        <w:spacing w:after="0" w:line="165"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PNNT and Pantheon provide capital to PSLF in the form of subordinated notes. As described above in Note 1, PNNT and Pantheon initially owned 72.0% and 28.0% respectively, of the subordinated notes. On October 31, 2020, PNNT and Pantheon contributed an additional $ 18.5 million, non pro -rata, to PSLF in the form of additional subordinated notes. As a result, PNNT and Pantheon owned 60.5% and 39.5%, respectively, of the subordinated notes of PSLF. As of September 30, 2022 and 2021, the subordinated notes ownership percentages remained 60.5% and 39.5% respectively.</w:t>
      </w:r>
    </w:p>
    <w:p>
      <w:pPr>
        <w:spacing w:after="0" w:line="127"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As of September 30, 2022 and 2021, the subordinated notes outstanding were $145.5 million and $106.0 million and is shown as Notes payable to members on the Consolidated Statement of Assets and Liabilities and Members Equity. The notes bear interest at 3-month LIBOR plus 8% and matures on July 31, 2027.</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9"/>
        <w:spacing w:after="0" w:line="231" w:lineRule="auto"/>
        <w:rPr>
          <w:sz w:val="20"/>
          <w:szCs w:val="20"/>
          <w:color w:val="auto"/>
        </w:rPr>
      </w:pPr>
      <w:r>
        <w:rPr>
          <w:rFonts w:ascii="Times New Roman" w:cs="Times New Roman" w:eastAsia="Times New Roman" w:hAnsi="Times New Roman"/>
          <w:sz w:val="16"/>
          <w:szCs w:val="16"/>
          <w:b w:val="1"/>
          <w:bCs w:val="1"/>
          <w:color w:val="auto"/>
        </w:rPr>
        <w:t>SEPTEMBER 30, 2022 (Continued)</w:t>
      </w:r>
    </w:p>
    <w:p>
      <w:pPr>
        <w:ind w:right="8580" w:firstLine="6"/>
        <w:spacing w:after="0" w:line="489" w:lineRule="auto"/>
        <w:tabs>
          <w:tab w:leader="none" w:pos="132"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RISKS AND UNCERTAINTIES Investments</w:t>
      </w:r>
    </w:p>
    <w:p>
      <w:pPr>
        <w:spacing w:after="0" w:line="1" w:lineRule="exact"/>
        <w:rPr>
          <w:sz w:val="20"/>
          <w:szCs w:val="20"/>
          <w:color w:val="auto"/>
        </w:rPr>
      </w:pPr>
    </w:p>
    <w:p>
      <w:pPr>
        <w:ind w:right="60" w:firstLine="420"/>
        <w:spacing w:after="0" w:line="260" w:lineRule="auto"/>
        <w:rPr>
          <w:sz w:val="20"/>
          <w:szCs w:val="20"/>
          <w:color w:val="auto"/>
        </w:rPr>
      </w:pPr>
      <w:r>
        <w:rPr>
          <w:rFonts w:ascii="Times New Roman" w:cs="Times New Roman" w:eastAsia="Times New Roman" w:hAnsi="Times New Roman"/>
          <w:sz w:val="13"/>
          <w:szCs w:val="13"/>
          <w:color w:val="auto"/>
        </w:rPr>
        <w:t>PSLF seeks investment opportunities that offer the possibility of attaining income generation, capital preservation and capital appreciation including investments in private companies. Certain events particular to each industry in which PSLF’s investments conduct their operations, as well as general economic and political conditions, may have a significant negative impact on the investee’s operations and profitability. Such events are beyond PSLF’s controls, and the likelihood that they may occur cannot be predicted. Furthermore, investments of PSLF are made in private companies and there are generally no public markets for these securities at the current time. The ability of PSLF to liquidate these investments and realize value is subject to significant limitations and uncertainties.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Leverage Risk</w:t>
      </w:r>
    </w:p>
    <w:p>
      <w:pPr>
        <w:spacing w:after="0" w:line="165"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PSLF may borrow funds in order to increase the amount of capital available for investment. The use of leverage can improve the return on invested capital, however, such use may also magnify the potential for loss on invested capital. If the value of PSLF’s assets decreases, leveraging would cause members’ equity to decline more sharply than it otherwise would have had PSLF not used leverage. Similarly, any decrease in PSLF’s income would cause net income to decline more sharply than it would have had PSLF not borrowed. Borrowings will usually be from credit facilities and will typically be secured by PSLF’s securities and other assets. Under certain circumstances, such credit facilities may demand an increase in the collateral that secures PSLF’s obligations and if PSLF was unable to provide additional collateral, the credit facilities could liquidate assets held in the account to satisfy PSLF’s obligations. Liquidation in this manner could have adverse consequences. Additionally, the amount of PSLF’s borrowings and the interest rates on those borrowings, which will fluctuate, could have a significant effect on PSLF’s profitability.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Credit Risk</w:t>
      </w:r>
    </w:p>
    <w:p>
      <w:pPr>
        <w:spacing w:after="0" w:line="165" w:lineRule="exact"/>
        <w:rPr>
          <w:sz w:val="20"/>
          <w:szCs w:val="20"/>
          <w:color w:val="auto"/>
        </w:rPr>
      </w:pPr>
    </w:p>
    <w:p>
      <w:pPr>
        <w:jc w:val="both"/>
        <w:ind w:right="200" w:firstLine="420"/>
        <w:spacing w:after="0" w:line="268" w:lineRule="auto"/>
        <w:rPr>
          <w:sz w:val="20"/>
          <w:szCs w:val="20"/>
          <w:color w:val="auto"/>
        </w:rPr>
      </w:pPr>
      <w:r>
        <w:rPr>
          <w:rFonts w:ascii="Times New Roman" w:cs="Times New Roman" w:eastAsia="Times New Roman" w:hAnsi="Times New Roman"/>
          <w:sz w:val="13"/>
          <w:szCs w:val="13"/>
          <w:color w:val="auto"/>
        </w:rPr>
        <w:t>PSLF primarily invests in first lien secured debt to middle- market companies. A majority of the investments held by PSLF are subject to restrictions on their resale or are otherwise illiquid. PSLF assumes the credit risk of the borrower. In the event that the borrower becomes insolvent or enters bankruptcy, PSLF may incur certain costs and delays in realizing payment, or may suffer a loss of principal and/or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p>
      <w:pPr>
        <w:spacing w:after="0" w:line="165" w:lineRule="exact"/>
        <w:rPr>
          <w:sz w:val="20"/>
          <w:szCs w:val="20"/>
          <w:color w:val="auto"/>
        </w:rPr>
      </w:pPr>
    </w:p>
    <w:p>
      <w:pPr>
        <w:ind w:right="180" w:firstLine="420"/>
        <w:spacing w:after="0" w:line="286" w:lineRule="auto"/>
        <w:rPr>
          <w:sz w:val="20"/>
          <w:szCs w:val="20"/>
          <w:color w:val="auto"/>
        </w:rPr>
      </w:pPr>
      <w:r>
        <w:rPr>
          <w:rFonts w:ascii="Times New Roman" w:cs="Times New Roman" w:eastAsia="Times New Roman" w:hAnsi="Times New Roman"/>
          <w:sz w:val="13"/>
          <w:szCs w:val="13"/>
          <w:color w:val="auto"/>
        </w:rPr>
        <w:t>The Members are responsible for all investment making and business decisions, therefore, there is no requirement to show financial highlights per ASC Topic 946, which have been omitted accordingly.</w:t>
      </w:r>
    </w:p>
    <w:p>
      <w:pPr>
        <w:spacing w:after="0" w:line="110" w:lineRule="exact"/>
        <w:rPr>
          <w:sz w:val="20"/>
          <w:szCs w:val="20"/>
          <w:color w:val="auto"/>
        </w:rPr>
      </w:pPr>
    </w:p>
    <w:p>
      <w:pPr>
        <w:ind w:right="9620" w:firstLine="6"/>
        <w:spacing w:after="0" w:line="502" w:lineRule="auto"/>
        <w:tabs>
          <w:tab w:leader="none" w:pos="204" w:val="left"/>
        </w:tabs>
        <w:numPr>
          <w:ilvl w:val="0"/>
          <w:numId w:val="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LEVERAGE Credit Facility</w:t>
      </w:r>
    </w:p>
    <w:p>
      <w:pPr>
        <w:spacing w:after="0" w:line="1" w:lineRule="exact"/>
        <w:rPr>
          <w:sz w:val="20"/>
          <w:szCs w:val="20"/>
          <w:color w:val="auto"/>
        </w:rPr>
      </w:pPr>
    </w:p>
    <w:p>
      <w:pPr>
        <w:jc w:val="both"/>
        <w:ind w:right="120" w:firstLine="264"/>
        <w:spacing w:after="0" w:line="268" w:lineRule="auto"/>
        <w:rPr>
          <w:sz w:val="20"/>
          <w:szCs w:val="20"/>
          <w:color w:val="auto"/>
        </w:rPr>
      </w:pPr>
      <w:r>
        <w:rPr>
          <w:rFonts w:ascii="Times New Roman" w:cs="Times New Roman" w:eastAsia="Times New Roman" w:hAnsi="Times New Roman"/>
          <w:sz w:val="13"/>
          <w:szCs w:val="13"/>
          <w:color w:val="auto"/>
        </w:rPr>
        <w:t>As described in Note 1 above, PNNT contributed Funding I to the Company. As of the contribution date Funding I had a $250 million senior secured revolving credit facility with BNP Paribas (the “BNP Credit Facility”). The BNP Credit Facility is a five-year revolving facility with a stated maturity of February 22, 2024 and bears interest at LIBOR plus 2.60%. The BNP Credit Facility is secured by all of the assets of Funding I.</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In November 2020, Funding I amended the BNP Credit Facility and increased the size to $275 million.</w:t>
      </w:r>
    </w:p>
    <w:p>
      <w:pPr>
        <w:spacing w:after="0" w:line="163" w:lineRule="exact"/>
        <w:rPr>
          <w:sz w:val="20"/>
          <w:szCs w:val="20"/>
          <w:color w:val="auto"/>
        </w:rPr>
      </w:pPr>
    </w:p>
    <w:p>
      <w:pPr>
        <w:ind w:firstLine="231"/>
        <w:spacing w:after="0" w:line="286" w:lineRule="auto"/>
        <w:rPr>
          <w:sz w:val="20"/>
          <w:szCs w:val="20"/>
          <w:color w:val="auto"/>
        </w:rPr>
      </w:pPr>
      <w:r>
        <w:rPr>
          <w:rFonts w:ascii="Times New Roman" w:cs="Times New Roman" w:eastAsia="Times New Roman" w:hAnsi="Times New Roman"/>
          <w:sz w:val="13"/>
          <w:szCs w:val="13"/>
          <w:color w:val="auto"/>
        </w:rPr>
        <w:t>In March 2022, Funding I amended the BNP Credit Facility (the “Amended BNP Credit Facility”) and reduced the total commitment to $225 million, extended the revolving period to March 2025 and extended maturity to March 2027. The Amended BNP Credit Facility bears interest at SOFR plus 2.55%.</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September 2022, Funding I amended the Amended BNP Credit Facility and increased the total commitment to $325 million and amended the interest rate to SOFR plus 2.60%.</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Asset - Backed Debt</w:t>
      </w:r>
    </w:p>
    <w:p>
      <w:pPr>
        <w:spacing w:after="0" w:line="23" w:lineRule="exact"/>
        <w:rPr>
          <w:sz w:val="20"/>
          <w:szCs w:val="20"/>
          <w:color w:val="auto"/>
        </w:rPr>
      </w:pPr>
    </w:p>
    <w:p>
      <w:pPr>
        <w:ind w:right="100" w:firstLine="420"/>
        <w:spacing w:after="0" w:line="250" w:lineRule="auto"/>
        <w:rPr>
          <w:sz w:val="20"/>
          <w:szCs w:val="20"/>
          <w:color w:val="auto"/>
        </w:rPr>
      </w:pPr>
      <w:r>
        <w:rPr>
          <w:rFonts w:ascii="Times New Roman" w:cs="Times New Roman" w:eastAsia="Times New Roman" w:hAnsi="Times New Roman"/>
          <w:sz w:val="13"/>
          <w:szCs w:val="13"/>
          <w:color w:val="auto"/>
        </w:rPr>
        <w:t>In March 2, 2022, CLO IV completed a $300 million debt securitization in the form of a collateralized loan obligation (the "Debt Securitization" or the "2034 Asset-Backed Debt"). The 2034 Asset-Backed Debt is secured by a diversified portfolio consisting primarily of middle market loans and participation interests in middle market loans. The Debt Securitization was executed through</w:t>
      </w:r>
    </w:p>
    <w:p>
      <w:pPr>
        <w:spacing w:after="0" w:line="1" w:lineRule="exact"/>
        <w:rPr>
          <w:sz w:val="20"/>
          <w:szCs w:val="20"/>
          <w:color w:val="auto"/>
        </w:rPr>
      </w:pPr>
    </w:p>
    <w:p>
      <w:pPr>
        <w:ind w:right="20" w:firstLine="6"/>
        <w:spacing w:after="0" w:line="253" w:lineRule="auto"/>
        <w:tabs>
          <w:tab w:leader="none" w:pos="216"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private placement of: (i) $30.0 million Class A-1a Loans maturing 2034, which bear interest at the three-month SOFR plus 1.7%, (ii) $50.0 million Class A-1b Senior Secured Fixed Rate Notes due 2034, which bear interest at 3.45%, (iii) $12.0 million Class A-2 Senior Secured Floating Rate Notes due 2034, which bear interest at the three-month SOFR plus 1.9%, (iv) $21.0 million Class B Senior Secured Floating Rate Notes due 2034, which bear interest at the three-month SOFR plus 2.1%, (v) $24.0 million Class C Secured Deferrable Floating Rate Notes due 2034, which bear interest at the three-month SOFR plus 2.9%, (vi) $18.0 million Class D Secured Deferrable Floating Rate Notes due 2034, which bear interest at the three-month SOFR plus 4.0%, and (vii) $91.0 million Class A-1a Senior Secured Floating Rate notes due 2034 which bears interest at the three-month SOFR plus 1.7%, under a credit agreement by and among CLO IV, as issuer, various financial institutions, as lenders, and Wilmington Trust, National Association, as collateral trustee and as loan agent. As of September 30, 2022 the balance of the 2034 Asset-Backed Debt was $246.0 million.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66" w:name="page167"/>
    <w:bookmarkEnd w:id="16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PENNANTPARK SENIOR LOAN FUND, LLC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line="231" w:lineRule="auto"/>
        <w:rPr>
          <w:sz w:val="20"/>
          <w:szCs w:val="20"/>
          <w:color w:val="auto"/>
        </w:rPr>
      </w:pPr>
      <w:r>
        <w:rPr>
          <w:rFonts w:ascii="Times New Roman" w:cs="Times New Roman" w:eastAsia="Times New Roman" w:hAnsi="Times New Roman"/>
          <w:sz w:val="16"/>
          <w:szCs w:val="16"/>
          <w:b w:val="1"/>
          <w:bCs w:val="1"/>
          <w:color w:val="auto"/>
        </w:rPr>
        <w:t>SEPTEMBER 30, 2022 (Continued)</w:t>
      </w:r>
    </w:p>
    <w:p>
      <w:pPr>
        <w:jc w:val="both"/>
        <w:ind w:right="80" w:firstLine="420"/>
        <w:spacing w:after="0" w:line="257"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CLO IV of the initial closing date loan portfolio, Funding I received 100% of the Subordinated Notes of CLO IV, and a portion of the net cash proceeds received from the sale of the 2034 Asset-Backed Debt. The Subordinated Notes do not bear interest and had a stated value of approximately $58.0 million at the closing of the Debt Securitization.</w:t>
      </w:r>
    </w:p>
    <w:p>
      <w:pPr>
        <w:spacing w:after="0" w:line="130"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3"/>
          <w:szCs w:val="13"/>
          <w:color w:val="auto"/>
        </w:rPr>
        <w:t>The 2034 Asset-Backed Debt is included in the Consolidated Statement of Assets, Liabilities and Members' Equity as debt of the Company and the Subordinated Notes were eliminated in consolidation. As of September 30, 2022, the Company had $246.0 million 2034 Asset-Backed Debt outstanding with a weighted average interest rate of 5.0%. As of September 30, 2022, the unamortized fees on the 2034 Asset-Backed Debt were $2.1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 AND CONTINGENCIES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2022, The Company has $0.1 million of unfunded commitments to fund investments.</w:t>
      </w:r>
    </w:p>
    <w:p>
      <w:pPr>
        <w:spacing w:after="0" w:line="163"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The Company has provided general indemnifications to the Members, any affiliate of the Members, and any person acting on behalf of he Members or that affiliate when they act , in good faith, in the best interest of the Company. The Company is unable to develop an estimate of the maximum potential amount of future payments that could potentially result from any hypothetical future claim but expects the risk of having to make any payments under these general business indemnifications to be remote.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SUBSEQUENT EVENTS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Subsequent events are evaluated and disclosed as appropriate for events occurring through the date of the consolidated financial statements were available to be issued on November 17, 2022.</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On October 20, 2022 PSLF issued and the Members funded a capital call in the amount of $20.0 million</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67" w:name="page168"/>
    <w:bookmarkEnd w:id="16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lvl w:ilvl="1">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3"/>
    </w:lvl>
    <w:lvl w:ilvl="1">
      <w:lvlJc w:val="left"/>
      <w:lvlText w:val="(%2)"/>
      <w:numFmt w:val="lowerLetter"/>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lvl w:ilvl="1">
      <w:lvlJc w:val="left"/>
      <w:lvlText w:val="%2"/>
      <w:numFmt w:val="decimal"/>
      <w:start w:val="104"/>
    </w:lvl>
  </w:abstractNum>
  <w:abstractNum w:abstractNumId="11">
    <w:nsid w:val="22221A70"/>
    <w:multiLevelType w:val="hybridMultilevel"/>
    <w:lvl w:ilvl="0">
      <w:lvlJc w:val="left"/>
      <w:lvlText w:val="%1)"/>
      <w:numFmt w:val="upperLetter"/>
      <w:start w:val="1"/>
    </w:lvl>
  </w:abstractNum>
  <w:abstractNum w:abstractNumId="12">
    <w:nsid w:val="4516DDE9"/>
    <w:multiLevelType w:val="hybridMultilevel"/>
    <w:lvl w:ilvl="0">
      <w:lvlJc w:val="left"/>
      <w:lvlText w:val="%1)"/>
      <w:numFmt w:val="upperLetter"/>
      <w:start w:val="2"/>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Letter"/>
      <w:start w:val="5"/>
    </w:lvl>
  </w:abstractNum>
  <w:abstractNum w:abstractNumId="15">
    <w:nsid w:val="419AC241"/>
    <w:multiLevelType w:val="hybridMultilevel"/>
    <w:lvl w:ilvl="0">
      <w:lvlJc w:val="left"/>
      <w:lvlText w:val="(%1)"/>
      <w:numFmt w:val="upperLetter"/>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bullet"/>
      <w:start w:val="1"/>
    </w:lvl>
  </w:abstractNum>
  <w:abstractNum w:abstractNumId="18">
    <w:nsid w:val="5072367"/>
    <w:multiLevelType w:val="hybridMultilevel"/>
    <w:lvl w:ilvl="0">
      <w:lvlJc w:val="left"/>
      <w:lvlText w:val="2"/>
      <w:numFmt w:val="bullet"/>
      <w:start w:val="1"/>
    </w:lvl>
  </w:abstractNum>
  <w:abstractNum w:abstractNumId="19">
    <w:nsid w:val="3804823E"/>
    <w:multiLevelType w:val="hybridMultilevel"/>
    <w:lvl w:ilvl="0">
      <w:lvlJc w:val="left"/>
      <w:lvlText w:val="%1."/>
      <w:numFmt w:val="decimal"/>
      <w:start w:val="1"/>
    </w:lvl>
    <w:lvl w:ilvl="1">
      <w:lvlJc w:val="left"/>
      <w:lvlText w:val="%2)"/>
      <w:numFmt w:val="lowerLetter"/>
      <w:start w:val="1"/>
    </w:lvl>
  </w:abstractNum>
  <w:abstractNum w:abstractNumId="20">
    <w:nsid w:val="77465F01"/>
    <w:multiLevelType w:val="hybridMultilevel"/>
    <w:lvl w:ilvl="0">
      <w:lvlJc w:val="left"/>
      <w:lvlText w:val="%1."/>
      <w:numFmt w:val="decimal"/>
      <w:start w:val="1"/>
    </w:lvl>
    <w:lvl w:ilvl="1">
      <w:lvlJc w:val="left"/>
      <w:lvlText w:val="%2)"/>
      <w:numFmt w:val="lowerLetter"/>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2"/>
    </w:lvl>
  </w:abstractNum>
  <w:abstractNum w:abstractNumId="25">
    <w:nsid w:val="51EAD36B"/>
    <w:multiLevelType w:val="hybridMultilevel"/>
    <w:lvl w:ilvl="0">
      <w:lvlJc w:val="left"/>
      <w:lvlText w:val="%1."/>
      <w:numFmt w:val="decimal"/>
      <w:start w:val="3"/>
    </w:lvl>
  </w:abstractNum>
  <w:abstractNum w:abstractNumId="26">
    <w:nsid w:val="2D517796"/>
    <w:multiLevelType w:val="hybridMultilevel"/>
    <w:lvl w:ilvl="0">
      <w:lvlJc w:val="left"/>
      <w:lvlText w:val="%1."/>
      <w:numFmt w:val="decimal"/>
      <w:start w:val="4"/>
    </w:lvl>
  </w:abstractNum>
  <w:abstractNum w:abstractNumId="27">
    <w:nsid w:val="580BD78F"/>
    <w:multiLevelType w:val="hybridMultilevel"/>
    <w:lvl w:ilvl="0">
      <w:lvlJc w:val="left"/>
      <w:lvlText w:val="%1."/>
      <w:numFmt w:val="decimal"/>
      <w:start w:val="5"/>
    </w:lvl>
  </w:abstractNum>
  <w:abstractNum w:abstractNumId="28">
    <w:nsid w:val="153EA438"/>
    <w:multiLevelType w:val="hybridMultilevel"/>
    <w:lvl w:ilvl="0">
      <w:lvlJc w:val="left"/>
      <w:lvlText w:val="%1."/>
      <w:numFmt w:val="decimal"/>
      <w:start w:val="6"/>
    </w:lvl>
  </w:abstractNum>
  <w:abstractNum w:abstractNumId="29">
    <w:nsid w:val="3855585C"/>
    <w:multiLevelType w:val="hybridMultilevel"/>
    <w:lvl w:ilvl="0">
      <w:lvlJc w:val="left"/>
      <w:lvlText w:val="%1."/>
      <w:numFmt w:val="decimal"/>
      <w:start w:val="7"/>
    </w:lvl>
  </w:abstractNum>
  <w:abstractNum w:abstractNumId="30">
    <w:nsid w:val="70A64E2A"/>
    <w:multiLevelType w:val="hybridMultilevel"/>
    <w:lvl w:ilvl="0">
      <w:lvlJc w:val="left"/>
      <w:lvlText w:val="%1."/>
      <w:numFmt w:val="decimal"/>
      <w:start w:val="8"/>
    </w:lvl>
  </w:abstractNum>
  <w:abstractNum w:abstractNumId="31">
    <w:nsid w:val="6A2342EC"/>
    <w:multiLevelType w:val="hybridMultilevel"/>
    <w:lvl w:ilvl="0">
      <w:lvlJc w:val="left"/>
      <w:lvlText w:val="%1."/>
      <w:numFmt w:val="decimal"/>
      <w:start w:val="9"/>
    </w:lvl>
  </w:abstractNum>
  <w:abstractNum w:abstractNumId="32">
    <w:nsid w:val="2A487CB0"/>
    <w:multiLevelType w:val="hybridMultilevel"/>
    <w:lvl w:ilvl="0">
      <w:lvlJc w:val="left"/>
      <w:lvlText w:val="%1."/>
      <w:numFmt w:val="decimal"/>
      <w:start w:val="10"/>
    </w:lvl>
  </w:abstractNum>
  <w:abstractNum w:abstractNumId="33">
    <w:nsid w:val="1D4ED43B"/>
    <w:multiLevelType w:val="hybridMultilevel"/>
    <w:lvl w:ilvl="0">
      <w:lvlJc w:val="left"/>
      <w:lvlText w:val="%1."/>
      <w:numFmt w:val="decimal"/>
      <w:start w:val="11"/>
    </w:lvl>
  </w:abstractNum>
  <w:abstractNum w:abstractNumId="34">
    <w:nsid w:val="725A06FB"/>
    <w:multiLevelType w:val="hybridMultilevel"/>
    <w:lvl w:ilvl="0">
      <w:lvlJc w:val="left"/>
      <w:lvlText w:val="%1."/>
      <w:numFmt w:val="decimal"/>
      <w:start w:val="12"/>
    </w:lvl>
  </w:abstractNum>
  <w:abstractNum w:abstractNumId="35">
    <w:nsid w:val="2CD89A32"/>
    <w:multiLevelType w:val="hybridMultilevel"/>
    <w:lvl w:ilvl="0">
      <w:lvlJc w:val="left"/>
      <w:lvlText w:val="%1."/>
      <w:numFmt w:val="decimal"/>
      <w:start w:val="13"/>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lowerLetter"/>
      <w:start w:val="5"/>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8"/>
    </w:lvl>
  </w:abstractNum>
  <w:abstractNum w:abstractNumId="41">
    <w:nsid w:val="38437FDB"/>
    <w:multiLevelType w:val="hybridMultilevel"/>
    <w:lvl w:ilvl="0">
      <w:lvlJc w:val="left"/>
      <w:lvlText w:val="%1."/>
      <w:numFmt w:val="decimal"/>
      <w:start w:val="10"/>
    </w:lvl>
  </w:abstractNum>
  <w:abstractNum w:abstractNumId="42">
    <w:nsid w:val="7644A45C"/>
    <w:multiLevelType w:val="hybridMultilevel"/>
    <w:lvl w:ilvl="0">
      <w:lvlJc w:val="left"/>
      <w:lvlText w:val="(%1)"/>
      <w:numFmt w:val="lowerRoman"/>
      <w:start w:val="6"/>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
      <w:numFmt w:val="bullet"/>
      <w:start w:val="1"/>
    </w:lvl>
    <w:lvl w:ilvl="1">
      <w:lvlJc w:val="left"/>
      <w:lvlText w:val="(%2)"/>
      <w:numFmt w:val="lowerLetter"/>
      <w:start w:val="3"/>
    </w:lvl>
  </w:abstractNum>
  <w:abstractNum w:abstractNumId="48">
    <w:nsid w:val="1BA026FA"/>
    <w:multiLevelType w:val="hybridMultilevel"/>
    <w:lvl w:ilvl="0">
      <w:lvlJc w:val="left"/>
      <w:lvlText w:val="(%1)"/>
      <w:numFmt w:val="lowerLetter"/>
      <w:start w:val="4"/>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8"/>
    </w:lvl>
  </w:abstractNum>
  <w:abstractNum w:abstractNumId="51">
    <w:nsid w:val="12E685FB"/>
    <w:multiLevelType w:val="hybridMultilevel"/>
    <w:lvl w:ilvl="0">
      <w:lvlJc w:val="left"/>
      <w:lvlText w:val="%1."/>
      <w:numFmt w:val="decimal"/>
      <w:start w:val="10"/>
    </w:lvl>
  </w:abstractNum>
  <w:abstractNum w:abstractNumId="52">
    <w:nsid w:val="70C6A52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133" Type="http://schemas.openxmlformats.org/officeDocument/2006/relationships/hyperlink" Target="https://www.sec.gov/Archives/edgar/data/1383414/000119312507075646/dex99a.htm" TargetMode="External"/><Relationship Id="rId134" Type="http://schemas.openxmlformats.org/officeDocument/2006/relationships/hyperlink" Target="https://www.sec.gov/Archives/edgar/data/1383414/000156459020024172/pnnt-ex32_163.htm" TargetMode="External"/><Relationship Id="rId135" Type="http://schemas.openxmlformats.org/officeDocument/2006/relationships/hyperlink" Target="https://www.sec.gov/Archives/edgar/data/1383414/000119312508072557/dex99d1.htm" TargetMode="External"/><Relationship Id="rId136" Type="http://schemas.openxmlformats.org/officeDocument/2006/relationships/hyperlink" Target="https://www.sec.gov/Archives/edgar/data/1383414/000119312513018556/d470556dex99d8.htm" TargetMode="External"/><Relationship Id="rId137" Type="http://schemas.openxmlformats.org/officeDocument/2006/relationships/hyperlink" Target="https://www.sec.gov/Archives/edgar/data/1383414/000119312521125241/d124015dex41.htm" TargetMode="External"/><Relationship Id="rId138" Type="http://schemas.openxmlformats.org/officeDocument/2006/relationships/hyperlink" Target="https://www.sec.gov/Archives/edgar/data/1383414/000119312521303994/d236895dex41.htm" TargetMode="External"/><Relationship Id="rId139" Type="http://schemas.openxmlformats.org/officeDocument/2006/relationships/hyperlink" Target="https://www.sec.gov/Archives/edgar/data/1383414/000156459019044110/pnnt-ex47_7.htm" TargetMode="External"/><Relationship Id="rId140" Type="http://schemas.openxmlformats.org/officeDocument/2006/relationships/hyperlink" Target="https://www.sec.gov/Archives/edgar/data/1383414/000119312508072557/dex99k1.htm" TargetMode="External"/><Relationship Id="rId141" Type="http://schemas.openxmlformats.org/officeDocument/2006/relationships/hyperlink" Target="https://www.sec.gov/Archives/edgar/data/1383414/000119312508072557/dex99e.htm" TargetMode="External"/><Relationship Id="rId142" Type="http://schemas.openxmlformats.org/officeDocument/2006/relationships/hyperlink" Target="https://www.sec.gov/Archives/edgar/data/1383414/000156459017015976/pnnt-ex101_12.htm" TargetMode="External"/><Relationship Id="rId143" Type="http://schemas.openxmlformats.org/officeDocument/2006/relationships/hyperlink" Target="https://www.sec.gov/Archives/edgar/data/1383414/000119312516773701/d285279dex105.htm" TargetMode="External"/><Relationship Id="rId144" Type="http://schemas.openxmlformats.org/officeDocument/2006/relationships/hyperlink" Target="https://www.sec.gov/Archives/edgar/data/1383414/000119312519105161/d630383dex99g3.htm" TargetMode="External"/><Relationship Id="rId147" Type="http://schemas.openxmlformats.org/officeDocument/2006/relationships/hyperlink" Target="https://www.sec.gov/Archives/edgar/data/1383414/000119312519240958/d761962dex101.htm" TargetMode="External"/><Relationship Id="rId148" Type="http://schemas.openxmlformats.org/officeDocument/2006/relationships/hyperlink" Target="https://www.sec.gov/Archives/edgar/data/1383414/000119312520208851/d41849dex101.htm" TargetMode="External"/><Relationship Id="rId149" Type="http://schemas.openxmlformats.org/officeDocument/2006/relationships/hyperlink" Target="https://www.sec.gov/Archives/edgar/data/1383414/000156459020054639/pnnt-ex1012_753.htm" TargetMode="External"/><Relationship Id="rId150" Type="http://schemas.openxmlformats.org/officeDocument/2006/relationships/hyperlink" Target="https://www.sec.gov/Archives/edgar/data/1383414/000095017022014227/pnn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2023-12-08T05:30:33Z</dcterms:created>
  <dcterms:modified xsi:type="dcterms:W3CDTF">2023-12-08T05:30:33Z</dcterms:modified>
</cp:coreProperties>
</file>