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w:t>
      </w:r>
    </w:p>
    <w:p>
      <w:pPr>
        <w:jc w:val="center"/>
        <w:ind w:right="-2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February 3, 2015</w:t>
      </w:r>
    </w:p>
    <w:p>
      <w:pPr>
        <w:spacing w:after="0" w:line="20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040" w:type="dxa"/>
            <w:vAlign w:val="bottom"/>
          </w:tcPr>
          <w:p>
            <w:pPr>
              <w:jc w:val="center"/>
              <w:ind w:right="2341"/>
              <w:spacing w:after="0"/>
              <w:rPr>
                <w:sz w:val="20"/>
                <w:szCs w:val="20"/>
                <w:color w:val="auto"/>
              </w:rPr>
            </w:pPr>
            <w:r>
              <w:rPr>
                <w:rFonts w:ascii="Arial" w:cs="Arial" w:eastAsia="Arial" w:hAnsi="Arial"/>
                <w:sz w:val="18"/>
                <w:szCs w:val="18"/>
                <w:b w:val="1"/>
                <w:bCs w:val="1"/>
                <w:color w:val="auto"/>
                <w:w w:val="98"/>
              </w:rPr>
              <w:t>Maryland</w:t>
            </w:r>
          </w:p>
        </w:tc>
        <w:tc>
          <w:tcPr>
            <w:tcW w:w="2380" w:type="dxa"/>
            <w:vAlign w:val="bottom"/>
          </w:tcPr>
          <w:p>
            <w:pPr>
              <w:ind w:left="220"/>
              <w:spacing w:after="0"/>
              <w:rPr>
                <w:sz w:val="20"/>
                <w:szCs w:val="20"/>
                <w:color w:val="auto"/>
              </w:rPr>
            </w:pPr>
            <w:r>
              <w:rPr>
                <w:rFonts w:ascii="Arial" w:cs="Arial" w:eastAsia="Arial" w:hAnsi="Arial"/>
                <w:sz w:val="18"/>
                <w:szCs w:val="18"/>
                <w:b w:val="1"/>
                <w:bCs w:val="1"/>
                <w:color w:val="auto"/>
              </w:rPr>
              <w:t>814-00736</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40" w:type="dxa"/>
            <w:vAlign w:val="bottom"/>
          </w:tcPr>
          <w:p>
            <w:pPr>
              <w:jc w:val="center"/>
              <w:ind w:right="232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341"/>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4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91"/>
              </w:rPr>
              <w:t>590 Madison Avenue, 15th Floor, New York, NY</w:t>
            </w: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2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8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4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368" w:right="57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On February 3, 2015,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November 26, 2014. As of December 1, 2014, the record date, 75,092,911 shares of common stock were eligible to vote. A summary of the matters voted upon by the stockholders is set forth below.</w:t>
      </w:r>
    </w:p>
    <w:p>
      <w:pPr>
        <w:spacing w:after="0" w:line="18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named Proxies for the Company’s stockholders approved an adjournment of the meeting to allow the polls to remain open until 9:30 a.m.</w:t>
      </w:r>
      <w:r>
        <w:rPr>
          <w:rFonts w:ascii="Arial" w:cs="Arial" w:eastAsia="Arial" w:hAnsi="Arial"/>
          <w:sz w:val="18"/>
          <w:szCs w:val="18"/>
          <w:b w:val="1"/>
          <w:bCs w:val="1"/>
          <w:color w:val="auto"/>
        </w:rPr>
        <w:t xml:space="preserve"> </w:t>
      </w:r>
      <w:r>
        <w:rPr>
          <w:rFonts w:ascii="Arial" w:cs="Arial" w:eastAsia="Arial" w:hAnsi="Arial"/>
          <w:sz w:val="18"/>
          <w:szCs w:val="18"/>
          <w:color w:val="auto"/>
        </w:rPr>
        <w:t>on February 24, 2015 to solicit additional votes for the proposal to elect two Class II directors of the Company, each of whom will serve until the 2018 Annual Meeting, or until his successor is duly elected and qualifies. The meeting will be reconvened at the offices of Dechert LLP, located at 1095 Avenue of the Americas, New York, New York, on February 24, 2015, at 9:30 a.m.</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The Company’s stockholders ratified the selection of McGladrey LLP to serve as the Company’s independent registered public accounting firm</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year ending September 30,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voting results as of February 3, 2015, as certified by the inspector of election, are set forth below:</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4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For</w:t>
            </w: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Against</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Abstain</w:t>
            </w:r>
          </w:p>
        </w:tc>
      </w:tr>
      <w:tr>
        <w:trPr>
          <w:trHeight w:val="209"/>
        </w:trPr>
        <w:tc>
          <w:tcPr>
            <w:tcW w:w="60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63,237,105</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766,732</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9"/>
              </w:rPr>
              <w:t>461,879</w:t>
            </w:r>
          </w:p>
        </w:tc>
        <w:tc>
          <w:tcPr>
            <w:tcW w:w="200" w:type="dxa"/>
            <w:vAlign w:val="bottom"/>
            <w:tcBorders>
              <w:top w:val="single" w:sz="8" w:color="CCEEFF"/>
            </w:tcBorders>
            <w:shd w:val="clear" w:color="auto" w:fill="CCEEFF"/>
          </w:tcPr>
          <w:p>
            <w:pPr>
              <w:spacing w:after="0"/>
              <w:rPr>
                <w:sz w:val="18"/>
                <w:szCs w:val="18"/>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 of Shares Voted</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98.09%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1.19 %</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0.72 %</w:t>
            </w:r>
          </w:p>
        </w:tc>
      </w:tr>
    </w:tbl>
    <w:p>
      <w:pPr>
        <w:spacing w:after="0" w:line="187"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On February 3, 2015, the Company held a special meeting of stockholders (the “Special Meeting”) and submitted one matter to the vote of the stockholders. The proposal is described in detail in the Company’s definitive proxy statement filed with the Securities and Exchange Commission on November 26, 2014. As of December 1, 2014, the record date, 75,092,911 shares of common stock were eligible to vote. A summary of the matter voted upon by the stockholders is set forth below.</w:t>
      </w:r>
    </w:p>
    <w:p>
      <w:pPr>
        <w:spacing w:after="0" w:line="183"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approved a proposal to authorize flexibility for the Company, with the approval of its Board of Directors, to sell</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its common stock during the next 12 months at a price below its then current net asset value per share, subject to certain limitations as described the proxy statement. The voting results, as certified by the inspector of election, are set forth below:</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For</w:t>
            </w: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Against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Abstain</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Affiliates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29,342,456</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9,147,984</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545,484</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ind w:left="360"/>
              <w:spacing w:after="0"/>
              <w:rPr>
                <w:sz w:val="20"/>
                <w:szCs w:val="20"/>
                <w:color w:val="auto"/>
              </w:rPr>
            </w:pPr>
            <w:r>
              <w:rPr>
                <w:rFonts w:ascii="Arial" w:cs="Arial" w:eastAsia="Arial" w:hAnsi="Arial"/>
                <w:sz w:val="18"/>
                <w:szCs w:val="18"/>
                <w:color w:val="auto"/>
              </w:rPr>
              <w:t>% of Shares Voted</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75.17%</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23.43%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Without Affiliates</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28,389,867</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9,147,984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545,484</w:t>
            </w: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 of Shares Voted</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74.55%</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24.02%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r>
    </w:tbl>
    <w:p>
      <w:pPr>
        <w:sectPr>
          <w:pgSz w:w="11900" w:h="16838" w:orient="portrait"/>
          <w:cols w:equalWidth="0" w:num="1">
            <w:col w:w="11240"/>
          </w:cols>
          <w:pgMar w:left="320" w:top="27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7020"/>
        <w:spacing w:after="0"/>
        <w:rPr>
          <w:sz w:val="20"/>
          <w:szCs w:val="20"/>
          <w:color w:val="auto"/>
        </w:rPr>
      </w:pP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 February 6, 2015</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2020-05-05T15:14:49Z</dcterms:created>
  <dcterms:modified xsi:type="dcterms:W3CDTF">2020-05-05T15:14:49Z</dcterms:modified>
</cp:coreProperties>
</file>