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23, 2014.</w:t>
      </w:r>
    </w:p>
    <w:p>
      <w:pPr>
        <w:spacing w:after="0" w:line="27" w:lineRule="exact"/>
        <w:rPr>
          <w:sz w:val="24"/>
          <w:szCs w:val="24"/>
          <w:color w:val="auto"/>
        </w:rPr>
      </w:pPr>
    </w:p>
    <w:p>
      <w:pPr>
        <w:ind w:left="8140"/>
        <w:spacing w:after="0"/>
        <w:rPr>
          <w:sz w:val="20"/>
          <w:szCs w:val="20"/>
          <w:color w:val="auto"/>
        </w:rPr>
      </w:pPr>
      <w:r>
        <w:rPr>
          <w:rFonts w:ascii="Arial" w:cs="Arial" w:eastAsia="Arial" w:hAnsi="Arial"/>
          <w:sz w:val="16"/>
          <w:szCs w:val="16"/>
          <w:b w:val="1"/>
          <w:bCs w:val="1"/>
          <w:color w:val="auto"/>
        </w:rPr>
        <w:t>Securities Act Registration No. 333-192782</w:t>
      </w:r>
    </w:p>
    <w:p>
      <w:pPr>
        <w:spacing w:after="0" w:line="32" w:lineRule="exact"/>
        <w:rPr>
          <w:sz w:val="24"/>
          <w:szCs w:val="24"/>
          <w:color w:val="auto"/>
        </w:rPr>
      </w:pPr>
    </w:p>
    <w:p>
      <w:pPr>
        <w:ind w:left="7380"/>
        <w:spacing w:after="0"/>
        <w:rPr>
          <w:sz w:val="20"/>
          <w:szCs w:val="20"/>
          <w:color w:val="auto"/>
        </w:rPr>
      </w:pPr>
      <w:r>
        <w:rPr>
          <w:rFonts w:ascii="Arial" w:cs="Arial" w:eastAsia="Arial" w:hAnsi="Arial"/>
          <w:sz w:val="16"/>
          <w:szCs w:val="16"/>
          <w:b w:val="1"/>
          <w:bCs w:val="1"/>
          <w:color w:val="auto"/>
        </w:rPr>
        <w:t>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tbl>
      <w:tblPr>
        <w:tblLayout w:type="fixed"/>
        <w:tblInd w:w="4200" w:type="dxa"/>
        <w:tblCellMar>
          <w:top w:w="0" w:type="dxa"/>
          <w:left w:w="0" w:type="dxa"/>
          <w:bottom w:w="0" w:type="dxa"/>
          <w:right w:w="0" w:type="dxa"/>
        </w:tblCellMar>
      </w:tblPr>
      <w:tr>
        <w:trPr>
          <w:trHeight w:val="253"/>
        </w:trPr>
        <w:tc>
          <w:tcPr>
            <w:tcW w:w="5020" w:type="dxa"/>
            <w:vAlign w:val="bottom"/>
          </w:tcPr>
          <w:p>
            <w:pPr>
              <w:jc w:val="center"/>
              <w:ind w:right="1892"/>
              <w:spacing w:after="0"/>
              <w:rPr>
                <w:sz w:val="20"/>
                <w:szCs w:val="20"/>
                <w:color w:val="auto"/>
              </w:rPr>
            </w:pPr>
            <w:r>
              <w:rPr>
                <w:rFonts w:ascii="Arial" w:cs="Arial" w:eastAsia="Arial" w:hAnsi="Arial"/>
                <w:sz w:val="22"/>
                <w:szCs w:val="22"/>
                <w:b w:val="1"/>
                <w:bCs w:val="1"/>
                <w:i w:val="1"/>
                <w:iCs w:val="1"/>
                <w:color w:val="auto"/>
                <w:w w:val="88"/>
              </w:rPr>
              <w:t>under</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020" w:type="dxa"/>
            <w:vAlign w:val="bottom"/>
          </w:tcPr>
          <w:p>
            <w:pPr>
              <w:jc w:val="center"/>
              <w:ind w:right="1892"/>
              <w:spacing w:after="0" w:line="250" w:lineRule="exact"/>
              <w:rPr>
                <w:sz w:val="20"/>
                <w:szCs w:val="20"/>
                <w:color w:val="auto"/>
              </w:rPr>
            </w:pPr>
            <w:r>
              <w:rPr>
                <w:rFonts w:ascii="Arial" w:cs="Arial" w:eastAsia="Arial" w:hAnsi="Arial"/>
                <w:sz w:val="22"/>
                <w:szCs w:val="22"/>
                <w:b w:val="1"/>
                <w:bCs w:val="1"/>
                <w:i w:val="1"/>
                <w:iCs w:val="1"/>
                <w:color w:val="auto"/>
                <w:w w:val="86"/>
              </w:rPr>
              <w:t>the Securities Act Of 1933</w:t>
            </w:r>
          </w:p>
        </w:tc>
        <w:tc>
          <w:tcPr>
            <w:tcW w:w="2200" w:type="dxa"/>
            <w:vAlign w:val="bottom"/>
            <w:vMerge w:val="restart"/>
          </w:tcPr>
          <w:p>
            <w:pPr>
              <w:ind w:left="20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223"/>
        </w:trPr>
        <w:tc>
          <w:tcPr>
            <w:tcW w:w="5020" w:type="dxa"/>
            <w:vAlign w:val="bottom"/>
          </w:tcPr>
          <w:p>
            <w:pPr>
              <w:jc w:val="center"/>
              <w:ind w:right="1912"/>
              <w:spacing w:after="0" w:line="223" w:lineRule="exact"/>
              <w:rPr>
                <w:sz w:val="20"/>
                <w:szCs w:val="20"/>
                <w:color w:val="auto"/>
              </w:rPr>
            </w:pPr>
            <w:r>
              <w:rPr>
                <w:rFonts w:ascii="Arial" w:cs="Arial" w:eastAsia="Arial" w:hAnsi="Arial"/>
                <w:sz w:val="22"/>
                <w:szCs w:val="22"/>
                <w:b w:val="1"/>
                <w:bCs w:val="1"/>
                <w:color w:val="auto"/>
                <w:w w:val="88"/>
              </w:rPr>
              <w:t>Post-Effective Amendment No. 2</w:t>
            </w:r>
          </w:p>
        </w:tc>
        <w:tc>
          <w:tcPr>
            <w:tcW w:w="2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5020" w:type="dxa"/>
            <w:vAlign w:val="bottom"/>
          </w:tcPr>
          <w:p>
            <w:pPr>
              <w:jc w:val="center"/>
              <w:ind w:right="1872"/>
              <w:spacing w:after="0"/>
              <w:rPr>
                <w:sz w:val="20"/>
                <w:szCs w:val="20"/>
                <w:color w:val="auto"/>
              </w:rPr>
            </w:pPr>
            <w:r>
              <w:rPr>
                <w:rFonts w:ascii="Arial" w:cs="Arial" w:eastAsia="Arial" w:hAnsi="Arial"/>
                <w:sz w:val="22"/>
                <w:szCs w:val="22"/>
                <w:b w:val="1"/>
                <w:bCs w:val="1"/>
                <w:color w:val="auto"/>
                <w:w w:val="89"/>
              </w:rPr>
              <w:t>Pre-Effective Amendment</w:t>
            </w:r>
          </w:p>
        </w:tc>
        <w:tc>
          <w:tcPr>
            <w:tcW w:w="2200" w:type="dxa"/>
            <w:vAlign w:val="bottom"/>
          </w:tcPr>
          <w:p>
            <w:pPr>
              <w:ind w:left="20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5320" w:right="4920" w:hanging="399"/>
        <w:spacing w:after="0" w:line="313" w:lineRule="auto"/>
        <w:tabs>
          <w:tab w:leader="none" w:pos="5244"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Madison Avenue 15th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H. Penn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PennantPark Investment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Friedmann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William Tuttle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20006-1110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40" w:firstLine="456"/>
        <w:spacing w:after="0" w:line="233"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131"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22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If appropriate, check the following box:</w:t>
      </w:r>
    </w:p>
    <w:p>
      <w:pPr>
        <w:spacing w:after="0" w:line="131" w:lineRule="exact"/>
        <w:rPr>
          <w:sz w:val="24"/>
          <w:szCs w:val="24"/>
          <w:color w:val="auto"/>
        </w:rPr>
      </w:pP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This amendment designates a new effective date for a previously filed registration statement.</w:t>
      </w:r>
    </w:p>
    <w:p>
      <w:pPr>
        <w:spacing w:after="0" w:line="25" w:lineRule="exact"/>
        <w:rPr>
          <w:rFonts w:ascii="MS PGothic" w:cs="MS PGothic" w:eastAsia="MS PGothic" w:hAnsi="MS PGothic"/>
          <w:sz w:val="18"/>
          <w:szCs w:val="18"/>
          <w:color w:val="auto"/>
        </w:rPr>
      </w:pPr>
    </w:p>
    <w:p>
      <w:pPr>
        <w:ind w:left="900" w:right="740" w:hanging="446"/>
        <w:spacing w:after="0" w:line="259" w:lineRule="auto"/>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83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Post-Effective Amendment No. 2 to the Registration Statement on Form N-2 (File No. 333-192782) of PennantPark Investment Corporation, or the Registration Statement, is being filed pursuant to Rule 462(d) under the Securities Act of 1933, as amended, or the Securities Act, solely for the purpose of filing exhibits to the Registration Statement. Accordingly, this Post-Effective Amendment No. 2 consists only of a facing page, this explanatory note and Part C of the Registration Statement setting forth the exhibits to the Registration Statement. This Post-Effective Amendment No. 2 does not modify any other part of the Registration Statement. Pursuant to Rule 462(d) under the Securities Act, this Post-Effective Amendment No. 2 shall become effective immediately upon filing with the Securities and Exchange Commission. The contents of the Registration Statement are hereby incorporated by reference.</w:t>
      </w:r>
    </w:p>
    <w:p>
      <w:pPr>
        <w:sectPr>
          <w:pgSz w:w="11900" w:h="16838" w:orient="portrait"/>
          <w:cols w:equalWidth="0" w:num="1">
            <w:col w:w="11360"/>
          </w:cols>
          <w:pgMar w:left="240" w:top="270" w:right="2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135" w:lineRule="exact"/>
        <w:rPr>
          <w:sz w:val="20"/>
          <w:szCs w:val="20"/>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Index to Consolidated Financial Statements on page F-1 of this Registration Statement is hereby incorporated by reference.</w:t>
      </w:r>
    </w:p>
    <w:p>
      <w:pPr>
        <w:spacing w:after="0" w:line="117" w:lineRule="exact"/>
        <w:rPr>
          <w:sz w:val="20"/>
          <w:szCs w:val="20"/>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rFonts w:ascii="Arial" w:cs="Arial" w:eastAsia="Arial" w:hAnsi="Arial"/>
          <w:sz w:val="18"/>
          <w:szCs w:val="18"/>
          <w:color w:val="auto"/>
        </w:rPr>
      </w:pPr>
    </w:p>
    <w:p>
      <w:pPr>
        <w:ind w:left="820" w:right="180" w:hanging="431"/>
        <w:spacing w:after="0" w:line="277"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Articles of Incorporation of the Registrant (Incorporated by reference to Exhibit 99(a) to the Registrant’s Pre-Effective Amendment No. 3 to the Registration Statement on Form N-2/A (File No. 333-140092), filed on April 5, 2007).</w:t>
      </w:r>
    </w:p>
    <w:p>
      <w:pPr>
        <w:spacing w:after="0" w:line="62" w:lineRule="exact"/>
        <w:rPr>
          <w:rFonts w:ascii="Arial" w:cs="Arial" w:eastAsia="Arial" w:hAnsi="Arial"/>
          <w:sz w:val="18"/>
          <w:szCs w:val="18"/>
          <w:color w:val="auto"/>
        </w:rPr>
      </w:pPr>
    </w:p>
    <w:p>
      <w:pPr>
        <w:ind w:left="820" w:hanging="441"/>
        <w:spacing w:after="0" w:line="277"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3.2 to the Registrant’s Annual Report on Form 10-K (File No. 814-00736), filed on November 13, 2013).</w:t>
      </w:r>
    </w:p>
    <w:p>
      <w:pPr>
        <w:spacing w:after="0" w:line="62" w:lineRule="exact"/>
        <w:rPr>
          <w:sz w:val="20"/>
          <w:szCs w:val="20"/>
          <w:color w:val="auto"/>
        </w:rPr>
      </w:pPr>
    </w:p>
    <w:p>
      <w:pPr>
        <w:ind w:left="820" w:right="2020" w:hanging="659"/>
        <w:spacing w:after="0" w:line="277" w:lineRule="auto"/>
        <w:tabs>
          <w:tab w:leader="none" w:pos="800" w:val="left"/>
        </w:tabs>
        <w:rPr>
          <w:sz w:val="20"/>
          <w:szCs w:val="20"/>
          <w:color w:val="auto"/>
        </w:rPr>
      </w:pPr>
      <w:r>
        <w:rPr>
          <w:rFonts w:ascii="Arial" w:cs="Arial" w:eastAsia="Arial" w:hAnsi="Arial"/>
          <w:sz w:val="18"/>
          <w:szCs w:val="18"/>
          <w:color w:val="auto"/>
        </w:rPr>
        <w:t>(d)(1)</w:t>
        <w:tab/>
        <w:t>Form of Share Certificate (Incorporated by reference to Exhibit 99.(d)(1) to the Registrant’s Registration Statement on Form N-2 (File No. 333-150033), filed on April 2, 2008).</w:t>
      </w:r>
    </w:p>
    <w:p>
      <w:pPr>
        <w:spacing w:after="0" w:line="76" w:lineRule="exact"/>
        <w:rPr>
          <w:sz w:val="20"/>
          <w:szCs w:val="20"/>
          <w:color w:val="auto"/>
        </w:rPr>
      </w:pPr>
    </w:p>
    <w:p>
      <w:pPr>
        <w:ind w:left="820" w:right="120" w:hanging="659"/>
        <w:spacing w:after="0" w:line="277" w:lineRule="auto"/>
        <w:tabs>
          <w:tab w:leader="none" w:pos="800" w:val="left"/>
        </w:tabs>
        <w:rPr>
          <w:sz w:val="20"/>
          <w:szCs w:val="20"/>
          <w:color w:val="auto"/>
        </w:rPr>
      </w:pPr>
      <w:r>
        <w:rPr>
          <w:rFonts w:ascii="Arial" w:cs="Arial" w:eastAsia="Arial" w:hAnsi="Arial"/>
          <w:sz w:val="18"/>
          <w:szCs w:val="18"/>
          <w:color w:val="auto"/>
        </w:rPr>
        <w:t>(d)(2)</w:t>
        <w:tab/>
        <w:t>Form of Subscription Certificate (Incorporated by reference to Exhibit 99.(d)(2) to the Registrant’s Pre-Effective Amendment to the Registration Statement on Form N-2/A (File No. 333-150033), filed on May 30, 2008).</w:t>
      </w:r>
    </w:p>
    <w:p>
      <w:pPr>
        <w:spacing w:after="0" w:line="62" w:lineRule="exact"/>
        <w:rPr>
          <w:sz w:val="20"/>
          <w:szCs w:val="20"/>
          <w:color w:val="auto"/>
        </w:rPr>
      </w:pPr>
    </w:p>
    <w:p>
      <w:pPr>
        <w:ind w:left="820" w:right="120" w:hanging="659"/>
        <w:spacing w:after="0" w:line="264" w:lineRule="auto"/>
        <w:tabs>
          <w:tab w:leader="none" w:pos="800" w:val="left"/>
        </w:tabs>
        <w:rPr>
          <w:sz w:val="20"/>
          <w:szCs w:val="20"/>
          <w:color w:val="auto"/>
        </w:rPr>
      </w:pPr>
      <w:r>
        <w:rPr>
          <w:rFonts w:ascii="Arial" w:cs="Arial" w:eastAsia="Arial" w:hAnsi="Arial"/>
          <w:sz w:val="18"/>
          <w:szCs w:val="18"/>
          <w:color w:val="auto"/>
        </w:rPr>
        <w:t>(d)(3)</w:t>
        <w:tab/>
        <w:t>Base Indenture, dated as of January 22, 2013, between the Registrant and American Stock Transfer &amp; Trust Company, LLC, as trustee (Incorporated by reference to Exhibit 99(d)(8) to the Registrant’s Post-Effective Amendment No. 4 to the Registration Statement on Form N-2/A (File No.333-172524), filed on January 22, 2013).</w:t>
      </w:r>
    </w:p>
    <w:p>
      <w:pPr>
        <w:spacing w:after="0" w:line="73" w:lineRule="exact"/>
        <w:rPr>
          <w:sz w:val="20"/>
          <w:szCs w:val="20"/>
          <w:color w:val="auto"/>
        </w:rPr>
      </w:pPr>
    </w:p>
    <w:p>
      <w:pPr>
        <w:ind w:left="820" w:right="520" w:hanging="659"/>
        <w:spacing w:after="0" w:line="277" w:lineRule="auto"/>
        <w:tabs>
          <w:tab w:leader="none" w:pos="800" w:val="left"/>
        </w:tabs>
        <w:rPr>
          <w:sz w:val="20"/>
          <w:szCs w:val="20"/>
          <w:color w:val="auto"/>
        </w:rPr>
      </w:pPr>
      <w:r>
        <w:rPr>
          <w:rFonts w:ascii="Arial" w:cs="Arial" w:eastAsia="Arial" w:hAnsi="Arial"/>
          <w:sz w:val="18"/>
          <w:szCs w:val="18"/>
          <w:color w:val="auto"/>
        </w:rPr>
        <w:t>(d)(4)</w:t>
        <w:tab/>
        <w:t>Form of Subscription Agent Agreement (Incorporated by reference to Exhibit 99.(d)(4) to the Registrant’s Pre-Effective Amendment to the Registration Statement on Form N-2/A (File No. 333-150033), filed on May 30, 2008).</w:t>
      </w:r>
    </w:p>
    <w:p>
      <w:pPr>
        <w:spacing w:after="0" w:line="62" w:lineRule="exact"/>
        <w:rPr>
          <w:sz w:val="20"/>
          <w:szCs w:val="20"/>
          <w:color w:val="auto"/>
        </w:rPr>
      </w:pPr>
    </w:p>
    <w:p>
      <w:pPr>
        <w:ind w:left="820" w:right="420" w:hanging="659"/>
        <w:spacing w:after="0" w:line="277" w:lineRule="auto"/>
        <w:tabs>
          <w:tab w:leader="none" w:pos="800" w:val="left"/>
        </w:tabs>
        <w:rPr>
          <w:sz w:val="20"/>
          <w:szCs w:val="20"/>
          <w:color w:val="auto"/>
        </w:rPr>
      </w:pPr>
      <w:r>
        <w:rPr>
          <w:rFonts w:ascii="Arial" w:cs="Arial" w:eastAsia="Arial" w:hAnsi="Arial"/>
          <w:sz w:val="18"/>
          <w:szCs w:val="18"/>
          <w:color w:val="auto"/>
        </w:rPr>
        <w:t>(d)(5)</w:t>
        <w:tab/>
        <w:t>Form of Warrant Agreement (Incorporated by reference to Exhibit 99.(d)(5) to the Registrant’s Pre-Effective Amendment to the Registration Statement on Form N-2/A (File No. 333-150033), filed on May 30, 2008).</w:t>
      </w:r>
    </w:p>
    <w:p>
      <w:pPr>
        <w:spacing w:after="0" w:line="62" w:lineRule="exact"/>
        <w:rPr>
          <w:sz w:val="20"/>
          <w:szCs w:val="20"/>
          <w:color w:val="auto"/>
        </w:rPr>
      </w:pPr>
    </w:p>
    <w:p>
      <w:pPr>
        <w:ind w:left="820" w:right="420" w:hanging="659"/>
        <w:spacing w:after="0" w:line="258" w:lineRule="auto"/>
        <w:tabs>
          <w:tab w:leader="none" w:pos="800" w:val="left"/>
        </w:tabs>
        <w:rPr>
          <w:sz w:val="20"/>
          <w:szCs w:val="20"/>
          <w:color w:val="auto"/>
        </w:rPr>
      </w:pPr>
      <w:r>
        <w:rPr>
          <w:rFonts w:ascii="Arial" w:cs="Arial" w:eastAsia="Arial" w:hAnsi="Arial"/>
          <w:sz w:val="18"/>
          <w:szCs w:val="18"/>
          <w:color w:val="auto"/>
        </w:rPr>
        <w:t>(d)(6)</w:t>
        <w:tab/>
        <w:t>Form T-1 Statement of Eligibility with respect to the Form of Indenture (Incorporated by reference to Exhibit 2(d)(6) to the Registrant’s Pre-Effective Amendment to the Registration Statement on Form N-2/A (File No. 333-172524), filed on</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August 22, 2011).</w:t>
      </w:r>
    </w:p>
    <w:p>
      <w:pPr>
        <w:spacing w:after="0" w:line="116" w:lineRule="exact"/>
        <w:rPr>
          <w:sz w:val="20"/>
          <w:szCs w:val="20"/>
          <w:color w:val="auto"/>
        </w:rPr>
      </w:pPr>
    </w:p>
    <w:p>
      <w:pPr>
        <w:ind w:left="820" w:right="260" w:hanging="659"/>
        <w:spacing w:after="0" w:line="277" w:lineRule="auto"/>
        <w:tabs>
          <w:tab w:leader="none" w:pos="800" w:val="left"/>
        </w:tabs>
        <w:rPr>
          <w:sz w:val="20"/>
          <w:szCs w:val="20"/>
          <w:color w:val="auto"/>
        </w:rPr>
      </w:pPr>
      <w:r>
        <w:rPr>
          <w:rFonts w:ascii="Arial" w:cs="Arial" w:eastAsia="Arial" w:hAnsi="Arial"/>
          <w:sz w:val="18"/>
          <w:szCs w:val="18"/>
          <w:color w:val="auto"/>
        </w:rPr>
        <w:t>(d)(7)</w:t>
        <w:tab/>
        <w:t>Form of Articles Supplementary (Incorporated by reference to Exhibit 2(d)(7) to the Registrant’s Pre-Effective Amendment to the Registration Statement on Form N-2/A (File No. 333-172524), filed on August 22, 2011).</w:t>
      </w:r>
    </w:p>
    <w:p>
      <w:pPr>
        <w:spacing w:after="0" w:line="62"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6"/>
          <w:szCs w:val="16"/>
          <w:color w:val="auto"/>
        </w:rPr>
        <w:t>(d)(8)</w:t>
        <w:tab/>
        <w:t>Base Indenture, dated as of January 22, 2013, relating to the 6.25% Senior Notes due 2025, between the Registrant and American Stock Transfer</w:t>
      </w:r>
    </w:p>
    <w:p>
      <w:pPr>
        <w:spacing w:after="0" w:line="46" w:lineRule="exact"/>
        <w:rPr>
          <w:sz w:val="20"/>
          <w:szCs w:val="20"/>
          <w:color w:val="auto"/>
        </w:rPr>
      </w:pPr>
    </w:p>
    <w:p>
      <w:pPr>
        <w:ind w:left="820" w:right="380" w:hanging="2"/>
        <w:spacing w:after="0" w:line="261" w:lineRule="auto"/>
        <w:tabs>
          <w:tab w:leader="none" w:pos="10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Trust Company, LLC, as trustee (Incorporated by reference to Exhibit 99.(d)(8) to the Registrant’s Post-Effective Amendment No. 4 to the Registration Statement on Form N-2/A (File No. 333-172524), filed on January 22, 2013).</w:t>
      </w:r>
    </w:p>
    <w:p>
      <w:pPr>
        <w:spacing w:after="0" w:line="76" w:lineRule="exact"/>
        <w:rPr>
          <w:sz w:val="20"/>
          <w:szCs w:val="20"/>
          <w:color w:val="auto"/>
        </w:rPr>
      </w:pPr>
    </w:p>
    <w:p>
      <w:pPr>
        <w:jc w:val="both"/>
        <w:ind w:left="820" w:right="180" w:hanging="659"/>
        <w:spacing w:after="0" w:line="264" w:lineRule="auto"/>
        <w:tabs>
          <w:tab w:leader="none" w:pos="800" w:val="left"/>
        </w:tabs>
        <w:rPr>
          <w:sz w:val="20"/>
          <w:szCs w:val="20"/>
          <w:color w:val="auto"/>
        </w:rPr>
      </w:pPr>
      <w:r>
        <w:rPr>
          <w:rFonts w:ascii="Arial" w:cs="Arial" w:eastAsia="Arial" w:hAnsi="Arial"/>
          <w:sz w:val="18"/>
          <w:szCs w:val="18"/>
          <w:color w:val="auto"/>
        </w:rPr>
        <w:t>(d)(9)</w:t>
        <w:tab/>
        <w:t>First Supplemental Indenture, dated as of January 22, 2013, relating to the 6.25% Senior Notes due 2025, between the Registrant and American Stock Transfer &amp; Trust Company, LLC, as trustee (Incorporated by reference to Exhibit 99.(d)(9) to the Registrant’s Post-Effective Amendment No. 4 to the Registration Statement on Form N-2/A (File No. 333-172524), filed on January 22, 2013).</w:t>
      </w:r>
    </w:p>
    <w:p>
      <w:pPr>
        <w:sectPr>
          <w:pgSz w:w="11900" w:h="16838" w:orient="portrait"/>
          <w:cols w:equalWidth="0" w:num="1">
            <w:col w:w="11360"/>
          </w:cols>
          <w:pgMar w:left="240" w:top="270"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(d)(10)</w:t>
            </w:r>
          </w:p>
        </w:tc>
        <w:tc>
          <w:tcPr>
            <w:tcW w:w="1220" w:type="dxa"/>
            <w:vAlign w:val="bottom"/>
          </w:tcPr>
          <w:p>
            <w:pPr>
              <w:ind w:left="100"/>
              <w:spacing w:after="0"/>
              <w:rPr>
                <w:sz w:val="20"/>
                <w:szCs w:val="20"/>
                <w:color w:val="auto"/>
              </w:rPr>
            </w:pPr>
            <w:r>
              <w:rPr>
                <w:rFonts w:ascii="Arial" w:cs="Arial" w:eastAsia="Arial" w:hAnsi="Arial"/>
                <w:sz w:val="18"/>
                <w:szCs w:val="18"/>
                <w:color w:val="auto"/>
                <w:w w:val="93"/>
              </w:rPr>
              <w:t>Form of 6.25%</w:t>
            </w:r>
          </w:p>
        </w:tc>
        <w:tc>
          <w:tcPr>
            <w:tcW w:w="9100" w:type="dxa"/>
            <w:vAlign w:val="bottom"/>
          </w:tcPr>
          <w:p>
            <w:pPr>
              <w:ind w:left="20"/>
              <w:spacing w:after="0"/>
              <w:rPr>
                <w:sz w:val="20"/>
                <w:szCs w:val="20"/>
                <w:color w:val="auto"/>
              </w:rPr>
            </w:pPr>
            <w:r>
              <w:rPr>
                <w:rFonts w:ascii="Arial" w:cs="Arial" w:eastAsia="Arial" w:hAnsi="Arial"/>
                <w:sz w:val="18"/>
                <w:szCs w:val="18"/>
                <w:color w:val="auto"/>
              </w:rPr>
              <w:t>Senior Notes due 2025 (included as part of Exhibit (d)(9)).</w:t>
            </w: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(d)(11)**</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w w:val="89"/>
              </w:rPr>
              <w:t>Second Supplemental Indenture, dated as of September 23, 2014, relating to the 4.50% Notes due 2019, between the Registrant and American</w:t>
            </w:r>
          </w:p>
        </w:tc>
      </w:tr>
      <w:tr>
        <w:trPr>
          <w:trHeight w:val="230"/>
        </w:trPr>
        <w:tc>
          <w:tcPr>
            <w:tcW w:w="800" w:type="dxa"/>
            <w:vAlign w:val="bottom"/>
          </w:tcPr>
          <w:p>
            <w:pPr>
              <w:spacing w:after="0"/>
              <w:rPr>
                <w:sz w:val="20"/>
                <w:szCs w:val="20"/>
                <w:color w:val="auto"/>
              </w:rPr>
            </w:pP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Stock Transfer &amp; Trust Company, LLC, as trustee.</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(d)(12)**</w:t>
            </w:r>
          </w:p>
        </w:tc>
        <w:tc>
          <w:tcPr>
            <w:tcW w:w="1220" w:type="dxa"/>
            <w:vAlign w:val="bottom"/>
          </w:tcPr>
          <w:p>
            <w:pPr>
              <w:ind w:left="100"/>
              <w:spacing w:after="0"/>
              <w:rPr>
                <w:sz w:val="20"/>
                <w:szCs w:val="20"/>
                <w:color w:val="auto"/>
              </w:rPr>
            </w:pPr>
            <w:r>
              <w:rPr>
                <w:rFonts w:ascii="Arial" w:cs="Arial" w:eastAsia="Arial" w:hAnsi="Arial"/>
                <w:sz w:val="18"/>
                <w:szCs w:val="18"/>
                <w:color w:val="auto"/>
                <w:w w:val="93"/>
              </w:rPr>
              <w:t>Form of 4.50%</w:t>
            </w:r>
          </w:p>
        </w:tc>
        <w:tc>
          <w:tcPr>
            <w:tcW w:w="9100" w:type="dxa"/>
            <w:vAlign w:val="bottom"/>
          </w:tcPr>
          <w:p>
            <w:pPr>
              <w:ind w:left="20"/>
              <w:spacing w:after="0"/>
              <w:rPr>
                <w:sz w:val="20"/>
                <w:szCs w:val="20"/>
                <w:color w:val="auto"/>
              </w:rPr>
            </w:pPr>
            <w:r>
              <w:rPr>
                <w:rFonts w:ascii="Arial" w:cs="Arial" w:eastAsia="Arial" w:hAnsi="Arial"/>
                <w:sz w:val="18"/>
                <w:szCs w:val="18"/>
                <w:color w:val="auto"/>
              </w:rPr>
              <w:t>Notes due 2019 (included as part of Exhibit (d)(11)).</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00" w:right="80" w:hanging="589"/>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Dividend Reinvestment Plan (Incorporated by reference to Exhibit 99.(E) to the Registrant’s Registration Statement on Form N-2 (File No. 333-150033), filed on April 2, 2008).</w:t>
      </w:r>
    </w:p>
    <w:p>
      <w:pPr>
        <w:spacing w:after="0" w:line="62" w:lineRule="exact"/>
        <w:rPr>
          <w:sz w:val="20"/>
          <w:szCs w:val="20"/>
          <w:color w:val="auto"/>
        </w:rPr>
      </w:pPr>
    </w:p>
    <w:p>
      <w:pPr>
        <w:ind w:left="900" w:right="200" w:hanging="59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Management Agreement between the Registrant and PennantPark Investment Advisers, LLC (Incorporated by reference to Exhibit 99.(G) to the Registrant’s Registration Statement on Form N-2 (File No. 333-150033), filed on April 2, 2008).</w:t>
      </w:r>
    </w:p>
    <w:p>
      <w:pPr>
        <w:spacing w:after="0" w:line="62" w:lineRule="exact"/>
        <w:rPr>
          <w:sz w:val="20"/>
          <w:szCs w:val="20"/>
          <w:color w:val="auto"/>
        </w:rPr>
      </w:pPr>
    </w:p>
    <w:p>
      <w:pPr>
        <w:ind w:left="900" w:right="80" w:hanging="799"/>
        <w:spacing w:after="0" w:line="277" w:lineRule="auto"/>
        <w:tabs>
          <w:tab w:leader="none" w:pos="88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(Incorporated by reference to Exhibit 99.(H)(1) to the Registrant’s Pre-Effective Amendment to the Registration Statement on Form N-2/A (File No. 333-150033), filed on May 30, 2008).</w:t>
      </w:r>
    </w:p>
    <w:p>
      <w:pPr>
        <w:spacing w:after="0" w:line="62" w:lineRule="exact"/>
        <w:rPr>
          <w:sz w:val="20"/>
          <w:szCs w:val="20"/>
          <w:color w:val="auto"/>
        </w:rPr>
      </w:pPr>
    </w:p>
    <w:p>
      <w:pPr>
        <w:ind w:left="900" w:right="20" w:hanging="799"/>
        <w:spacing w:after="0" w:line="277" w:lineRule="auto"/>
        <w:tabs>
          <w:tab w:leader="none" w:pos="88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equity (Incorporated by reference to Exhibit 99.(H)(1) to the Registrant’s Post-Effective Amendment No. 4 to the Registration Statement on Form N-2/A (File No. 333-150033), filed on February 22, 2010).</w:t>
      </w:r>
    </w:p>
    <w:p>
      <w:pPr>
        <w:spacing w:after="0" w:line="62" w:lineRule="exact"/>
        <w:rPr>
          <w:sz w:val="20"/>
          <w:szCs w:val="20"/>
          <w:color w:val="auto"/>
        </w:rPr>
      </w:pPr>
    </w:p>
    <w:p>
      <w:pPr>
        <w:ind w:left="900" w:right="220" w:hanging="799"/>
        <w:spacing w:after="0" w:line="277" w:lineRule="auto"/>
        <w:tabs>
          <w:tab w:leader="none" w:pos="880" w:val="left"/>
        </w:tabs>
        <w:rPr>
          <w:sz w:val="20"/>
          <w:szCs w:val="20"/>
          <w:color w:val="auto"/>
        </w:rPr>
      </w:pPr>
      <w:r>
        <w:rPr>
          <w:rFonts w:ascii="Arial" w:cs="Arial" w:eastAsia="Arial" w:hAnsi="Arial"/>
          <w:sz w:val="18"/>
          <w:szCs w:val="18"/>
          <w:color w:val="auto"/>
        </w:rPr>
        <w:t>(h)(3)</w:t>
      </w:r>
      <w:r>
        <w:rPr>
          <w:sz w:val="20"/>
          <w:szCs w:val="20"/>
          <w:color w:val="auto"/>
        </w:rPr>
        <w:tab/>
      </w:r>
      <w:r>
        <w:rPr>
          <w:rFonts w:ascii="Arial" w:cs="Arial" w:eastAsia="Arial" w:hAnsi="Arial"/>
          <w:sz w:val="18"/>
          <w:szCs w:val="18"/>
          <w:color w:val="auto"/>
        </w:rPr>
        <w:t>Form of Underwriting Agreement for debt (Incorporated by reference to Exhibit 99.(H)(2) to the Registrant’s Pre-Effective Amendment to the Registration Statement on Form N-2/A (File No. 333-150033), filed on May 30, 2008).</w:t>
      </w:r>
    </w:p>
    <w:p>
      <w:pPr>
        <w:spacing w:after="0" w:line="62" w:lineRule="exact"/>
        <w:rPr>
          <w:sz w:val="20"/>
          <w:szCs w:val="20"/>
          <w:color w:val="auto"/>
        </w:rPr>
      </w:pPr>
    </w:p>
    <w:p>
      <w:pPr>
        <w:ind w:left="900" w:hanging="799"/>
        <w:spacing w:after="0" w:line="277" w:lineRule="auto"/>
        <w:tabs>
          <w:tab w:leader="none" w:pos="880" w:val="left"/>
        </w:tabs>
        <w:rPr>
          <w:sz w:val="20"/>
          <w:szCs w:val="20"/>
          <w:color w:val="auto"/>
        </w:rPr>
      </w:pPr>
      <w:r>
        <w:rPr>
          <w:rFonts w:ascii="Arial" w:cs="Arial" w:eastAsia="Arial" w:hAnsi="Arial"/>
          <w:sz w:val="18"/>
          <w:szCs w:val="18"/>
          <w:color w:val="auto"/>
        </w:rPr>
        <w:t>(h)(4)</w:t>
      </w:r>
      <w:r>
        <w:rPr>
          <w:sz w:val="20"/>
          <w:szCs w:val="20"/>
          <w:color w:val="auto"/>
        </w:rPr>
        <w:tab/>
      </w:r>
      <w:r>
        <w:rPr>
          <w:rFonts w:ascii="Arial" w:cs="Arial" w:eastAsia="Arial" w:hAnsi="Arial"/>
          <w:sz w:val="18"/>
          <w:szCs w:val="18"/>
          <w:color w:val="auto"/>
        </w:rPr>
        <w:t>Underwriting Agreement dated September 5, 2014 (Incorporated by reference to Exhibit 99.(H)(4) to the Registrant’s Post-Effective Amendment No. 1 to the Registration Statement on Form N-2 (File No. 333-192782), filed on September 8, 2014).</w:t>
      </w:r>
    </w:p>
    <w:p>
      <w:pPr>
        <w:spacing w:after="0" w:line="62"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color w:val="auto"/>
        </w:rPr>
        <w:t>(h)(5) **</w:t>
      </w:r>
      <w:r>
        <w:rPr>
          <w:sz w:val="20"/>
          <w:szCs w:val="20"/>
          <w:color w:val="auto"/>
        </w:rPr>
        <w:tab/>
      </w:r>
      <w:r>
        <w:rPr>
          <w:rFonts w:ascii="Arial" w:cs="Arial" w:eastAsia="Arial" w:hAnsi="Arial"/>
          <w:sz w:val="16"/>
          <w:szCs w:val="16"/>
          <w:color w:val="auto"/>
        </w:rPr>
        <w:t>Underwriting Agreement dated September 16, 2014.</w:t>
      </w:r>
    </w:p>
    <w:p>
      <w:pPr>
        <w:spacing w:after="0" w:line="117" w:lineRule="exact"/>
        <w:rPr>
          <w:sz w:val="20"/>
          <w:szCs w:val="20"/>
          <w:color w:val="auto"/>
        </w:rPr>
      </w:pPr>
    </w:p>
    <w:p>
      <w:pPr>
        <w:ind w:left="900" w:right="520" w:hanging="560"/>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Custodian Agreement between the Registrant and PFPC Trust Company (Incorporated by reference to Exhibit 99.(J)(1) to the Registrant’s Registration Statement on Form N-2 (File No. 333-150033), filed on April 2, 2008).</w:t>
      </w:r>
    </w:p>
    <w:p>
      <w:pPr>
        <w:spacing w:after="0" w:line="62"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6"/>
          <w:szCs w:val="16"/>
          <w:color w:val="auto"/>
        </w:rPr>
        <w:t>(k)(1)</w:t>
      </w:r>
      <w:r>
        <w:rPr>
          <w:sz w:val="20"/>
          <w:szCs w:val="20"/>
          <w:color w:val="auto"/>
        </w:rPr>
        <w:tab/>
      </w:r>
      <w:r>
        <w:rPr>
          <w:rFonts w:ascii="Arial" w:cs="Arial" w:eastAsia="Arial" w:hAnsi="Arial"/>
          <w:sz w:val="16"/>
          <w:szCs w:val="16"/>
          <w:color w:val="auto"/>
        </w:rPr>
        <w:t>Administration Agreement between the Registrant and PennantPark Investment Administration, LLC (Incorporated by reference to Exhibit 99.</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(K)(1) to the Registrant’s Registration Statement on Form N-2 (File No. 333-150033), filed on April 2, 2008).</w:t>
      </w:r>
    </w:p>
    <w:p>
      <w:pPr>
        <w:spacing w:after="0" w:line="103" w:lineRule="exact"/>
        <w:rPr>
          <w:sz w:val="20"/>
          <w:szCs w:val="20"/>
          <w:color w:val="auto"/>
        </w:rPr>
      </w:pPr>
    </w:p>
    <w:p>
      <w:pPr>
        <w:ind w:left="900" w:right="40" w:hanging="799"/>
        <w:spacing w:after="0" w:line="258" w:lineRule="auto"/>
        <w:tabs>
          <w:tab w:leader="none" w:pos="88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Form of Stock Transfer Agency Agreement between the Registrant and American Stock Transfer and Trust Company (Incorporated by reference to Exhibit 99.(K)(2) to the Registrant’s Registration Statement on Form N-2</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(File No. 333-150033), filed on April 2, 2008).</w:t>
      </w:r>
    </w:p>
    <w:p>
      <w:pPr>
        <w:spacing w:after="0" w:line="116"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6"/>
          <w:szCs w:val="16"/>
          <w:color w:val="auto"/>
        </w:rPr>
        <w:t>(k)(3)</w:t>
      </w:r>
      <w:r>
        <w:rPr>
          <w:sz w:val="20"/>
          <w:szCs w:val="20"/>
          <w:color w:val="auto"/>
        </w:rPr>
        <w:tab/>
      </w:r>
      <w:r>
        <w:rPr>
          <w:rFonts w:ascii="Arial" w:cs="Arial" w:eastAsia="Arial" w:hAnsi="Arial"/>
          <w:sz w:val="16"/>
          <w:szCs w:val="16"/>
          <w:color w:val="auto"/>
        </w:rPr>
        <w:t>Trademark License Agreement (Incorporated by reference to Exhibit 99.(K)(3) to the Registrant’s Registration Statement on Form N-2 (File No.</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333-150033), filed on April 2, 2008).</w:t>
      </w:r>
    </w:p>
    <w:p>
      <w:pPr>
        <w:spacing w:after="0" w:line="103" w:lineRule="exact"/>
        <w:rPr>
          <w:sz w:val="20"/>
          <w:szCs w:val="20"/>
          <w:color w:val="auto"/>
        </w:rPr>
      </w:pPr>
    </w:p>
    <w:p>
      <w:pPr>
        <w:ind w:left="900" w:right="180" w:hanging="799"/>
        <w:spacing w:after="0" w:line="264" w:lineRule="auto"/>
        <w:tabs>
          <w:tab w:leader="none" w:pos="880" w:val="left"/>
        </w:tabs>
        <w:rPr>
          <w:sz w:val="20"/>
          <w:szCs w:val="20"/>
          <w:color w:val="auto"/>
        </w:rPr>
      </w:pPr>
      <w:r>
        <w:rPr>
          <w:rFonts w:ascii="Arial" w:cs="Arial" w:eastAsia="Arial" w:hAnsi="Arial"/>
          <w:sz w:val="18"/>
          <w:szCs w:val="18"/>
          <w:color w:val="auto"/>
        </w:rPr>
        <w:t>(k)(4)</w:t>
      </w:r>
      <w:r>
        <w:rPr>
          <w:sz w:val="20"/>
          <w:szCs w:val="20"/>
          <w:color w:val="auto"/>
        </w:rPr>
        <w:tab/>
      </w:r>
      <w:r>
        <w:rPr>
          <w:rFonts w:ascii="Arial" w:cs="Arial" w:eastAsia="Arial" w:hAnsi="Arial"/>
          <w:sz w:val="18"/>
          <w:szCs w:val="18"/>
          <w:color w:val="auto"/>
        </w:rPr>
        <w:t>Second Amended and Restated Senior Secured Revolving Credit Agreement, dated as of June 25, 2014, among PennantPark Investment Corporation, the Lenders party thereto and SunTrust Bank, as administrative agent for the lenders (Incorporated by reference to Exhibit 99.2 to the Registrant’s Current Report on Form 8-K (File No. 814-00736), filed on June 30, 2014).</w:t>
      </w:r>
    </w:p>
    <w:p>
      <w:pPr>
        <w:spacing w:after="0" w:line="73" w:lineRule="exact"/>
        <w:rPr>
          <w:sz w:val="20"/>
          <w:szCs w:val="20"/>
          <w:color w:val="auto"/>
        </w:rPr>
      </w:pPr>
    </w:p>
    <w:p>
      <w:pPr>
        <w:ind w:left="900" w:right="280" w:hanging="759"/>
        <w:spacing w:after="0" w:line="277" w:lineRule="auto"/>
        <w:tabs>
          <w:tab w:leader="none" w:pos="880" w:val="left"/>
        </w:tabs>
        <w:rPr>
          <w:sz w:val="20"/>
          <w:szCs w:val="20"/>
          <w:color w:val="auto"/>
        </w:rPr>
      </w:pPr>
      <w:r>
        <w:rPr>
          <w:rFonts w:ascii="Arial" w:cs="Arial" w:eastAsia="Arial" w:hAnsi="Arial"/>
          <w:sz w:val="18"/>
          <w:szCs w:val="18"/>
          <w:color w:val="auto"/>
        </w:rPr>
        <w:t>(l)(1)</w:t>
      </w:r>
      <w:r>
        <w:rPr>
          <w:sz w:val="20"/>
          <w:szCs w:val="20"/>
          <w:color w:val="auto"/>
        </w:rPr>
        <w:tab/>
      </w:r>
      <w:r>
        <w:rPr>
          <w:rFonts w:ascii="Arial" w:cs="Arial" w:eastAsia="Arial" w:hAnsi="Arial"/>
          <w:sz w:val="18"/>
          <w:szCs w:val="18"/>
          <w:color w:val="auto"/>
        </w:rPr>
        <w:t>Opinion and Consent of Venable LLP (Incorporated by reference to Exhibit 99.(L)(1) to the Registrant’s Registration Statement on Form N-2 (File No. 333-192782), filed on December 11, 2013).</w:t>
      </w:r>
    </w:p>
    <w:p>
      <w:pPr>
        <w:sectPr>
          <w:pgSz w:w="11900" w:h="16838" w:orient="portrait"/>
          <w:cols w:equalWidth="0" w:num="1">
            <w:col w:w="11360"/>
          </w:cols>
          <w:pgMar w:left="260" w:top="274" w:right="27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216"/>
        </w:trPr>
        <w:tc>
          <w:tcPr>
            <w:tcW w:w="700" w:type="dxa"/>
            <w:vAlign w:val="bottom"/>
          </w:tcPr>
          <w:p>
            <w:pPr>
              <w:ind w:left="40"/>
              <w:spacing w:after="0"/>
              <w:rPr>
                <w:sz w:val="20"/>
                <w:szCs w:val="20"/>
                <w:color w:val="auto"/>
              </w:rPr>
            </w:pPr>
            <w:r>
              <w:rPr>
                <w:rFonts w:ascii="Arial" w:cs="Arial" w:eastAsia="Arial" w:hAnsi="Arial"/>
                <w:sz w:val="18"/>
                <w:szCs w:val="18"/>
                <w:color w:val="auto"/>
              </w:rPr>
              <w:t>(l)(2)</w:t>
            </w:r>
          </w:p>
        </w:tc>
        <w:tc>
          <w:tcPr>
            <w:tcW w:w="10660" w:type="dxa"/>
            <w:vAlign w:val="bottom"/>
          </w:tcPr>
          <w:p>
            <w:pPr>
              <w:ind w:left="100"/>
              <w:spacing w:after="0"/>
              <w:rPr>
                <w:sz w:val="20"/>
                <w:szCs w:val="20"/>
                <w:color w:val="auto"/>
              </w:rPr>
            </w:pPr>
            <w:r>
              <w:rPr>
                <w:rFonts w:ascii="Arial" w:cs="Arial" w:eastAsia="Arial" w:hAnsi="Arial"/>
                <w:sz w:val="18"/>
                <w:szCs w:val="18"/>
                <w:color w:val="auto"/>
                <w:w w:val="91"/>
              </w:rPr>
              <w:t>Opinion and Consent of Dechert LLP (Incorporated by reference to Exhibit 99.(L)(2) to the Registrant’s Registration Statement on Form N-2 (File</w:t>
            </w:r>
          </w:p>
        </w:tc>
      </w:tr>
      <w:tr>
        <w:trPr>
          <w:trHeight w:val="230"/>
        </w:trPr>
        <w:tc>
          <w:tcPr>
            <w:tcW w:w="700" w:type="dxa"/>
            <w:vAlign w:val="bottom"/>
          </w:tcPr>
          <w:p>
            <w:pPr>
              <w:spacing w:after="0"/>
              <w:rPr>
                <w:sz w:val="20"/>
                <w:szCs w:val="20"/>
                <w:color w:val="auto"/>
              </w:rPr>
            </w:pPr>
          </w:p>
        </w:tc>
        <w:tc>
          <w:tcPr>
            <w:tcW w:w="10660" w:type="dxa"/>
            <w:vAlign w:val="bottom"/>
          </w:tcPr>
          <w:p>
            <w:pPr>
              <w:ind w:left="100"/>
              <w:spacing w:after="0"/>
              <w:rPr>
                <w:sz w:val="20"/>
                <w:szCs w:val="20"/>
                <w:color w:val="auto"/>
              </w:rPr>
            </w:pPr>
            <w:r>
              <w:rPr>
                <w:rFonts w:ascii="Arial" w:cs="Arial" w:eastAsia="Arial" w:hAnsi="Arial"/>
                <w:sz w:val="18"/>
                <w:szCs w:val="18"/>
                <w:color w:val="auto"/>
              </w:rPr>
              <w:t>No. 333-192782), filed on December 11, 2013).</w:t>
            </w:r>
          </w:p>
        </w:tc>
      </w:tr>
      <w:tr>
        <w:trPr>
          <w:trHeight w:val="310"/>
        </w:trPr>
        <w:tc>
          <w:tcPr>
            <w:tcW w:w="700" w:type="dxa"/>
            <w:vAlign w:val="bottom"/>
          </w:tcPr>
          <w:p>
            <w:pPr>
              <w:ind w:left="40"/>
              <w:spacing w:after="0"/>
              <w:rPr>
                <w:sz w:val="20"/>
                <w:szCs w:val="20"/>
                <w:color w:val="auto"/>
              </w:rPr>
            </w:pPr>
            <w:r>
              <w:rPr>
                <w:rFonts w:ascii="Arial" w:cs="Arial" w:eastAsia="Arial" w:hAnsi="Arial"/>
                <w:sz w:val="18"/>
                <w:szCs w:val="18"/>
                <w:color w:val="auto"/>
              </w:rPr>
              <w:t>(l)(3)</w:t>
            </w:r>
          </w:p>
        </w:tc>
        <w:tc>
          <w:tcPr>
            <w:tcW w:w="10660" w:type="dxa"/>
            <w:vAlign w:val="bottom"/>
          </w:tcPr>
          <w:p>
            <w:pPr>
              <w:ind w:left="100"/>
              <w:spacing w:after="0"/>
              <w:rPr>
                <w:sz w:val="20"/>
                <w:szCs w:val="20"/>
                <w:color w:val="auto"/>
              </w:rPr>
            </w:pPr>
            <w:r>
              <w:rPr>
                <w:rFonts w:ascii="Arial" w:cs="Arial" w:eastAsia="Arial" w:hAnsi="Arial"/>
                <w:sz w:val="18"/>
                <w:szCs w:val="18"/>
                <w:color w:val="auto"/>
                <w:w w:val="93"/>
              </w:rPr>
              <w:t>Opinion and Consent of Venable LLP (Incorporated by reference to Exhibit 99.(L)(3) to the Registrant’s Post-Effective Amendment No.1 to the</w:t>
            </w:r>
          </w:p>
        </w:tc>
      </w:tr>
      <w:tr>
        <w:trPr>
          <w:trHeight w:val="230"/>
        </w:trPr>
        <w:tc>
          <w:tcPr>
            <w:tcW w:w="700" w:type="dxa"/>
            <w:vAlign w:val="bottom"/>
          </w:tcPr>
          <w:p>
            <w:pPr>
              <w:spacing w:after="0"/>
              <w:rPr>
                <w:sz w:val="20"/>
                <w:szCs w:val="20"/>
                <w:color w:val="auto"/>
              </w:rPr>
            </w:pPr>
          </w:p>
        </w:tc>
        <w:tc>
          <w:tcPr>
            <w:tcW w:w="10660" w:type="dxa"/>
            <w:vAlign w:val="bottom"/>
          </w:tcPr>
          <w:p>
            <w:pPr>
              <w:ind w:left="100"/>
              <w:spacing w:after="0"/>
              <w:rPr>
                <w:sz w:val="20"/>
                <w:szCs w:val="20"/>
                <w:color w:val="auto"/>
              </w:rPr>
            </w:pPr>
            <w:r>
              <w:rPr>
                <w:rFonts w:ascii="Arial" w:cs="Arial" w:eastAsia="Arial" w:hAnsi="Arial"/>
                <w:sz w:val="18"/>
                <w:szCs w:val="18"/>
                <w:color w:val="auto"/>
              </w:rPr>
              <w:t>Registration Statement on Form N-2 (File No. 333-192782), filed on September 8, 2014).</w:t>
            </w:r>
          </w:p>
        </w:tc>
      </w:tr>
      <w:tr>
        <w:trPr>
          <w:trHeight w:val="324"/>
        </w:trPr>
        <w:tc>
          <w:tcPr>
            <w:tcW w:w="700" w:type="dxa"/>
            <w:vAlign w:val="bottom"/>
          </w:tcPr>
          <w:p>
            <w:pPr>
              <w:ind w:left="40"/>
              <w:spacing w:after="0"/>
              <w:rPr>
                <w:sz w:val="20"/>
                <w:szCs w:val="20"/>
                <w:color w:val="auto"/>
              </w:rPr>
            </w:pPr>
            <w:r>
              <w:rPr>
                <w:rFonts w:ascii="Arial" w:cs="Arial" w:eastAsia="Arial" w:hAnsi="Arial"/>
                <w:sz w:val="18"/>
                <w:szCs w:val="18"/>
                <w:color w:val="auto"/>
              </w:rPr>
              <w:t>(l)(4)**</w:t>
            </w:r>
          </w:p>
        </w:tc>
        <w:tc>
          <w:tcPr>
            <w:tcW w:w="10660" w:type="dxa"/>
            <w:vAlign w:val="bottom"/>
          </w:tcPr>
          <w:p>
            <w:pPr>
              <w:ind w:left="100"/>
              <w:spacing w:after="0"/>
              <w:rPr>
                <w:sz w:val="20"/>
                <w:szCs w:val="20"/>
                <w:color w:val="auto"/>
              </w:rPr>
            </w:pPr>
            <w:r>
              <w:rPr>
                <w:rFonts w:ascii="Arial" w:cs="Arial" w:eastAsia="Arial" w:hAnsi="Arial"/>
                <w:sz w:val="18"/>
                <w:szCs w:val="18"/>
                <w:color w:val="auto"/>
              </w:rPr>
              <w:t>Opinion and Consent of Venable LLP.</w:t>
            </w:r>
          </w:p>
        </w:tc>
      </w:tr>
      <w:tr>
        <w:trPr>
          <w:trHeight w:val="324"/>
        </w:trPr>
        <w:tc>
          <w:tcPr>
            <w:tcW w:w="700" w:type="dxa"/>
            <w:vAlign w:val="bottom"/>
          </w:tcPr>
          <w:p>
            <w:pPr>
              <w:ind w:left="40"/>
              <w:spacing w:after="0"/>
              <w:rPr>
                <w:sz w:val="20"/>
                <w:szCs w:val="20"/>
                <w:color w:val="auto"/>
              </w:rPr>
            </w:pPr>
            <w:r>
              <w:rPr>
                <w:rFonts w:ascii="Arial" w:cs="Arial" w:eastAsia="Arial" w:hAnsi="Arial"/>
                <w:sz w:val="18"/>
                <w:szCs w:val="18"/>
                <w:color w:val="auto"/>
              </w:rPr>
              <w:t>(l)(5)**</w:t>
            </w:r>
          </w:p>
        </w:tc>
        <w:tc>
          <w:tcPr>
            <w:tcW w:w="10660" w:type="dxa"/>
            <w:vAlign w:val="bottom"/>
          </w:tcPr>
          <w:p>
            <w:pPr>
              <w:ind w:left="100"/>
              <w:spacing w:after="0"/>
              <w:rPr>
                <w:sz w:val="20"/>
                <w:szCs w:val="20"/>
                <w:color w:val="auto"/>
              </w:rPr>
            </w:pPr>
            <w:r>
              <w:rPr>
                <w:rFonts w:ascii="Arial" w:cs="Arial" w:eastAsia="Arial" w:hAnsi="Arial"/>
                <w:sz w:val="18"/>
                <w:szCs w:val="18"/>
                <w:color w:val="auto"/>
              </w:rPr>
              <w:t>Opinion and Consent of Dechert LLP.</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(n)(1)</w:t>
            </w:r>
          </w:p>
        </w:tc>
        <w:tc>
          <w:tcPr>
            <w:tcW w:w="10660" w:type="dxa"/>
            <w:vAlign w:val="bottom"/>
          </w:tcPr>
          <w:p>
            <w:pPr>
              <w:ind w:left="100"/>
              <w:spacing w:after="0"/>
              <w:rPr>
                <w:sz w:val="20"/>
                <w:szCs w:val="20"/>
                <w:color w:val="auto"/>
              </w:rPr>
            </w:pPr>
            <w:r>
              <w:rPr>
                <w:rFonts w:ascii="Arial" w:cs="Arial" w:eastAsia="Arial" w:hAnsi="Arial"/>
                <w:sz w:val="18"/>
                <w:szCs w:val="18"/>
                <w:color w:val="auto"/>
                <w:w w:val="96"/>
              </w:rPr>
              <w:t>Consent of Independent Registered Public Accounting Firm (Incorporated by reference to Exhibit 99.(N)(1) to the Registrant’s Registration</w:t>
            </w:r>
          </w:p>
        </w:tc>
      </w:tr>
      <w:tr>
        <w:trPr>
          <w:trHeight w:val="230"/>
        </w:trPr>
        <w:tc>
          <w:tcPr>
            <w:tcW w:w="700" w:type="dxa"/>
            <w:vAlign w:val="bottom"/>
          </w:tcPr>
          <w:p>
            <w:pPr>
              <w:spacing w:after="0"/>
              <w:rPr>
                <w:sz w:val="20"/>
                <w:szCs w:val="20"/>
                <w:color w:val="auto"/>
              </w:rPr>
            </w:pPr>
          </w:p>
        </w:tc>
        <w:tc>
          <w:tcPr>
            <w:tcW w:w="10660" w:type="dxa"/>
            <w:vAlign w:val="bottom"/>
          </w:tcPr>
          <w:p>
            <w:pPr>
              <w:ind w:left="100"/>
              <w:spacing w:after="0"/>
              <w:rPr>
                <w:sz w:val="20"/>
                <w:szCs w:val="20"/>
                <w:color w:val="auto"/>
              </w:rPr>
            </w:pPr>
            <w:r>
              <w:rPr>
                <w:rFonts w:ascii="Arial" w:cs="Arial" w:eastAsia="Arial" w:hAnsi="Arial"/>
                <w:sz w:val="18"/>
                <w:szCs w:val="18"/>
                <w:color w:val="auto"/>
              </w:rPr>
              <w:t>Statement on Form N-2 (File No. 333-192782), filed on December 11, 2013).</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20" w:right="460" w:hanging="564"/>
        <w:spacing w:after="0" w:line="308"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Joint Code of Ethics of the Registrant, PennantPark Floating Rate Capital Ltd. and PennantPark Investment Advisers, LLC (Incorporated by reference to Exhibit 14.1 to the Registrant’s Report on Form 10-K (File No. 814-00736), filed on November 14, 2013).</w:t>
      </w:r>
    </w:p>
    <w:p>
      <w:pPr>
        <w:spacing w:after="0" w:line="38" w:lineRule="exact"/>
        <w:rPr>
          <w:sz w:val="20"/>
          <w:szCs w:val="20"/>
          <w:color w:val="auto"/>
        </w:rPr>
      </w:pPr>
    </w:p>
    <w:p>
      <w:pPr>
        <w:ind w:left="820" w:right="400" w:hanging="779"/>
        <w:spacing w:after="0" w:line="258" w:lineRule="auto"/>
        <w:tabs>
          <w:tab w:leader="none" w:pos="80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Form of Prospectus Supplement For Common Stock Offerings (Incorporated by reference to Exhibit 2.(s)(1) to the Registrant’s Pre-Effective Amendment to the Registration Statement on Form N-2/A (File No. 333-172524), filed on</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August 22, 2011).</w:t>
      </w:r>
    </w:p>
    <w:p>
      <w:pPr>
        <w:spacing w:after="0" w:line="116" w:lineRule="exact"/>
        <w:rPr>
          <w:sz w:val="20"/>
          <w:szCs w:val="20"/>
          <w:color w:val="auto"/>
        </w:rPr>
      </w:pPr>
    </w:p>
    <w:p>
      <w:pPr>
        <w:ind w:left="820" w:right="400" w:hanging="779"/>
        <w:spacing w:after="0" w:line="258" w:lineRule="auto"/>
        <w:tabs>
          <w:tab w:leader="none" w:pos="800" w:val="left"/>
        </w:tabs>
        <w:rPr>
          <w:sz w:val="20"/>
          <w:szCs w:val="20"/>
          <w:color w:val="auto"/>
        </w:rPr>
      </w:pPr>
      <w:r>
        <w:rPr>
          <w:rFonts w:ascii="Arial" w:cs="Arial" w:eastAsia="Arial" w:hAnsi="Arial"/>
          <w:sz w:val="18"/>
          <w:szCs w:val="18"/>
          <w:color w:val="auto"/>
        </w:rPr>
        <w:t>(s)(2)</w:t>
      </w:r>
      <w:r>
        <w:rPr>
          <w:sz w:val="20"/>
          <w:szCs w:val="20"/>
          <w:color w:val="auto"/>
        </w:rPr>
        <w:tab/>
      </w:r>
      <w:r>
        <w:rPr>
          <w:rFonts w:ascii="Arial" w:cs="Arial" w:eastAsia="Arial" w:hAnsi="Arial"/>
          <w:sz w:val="18"/>
          <w:szCs w:val="18"/>
          <w:color w:val="auto"/>
        </w:rPr>
        <w:t>Form of Prospectus Supplement For Preferred Stock Offerings (Incorporated by reference to Exhibit 2.(s)(2) to the Registrant’s Pre-Effective Amendment to the Registration Statement on Form N-2/A (File No. 333-172524), filed on</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August 22, 2011).</w:t>
      </w:r>
    </w:p>
    <w:p>
      <w:pPr>
        <w:spacing w:after="0" w:line="116" w:lineRule="exact"/>
        <w:rPr>
          <w:sz w:val="20"/>
          <w:szCs w:val="20"/>
          <w:color w:val="auto"/>
        </w:rPr>
      </w:pPr>
    </w:p>
    <w:p>
      <w:pPr>
        <w:ind w:left="820" w:right="1720" w:hanging="779"/>
        <w:spacing w:after="0" w:line="342" w:lineRule="auto"/>
        <w:tabs>
          <w:tab w:leader="none" w:pos="800" w:val="left"/>
        </w:tabs>
        <w:rPr>
          <w:sz w:val="20"/>
          <w:szCs w:val="20"/>
          <w:color w:val="auto"/>
        </w:rPr>
      </w:pPr>
      <w:r>
        <w:rPr>
          <w:rFonts w:ascii="Arial" w:cs="Arial" w:eastAsia="Arial" w:hAnsi="Arial"/>
          <w:sz w:val="16"/>
          <w:szCs w:val="16"/>
          <w:color w:val="auto"/>
        </w:rPr>
        <w:t>(s)(3)</w:t>
      </w:r>
      <w:r>
        <w:rPr>
          <w:sz w:val="20"/>
          <w:szCs w:val="20"/>
          <w:color w:val="auto"/>
        </w:rPr>
        <w:tab/>
      </w:r>
      <w:r>
        <w:rPr>
          <w:rFonts w:ascii="Arial" w:cs="Arial" w:eastAsia="Arial" w:hAnsi="Arial"/>
          <w:sz w:val="16"/>
          <w:szCs w:val="16"/>
          <w:color w:val="auto"/>
        </w:rPr>
        <w:t>Form of Prospectus Supplement For Debt Offerings (Incorporated by reference to Exhibit 2.(s)(3) to the Registrant’s Pre-Effective Amendment to the Registration Statement on Form N-2/A (File No. 333-172524), filed on August 22, 2011).</w:t>
      </w:r>
    </w:p>
    <w:p>
      <w:pPr>
        <w:spacing w:after="0" w:line="29" w:lineRule="exact"/>
        <w:rPr>
          <w:sz w:val="20"/>
          <w:szCs w:val="20"/>
          <w:color w:val="auto"/>
        </w:rPr>
      </w:pPr>
    </w:p>
    <w:p>
      <w:pPr>
        <w:ind w:left="820" w:right="1720" w:hanging="779"/>
        <w:spacing w:after="0" w:line="342" w:lineRule="auto"/>
        <w:tabs>
          <w:tab w:leader="none" w:pos="800" w:val="left"/>
        </w:tabs>
        <w:rPr>
          <w:sz w:val="20"/>
          <w:szCs w:val="20"/>
          <w:color w:val="auto"/>
        </w:rPr>
      </w:pPr>
      <w:r>
        <w:rPr>
          <w:rFonts w:ascii="Arial" w:cs="Arial" w:eastAsia="Arial" w:hAnsi="Arial"/>
          <w:sz w:val="16"/>
          <w:szCs w:val="16"/>
          <w:color w:val="auto"/>
        </w:rPr>
        <w:t>(s)(4)</w:t>
      </w:r>
      <w:r>
        <w:rPr>
          <w:sz w:val="20"/>
          <w:szCs w:val="20"/>
          <w:color w:val="auto"/>
        </w:rPr>
        <w:tab/>
      </w:r>
      <w:r>
        <w:rPr>
          <w:rFonts w:ascii="Arial" w:cs="Arial" w:eastAsia="Arial" w:hAnsi="Arial"/>
          <w:sz w:val="16"/>
          <w:szCs w:val="16"/>
          <w:color w:val="auto"/>
        </w:rPr>
        <w:t>Form of Prospectus Supplement For Rights Offerings (Incorporated by reference to Exhibit 2.(s)(4) to the Registrant’s Pre-Effective Amendment to the Registration Statement on Form N-2/A (File No. 333-172524), filed on August 22, 2011).</w:t>
      </w:r>
    </w:p>
    <w:p>
      <w:pPr>
        <w:spacing w:after="0" w:line="29" w:lineRule="exact"/>
        <w:rPr>
          <w:sz w:val="20"/>
          <w:szCs w:val="20"/>
          <w:color w:val="auto"/>
        </w:rPr>
      </w:pPr>
    </w:p>
    <w:p>
      <w:pPr>
        <w:ind w:left="820" w:hanging="779"/>
        <w:spacing w:after="0" w:line="277" w:lineRule="auto"/>
        <w:tabs>
          <w:tab w:leader="none" w:pos="800" w:val="left"/>
        </w:tabs>
        <w:rPr>
          <w:sz w:val="20"/>
          <w:szCs w:val="20"/>
          <w:color w:val="auto"/>
        </w:rPr>
      </w:pPr>
      <w:r>
        <w:rPr>
          <w:rFonts w:ascii="Arial" w:cs="Arial" w:eastAsia="Arial" w:hAnsi="Arial"/>
          <w:sz w:val="18"/>
          <w:szCs w:val="18"/>
          <w:color w:val="auto"/>
        </w:rPr>
        <w:t>(s)(5)</w:t>
      </w:r>
      <w:r>
        <w:rPr>
          <w:sz w:val="20"/>
          <w:szCs w:val="20"/>
          <w:color w:val="auto"/>
        </w:rPr>
        <w:tab/>
      </w:r>
      <w:r>
        <w:rPr>
          <w:rFonts w:ascii="Arial" w:cs="Arial" w:eastAsia="Arial" w:hAnsi="Arial"/>
          <w:sz w:val="18"/>
          <w:szCs w:val="18"/>
          <w:color w:val="auto"/>
        </w:rPr>
        <w:t>Form of Prospectus Supplement For Warrant Offerings (Incorporated by reference to Exhibit 2.(s)(5) to the Registrant’s Pre-Effective Amendment to the Registration Statement on Form N-2/A (File No. 333-172524), filed on August 22, 2011).</w:t>
      </w:r>
    </w:p>
    <w:p>
      <w:pPr>
        <w:spacing w:after="0" w:line="62"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$ 128,800</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NASDAQ listing fee</w:t>
            </w:r>
          </w:p>
        </w:tc>
        <w:tc>
          <w:tcPr>
            <w:tcW w:w="3520" w:type="dxa"/>
            <w:vAlign w:val="bottom"/>
          </w:tcPr>
          <w:p>
            <w:pPr>
              <w:jc w:val="right"/>
              <w:spacing w:after="0"/>
              <w:rPr>
                <w:sz w:val="20"/>
                <w:szCs w:val="20"/>
                <w:color w:val="auto"/>
              </w:rPr>
            </w:pPr>
            <w:r>
              <w:rPr>
                <w:rFonts w:ascii="Arial" w:cs="Arial" w:eastAsia="Arial" w:hAnsi="Arial"/>
                <w:sz w:val="18"/>
                <w:szCs w:val="18"/>
                <w:color w:val="auto"/>
              </w:rPr>
              <w:t>195,000</w:t>
            </w:r>
          </w:p>
        </w:tc>
      </w:tr>
    </w:tbl>
    <w:p>
      <w:pPr>
        <w:sectPr>
          <w:pgSz w:w="11900" w:h="16838" w:orient="portrait"/>
          <w:cols w:equalWidth="0" w:num="1">
            <w:col w:w="11380"/>
          </w:cols>
          <w:pgMar w:left="240" w:top="382" w:right="27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FINRA filing fee</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150,500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Printing (other than certificates)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800,000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22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2,250,000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6"/>
          <w:szCs w:val="16"/>
          <w:b w:val="1"/>
          <w:bCs w:val="1"/>
          <w:color w:val="auto"/>
        </w:rPr>
        <w:t>Persons controlled by or under common control with the Registrant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list sets forth each of the companies considered to be controlled by us as defined by the 1940 Act.</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72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Voting Securities</w:t>
            </w:r>
          </w:p>
        </w:tc>
        <w:tc>
          <w:tcPr>
            <w:tcW w:w="0" w:type="dxa"/>
            <w:vAlign w:val="bottom"/>
          </w:tcPr>
          <w:p>
            <w:pPr>
              <w:spacing w:after="0"/>
              <w:rPr>
                <w:sz w:val="1"/>
                <w:szCs w:val="1"/>
                <w:color w:val="auto"/>
              </w:rPr>
            </w:pPr>
          </w:p>
        </w:tc>
      </w:tr>
      <w:tr>
        <w:trPr>
          <w:trHeight w:val="158"/>
        </w:trPr>
        <w:tc>
          <w:tcPr>
            <w:tcW w:w="5460" w:type="dxa"/>
            <w:vAlign w:val="bottom"/>
            <w:gridSpan w:val="2"/>
            <w:vMerge w:val="continue"/>
          </w:tcPr>
          <w:p>
            <w:pPr>
              <w:spacing w:after="0"/>
              <w:rPr>
                <w:sz w:val="13"/>
                <w:szCs w:val="13"/>
                <w:color w:val="auto"/>
              </w:rPr>
            </w:pPr>
          </w:p>
        </w:tc>
        <w:tc>
          <w:tcPr>
            <w:tcW w:w="2300" w:type="dxa"/>
            <w:vAlign w:val="bottom"/>
            <w:gridSpan w:val="3"/>
          </w:tcPr>
          <w:p>
            <w:pPr>
              <w:jc w:val="center"/>
              <w:ind w:left="191"/>
              <w:spacing w:after="0" w:line="158" w:lineRule="exact"/>
              <w:rPr>
                <w:sz w:val="20"/>
                <w:szCs w:val="20"/>
                <w:color w:val="auto"/>
              </w:rPr>
            </w:pPr>
            <w:r>
              <w:rPr>
                <w:rFonts w:ascii="Arial" w:cs="Arial" w:eastAsia="Arial" w:hAnsi="Arial"/>
                <w:sz w:val="14"/>
                <w:szCs w:val="14"/>
                <w:b w:val="1"/>
                <w:bCs w:val="1"/>
                <w:color w:val="auto"/>
                <w:w w:val="90"/>
              </w:rPr>
              <w:t>Owned Percentage</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PennantPark SBIC GP, LLC (Delaware)</w:t>
            </w:r>
          </w:p>
        </w:tc>
        <w:tc>
          <w:tcPr>
            <w:tcW w:w="7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88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PennantPark SBIC GP II, LLC (Delaware)</w:t>
            </w:r>
          </w:p>
        </w:tc>
        <w:tc>
          <w:tcPr>
            <w:tcW w:w="2300" w:type="dxa"/>
            <w:vAlign w:val="bottom"/>
            <w:gridSpan w:val="3"/>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PennantPark SBIC LP (Delaware)</w:t>
            </w:r>
          </w:p>
        </w:tc>
        <w:tc>
          <w:tcPr>
            <w:tcW w:w="2300" w:type="dxa"/>
            <w:vAlign w:val="bottom"/>
            <w:gridSpan w:val="3"/>
            <w:shd w:val="clear" w:color="auto" w:fill="CCEEFF"/>
          </w:tcPr>
          <w:p>
            <w:pPr>
              <w:ind w:left="1600"/>
              <w:spacing w:after="0"/>
              <w:rPr>
                <w:sz w:val="20"/>
                <w:szCs w:val="20"/>
                <w:color w:val="auto"/>
              </w:rPr>
            </w:pPr>
            <w:r>
              <w:rPr>
                <w:rFonts w:ascii="Arial" w:cs="Arial" w:eastAsia="Arial" w:hAnsi="Arial"/>
                <w:sz w:val="18"/>
                <w:szCs w:val="18"/>
                <w:color w:val="auto"/>
                <w:w w:val="97"/>
              </w:rPr>
              <w:t xml:space="preserve">100% </w:t>
            </w:r>
            <w:r>
              <w:rPr>
                <w:rFonts w:ascii="Arial" w:cs="Arial" w:eastAsia="Arial" w:hAnsi="Arial"/>
                <w:sz w:val="15"/>
                <w:szCs w:val="15"/>
                <w:color w:val="auto"/>
                <w:w w:val="97"/>
              </w:rPr>
              <w:t>(1)</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PennantPark SBIC II LP (Delaware)</w:t>
            </w:r>
          </w:p>
        </w:tc>
        <w:tc>
          <w:tcPr>
            <w:tcW w:w="2300" w:type="dxa"/>
            <w:vAlign w:val="bottom"/>
            <w:gridSpan w:val="3"/>
          </w:tcPr>
          <w:p>
            <w:pPr>
              <w:ind w:left="1600"/>
              <w:spacing w:after="0"/>
              <w:rPr>
                <w:sz w:val="20"/>
                <w:szCs w:val="20"/>
                <w:color w:val="auto"/>
              </w:rPr>
            </w:pPr>
            <w:r>
              <w:rPr>
                <w:rFonts w:ascii="Arial" w:cs="Arial" w:eastAsia="Arial" w:hAnsi="Arial"/>
                <w:sz w:val="18"/>
                <w:szCs w:val="18"/>
                <w:color w:val="auto"/>
                <w:w w:val="97"/>
              </w:rPr>
              <w:t xml:space="preserve">100% </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Acentia, LLC (Delaware)</w:t>
            </w:r>
          </w:p>
        </w:tc>
        <w:tc>
          <w:tcPr>
            <w:tcW w:w="2300" w:type="dxa"/>
            <w:vAlign w:val="bottom"/>
            <w:gridSpan w:val="3"/>
            <w:shd w:val="clear" w:color="auto" w:fill="CCEEFF"/>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PNNT Alabama Holdings Inc. (Delaware)</w:t>
            </w:r>
          </w:p>
        </w:tc>
        <w:tc>
          <w:tcPr>
            <w:tcW w:w="2300" w:type="dxa"/>
            <w:vAlign w:val="bottom"/>
            <w:gridSpan w:val="3"/>
          </w:tcPr>
          <w:p>
            <w:pPr>
              <w:ind w:left="1600"/>
              <w:spacing w:after="0"/>
              <w:rPr>
                <w:sz w:val="20"/>
                <w:szCs w:val="20"/>
                <w:color w:val="auto"/>
              </w:rPr>
            </w:pPr>
            <w:r>
              <w:rPr>
                <w:rFonts w:ascii="Arial" w:cs="Arial" w:eastAsia="Arial" w:hAnsi="Arial"/>
                <w:sz w:val="18"/>
                <w:szCs w:val="18"/>
                <w:color w:val="auto"/>
                <w:w w:val="97"/>
              </w:rPr>
              <w:t xml:space="preserve">100% </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CI (FBM) Investment Holdings LLC (Delaware)</w:t>
            </w:r>
          </w:p>
        </w:tc>
        <w:tc>
          <w:tcPr>
            <w:tcW w:w="2300" w:type="dxa"/>
            <w:vAlign w:val="bottom"/>
            <w:gridSpan w:val="3"/>
            <w:shd w:val="clear" w:color="auto" w:fill="CCEEFF"/>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PNNT CI (GALLS) Prime Investment Holdings, LLC (Delaware)</w:t>
            </w:r>
          </w:p>
        </w:tc>
        <w:tc>
          <w:tcPr>
            <w:tcW w:w="2300" w:type="dxa"/>
            <w:vAlign w:val="bottom"/>
            <w:gridSpan w:val="3"/>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ecoserve, LLC (Delaware)</w:t>
            </w:r>
          </w:p>
        </w:tc>
        <w:tc>
          <w:tcPr>
            <w:tcW w:w="2300" w:type="dxa"/>
            <w:vAlign w:val="bottom"/>
            <w:gridSpan w:val="3"/>
            <w:shd w:val="clear" w:color="auto" w:fill="CCEEFF"/>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PNNT New Gulf Resources, LLC (Delaware)</w:t>
            </w:r>
          </w:p>
        </w:tc>
        <w:tc>
          <w:tcPr>
            <w:tcW w:w="2300" w:type="dxa"/>
            <w:vAlign w:val="bottom"/>
            <w:gridSpan w:val="3"/>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Power Products Holdings, LLC (Delaware)</w:t>
            </w:r>
          </w:p>
        </w:tc>
        <w:tc>
          <w:tcPr>
            <w:tcW w:w="2300" w:type="dxa"/>
            <w:vAlign w:val="bottom"/>
            <w:gridSpan w:val="3"/>
            <w:shd w:val="clear" w:color="auto" w:fill="CCEEFF"/>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PNNT Transportation 100 Holdco, LLC (Delaware)</w:t>
            </w:r>
          </w:p>
        </w:tc>
        <w:tc>
          <w:tcPr>
            <w:tcW w:w="2300" w:type="dxa"/>
            <w:vAlign w:val="bottom"/>
            <w:gridSpan w:val="3"/>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RAM Energy LLC (Delaware)</w:t>
            </w:r>
          </w:p>
        </w:tc>
        <w:tc>
          <w:tcPr>
            <w:tcW w:w="2300" w:type="dxa"/>
            <w:vAlign w:val="bottom"/>
            <w:gridSpan w:val="3"/>
            <w:shd w:val="clear" w:color="auto" w:fill="CCEEFF"/>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SuttonPark Holdings, Inc. (Delaware)</w:t>
            </w:r>
          </w:p>
        </w:tc>
        <w:tc>
          <w:tcPr>
            <w:tcW w:w="2300" w:type="dxa"/>
            <w:vAlign w:val="bottom"/>
            <w:gridSpan w:val="3"/>
          </w:tcPr>
          <w:p>
            <w:pPr>
              <w:ind w:left="1600"/>
              <w:spacing w:after="0"/>
              <w:rPr>
                <w:sz w:val="20"/>
                <w:szCs w:val="20"/>
                <w:color w:val="auto"/>
              </w:rPr>
            </w:pPr>
            <w:r>
              <w:rPr>
                <w:rFonts w:ascii="Arial" w:cs="Arial" w:eastAsia="Arial" w:hAnsi="Arial"/>
                <w:sz w:val="18"/>
                <w:szCs w:val="18"/>
                <w:color w:val="auto"/>
                <w:w w:val="97"/>
              </w:rPr>
              <w:t xml:space="preserve">100% </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SuttonPark Capital LLC (Delaware)</w:t>
            </w:r>
          </w:p>
        </w:tc>
        <w:tc>
          <w:tcPr>
            <w:tcW w:w="7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 xml:space="preserve">N/A  </w:t>
            </w: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entity is directly owned 99% by us and 1% by PennantPark SBIC GP, LLC, which is effectively wholly-owned by us.</w:t>
      </w:r>
    </w:p>
    <w:p>
      <w:pPr>
        <w:spacing w:after="0" w:line="34" w:lineRule="exact"/>
        <w:rPr>
          <w:rFonts w:ascii="Arial" w:cs="Arial" w:eastAsia="Arial" w:hAnsi="Arial"/>
          <w:sz w:val="17"/>
          <w:szCs w:val="17"/>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entity is directly owned 99% by us and 1% by PennantPark SBIC GP II, LLC, which is effectively wholly-owned by us.</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entity is not operational.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is a controlled affiliated investment.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entity is indirectly owned by us and directly owned by SuttonPark Holdings, Inc.</w:t>
      </w:r>
    </w:p>
    <w:p>
      <w:pPr>
        <w:sectPr>
          <w:pgSz w:w="11900" w:h="16838" w:orient="portrait"/>
          <w:cols w:equalWidth="0" w:num="1">
            <w:col w:w="10219"/>
          </w:cols>
          <w:pgMar w:left="240" w:top="288"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5200" w:type="dxa"/>
            <w:vAlign w:val="bottom"/>
            <w:gridSpan w:val="3"/>
          </w:tcPr>
          <w:p>
            <w:pPr>
              <w:ind w:left="200"/>
              <w:spacing w:after="0"/>
              <w:rPr>
                <w:sz w:val="20"/>
                <w:szCs w:val="20"/>
                <w:color w:val="auto"/>
              </w:rPr>
            </w:pPr>
            <w:r>
              <w:rPr>
                <w:rFonts w:ascii="Arial" w:cs="Arial" w:eastAsia="Arial" w:hAnsi="Arial"/>
                <w:sz w:val="18"/>
                <w:szCs w:val="18"/>
                <w:b w:val="1"/>
                <w:bCs w:val="1"/>
                <w:color w:val="auto"/>
              </w:rPr>
              <w:t>Number of holders of shares</w:t>
            </w:r>
          </w:p>
        </w:tc>
        <w:tc>
          <w:tcPr>
            <w:tcW w:w="2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040" w:type="dxa"/>
            <w:vAlign w:val="bottom"/>
            <w:gridSpan w:val="4"/>
          </w:tcPr>
          <w:p>
            <w:pPr>
              <w:ind w:left="460"/>
              <w:spacing w:after="0"/>
              <w:rPr>
                <w:sz w:val="20"/>
                <w:szCs w:val="20"/>
                <w:color w:val="auto"/>
              </w:rPr>
            </w:pPr>
            <w:r>
              <w:rPr>
                <w:rFonts w:ascii="Arial" w:cs="Arial" w:eastAsia="Arial" w:hAnsi="Arial"/>
                <w:sz w:val="18"/>
                <w:szCs w:val="18"/>
                <w:color w:val="auto"/>
              </w:rPr>
              <w:t>As of June 30, 2014</w:t>
            </w:r>
          </w:p>
        </w:tc>
        <w:tc>
          <w:tcPr>
            <w:tcW w:w="2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40" w:type="dxa"/>
            <w:vAlign w:val="bottom"/>
          </w:tcPr>
          <w:p>
            <w:pPr>
              <w:spacing w:after="0"/>
              <w:rPr>
                <w:sz w:val="24"/>
                <w:szCs w:val="24"/>
                <w:color w:val="auto"/>
              </w:rPr>
            </w:pPr>
          </w:p>
        </w:tc>
        <w:tc>
          <w:tcPr>
            <w:tcW w:w="5200" w:type="dxa"/>
            <w:vAlign w:val="bottom"/>
            <w:gridSpan w:val="3"/>
          </w:tcPr>
          <w:p>
            <w:pPr>
              <w:ind w:left="540"/>
              <w:spacing w:after="0"/>
              <w:rPr>
                <w:sz w:val="20"/>
                <w:szCs w:val="20"/>
                <w:color w:val="auto"/>
              </w:rPr>
            </w:pPr>
            <w:r>
              <w:rPr>
                <w:rFonts w:ascii="Arial" w:cs="Arial" w:eastAsia="Arial" w:hAnsi="Arial"/>
                <w:sz w:val="14"/>
                <w:szCs w:val="14"/>
                <w:b w:val="1"/>
                <w:bCs w:val="1"/>
                <w:color w:val="auto"/>
              </w:rPr>
              <w:t>Title of Class</w:t>
            </w:r>
          </w:p>
        </w:tc>
        <w:tc>
          <w:tcPr>
            <w:tcW w:w="4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Record Holders</w:t>
            </w:r>
          </w:p>
        </w:tc>
      </w:tr>
      <w:tr>
        <w:trPr>
          <w:trHeight w:val="20"/>
        </w:trPr>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$0.001 par value</w:t>
            </w:r>
          </w:p>
        </w:tc>
        <w:tc>
          <w:tcPr>
            <w:tcW w:w="2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 Our Investment Adviser and Administrator” which are hereby incorporated by reference. Additional information regarding the Adviser and its officers and directors is set forth in its Form ADV, as filed with the SEC (SEC File No. 801-67622), and is incorporated herein by reference.</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70"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15th Avenue, Brooklyn, NY 11219;</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Custodian, The Bank of New York Mellon, One Wall Street, New York, NY 10286;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w:t>
      </w:r>
    </w:p>
    <w:p>
      <w:pPr>
        <w:spacing w:after="0" w:line="225" w:lineRule="exact"/>
        <w:rPr>
          <w:sz w:val="20"/>
          <w:szCs w:val="20"/>
          <w:color w:val="auto"/>
        </w:rPr>
      </w:pPr>
    </w:p>
    <w:p>
      <w:pPr>
        <w:ind w:firstLine="464"/>
        <w:spacing w:after="0" w:line="264" w:lineRule="auto"/>
        <w:tabs>
          <w:tab w:leader="none" w:pos="7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NAV declines more than 10 percent from its NAV as of the effective date of the Registration Statement or (b) the NAV increases to an amount greater than its net proceeds as stated in the prospectus;</w:t>
      </w:r>
    </w:p>
    <w:p>
      <w:pPr>
        <w:sectPr>
          <w:pgSz w:w="11900" w:h="16838" w:orient="portrait"/>
          <w:cols w:equalWidth="0" w:num="1">
            <w:col w:w="11400"/>
          </w:cols>
          <w:pgMar w:left="240" w:top="270" w:right="259" w:bottom="1440" w:gutter="0" w:footer="0" w:header="0"/>
        </w:sectPr>
      </w:pPr>
    </w:p>
    <w:bookmarkStart w:id="7" w:name="page8"/>
    <w:bookmarkEnd w:id="7"/>
    <w:p>
      <w:pPr>
        <w:ind w:left="260" w:hanging="256"/>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applicable;</w:t>
      </w:r>
    </w:p>
    <w:p>
      <w:pPr>
        <w:spacing w:after="0" w:line="225" w:lineRule="exact"/>
        <w:rPr>
          <w:rFonts w:ascii="Arial" w:cs="Arial" w:eastAsia="Arial" w:hAnsi="Arial"/>
          <w:sz w:val="18"/>
          <w:szCs w:val="18"/>
          <w:color w:val="auto"/>
        </w:rPr>
      </w:pPr>
    </w:p>
    <w:p>
      <w:pPr>
        <w:ind w:left="-460" w:firstLine="464"/>
        <w:spacing w:after="0" w:line="297" w:lineRule="auto"/>
        <w:tabs>
          <w:tab w:leader="none" w:pos="25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225" w:lineRule="exact"/>
        <w:rPr>
          <w:sz w:val="20"/>
          <w:szCs w:val="20"/>
          <w:color w:val="auto"/>
        </w:rPr>
      </w:pPr>
    </w:p>
    <w:p>
      <w:pPr>
        <w:ind w:left="220" w:hanging="216"/>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460" w:right="320" w:firstLine="464"/>
        <w:spacing w:after="0" w:line="342" w:lineRule="auto"/>
        <w:tabs>
          <w:tab w:leader="none" w:pos="26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123" w:lineRule="exact"/>
        <w:rPr>
          <w:rFonts w:ascii="Arial" w:cs="Arial" w:eastAsia="Arial" w:hAnsi="Arial"/>
          <w:sz w:val="16"/>
          <w:szCs w:val="16"/>
          <w:color w:val="auto"/>
        </w:rPr>
      </w:pPr>
    </w:p>
    <w:p>
      <w:pPr>
        <w:ind w:left="-460" w:right="280" w:firstLine="464"/>
        <w:spacing w:after="0" w:line="277" w:lineRule="auto"/>
        <w:tabs>
          <w:tab w:leader="none" w:pos="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460" w:right="2360" w:firstLine="464"/>
        <w:spacing w:after="0" w:line="342" w:lineRule="auto"/>
        <w:tabs>
          <w:tab w:leader="none" w:pos="25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123" w:lineRule="exact"/>
        <w:rPr>
          <w:rFonts w:ascii="Arial" w:cs="Arial" w:eastAsia="Arial" w:hAnsi="Arial"/>
          <w:sz w:val="16"/>
          <w:szCs w:val="16"/>
          <w:color w:val="auto"/>
        </w:rPr>
      </w:pPr>
    </w:p>
    <w:p>
      <w:pPr>
        <w:ind w:left="-460" w:right="500" w:firstLine="464"/>
        <w:spacing w:after="0" w:line="264" w:lineRule="auto"/>
        <w:tabs>
          <w:tab w:leader="none" w:pos="2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181" w:lineRule="exact"/>
        <w:rPr>
          <w:rFonts w:ascii="Arial" w:cs="Arial" w:eastAsia="Arial" w:hAnsi="Arial"/>
          <w:sz w:val="18"/>
          <w:szCs w:val="18"/>
          <w:color w:val="auto"/>
        </w:rPr>
      </w:pPr>
    </w:p>
    <w:p>
      <w:pPr>
        <w:ind w:left="-460" w:right="160" w:firstLine="464"/>
        <w:spacing w:after="0" w:line="277" w:lineRule="auto"/>
        <w:tabs>
          <w:tab w:leader="none" w:pos="2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60" w:right="80" w:firstLine="464"/>
        <w:spacing w:after="0" w:line="291" w:lineRule="auto"/>
        <w:tabs>
          <w:tab w:leader="none" w:pos="241"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7" w:lineRule="exact"/>
        <w:rPr>
          <w:rFonts w:ascii="Arial" w:cs="Arial" w:eastAsia="Arial" w:hAnsi="Arial"/>
          <w:sz w:val="16"/>
          <w:szCs w:val="16"/>
          <w:color w:val="auto"/>
        </w:rPr>
      </w:pPr>
    </w:p>
    <w:p>
      <w:pPr>
        <w:ind w:left="-460" w:right="160" w:firstLine="464"/>
        <w:spacing w:after="0" w:line="302" w:lineRule="auto"/>
        <w:tabs>
          <w:tab w:leader="none" w:pos="22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54" w:lineRule="exact"/>
        <w:rPr>
          <w:sz w:val="20"/>
          <w:szCs w:val="20"/>
          <w:color w:val="auto"/>
        </w:rPr>
      </w:pPr>
    </w:p>
    <w:p>
      <w:pPr>
        <w:ind w:left="-460" w:right="200" w:firstLine="464"/>
        <w:spacing w:after="0" w:line="277" w:lineRule="auto"/>
        <w:tabs>
          <w:tab w:leader="none" w:pos="2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ectPr>
          <w:pgSz w:w="11900" w:h="16838" w:orient="portrait"/>
          <w:cols w:equalWidth="0" w:num="1">
            <w:col w:w="10920"/>
          </w:cols>
          <w:pgMar w:left="700" w:top="274" w:right="279" w:bottom="1440" w:gutter="0" w:footer="0" w:header="0"/>
        </w:sectPr>
      </w:pPr>
    </w:p>
    <w:bookmarkStart w:id="8" w:name="page9"/>
    <w:bookmarkEnd w:id="8"/>
    <w:p>
      <w:pPr>
        <w:ind w:right="320" w:firstLine="464"/>
        <w:spacing w:after="0" w:line="277" w:lineRule="auto"/>
        <w:tabs>
          <w:tab w:leader="none" w:pos="721"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780" w:hanging="31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 and</w:t>
      </w:r>
    </w:p>
    <w:p>
      <w:pPr>
        <w:spacing w:after="0" w:line="225" w:lineRule="exact"/>
        <w:rPr>
          <w:sz w:val="20"/>
          <w:szCs w:val="20"/>
          <w:color w:val="auto"/>
        </w:rPr>
      </w:pPr>
    </w:p>
    <w:p>
      <w:pPr>
        <w:ind w:right="140" w:firstLine="464"/>
        <w:spacing w:after="0" w:line="291" w:lineRule="auto"/>
        <w:tabs>
          <w:tab w:leader="none" w:pos="711" w:val="left"/>
        </w:tabs>
        <w:numPr>
          <w:ilvl w:val="1"/>
          <w:numId w:val="20"/>
        </w:numPr>
        <w:rPr>
          <w:rFonts w:ascii="Arial" w:cs="Arial" w:eastAsia="Arial" w:hAnsi="Arial"/>
          <w:sz w:val="16"/>
          <w:szCs w:val="16"/>
          <w:color w:val="auto"/>
        </w:rPr>
      </w:pPr>
      <w:r>
        <w:rPr>
          <w:rFonts w:ascii="Arial" w:cs="Arial" w:eastAsia="Arial" w:hAnsi="Arial"/>
          <w:sz w:val="16"/>
          <w:szCs w:val="16"/>
          <w:color w:val="auto"/>
        </w:rPr>
        <w:t>to file a post-effective amendment to the registration statement, and to suspend any offers or sales pursuant the registration statement until such post-effective amendment has been declared effective under the Securities Act, in the event the shares of the Registrant are trading below its NAV and either</w:t>
      </w:r>
    </w:p>
    <w:p>
      <w:pPr>
        <w:ind w:firstLine="8"/>
        <w:spacing w:after="0" w:line="254"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9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(5)(a) that for the purposes of determining any liability under the Securities Act, the information omitted from the form of prospectus filed as part of a registration statement in reliance upon Rule 430A and contained in the form of prospectus filed by the Registrant under Rule 497(h) under the Securities Act shall be deemed to be part of the Registration Statement as of the time it was declared effective; and</w:t>
      </w:r>
    </w:p>
    <w:p>
      <w:pPr>
        <w:spacing w:after="0" w:line="181" w:lineRule="exact"/>
        <w:rPr>
          <w:sz w:val="20"/>
          <w:szCs w:val="20"/>
          <w:color w:val="auto"/>
        </w:rPr>
      </w:pPr>
    </w:p>
    <w:p>
      <w:pPr>
        <w:ind w:right="80" w:firstLine="464"/>
        <w:spacing w:after="0" w:line="264" w:lineRule="auto"/>
        <w:tabs>
          <w:tab w:leader="none" w:pos="7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81" w:lineRule="exact"/>
        <w:rPr>
          <w:sz w:val="20"/>
          <w:szCs w:val="20"/>
          <w:color w:val="auto"/>
        </w:rPr>
      </w:pPr>
    </w:p>
    <w:p>
      <w:pPr>
        <w:ind w:left="720" w:hanging="256"/>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applicable; and</w:t>
      </w:r>
    </w:p>
    <w:p>
      <w:pPr>
        <w:spacing w:after="0" w:line="225" w:lineRule="exact"/>
        <w:rPr>
          <w:rFonts w:ascii="Arial" w:cs="Arial" w:eastAsia="Arial" w:hAnsi="Arial"/>
          <w:sz w:val="18"/>
          <w:szCs w:val="18"/>
          <w:color w:val="auto"/>
        </w:rPr>
      </w:pPr>
    </w:p>
    <w:p>
      <w:pPr>
        <w:ind w:right="60" w:firstLine="464"/>
        <w:spacing w:after="0" w:line="291" w:lineRule="auto"/>
        <w:tabs>
          <w:tab w:leader="none" w:pos="71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NAV per share arising from</w:t>
      </w:r>
    </w:p>
    <w:p>
      <w:pPr>
        <w:ind w:right="360"/>
        <w:spacing w:after="0" w:line="281" w:lineRule="auto"/>
        <w:rPr>
          <w:rFonts w:ascii="Arial" w:cs="Arial" w:eastAsia="Arial" w:hAnsi="Arial"/>
          <w:sz w:val="16"/>
          <w:szCs w:val="16"/>
          <w:color w:val="auto"/>
        </w:rPr>
      </w:pPr>
      <w:r>
        <w:rPr>
          <w:rFonts w:ascii="Arial" w:cs="Arial" w:eastAsia="Arial" w:hAnsi="Arial"/>
          <w:sz w:val="16"/>
          <w:szCs w:val="16"/>
          <w:color w:val="auto"/>
        </w:rPr>
        <w:t>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each subsequent offering. If the Registrant files a new post-effective amendment, the threshold would reset.</w:t>
      </w:r>
    </w:p>
    <w:p>
      <w:pPr>
        <w:sectPr>
          <w:pgSz w:w="11900" w:h="16838" w:orient="portrait"/>
          <w:cols w:equalWidth="0" w:num="1">
            <w:col w:w="11420"/>
          </w:cols>
          <w:pgMar w:left="240" w:top="274"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2 to the Registration Statement on Form N-2 to be signed on its behalf by the undersigned, thereunto duly authorized, in the City of New York, and State of New York, on the 23</w:t>
      </w:r>
      <w:r>
        <w:rPr>
          <w:rFonts w:ascii="Arial" w:cs="Arial" w:eastAsia="Arial" w:hAnsi="Arial"/>
          <w:sz w:val="15"/>
          <w:szCs w:val="15"/>
          <w:color w:val="auto"/>
        </w:rPr>
        <w:t>rd</w:t>
      </w:r>
      <w:r>
        <w:rPr>
          <w:rFonts w:ascii="Arial" w:cs="Arial" w:eastAsia="Arial" w:hAnsi="Arial"/>
          <w:sz w:val="18"/>
          <w:szCs w:val="18"/>
          <w:color w:val="auto"/>
        </w:rPr>
        <w:t xml:space="preserve"> day of September 2014.</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w:t>
            </w:r>
            <w:r>
              <w:rPr>
                <w:rFonts w:ascii="Arial" w:cs="Arial" w:eastAsia="Arial" w:hAnsi="Arial"/>
                <w:sz w:val="11"/>
                <w:szCs w:val="11"/>
                <w:color w:val="auto"/>
              </w:rPr>
              <w:t>RTHUR</w:t>
            </w:r>
            <w:r>
              <w:rPr>
                <w:rFonts w:ascii="Arial" w:cs="Arial" w:eastAsia="Arial" w:hAnsi="Arial"/>
                <w:sz w:val="14"/>
                <w:szCs w:val="14"/>
                <w:color w:val="auto"/>
              </w:rPr>
              <w:t xml:space="preserve"> H. P</w:t>
            </w:r>
            <w:r>
              <w:rPr>
                <w:rFonts w:ascii="Arial" w:cs="Arial" w:eastAsia="Arial" w:hAnsi="Arial"/>
                <w:sz w:val="11"/>
                <w:szCs w:val="11"/>
                <w:color w:val="auto"/>
              </w:rPr>
              <w:t>ENN</w:t>
            </w:r>
          </w:p>
        </w:tc>
      </w:tr>
      <w:tr>
        <w:trPr>
          <w:trHeight w:val="133"/>
        </w:trPr>
        <w:tc>
          <w:tcPr>
            <w:tcW w:w="4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88"/>
              </w:rPr>
              <w:t>Name:</w:t>
            </w:r>
          </w:p>
        </w:tc>
        <w:tc>
          <w:tcPr>
            <w:tcW w:w="4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Arthur H. Penn</w:t>
            </w:r>
          </w:p>
        </w:tc>
      </w:tr>
      <w:tr>
        <w:trPr>
          <w:trHeight w:val="186"/>
        </w:trPr>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4"/>
              </w:rPr>
              <w:t>Chief Executive Officer and Chairman of the Board</w:t>
            </w:r>
          </w:p>
        </w:tc>
      </w:tr>
    </w:tbl>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2 to the Registration Statement on Form N-2 has been signed by the following persons in the capacities set forth below on the 23</w:t>
      </w:r>
      <w:r>
        <w:rPr>
          <w:rFonts w:ascii="Arial" w:cs="Arial" w:eastAsia="Arial" w:hAnsi="Arial"/>
          <w:sz w:val="15"/>
          <w:szCs w:val="15"/>
          <w:color w:val="auto"/>
        </w:rPr>
        <w:t>rd</w:t>
      </w:r>
      <w:r>
        <w:rPr>
          <w:rFonts w:ascii="Arial" w:cs="Arial" w:eastAsia="Arial" w:hAnsi="Arial"/>
          <w:sz w:val="18"/>
          <w:szCs w:val="18"/>
          <w:color w:val="auto"/>
        </w:rPr>
        <w:t xml:space="preserve"> day of September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tcPr>
          <w:p>
            <w:pPr>
              <w:spacing w:after="0"/>
              <w:rPr>
                <w:sz w:val="14"/>
                <w:szCs w:val="14"/>
                <w:color w:val="auto"/>
              </w:rPr>
            </w:pPr>
          </w:p>
        </w:tc>
        <w:tc>
          <w:tcPr>
            <w:tcW w:w="5100" w:type="dxa"/>
            <w:vAlign w:val="bottom"/>
            <w:gridSpan w:val="3"/>
          </w:tcPr>
          <w:p>
            <w:pPr>
              <w:jc w:val="center"/>
              <w:ind w:left="1532"/>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00" w:type="dxa"/>
            <w:vAlign w:val="bottom"/>
            <w:vMerge w:val="restart"/>
          </w:tcPr>
          <w:p>
            <w:pPr>
              <w:spacing w:after="0"/>
              <w:rPr>
                <w:sz w:val="20"/>
                <w:szCs w:val="20"/>
                <w:color w:val="auto"/>
              </w:rPr>
            </w:pPr>
            <w:r>
              <w:rPr>
                <w:rFonts w:ascii="Arial" w:cs="Arial" w:eastAsia="Arial" w:hAnsi="Arial"/>
                <w:sz w:val="18"/>
                <w:szCs w:val="18"/>
                <w:color w:val="auto"/>
              </w:rPr>
              <w:t>H. PENN</w:t>
            </w:r>
          </w:p>
        </w:tc>
        <w:tc>
          <w:tcPr>
            <w:tcW w:w="3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tcBorders>
              <w:bottom w:val="single" w:sz="8" w:color="auto"/>
            </w:tcBorders>
            <w:gridSpan w:val="2"/>
          </w:tcPr>
          <w:p>
            <w:pPr>
              <w:ind w:left="1860"/>
              <w:spacing w:after="0"/>
              <w:rPr>
                <w:sz w:val="20"/>
                <w:szCs w:val="20"/>
                <w:color w:val="auto"/>
              </w:rPr>
            </w:pPr>
            <w:r>
              <w:rPr>
                <w:rFonts w:ascii="Arial" w:cs="Arial" w:eastAsia="Arial" w:hAnsi="Arial"/>
                <w:sz w:val="18"/>
                <w:szCs w:val="18"/>
                <w:color w:val="auto"/>
              </w:rPr>
              <w:t>/s/ ARTHUR</w:t>
            </w:r>
          </w:p>
        </w:tc>
        <w:tc>
          <w:tcPr>
            <w:tcW w:w="2500" w:type="dxa"/>
            <w:vAlign w:val="bottom"/>
            <w:tcBorders>
              <w:bottom w:val="single" w:sz="8" w:color="auto"/>
            </w:tcBorders>
            <w:vMerge w:val="continue"/>
          </w:tcPr>
          <w:p>
            <w:pPr>
              <w:spacing w:after="0"/>
              <w:rPr>
                <w:sz w:val="18"/>
                <w:szCs w:val="18"/>
                <w:color w:val="auto"/>
              </w:rPr>
            </w:pPr>
          </w:p>
        </w:tc>
        <w:tc>
          <w:tcPr>
            <w:tcW w:w="5100" w:type="dxa"/>
            <w:vAlign w:val="bottom"/>
            <w:gridSpan w:val="3"/>
          </w:tcPr>
          <w:p>
            <w:pPr>
              <w:jc w:val="center"/>
              <w:ind w:left="1532"/>
              <w:spacing w:after="0"/>
              <w:rPr>
                <w:sz w:val="20"/>
                <w:szCs w:val="20"/>
                <w:color w:val="auto"/>
              </w:rPr>
            </w:pPr>
            <w:r>
              <w:rPr>
                <w:rFonts w:ascii="Arial" w:cs="Arial" w:eastAsia="Arial" w:hAnsi="Arial"/>
                <w:sz w:val="18"/>
                <w:szCs w:val="18"/>
                <w:color w:val="auto"/>
                <w:w w:val="92"/>
              </w:rPr>
              <w:t>Chairman of the Board of Directors and Chief</w:t>
            </w:r>
          </w:p>
        </w:tc>
        <w:tc>
          <w:tcPr>
            <w:tcW w:w="0" w:type="dxa"/>
            <w:vAlign w:val="bottom"/>
          </w:tcPr>
          <w:p>
            <w:pPr>
              <w:spacing w:after="0"/>
              <w:rPr>
                <w:sz w:val="1"/>
                <w:szCs w:val="1"/>
                <w:color w:val="auto"/>
              </w:rPr>
            </w:pPr>
          </w:p>
        </w:tc>
      </w:tr>
      <w:tr>
        <w:trPr>
          <w:trHeight w:val="228"/>
        </w:trPr>
        <w:tc>
          <w:tcPr>
            <w:tcW w:w="5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Arthur H. Penn</w:t>
            </w:r>
          </w:p>
        </w:tc>
        <w:tc>
          <w:tcPr>
            <w:tcW w:w="5100" w:type="dxa"/>
            <w:vAlign w:val="bottom"/>
            <w:gridSpan w:val="3"/>
          </w:tcPr>
          <w:p>
            <w:pPr>
              <w:jc w:val="center"/>
              <w:ind w:left="1532"/>
              <w:spacing w:after="0"/>
              <w:rPr>
                <w:sz w:val="20"/>
                <w:szCs w:val="20"/>
                <w:color w:val="auto"/>
              </w:rPr>
            </w:pPr>
            <w:r>
              <w:rPr>
                <w:rFonts w:ascii="Arial" w:cs="Arial" w:eastAsia="Arial" w:hAnsi="Arial"/>
                <w:sz w:val="18"/>
                <w:szCs w:val="18"/>
                <w:color w:val="auto"/>
                <w:w w:val="94"/>
              </w:rPr>
              <w:t>Executive Officer (Principal Executive Officer)</w:t>
            </w:r>
          </w:p>
        </w:tc>
        <w:tc>
          <w:tcPr>
            <w:tcW w:w="0" w:type="dxa"/>
            <w:vAlign w:val="bottom"/>
          </w:tcPr>
          <w:p>
            <w:pPr>
              <w:spacing w:after="0"/>
              <w:rPr>
                <w:sz w:val="1"/>
                <w:szCs w:val="1"/>
                <w:color w:val="auto"/>
              </w:rPr>
            </w:pPr>
          </w:p>
        </w:tc>
      </w:tr>
      <w:tr>
        <w:trPr>
          <w:trHeight w:val="427"/>
        </w:trPr>
        <w:tc>
          <w:tcPr>
            <w:tcW w:w="5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AVIV EFRAT</w:t>
            </w:r>
          </w:p>
        </w:tc>
        <w:tc>
          <w:tcPr>
            <w:tcW w:w="5100" w:type="dxa"/>
            <w:vAlign w:val="bottom"/>
            <w:gridSpan w:val="3"/>
          </w:tcPr>
          <w:p>
            <w:pPr>
              <w:jc w:val="center"/>
              <w:ind w:left="1532"/>
              <w:spacing w:after="0"/>
              <w:rPr>
                <w:sz w:val="20"/>
                <w:szCs w:val="20"/>
                <w:color w:val="auto"/>
              </w:rPr>
            </w:pPr>
            <w:r>
              <w:rPr>
                <w:rFonts w:ascii="Arial" w:cs="Arial" w:eastAsia="Arial" w:hAnsi="Arial"/>
                <w:sz w:val="18"/>
                <w:szCs w:val="18"/>
                <w:color w:val="auto"/>
                <w:w w:val="92"/>
              </w:rPr>
              <w:t>Chief Financial Officer and Treasurer (Principal</w:t>
            </w:r>
          </w:p>
        </w:tc>
        <w:tc>
          <w:tcPr>
            <w:tcW w:w="0" w:type="dxa"/>
            <w:vAlign w:val="bottom"/>
          </w:tcPr>
          <w:p>
            <w:pPr>
              <w:spacing w:after="0"/>
              <w:rPr>
                <w:sz w:val="1"/>
                <w:szCs w:val="1"/>
                <w:color w:val="auto"/>
              </w:rPr>
            </w:pPr>
          </w:p>
        </w:tc>
      </w:tr>
      <w:tr>
        <w:trPr>
          <w:trHeight w:val="228"/>
        </w:trPr>
        <w:tc>
          <w:tcPr>
            <w:tcW w:w="5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Aviv Efrat</w:t>
            </w:r>
          </w:p>
        </w:tc>
        <w:tc>
          <w:tcPr>
            <w:tcW w:w="5100" w:type="dxa"/>
            <w:vAlign w:val="bottom"/>
            <w:gridSpan w:val="3"/>
          </w:tcPr>
          <w:p>
            <w:pPr>
              <w:jc w:val="center"/>
              <w:ind w:left="1532"/>
              <w:spacing w:after="0"/>
              <w:rPr>
                <w:sz w:val="20"/>
                <w:szCs w:val="20"/>
                <w:color w:val="auto"/>
              </w:rPr>
            </w:pPr>
            <w:r>
              <w:rPr>
                <w:rFonts w:ascii="Arial" w:cs="Arial" w:eastAsia="Arial" w:hAnsi="Arial"/>
                <w:sz w:val="18"/>
                <w:szCs w:val="18"/>
                <w:color w:val="auto"/>
                <w:w w:val="93"/>
              </w:rPr>
              <w:t>Financial and Accounting Officer)</w:t>
            </w:r>
          </w:p>
        </w:tc>
        <w:tc>
          <w:tcPr>
            <w:tcW w:w="0" w:type="dxa"/>
            <w:vAlign w:val="bottom"/>
          </w:tcPr>
          <w:p>
            <w:pPr>
              <w:spacing w:after="0"/>
              <w:rPr>
                <w:sz w:val="1"/>
                <w:szCs w:val="1"/>
                <w:color w:val="auto"/>
              </w:rPr>
            </w:pPr>
          </w:p>
        </w:tc>
      </w:tr>
      <w:tr>
        <w:trPr>
          <w:trHeight w:val="427"/>
        </w:trPr>
        <w:tc>
          <w:tcPr>
            <w:tcW w:w="2880" w:type="dxa"/>
            <w:vAlign w:val="bottom"/>
            <w:tcBorders>
              <w:bottom w:val="single" w:sz="8" w:color="auto"/>
            </w:tcBorders>
            <w:gridSpan w:val="2"/>
          </w:tcPr>
          <w:p>
            <w:pPr>
              <w:jc w:val="center"/>
              <w:ind w:left="243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tcPr>
          <w:p>
            <w:pPr>
              <w:spacing w:after="0"/>
              <w:rPr>
                <w:sz w:val="24"/>
                <w:szCs w:val="24"/>
                <w:color w:val="auto"/>
              </w:rPr>
            </w:pPr>
          </w:p>
        </w:tc>
        <w:tc>
          <w:tcPr>
            <w:tcW w:w="5100" w:type="dxa"/>
            <w:vAlign w:val="bottom"/>
            <w:gridSpan w:val="3"/>
          </w:tcPr>
          <w:p>
            <w:pPr>
              <w:jc w:val="center"/>
              <w:ind w:left="153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Adam K. Bernstein</w:t>
            </w: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880" w:type="dxa"/>
            <w:vAlign w:val="bottom"/>
            <w:tcBorders>
              <w:bottom w:val="single" w:sz="8" w:color="auto"/>
            </w:tcBorders>
            <w:gridSpan w:val="2"/>
          </w:tcPr>
          <w:p>
            <w:pPr>
              <w:jc w:val="center"/>
              <w:ind w:left="243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tcPr>
          <w:p>
            <w:pPr>
              <w:spacing w:after="0"/>
              <w:rPr>
                <w:sz w:val="24"/>
                <w:szCs w:val="24"/>
                <w:color w:val="auto"/>
              </w:rPr>
            </w:pPr>
          </w:p>
        </w:tc>
        <w:tc>
          <w:tcPr>
            <w:tcW w:w="5100" w:type="dxa"/>
            <w:vAlign w:val="bottom"/>
            <w:gridSpan w:val="3"/>
          </w:tcPr>
          <w:p>
            <w:pPr>
              <w:jc w:val="center"/>
              <w:ind w:left="153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Jeffrey Flug</w:t>
            </w: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880" w:type="dxa"/>
            <w:vAlign w:val="bottom"/>
            <w:tcBorders>
              <w:bottom w:val="single" w:sz="8" w:color="auto"/>
            </w:tcBorders>
            <w:gridSpan w:val="2"/>
          </w:tcPr>
          <w:p>
            <w:pPr>
              <w:jc w:val="center"/>
              <w:ind w:left="243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tcPr>
          <w:p>
            <w:pPr>
              <w:spacing w:after="0"/>
              <w:rPr>
                <w:sz w:val="24"/>
                <w:szCs w:val="24"/>
                <w:color w:val="auto"/>
              </w:rPr>
            </w:pPr>
          </w:p>
        </w:tc>
        <w:tc>
          <w:tcPr>
            <w:tcW w:w="5100" w:type="dxa"/>
            <w:vAlign w:val="bottom"/>
            <w:gridSpan w:val="3"/>
          </w:tcPr>
          <w:p>
            <w:pPr>
              <w:jc w:val="center"/>
              <w:ind w:left="153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Marshall Brozost</w:t>
            </w: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880" w:type="dxa"/>
            <w:vAlign w:val="bottom"/>
            <w:tcBorders>
              <w:bottom w:val="single" w:sz="8" w:color="auto"/>
            </w:tcBorders>
            <w:gridSpan w:val="2"/>
          </w:tcPr>
          <w:p>
            <w:pPr>
              <w:jc w:val="center"/>
              <w:ind w:left="243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tcPr>
          <w:p>
            <w:pPr>
              <w:spacing w:after="0"/>
              <w:rPr>
                <w:sz w:val="24"/>
                <w:szCs w:val="24"/>
                <w:color w:val="auto"/>
              </w:rPr>
            </w:pPr>
          </w:p>
        </w:tc>
        <w:tc>
          <w:tcPr>
            <w:tcW w:w="5100" w:type="dxa"/>
            <w:vAlign w:val="bottom"/>
            <w:gridSpan w:val="3"/>
          </w:tcPr>
          <w:p>
            <w:pPr>
              <w:jc w:val="center"/>
              <w:ind w:left="153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Samuel L. Katz</w:t>
            </w: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Signed by Aviv Efrat on behalf of those identified pursuant to his designation as an attorney-in-fact signed by each on December 11, 2013.</w:t>
      </w:r>
    </w:p>
    <w:p>
      <w:pPr>
        <w:sectPr>
          <w:pgSz w:w="11900" w:h="16838" w:orient="portrait"/>
          <w:cols w:equalWidth="0" w:num="1">
            <w:col w:w="11360"/>
          </w:cols>
          <w:pgMar w:left="240" w:top="270" w:right="2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(d)(11)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STOCK TRANSFER &amp; TRUST COMPANY,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September 23,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SUPPLEMENTAL INDENTURE</w:t>
      </w:r>
    </w:p>
    <w:p>
      <w:pPr>
        <w:spacing w:after="0" w:line="225" w:lineRule="exact"/>
        <w:rPr>
          <w:sz w:val="20"/>
          <w:szCs w:val="20"/>
          <w:color w:val="auto"/>
        </w:rPr>
      </w:pPr>
    </w:p>
    <w:p>
      <w:pPr>
        <w:jc w:val="both"/>
        <w:ind w:right="600" w:firstLine="913"/>
        <w:spacing w:after="0" w:line="312" w:lineRule="auto"/>
        <w:rPr>
          <w:sz w:val="20"/>
          <w:szCs w:val="20"/>
          <w:color w:val="auto"/>
        </w:rPr>
      </w:pPr>
      <w:r>
        <w:rPr>
          <w:rFonts w:ascii="Arial" w:cs="Arial" w:eastAsia="Arial" w:hAnsi="Arial"/>
          <w:sz w:val="16"/>
          <w:szCs w:val="16"/>
          <w:color w:val="auto"/>
        </w:rPr>
        <w:t>THIS SECOND SUPPLEMENTAL INDENTURE (this “Second Supplemental Indenture”), dated as of September 23, 2014, is between PennantPark Investment Corporation, a Maryland corporation (the “Company”), and American Stock Transfer &amp; Trust Company, LLC, as trustee (the “Trustee”). All capitalized terms used but not otherwise defined herein shall have the meaning set forth in the Base Indenture (as defined below).</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WHEREAS, the Company and the Trustee executed and delivered an Indenture, dated as of January 22, 2013 (the “Base Indenture,” and, as supplemented by this Second Supplemental Indenture, the “Indenture”), to provide for the issuance by the Company from time to time of the Company’s debt securities (the “Securities”) evidencing its unsecured indebtedness, to be issued in one or more series as provided in the Base Indenture;</w:t>
      </w:r>
    </w:p>
    <w:p>
      <w:pPr>
        <w:spacing w:after="0" w:line="14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WHEREAS, the Company desires to issue and sell up to $250,000,000 aggregate principal amount of the Company’s 4.500% Notes due 2019 (the “Notes”);</w:t>
      </w:r>
    </w:p>
    <w:p>
      <w:pPr>
        <w:spacing w:after="0" w:line="170"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WHEREAS, Sections 901(5) and 901(7)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Base Indenture when there is no Security Outstanding of any series created prior to the execution of a supplemental indenture that is entitled to the benefit of such provision and (ii) establish the form or terms of Securities of any series as permitted by Sections 201 and 301 of the Base Indenture;</w:t>
      </w:r>
    </w:p>
    <w:p>
      <w:pPr>
        <w:spacing w:after="0" w:line="173"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WHEREAS, the Company desires to establish the form and terms of the Notes and to modify, alter, supplement and change certain provisions of the Base Indenture for the benefit of the Holders of the Notes (except as may be provided in a future supplemental indenture to the Indenture (“Future Supplemental Indenture”)); and</w:t>
      </w:r>
    </w:p>
    <w:p>
      <w:pPr>
        <w:spacing w:after="0" w:line="181" w:lineRule="exact"/>
        <w:rPr>
          <w:sz w:val="20"/>
          <w:szCs w:val="20"/>
          <w:color w:val="auto"/>
        </w:rPr>
      </w:pPr>
    </w:p>
    <w:p>
      <w:pPr>
        <w:ind w:right="180" w:firstLine="913"/>
        <w:spacing w:after="0" w:line="286" w:lineRule="auto"/>
        <w:rPr>
          <w:sz w:val="20"/>
          <w:szCs w:val="20"/>
          <w:color w:val="auto"/>
        </w:rPr>
      </w:pPr>
      <w:r>
        <w:rPr>
          <w:rFonts w:ascii="Arial" w:cs="Arial" w:eastAsia="Arial" w:hAnsi="Arial"/>
          <w:sz w:val="17"/>
          <w:szCs w:val="17"/>
          <w:color w:val="auto"/>
        </w:rPr>
        <w:t>WHEREAS, the Company has duly authorized the execution and delivery of this Second Supplemental Indenture to provide for the issuance of the Notes and all acts and things necessary to make this Second Supplemental Indenture a valid and legally binding obligation of the Company and to constitute a valid agreement of the Company, in accordance with its terms, have been done and performed.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900" w:firstLine="913"/>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it is mutually agreed, for the equal and proportionate benefit of all Holders of the Notes, as follows:</w:t>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TERMS OF THE NOTES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Terms of the Notes.</w:t>
      </w:r>
      <w:r>
        <w:rPr>
          <w:rFonts w:ascii="Arial" w:cs="Arial" w:eastAsia="Arial" w:hAnsi="Arial"/>
          <w:sz w:val="18"/>
          <w:szCs w:val="18"/>
          <w:color w:val="auto"/>
        </w:rPr>
        <w:t xml:space="preserve"> The following terms relating to the Notes are hereby established:</w:t>
      </w:r>
    </w:p>
    <w:p>
      <w:pPr>
        <w:spacing w:after="0" w:line="225" w:lineRule="exact"/>
        <w:rPr>
          <w:sz w:val="20"/>
          <w:szCs w:val="20"/>
          <w:color w:val="auto"/>
        </w:rPr>
      </w:pPr>
    </w:p>
    <w:p>
      <w:pPr>
        <w:ind w:right="160" w:firstLine="921"/>
        <w:spacing w:after="0" w:line="277" w:lineRule="auto"/>
        <w:tabs>
          <w:tab w:leader="none" w:pos="11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Notes shall constitute a series of Securities having the title “4.500% Notes due 2019” and shall be designated as Senior Securities under the Indenture. The Notes shall bear a CUSIP number of 708062 AA2 and an ISIN number of US708062AA27.</w:t>
      </w:r>
    </w:p>
    <w:p>
      <w:pPr>
        <w:spacing w:after="0" w:line="170" w:lineRule="exact"/>
        <w:rPr>
          <w:rFonts w:ascii="Arial" w:cs="Arial" w:eastAsia="Arial" w:hAnsi="Arial"/>
          <w:sz w:val="18"/>
          <w:szCs w:val="18"/>
          <w:color w:val="auto"/>
        </w:rPr>
      </w:pPr>
    </w:p>
    <w:p>
      <w:pPr>
        <w:ind w:firstLine="921"/>
        <w:spacing w:after="0" w:line="255" w:lineRule="auto"/>
        <w:tabs>
          <w:tab w:leader="none" w:pos="11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principal amount of the Notes that may be initially authenticated and delivered under the Indenture (except for Notes authenticated and delivered upon registration of, transfer of, or in exchange for, or in lieu of, other Notes pursuant to Sections 304, 305, 306, 906 or 1107 of the Base Indenture) shall be up to $250,000,000 aggregate principal amount. Under a Board Resolution, Officer’s Certificate pursuant to Board Resolutions or an indenture supplement, the Company may from time to time, without the consent of the Holders of Notes, issue additional Notes (in any such case, “Additional Notes”) having the same ranking and the same interest rate, maturity and other terms as the Notes. Any Additional Notes and the existing Notes shall constitute a single series under the Indenture and all references to the relevant Notes herein shall include the Additional Notes unless the context otherwise requires.</w:t>
      </w:r>
    </w:p>
    <w:p>
      <w:pPr>
        <w:spacing w:after="0" w:line="189" w:lineRule="exact"/>
        <w:rPr>
          <w:rFonts w:ascii="Arial" w:cs="Arial" w:eastAsia="Arial" w:hAnsi="Arial"/>
          <w:sz w:val="18"/>
          <w:szCs w:val="18"/>
          <w:color w:val="auto"/>
        </w:rPr>
      </w:pPr>
    </w:p>
    <w:p>
      <w:pPr>
        <w:ind w:right="80" w:firstLine="921"/>
        <w:spacing w:after="0" w:line="277" w:lineRule="auto"/>
        <w:tabs>
          <w:tab w:leader="none" w:pos="11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entire outstanding principal of the Notes shall be payable on October 1, 2019, unless earlier redeemed or repurchased in accordance with the provisions of the Indenture.</w:t>
      </w:r>
    </w:p>
    <w:p>
      <w:pPr>
        <w:spacing w:after="0" w:line="170" w:lineRule="exact"/>
        <w:rPr>
          <w:rFonts w:ascii="Arial" w:cs="Arial" w:eastAsia="Arial" w:hAnsi="Arial"/>
          <w:sz w:val="18"/>
          <w:szCs w:val="18"/>
          <w:color w:val="auto"/>
        </w:rPr>
      </w:pPr>
    </w:p>
    <w:p>
      <w:pPr>
        <w:ind w:right="20" w:firstLine="921"/>
        <w:spacing w:after="0" w:line="286" w:lineRule="auto"/>
        <w:tabs>
          <w:tab w:leader="none" w:pos="116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rate at which the Notes shall bear interest shall be 4.500% per annum (the “Applicable Interest Rate”). The date from which interest shall accrue on the Notes shall be September 23, 2014, or the most recent Interest Payment Date to which interest has been paid or provided for; the Interest Payment Dates for the Notes shall be April 1 and October 1 of each year, commencing April 1, 2015 (</w:t>
      </w:r>
      <w:r>
        <w:rPr>
          <w:rFonts w:ascii="Arial" w:cs="Arial" w:eastAsia="Arial" w:hAnsi="Arial"/>
          <w:sz w:val="16"/>
          <w:szCs w:val="16"/>
          <w:i w:val="1"/>
          <w:iCs w:val="1"/>
          <w:color w:val="auto"/>
        </w:rPr>
        <w:t>provided</w:t>
      </w:r>
      <w:r>
        <w:rPr>
          <w:rFonts w:ascii="Arial" w:cs="Arial" w:eastAsia="Arial" w:hAnsi="Arial"/>
          <w:sz w:val="16"/>
          <w:szCs w:val="16"/>
          <w:color w:val="auto"/>
        </w:rPr>
        <w:t>, that if an Interest Payment Date falls on a day that is not a Business Day in The City of New York, then the applicable interest payment shall be made on the next succeeding Business Day and no additional interest shall accrue as a result of such delayed payment); the initial interest period shall be the period from, and including, September 23, 2014 (or the most recent Interest Payment Date to which interest has been paid or provided for), to, but excluding, the initial Interest Payment Date, and the subsequent interest periods shall be the periods from, and including, an Interest Payment Date to, but excluding, the next Interest Payment Date or the Stated Maturity, as the case may be; the interest so payable, and punctually paid or duly provided for, on any Interest Payment Date, shall be paid to the Person in whose name the Note (or one or more predecessor Notes) is registered at the close of business on the Regular Record Date for such interest, which shall be March 15 and September 15 of each year, commencing March 15, 2015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Regular Record Date falls on a day that is not a Business Day in The City of New York, then that Regular Record Date shall be the next succeeding Business Day), as the case may be, next preceding such Interest Payment Date. Payment of principal of (and premium, if any) and any such interest on the Notes shall be made at the Corporate Trust Office of the Trustee in such coin or currency of the United States of America as at the time of payment is legal tender for payment of public and private debts;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option of the Company payment of interest may be made by check mailed to the address of the Person entitled thereto as such address shall appear in the Security Register. Interest on the Notes shall be computed on the basis of a 360-day year of twelve 30-day months.</w:t>
      </w:r>
    </w:p>
    <w:p>
      <w:pPr>
        <w:spacing w:after="0" w:line="168" w:lineRule="exact"/>
        <w:rPr>
          <w:rFonts w:ascii="Arial" w:cs="Arial" w:eastAsia="Arial" w:hAnsi="Arial"/>
          <w:sz w:val="16"/>
          <w:szCs w:val="16"/>
          <w:color w:val="auto"/>
        </w:rPr>
      </w:pPr>
    </w:p>
    <w:p>
      <w:pPr>
        <w:ind w:firstLine="921"/>
        <w:spacing w:after="0" w:line="255" w:lineRule="auto"/>
        <w:tabs>
          <w:tab w:leader="none" w:pos="11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Notes shall be initially issuable in global form (each such Note, a “Global Note”). The Global Notes and the Trustee’s certificate of authentication thereon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Second Supplemental Indenture. Each Global Note shall represent the outstanding Notes as shall be specified therein and each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principal amount of outstanding Notes represented thereby shall be made by the Trustee or the Security Registrar, in accordance with Sections 203 and 305 of the Base Indenture.</w:t>
      </w:r>
    </w:p>
    <w:p>
      <w:pPr>
        <w:spacing w:after="0" w:line="189" w:lineRule="exact"/>
        <w:rPr>
          <w:rFonts w:ascii="Arial" w:cs="Arial" w:eastAsia="Arial" w:hAnsi="Arial"/>
          <w:sz w:val="18"/>
          <w:szCs w:val="18"/>
          <w:color w:val="auto"/>
        </w:rPr>
      </w:pPr>
    </w:p>
    <w:p>
      <w:pPr>
        <w:ind w:left="1140" w:hanging="219"/>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depositary for such Global Notes (the “Depositary”) shall be The Depository Trust Company,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The Security Registrar with respect to the Global Notes shall be the Trustee.</w:t>
      </w:r>
    </w:p>
    <w:p>
      <w:pPr>
        <w:spacing w:after="0" w:line="211" w:lineRule="exact"/>
        <w:rPr>
          <w:sz w:val="20"/>
          <w:szCs w:val="20"/>
          <w:color w:val="auto"/>
        </w:rPr>
      </w:pPr>
    </w:p>
    <w:p>
      <w:pPr>
        <w:ind w:right="960" w:firstLine="921"/>
        <w:spacing w:after="0" w:line="308" w:lineRule="auto"/>
        <w:tabs>
          <w:tab w:leader="none" w:pos="116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Notes shall be defeasible pursuant to Section 1402 or Section 1403 of the Base Indenture. Covenant defeasance contained in Section 1403 of the Base Indenture shall apply to the covenants contained in Sections 1008 and 1009 of the Indenture.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 w:name="page13"/>
    <w:bookmarkEnd w:id="12"/>
    <w:p>
      <w:pPr>
        <w:ind w:left="1180" w:hanging="259"/>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Notes shall be redeemable pursuant to Section 1101 of the Base Indenture and as follows:</w:t>
      </w:r>
    </w:p>
    <w:p>
      <w:pPr>
        <w:spacing w:after="0" w:line="225" w:lineRule="exact"/>
        <w:rPr>
          <w:rFonts w:ascii="Arial" w:cs="Arial" w:eastAsia="Arial" w:hAnsi="Arial"/>
          <w:sz w:val="18"/>
          <w:szCs w:val="18"/>
          <w:color w:val="auto"/>
        </w:rPr>
      </w:pPr>
    </w:p>
    <w:p>
      <w:pPr>
        <w:ind w:right="280" w:firstLine="1492"/>
        <w:spacing w:after="0" w:line="277" w:lineRule="auto"/>
        <w:tabs>
          <w:tab w:leader="none" w:pos="169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Notes shall be redeemable in whole or in part, at any time or from time to time, at the option of the Company, at a Redemption Price equal to the greater of the following amounts, plus, in each case, accrued and unpaid interest to the Redemption Date:</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2380" w:right="20" w:hanging="441"/>
        <w:spacing w:after="0" w:line="312" w:lineRule="auto"/>
        <w:tabs>
          <w:tab w:leader="none" w:pos="2380" w:val="left"/>
        </w:tabs>
        <w:numPr>
          <w:ilvl w:val="2"/>
          <w:numId w:val="26"/>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(exclusive of accrued and unpaid interest to the Redemption Date) on the Notes to be redeemed, discounted to the Redemption Date on a semi-annual basis (assuming a 360-day year consisting of twelve 30-day months) using the applicable Treasury Rate plus 45 basis points.</w:t>
      </w:r>
    </w:p>
    <w:p>
      <w:pPr>
        <w:spacing w:after="0" w:line="14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Rate</w:t>
      </w:r>
      <w:r>
        <w:rPr>
          <w:rFonts w:ascii="Arial" w:cs="Arial" w:eastAsia="Arial" w:hAnsi="Arial"/>
          <w:sz w:val="18"/>
          <w:szCs w:val="18"/>
          <w:color w:val="auto"/>
        </w:rPr>
        <w:t>”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the Company.</w:t>
      </w:r>
    </w:p>
    <w:p>
      <w:pPr>
        <w:spacing w:after="0" w:line="18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Comparable Treasury Issue</w:t>
      </w:r>
      <w:r>
        <w:rPr>
          <w:rFonts w:ascii="Arial" w:cs="Arial" w:eastAsia="Arial" w:hAnsi="Arial"/>
          <w:sz w:val="17"/>
          <w:szCs w:val="17"/>
          <w:color w:val="auto"/>
        </w:rPr>
        <w:t>”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Treasury Price</w:t>
      </w:r>
      <w:r>
        <w:rPr>
          <w:rFonts w:ascii="Arial" w:cs="Arial" w:eastAsia="Arial" w:hAnsi="Arial"/>
          <w:sz w:val="18"/>
          <w:szCs w:val="18"/>
          <w:color w:val="auto"/>
        </w:rPr>
        <w:t>”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Agent</w:t>
      </w:r>
      <w:r>
        <w:rPr>
          <w:rFonts w:ascii="Arial" w:cs="Arial" w:eastAsia="Arial" w:hAnsi="Arial"/>
          <w:sz w:val="18"/>
          <w:szCs w:val="18"/>
          <w:color w:val="auto"/>
        </w:rPr>
        <w:t>” means a Reference Treasury Dealer selected by the Company.</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w:t>
      </w:r>
      <w:r>
        <w:rPr>
          <w:rFonts w:ascii="Arial" w:cs="Arial" w:eastAsia="Arial" w:hAnsi="Arial"/>
          <w:sz w:val="18"/>
          <w:szCs w:val="18"/>
          <w:color w:val="auto"/>
        </w:rPr>
        <w:t>” means each of (1) J.P. Morgan Securities LLC, (2) Goldman, Sachs &amp; Co. LLC and (3) Morgan Stanley &amp; Co. LLC or their respective Affiliates which are primary U.S. government securities dealers and their respective successors; provided, however, that if any of the foregoing or their Affiliates shall cease to be a primary U.S. government securities dealer in the United States (a “Primary Treasury Dealer”), the Company shall select another Primary Treasury Dealer.</w:t>
      </w:r>
    </w:p>
    <w:p>
      <w:pPr>
        <w:spacing w:after="0" w:line="18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170" w:lineRule="exact"/>
        <w:rPr>
          <w:sz w:val="20"/>
          <w:szCs w:val="20"/>
          <w:color w:val="auto"/>
        </w:rPr>
      </w:pPr>
    </w:p>
    <w:p>
      <w:pPr>
        <w:ind w:right="160" w:firstLine="1492"/>
        <w:spacing w:after="0" w:line="264" w:lineRule="auto"/>
        <w:tabs>
          <w:tab w:leader="none" w:pos="17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Notice of redemption shall be given in writing and mailed, first-class postage prepaid or by overnight courier guaranteeing next-day delivery, to each Holder of the Notes to be redeemed, not less than thirty (30) nor more than sixty (60) days prior to the Redemption Date, at the Holder’s address appearing in the Security Register.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3" w:name="page14"/>
    <w:bookmarkEnd w:id="13"/>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notices of redemption shall contain the information set forth in Section 1104 of the Base Indenture and the delivery of such shall be subject to the terms of the Indenture.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(iii) Any exercise of the Company’s option to redeem the Notes shall be done in compliance with the Investment Company Act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defined below).</w:t>
      </w:r>
    </w:p>
    <w:p>
      <w:pPr>
        <w:spacing w:after="0" w:line="211" w:lineRule="exact"/>
        <w:rPr>
          <w:sz w:val="20"/>
          <w:szCs w:val="20"/>
          <w:color w:val="auto"/>
        </w:rPr>
      </w:pPr>
    </w:p>
    <w:p>
      <w:pPr>
        <w:ind w:right="120" w:firstLine="1492"/>
        <w:spacing w:after="0" w:line="257" w:lineRule="auto"/>
        <w:tabs>
          <w:tab w:leader="none" w:pos="17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If less than all of the Notes are to be redeemed or purchased in an offer to purchase at any time, the Trustee shall select the Notes of such series to be redeemed or purchased (1) if the Notes are listed on any national securities exchange, in compliance with the requirements of the principal national securities exchange on which the Notes are listed, (2) on a pro rata basis to the extent practicable or (3) by lot or such similar method in accordance with the procedures of DTC;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partial redemption shall reduce the portion of the principal amount of a Note not redeemed to less than $2,000.</w:t>
      </w:r>
    </w:p>
    <w:p>
      <w:pPr>
        <w:spacing w:after="0" w:line="188" w:lineRule="exact"/>
        <w:rPr>
          <w:rFonts w:ascii="Arial" w:cs="Arial" w:eastAsia="Arial" w:hAnsi="Arial"/>
          <w:sz w:val="18"/>
          <w:szCs w:val="18"/>
          <w:color w:val="auto"/>
        </w:rPr>
      </w:pPr>
    </w:p>
    <w:p>
      <w:pPr>
        <w:ind w:firstLine="1492"/>
        <w:spacing w:after="0" w:line="277" w:lineRule="auto"/>
        <w:tabs>
          <w:tab w:leader="none" w:pos="1738" w:val="left"/>
        </w:tabs>
        <w:numPr>
          <w:ilvl w:val="1"/>
          <w:numId w:val="28"/>
        </w:numPr>
        <w:rPr>
          <w:rFonts w:ascii="Arial" w:cs="Arial" w:eastAsia="Arial" w:hAnsi="Arial"/>
          <w:sz w:val="18"/>
          <w:szCs w:val="18"/>
          <w:color w:val="auto"/>
        </w:rPr>
      </w:pPr>
      <w:r>
        <w:rPr>
          <w:rFonts w:ascii="Arial" w:cs="Arial" w:eastAsia="Arial" w:hAnsi="Arial"/>
          <w:sz w:val="18"/>
          <w:szCs w:val="18"/>
          <w:color w:val="auto"/>
        </w:rPr>
        <w:t>Unless the Company defaults in payment of the Redemption Price, on and after the Redemption Date, interest shall cease to accrue on the Notes called for redemption hereunder.</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Notes shall not be subject to any sinking fund pursuant to Section 1201 of the Base Indenture.</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Notes shall be issuable in denominations of $2,000 and integral multiples of $1,000 in excess thereof.</w:t>
      </w:r>
    </w:p>
    <w:p>
      <w:pPr>
        <w:spacing w:after="0" w:line="225" w:lineRule="exact"/>
        <w:rPr>
          <w:rFonts w:ascii="Arial" w:cs="Arial" w:eastAsia="Arial" w:hAnsi="Arial"/>
          <w:sz w:val="18"/>
          <w:szCs w:val="18"/>
          <w:color w:val="auto"/>
        </w:rPr>
      </w:pPr>
    </w:p>
    <w:p>
      <w:pPr>
        <w:ind w:right="380" w:firstLine="921"/>
        <w:spacing w:after="0" w:line="277" w:lineRule="auto"/>
        <w:tabs>
          <w:tab w:leader="none" w:pos="11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Holders of the Notes shall not have the option to have the Notes repaid prior to the Stated Maturity other than in accordance with Article Thirteen of the Indenture.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OTHER PROVISIONS OF GENERAL APPLICATION</w:t>
      </w:r>
    </w:p>
    <w:p>
      <w:pPr>
        <w:spacing w:after="0" w:line="211"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Section 2.01. Except as may be provided in a Future Supplemental Indenture, for the benefit of the Holders of the Notes but no other series of Securities under the Indenture, whether now or hereafter issued and Outstanding, Article One of the Base Indenture shall be amended by replacing the definition of “Subsidiary” in Section 101 thereof with the following:</w:t>
      </w:r>
    </w:p>
    <w:p>
      <w:pPr>
        <w:spacing w:after="0" w:line="18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partnership, joint venture, limited liability company or other business entity of which a majority of the outstanding shares or other interests having voting power is at the time directly or indirectly owned or controlled by such Person or one or more of the Subsidiaries of such Person. Unless the context otherwise requires, all references to Subsidiary or Subsidiaries under this Indenture shall refer to Subsidiaries of the Company. In addition, for purposes of this definition, “Subsidiary” shall exclude any investments held by the Company in the ordinary course of business which are not, under GAAP, consolidated on the financial statements of the Company and its Subsidiaries.</w:t>
      </w:r>
    </w:p>
    <w:p>
      <w:pPr>
        <w:spacing w:after="0" w:line="158"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Section 2.02. Except as may be provided in a Future Supplemental Indenture, for the benefit of the Holders of the Notes but no other series of Securities under the Indenture, whether now or hereafter issued and Outstanding, Article One of the Base Indenture shall be amended by replacing the definition of “Business Day” in Section 101 thereof with the following:</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with respect to any Note, any day other than a Saturday, a Sunday or a day on which banking institutions in New York are authorized or obligated by law or executive order to close.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Section 2.03.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thereof in appropriate alphabetical sequence, as follows: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Below Investment Grade Rating Event</w:t>
      </w:r>
      <w:r>
        <w:rPr>
          <w:rFonts w:ascii="Arial" w:cs="Arial" w:eastAsia="Arial" w:hAnsi="Arial"/>
          <w:sz w:val="18"/>
          <w:szCs w:val="18"/>
          <w:color w:val="auto"/>
        </w:rPr>
        <w:t>” means the Notes are downgraded below Investment Grade by both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4" w:name="page15"/>
    <w:bookmarkEnd w:id="14"/>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Agencies);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Trustee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460" w:right="100" w:firstLine="443"/>
        <w:spacing w:after="0" w:line="257" w:lineRule="auto"/>
        <w:tabs>
          <w:tab w:leader="none" w:pos="1113"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80" w:lineRule="exact"/>
        <w:rPr>
          <w:rFonts w:ascii="Arial" w:cs="Arial" w:eastAsia="Arial" w:hAnsi="Arial"/>
          <w:sz w:val="18"/>
          <w:szCs w:val="18"/>
          <w:color w:val="auto"/>
        </w:rPr>
      </w:pPr>
    </w:p>
    <w:p>
      <w:pPr>
        <w:ind w:left="460" w:right="20" w:firstLine="443"/>
        <w:spacing w:after="0" w:line="259" w:lineRule="auto"/>
        <w:tabs>
          <w:tab w:leader="none" w:pos="11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promulgated under the Exchange Act), directly or indirectly, of more than 50% of the outstanding Voting Stock of the Company, measured by voting power rather than number of shares; or</w:t>
      </w:r>
    </w:p>
    <w:p>
      <w:pPr>
        <w:spacing w:after="0" w:line="78" w:lineRule="exact"/>
        <w:rPr>
          <w:rFonts w:ascii="Arial" w:cs="Arial" w:eastAsia="Arial" w:hAnsi="Arial"/>
          <w:sz w:val="18"/>
          <w:szCs w:val="18"/>
          <w:color w:val="auto"/>
        </w:rPr>
      </w:pPr>
    </w:p>
    <w:p>
      <w:pPr>
        <w:ind w:left="1220" w:hanging="317"/>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by the Company’s stockholders of any plan or proposal relating to the liquidation or dissolution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Repurchase Event</w:t>
      </w:r>
      <w:r>
        <w:rPr>
          <w:rFonts w:ascii="Arial" w:cs="Arial" w:eastAsia="Arial" w:hAnsi="Arial"/>
          <w:sz w:val="18"/>
          <w:szCs w:val="18"/>
          <w:color w:val="auto"/>
        </w:rPr>
        <w:t>” means the occurrence of a Change of Control and a Below Investment Grade Rating Event.</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Subsidiary</w:t>
      </w:r>
      <w:r>
        <w:rPr>
          <w:rFonts w:ascii="Arial" w:cs="Arial" w:eastAsia="Arial" w:hAnsi="Arial"/>
          <w:sz w:val="18"/>
          <w:szCs w:val="18"/>
          <w:color w:val="auto"/>
        </w:rPr>
        <w:t>”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and the rules and regulations promulgated by the Commission thereunder and any statute successor thereto, in each case as amended from time to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Inc., also known as Fitch Ratings, or any successor thereto.</w:t>
      </w:r>
    </w:p>
    <w:p>
      <w:pPr>
        <w:spacing w:after="0" w:line="22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w:t>
      </w:r>
    </w:p>
    <w:p>
      <w:pPr>
        <w:spacing w:after="0" w:line="17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and the rules, regulations and interpretations promulgated thereunder, to the extent applicable, and any statute successor thereto.</w:t>
      </w:r>
    </w:p>
    <w:p>
      <w:pPr>
        <w:spacing w:after="0" w:line="170"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Grade</w:t>
      </w:r>
      <w:r>
        <w:rPr>
          <w:rFonts w:ascii="Arial" w:cs="Arial" w:eastAsia="Arial" w:hAnsi="Arial"/>
          <w:sz w:val="16"/>
          <w:szCs w:val="16"/>
          <w:color w:val="auto"/>
        </w:rPr>
        <w:t>” means a rating of BBB- or better by Fitch (or its equivalent under any successor rating categories of Fitch) and BBB- or better by S&amp;P (or its equivalent under any successor rating categories of S&amp;P) (or, in each case, if such Rating Agency ceases to rate the Notes for reasons outside of the Company’s control, the equivalent investment grade credit rating from any Rating Agency selected by the Company as a replacement Rating Agency).</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(i) the Company, (ii) one or more of the Company’s Controlled Subsidiaries and (iii) PennantPark Investment Advisers, LLC, any Affiliate of PennantPark Investment Advisers, LLC or any entity that is managed by PennantPark Investment Advisers, LLC that is organized under the laws of a jurisdiction located in the United States of America and in the business of managing or advising clients.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5" w:name="page16"/>
    <w:bookmarkEnd w:id="15"/>
    <w:p>
      <w:pPr>
        <w:ind w:right="1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(1) each of Fitch and S&amp;P; and (2) if either of Fitch or S&amp;P ceases to rate the Notes or fails to make a rating of the Notes publicly available for reasons outside of the Company’s control, a “nationally recognized statistical rating organization” as defined in Section 3(a)(62) of the Exchange Act selected by the Company as a replacement agency for Fitch or S&amp;P, or both, as the case may be.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McGraw-Hill, Inc., or any successor thereto.</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means any Subsidiary that would be a “significant subsidiary” as defined in Article 1, Rule 1-02 of Regulation S-X under the Exchange Act, as such regulation is in effect on the date of this Indenture (but excluding any Subsidiary which is (a) a non-recourse or limited recourse Subsidiary, (b) a bankruptcy remote special purpose vehicle or (c) is not consolidated with the Company for purposes of GAAP).</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FORMS</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Section 3.01. Except as may be provided in a Future Supplemental Indenture, for the benefit of the Holders of the Notes but no other series of Securities under the Indenture, whether now or hereafter issued and Outstanding, Article Two of the Base Indenture shall be amended by adding the following new Section 204 thereto, as set forth below:</w:t>
      </w:r>
    </w:p>
    <w:p>
      <w:pPr>
        <w:spacing w:after="0" w:line="2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204. Certificated Notes.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Notwithstanding anything to the contrary in the Indenture, Notes in physical, certificated form will be issued and delivered to each person that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Depositary identifies as a beneficial owner of the related Notes only if:</w:t>
      </w:r>
    </w:p>
    <w:p>
      <w:pPr>
        <w:spacing w:after="0" w:line="103" w:lineRule="exact"/>
        <w:rPr>
          <w:sz w:val="20"/>
          <w:szCs w:val="20"/>
          <w:color w:val="auto"/>
        </w:rPr>
      </w:pPr>
    </w:p>
    <w:p>
      <w:pPr>
        <w:ind w:left="460" w:right="340" w:firstLine="443"/>
        <w:spacing w:after="0" w:line="277" w:lineRule="auto"/>
        <w:tabs>
          <w:tab w:leader="none" w:pos="11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Depositary notifies the Company at any time that it is unwilling or unable to continue as depositary for the Notes in global form and a successor depositary is not appointed within 90 days;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Depositary ceases to be registered as a clearing agency under the Exchange Act and a successor depositary is not appointed within 90</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days; or</w:t>
      </w:r>
    </w:p>
    <w:p>
      <w:pPr>
        <w:spacing w:after="0" w:line="102" w:lineRule="exact"/>
        <w:rPr>
          <w:rFonts w:ascii="Arial" w:cs="Arial" w:eastAsia="Arial" w:hAnsi="Arial"/>
          <w:sz w:val="16"/>
          <w:szCs w:val="16"/>
          <w:color w:val="auto"/>
        </w:rPr>
      </w:pPr>
    </w:p>
    <w:p>
      <w:pPr>
        <w:ind w:left="460" w:right="300" w:firstLine="443"/>
        <w:spacing w:after="0" w:line="277" w:lineRule="auto"/>
        <w:tabs>
          <w:tab w:leader="none" w:pos="11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REMEDIES</w:t>
      </w:r>
    </w:p>
    <w:p>
      <w:pPr>
        <w:spacing w:after="0" w:line="21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Section 4.01. Except as may be provided in a Future Supplemental Indenture, for the benefit of the Holders of the Notes but no other series of Securities under the Indenture, whether now or hereafter issued and Outstanding, Article Five of the Base Indenture shall be amended by replacing clause (2) of Section 501 thereof in its entirety with the following:</w:t>
      </w:r>
    </w:p>
    <w:p>
      <w:pPr>
        <w:spacing w:after="0" w:line="73" w:lineRule="exact"/>
        <w:rPr>
          <w:sz w:val="20"/>
          <w:szCs w:val="20"/>
          <w:color w:val="auto"/>
        </w:rPr>
      </w:pPr>
    </w:p>
    <w:p>
      <w:pPr>
        <w:ind w:left="460" w:firstLine="438"/>
        <w:spacing w:after="0" w:line="277" w:lineRule="auto"/>
        <w:rPr>
          <w:sz w:val="20"/>
          <w:szCs w:val="20"/>
          <w:color w:val="auto"/>
        </w:rPr>
      </w:pPr>
      <w:r>
        <w:rPr>
          <w:rFonts w:ascii="Arial" w:cs="Arial" w:eastAsia="Arial" w:hAnsi="Arial"/>
          <w:sz w:val="18"/>
          <w:szCs w:val="18"/>
          <w:color w:val="auto"/>
        </w:rPr>
        <w:t>“(2) default in the payment of the principal (or premium, if any) of any Note when it becomes due and payable at its Maturity, including upon any Redemption Date or required repurchase date; or”</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Section 4.02. Except as may be provided in a Future Supplemental Indenture, for the benefit of the Holders of the Notes but no other series of Securities under the Indenture, whether now or hereafter issued and Outstanding, Article Five of the Base Indenture shall be amended by replacing clause (7) of Section 501 thereof in its entirety with the following:</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“(7) any other Event of Default provided with respect to Securities of that series; or”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4.03. Except as may be provided in a Future Supplemental Indenture, for the benefit of the Holders of the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6" w:name="page17"/>
    <w:bookmarkEnd w:id="16"/>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but no other series of Securities under the Indenture, whether now or hereafter issued and Outstanding, Article Five of the Base Indenture shall be amended by adding the following new clause (8) to Section 501 thereof, as set forth below:</w:t>
      </w:r>
    </w:p>
    <w:p>
      <w:pPr>
        <w:spacing w:after="0" w:line="62" w:lineRule="exact"/>
        <w:rPr>
          <w:sz w:val="20"/>
          <w:szCs w:val="20"/>
          <w:color w:val="auto"/>
        </w:rPr>
      </w:pPr>
    </w:p>
    <w:p>
      <w:pPr>
        <w:ind w:left="460" w:right="140" w:firstLine="438"/>
        <w:spacing w:after="0" w:line="254" w:lineRule="auto"/>
        <w:rPr>
          <w:sz w:val="20"/>
          <w:szCs w:val="20"/>
          <w:color w:val="auto"/>
        </w:rPr>
      </w:pPr>
      <w:r>
        <w:rPr>
          <w:rFonts w:ascii="Arial" w:cs="Arial" w:eastAsia="Arial" w:hAnsi="Arial"/>
          <w:sz w:val="18"/>
          <w:szCs w:val="18"/>
          <w:color w:val="auto"/>
        </w:rPr>
        <w:t>“(8) default by the Company or any of its Significant Subsidiaries, with respect to any mortgage, agreement or other instrument under which there may be outstanding, or by which there may be secured or evidenced, any indebtedness for money borrowed in excess of $50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w:t>
      </w:r>
    </w:p>
    <w:p>
      <w:pPr>
        <w:spacing w:after="0" w:line="192" w:lineRule="exact"/>
        <w:rPr>
          <w:sz w:val="20"/>
          <w:szCs w:val="20"/>
          <w:color w:val="auto"/>
        </w:rPr>
      </w:pPr>
    </w:p>
    <w:p>
      <w:pPr>
        <w:jc w:val="center"/>
        <w:ind w:right="260"/>
        <w:spacing w:after="0" w:line="312" w:lineRule="auto"/>
        <w:rPr>
          <w:sz w:val="20"/>
          <w:szCs w:val="20"/>
          <w:color w:val="auto"/>
        </w:rPr>
      </w:pPr>
      <w:r>
        <w:rPr>
          <w:rFonts w:ascii="Arial" w:cs="Arial" w:eastAsia="Arial" w:hAnsi="Arial"/>
          <w:sz w:val="16"/>
          <w:szCs w:val="16"/>
          <w:color w:val="auto"/>
        </w:rPr>
        <w:t>Section 4.04. Except as may be provided in a Future Supplemental Indenture, for the benefit of the Holders of the Notes but no other series of Securities under the Indenture, whether now or hereafter issued and Outstanding, Article Five of the Base Indenture shall be amended by amending clause (6) of Section 501 thereof as follows: the words “123 consecutive days” in the final clause thereof shall be replaced with the words “60 consecutive days”.</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Section 4.05. Except as may be provided in a Future Supplemental Indenture, for the benefit of the Holders of the Notes but no other series of Securities under the Indenture, whether now or hereafter issued and Outstanding, Article Five of the Base Indenture shall be amended by replacing the first paragraph of Section 502 thereof with the following:</w:t>
      </w:r>
    </w:p>
    <w:p>
      <w:pPr>
        <w:spacing w:after="0" w:line="73" w:lineRule="exact"/>
        <w:rPr>
          <w:sz w:val="20"/>
          <w:szCs w:val="20"/>
          <w:color w:val="auto"/>
        </w:rPr>
      </w:pPr>
    </w:p>
    <w:p>
      <w:pPr>
        <w:ind w:left="460" w:firstLine="438"/>
        <w:spacing w:after="0" w:line="273" w:lineRule="auto"/>
        <w:rPr>
          <w:sz w:val="20"/>
          <w:szCs w:val="20"/>
          <w:color w:val="auto"/>
        </w:rPr>
      </w:pPr>
      <w:r>
        <w:rPr>
          <w:rFonts w:ascii="Arial" w:cs="Arial" w:eastAsia="Arial" w:hAnsi="Arial"/>
          <w:sz w:val="17"/>
          <w:szCs w:val="17"/>
          <w:color w:val="auto"/>
        </w:rPr>
        <w:t>“If an Event of Default with respect to the Notes occurs and is continuing, then and in every such case (other than an Event of Default specified in Section 501(5) or 501(6)), the Trustee or the Holders of not less than 25% in principal amount of the Outstanding Notes may (and the Trustee shall at the request of such Holders) declare the principal of all the Outstanding Notes to be due and payable immediately, by a notice in writing to the Company (and to the Trustee if given by the Holders), and upon any such declaration such principal or specified portion thereof shall become immediately due and payable; provided that 100% of the principal of, and accrued and unpaid interest on, the Notes will automatically become due and payable in the case of an Event of Default specified in Section 501(5) or 501(6) hereof.”</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CONSOLIDATION, MERGER, CONVEYANCE OR TRANSFER</w:t>
      </w:r>
    </w:p>
    <w:p>
      <w:pPr>
        <w:spacing w:after="0" w:line="211" w:lineRule="exact"/>
        <w:rPr>
          <w:sz w:val="20"/>
          <w:szCs w:val="20"/>
          <w:color w:val="auto"/>
        </w:rPr>
      </w:pPr>
    </w:p>
    <w:p>
      <w:pPr>
        <w:jc w:val="both"/>
        <w:ind w:right="660" w:firstLine="456"/>
        <w:spacing w:after="0" w:line="264" w:lineRule="auto"/>
        <w:rPr>
          <w:sz w:val="20"/>
          <w:szCs w:val="20"/>
          <w:color w:val="auto"/>
        </w:rPr>
      </w:pPr>
      <w:r>
        <w:rPr>
          <w:rFonts w:ascii="Arial" w:cs="Arial" w:eastAsia="Arial" w:hAnsi="Arial"/>
          <w:sz w:val="18"/>
          <w:szCs w:val="18"/>
          <w:color w:val="auto"/>
        </w:rPr>
        <w:t>Section 5.01. Except as may be provided in a Future Supplemental Indenture, for the benefit of the Holders of the Notes but no other series of Securities under the Indenture, whether now or hereafter issued and Outstanding, Article Eight of the Base Indenture shall be amended by adding the following new clause to the end of Section 801 thereof, as set forth below:</w:t>
      </w:r>
    </w:p>
    <w:p>
      <w:pPr>
        <w:spacing w:after="0" w:line="73" w:lineRule="exact"/>
        <w:rPr>
          <w:sz w:val="20"/>
          <w:szCs w:val="20"/>
          <w:color w:val="auto"/>
        </w:rPr>
      </w:pPr>
    </w:p>
    <w:p>
      <w:pPr>
        <w:ind w:left="460" w:right="140" w:firstLine="438"/>
        <w:spacing w:after="0" w:line="286" w:lineRule="auto"/>
        <w:rPr>
          <w:sz w:val="20"/>
          <w:szCs w:val="20"/>
          <w:color w:val="auto"/>
        </w:rPr>
      </w:pPr>
      <w:r>
        <w:rPr>
          <w:rFonts w:ascii="Arial" w:cs="Arial" w:eastAsia="Arial" w:hAnsi="Arial"/>
          <w:sz w:val="17"/>
          <w:szCs w:val="17"/>
          <w:color w:val="auto"/>
        </w:rPr>
        <w:t>“For the purposes of this Section 801, the sale, transfer, lease, conveyance or other disposition of all the property of one or more Subsidiaries of the Company, which property, if held by the Company instead of such Subsidiaries, would constitute all or substantially all the property of the Company on a consolidated basis, shall be deemed to be the transfer of all or substantially all the property of the Company.”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SUPPLEMENTAL INDENTURES</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Section 6.01. Except as may be provided in a Future Supplemental Indenture, for the benefit of the Holders of the Notes but no other series of</w:t>
      </w:r>
    </w:p>
    <w:p>
      <w:pPr>
        <w:spacing w:after="0" w:line="3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Securities under the Indenture, whether now or hereafter issued and Outstanding, Article Nine of the Base Indenture shall be amended by replacing clause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 of Section 901 thereof in its entirety with the following:</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“(6) to secure the Securities pursuant to the requirements of Section 801 or otherwise; or”</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7" w:name="page18"/>
    <w:bookmarkEnd w:id="17"/>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right="740" w:firstLine="456"/>
        <w:spacing w:after="0" w:line="264" w:lineRule="auto"/>
        <w:rPr>
          <w:sz w:val="20"/>
          <w:szCs w:val="20"/>
          <w:color w:val="auto"/>
        </w:rPr>
      </w:pPr>
      <w:r>
        <w:rPr>
          <w:rFonts w:ascii="Arial" w:cs="Arial" w:eastAsia="Arial" w:hAnsi="Arial"/>
          <w:sz w:val="18"/>
          <w:szCs w:val="18"/>
          <w:color w:val="auto"/>
        </w:rPr>
        <w:t>Section 7.01. Except as may be provided in a Future Supplemental Indenture, for the benefit of the Holders of the Notes but no other series of Securities under the Indenture, whether now or hereafter issued and Outstanding, Article Ten of the Base Indenture shall be amended by replacing Section 1006 thereof in its entirety with the following:</w:t>
      </w:r>
    </w:p>
    <w:p>
      <w:pPr>
        <w:spacing w:after="0" w:line="2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1006. [RESERVED]</w:t>
      </w:r>
      <w:r>
        <w:rPr>
          <w:rFonts w:ascii="Arial" w:cs="Arial" w:eastAsia="Arial" w:hAnsi="Arial"/>
          <w:sz w:val="18"/>
          <w:szCs w:val="18"/>
          <w:color w:val="auto"/>
        </w:rPr>
        <w:t>”</w:t>
      </w:r>
    </w:p>
    <w:p>
      <w:pPr>
        <w:spacing w:after="0" w:line="229" w:lineRule="exact"/>
        <w:rPr>
          <w:sz w:val="20"/>
          <w:szCs w:val="20"/>
          <w:color w:val="auto"/>
        </w:rPr>
      </w:pPr>
    </w:p>
    <w:p>
      <w:pPr>
        <w:ind w:right="740" w:firstLine="456"/>
        <w:spacing w:after="0" w:line="264" w:lineRule="auto"/>
        <w:rPr>
          <w:sz w:val="20"/>
          <w:szCs w:val="20"/>
          <w:color w:val="auto"/>
        </w:rPr>
      </w:pPr>
      <w:r>
        <w:rPr>
          <w:rFonts w:ascii="Arial" w:cs="Arial" w:eastAsia="Arial" w:hAnsi="Arial"/>
          <w:sz w:val="18"/>
          <w:szCs w:val="18"/>
          <w:color w:val="auto"/>
        </w:rPr>
        <w:t>Section 7.02. Except as may be provided in a Future Supplemental Indenture, for the benefit of the Holders of the Notes but no other series of Securities under the Indenture, whether now or hereafter issued and Outstanding, Article Ten of the Base Indenture shall be amended by replacing Section 1007 thereof in its entirety with the following:</w:t>
      </w:r>
    </w:p>
    <w:p>
      <w:pPr>
        <w:spacing w:after="0" w:line="2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1007. Waiver of Certain Covenants.</w:t>
      </w:r>
    </w:p>
    <w:p>
      <w:pPr>
        <w:spacing w:after="0" w:line="121" w:lineRule="exact"/>
        <w:rPr>
          <w:sz w:val="20"/>
          <w:szCs w:val="20"/>
          <w:color w:val="auto"/>
        </w:rPr>
      </w:pPr>
    </w:p>
    <w:p>
      <w:pPr>
        <w:ind w:left="460" w:right="80" w:firstLine="438"/>
        <w:spacing w:after="0" w:line="255" w:lineRule="auto"/>
        <w:rPr>
          <w:sz w:val="20"/>
          <w:szCs w:val="20"/>
          <w:color w:val="auto"/>
        </w:rPr>
      </w:pPr>
      <w:r>
        <w:rPr>
          <w:rFonts w:ascii="Arial" w:cs="Arial" w:eastAsia="Arial" w:hAnsi="Arial"/>
          <w:sz w:val="18"/>
          <w:szCs w:val="18"/>
          <w:color w:val="auto"/>
        </w:rPr>
        <w:t>The Company may omit in any particular instance to comply with any covenant or condition, as specified pursuant to Section 301(15), for Securities of any series, in any covenants of the Company added to Article Ten pursuant to Section 301(14) or Section 301(15) in connection with the Securities of a series, if before or after the time for such compliance the Holders of at least a majority in 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18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Section 7.03. Except as may be provided in a Future Supplemental Indenture, for the benefit of the Holders of the Notes but no other series of Securities under the Indenture, whether now or hereafter issued and Outstanding, Article Ten of the Base Indenture shall be amended by adding the following new Sections 1008 and 1009 thereto, each as set forth below:</w:t>
      </w:r>
    </w:p>
    <w:p>
      <w:pPr>
        <w:spacing w:after="0" w:line="2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1008. Section 18(a)(1)(A) of the Investment Company Act.</w:t>
      </w:r>
    </w:p>
    <w:p>
      <w:pPr>
        <w:spacing w:after="0" w:line="121" w:lineRule="exact"/>
        <w:rPr>
          <w:sz w:val="20"/>
          <w:szCs w:val="20"/>
          <w:color w:val="auto"/>
        </w:rPr>
      </w:pPr>
    </w:p>
    <w:p>
      <w:pPr>
        <w:jc w:val="both"/>
        <w:ind w:left="460" w:right="260" w:firstLine="438"/>
        <w:spacing w:after="0" w:line="264" w:lineRule="auto"/>
        <w:rPr>
          <w:sz w:val="20"/>
          <w:szCs w:val="20"/>
          <w:color w:val="auto"/>
        </w:rPr>
      </w:pPr>
      <w:r>
        <w:rPr>
          <w:rFonts w:ascii="Arial" w:cs="Arial" w:eastAsia="Arial" w:hAnsi="Arial"/>
          <w:sz w:val="18"/>
          <w:szCs w:val="18"/>
          <w:color w:val="auto"/>
        </w:rPr>
        <w:t>The Company hereby agrees that for the period of time during which Notes are Outstanding, the Company will not violate, whether or not it is subject to, Section 18(a)(1)(A) as modified by Section 61(a)(1) of the Investment Company Act, each as in effect from time to time or any successor provisions thereto of the Investment Company Act.”</w:t>
      </w:r>
    </w:p>
    <w:p>
      <w:pPr>
        <w:spacing w:after="0" w:line="2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1009. Commission Reports and Reports to Holders.</w:t>
      </w:r>
    </w:p>
    <w:p>
      <w:pPr>
        <w:spacing w:after="0" w:line="121"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If, at any time, the Company is not subject to the reporting requirements of Sections 13 or 15(d) of the Exchange Act to file any periodic reports with the Commission, the Company agrees to furnish to the Holders of Notes and the Trustee for the period of time during which the Notes are Outstanding: (i) within 90 days after the end of the each fiscal year of the Company,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GAAP, as applicable.”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DEFEASANCE AND COVENANT DEFEASANCE</w:t>
      </w:r>
    </w:p>
    <w:p>
      <w:pPr>
        <w:spacing w:after="0" w:line="211"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Section 8.01. Except as may be provided in a Future Supplemental Indenture, for the benefit of the Holders of the Notes but no other series of Securities under the Indenture, whether now or hereafter issued and Outstanding, Article Fourteen of the Base Indenture shall be amended by replacing Section 1403 thereof in its entirety with the following:</w:t>
      </w:r>
    </w:p>
    <w:p>
      <w:pPr>
        <w:spacing w:after="0" w:line="28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“Section 1403. Covenant Defeasance.</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Upon the Company’s exercise of the above option applicable to this Section with respect to any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8" w:name="page19"/>
    <w:bookmarkEnd w:id="18"/>
    <w:p>
      <w:pPr>
        <w:ind w:left="4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or within a series, if specified pursuant to Section 301, its obligations under any other covenant,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such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501(7) or otherwise, as the case may be, but, except as specified above, the remainder of this Indenture and such Securities and any coupons appertaining thereto shall be unaffected thereby. Following a covenant defeasance, payment of such Securities may not be accelerated because of an Event of Default solely by reference to such Sections specified above in this Section 1403.”</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OFFER TO REPURCHASE UPON A CHANGE OF CONTROL REPURCHASE EVENT</w:t>
      </w:r>
    </w:p>
    <w:p>
      <w:pPr>
        <w:spacing w:after="0" w:line="211"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Section 9.01. Except as may be provided in a Future Supplemental Indenture, for the benefit of the Holders of the Notes but no other series of Securities under the Indenture, whether now or hereafter issued and Outstanding, Article Thirteen of the Base Indenture shall be amended by replacing Sections 1301 to 1305 in their entirety with the following:</w:t>
      </w:r>
    </w:p>
    <w:p>
      <w:pPr>
        <w:spacing w:after="0" w:line="2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1301. Change of Control.</w:t>
      </w:r>
    </w:p>
    <w:p>
      <w:pPr>
        <w:spacing w:after="0" w:line="121" w:lineRule="exact"/>
        <w:rPr>
          <w:sz w:val="20"/>
          <w:szCs w:val="20"/>
          <w:color w:val="auto"/>
        </w:rPr>
      </w:pPr>
    </w:p>
    <w:p>
      <w:pPr>
        <w:ind w:left="460" w:right="60" w:firstLine="438"/>
        <w:spacing w:after="0" w:line="269" w:lineRule="auto"/>
        <w:rPr>
          <w:sz w:val="20"/>
          <w:szCs w:val="20"/>
          <w:color w:val="auto"/>
        </w:rPr>
      </w:pPr>
      <w:r>
        <w:rPr>
          <w:rFonts w:ascii="Arial" w:cs="Arial" w:eastAsia="Arial" w:hAnsi="Arial"/>
          <w:sz w:val="17"/>
          <w:szCs w:val="17"/>
          <w:color w:val="auto"/>
        </w:rPr>
        <w:t>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but not including, the date of purchase. Within 30 days following any Change of Control Repurchase Event or, at the Company’s option, prior to any Change of Control, but after the public announcement of the Change of Control, the Company shall mail a notice to each Holder describing the transaction or transactions that constitute or may constitute the Change of Control Repurchase Event and offering to repurchase Notes on the payment date specified in the notice, which date shall be no earlier than 30 days and no later than 60 days from the date such notice is mailed. The notice shall, if mailed prior to the date of consummation of the Change of Control, state that the offer to purchase is conditioned on the Change of Control Repurchase Event occurring on or prior to the payment date specified in the notice. The Company shall comply with the requirements of Rule 14e-1 promulgated under the Exchange Act and any other securities laws and regulations thereunder to the extent those laws and regulations are applicable in connection with the repurchase of the Notes as a result of a Change of Control Repurchase Event.</w:t>
      </w:r>
    </w:p>
    <w:p>
      <w:pPr>
        <w:spacing w:after="0" w:line="72"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To the extent that the provisions of any securities laws or regulations conflict with this Section 1301, the Company shall comply with the</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applicable securities laws and regulations and shall not be deemed to have breached its obligations under this Section 1301 by virtue of such conflict.</w:t>
      </w:r>
    </w:p>
    <w:p>
      <w:pPr>
        <w:spacing w:after="0" w:line="126" w:lineRule="exact"/>
        <w:rPr>
          <w:sz w:val="20"/>
          <w:szCs w:val="20"/>
          <w:color w:val="auto"/>
        </w:rPr>
      </w:pPr>
    </w:p>
    <w:p>
      <w:pPr>
        <w:ind w:left="460" w:right="360" w:firstLine="438"/>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Investment Company Act, the Company shall, to the extent lawful:</w:t>
      </w:r>
    </w:p>
    <w:p>
      <w:pPr>
        <w:spacing w:after="0" w:line="62" w:lineRule="exact"/>
        <w:rPr>
          <w:sz w:val="20"/>
          <w:szCs w:val="20"/>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its offer;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aggregate purchase price in respect of all Notes or portions of Notes properly tendered;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460" w:right="640" w:firstLine="443"/>
        <w:spacing w:after="0" w:line="277"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9" w:name="page20"/>
    <w:bookmarkEnd w:id="19"/>
    <w:p>
      <w:pPr>
        <w:ind w:left="460" w:firstLine="438"/>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39" w:lineRule="exact"/>
        <w:rPr>
          <w:sz w:val="20"/>
          <w:szCs w:val="20"/>
          <w:color w:val="auto"/>
        </w:rPr>
      </w:pPr>
    </w:p>
    <w:p>
      <w:pPr>
        <w:ind w:left="460" w:right="160" w:firstLine="438"/>
        <w:spacing w:after="0" w:line="277" w:lineRule="auto"/>
        <w:rPr>
          <w:sz w:val="20"/>
          <w:szCs w:val="20"/>
          <w:color w:val="auto"/>
        </w:rPr>
      </w:pPr>
      <w:r>
        <w:rPr>
          <w:rFonts w:ascii="Arial" w:cs="Arial" w:eastAsia="Arial" w:hAnsi="Arial"/>
          <w:sz w:val="18"/>
          <w:szCs w:val="18"/>
          <w:color w:val="auto"/>
        </w:rPr>
        <w:t>If any Repayment Date upon a Change of Control Repurchase Event falls on a day that is not a Business Day, then the required payment will be made on the next succeeding Business Day and no additional interest will accrue as a result of such delayed payment.</w:t>
      </w:r>
    </w:p>
    <w:p>
      <w:pPr>
        <w:spacing w:after="0" w:line="62" w:lineRule="exact"/>
        <w:rPr>
          <w:sz w:val="20"/>
          <w:szCs w:val="20"/>
          <w:color w:val="auto"/>
        </w:rPr>
      </w:pPr>
    </w:p>
    <w:p>
      <w:pPr>
        <w:ind w:left="460" w:firstLine="438"/>
        <w:spacing w:after="0" w:line="264" w:lineRule="auto"/>
        <w:rPr>
          <w:sz w:val="20"/>
          <w:szCs w:val="20"/>
          <w:color w:val="auto"/>
        </w:rPr>
      </w:pPr>
      <w:r>
        <w:rPr>
          <w:rFonts w:ascii="Arial" w:cs="Arial" w:eastAsia="Arial" w:hAnsi="Arial"/>
          <w:sz w:val="18"/>
          <w:szCs w:val="18"/>
          <w:color w:val="auto"/>
        </w:rPr>
        <w:t>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Section 10.01. This Second Supplemental Indenture and the Notes shall be governed by and construed in accordance with the laws of the State of New York. This Second Supplemental Indenture is subject to the provisions of the Trust Indenture Act of 1939, as amended, that are required to be part of the Indenture and shall, to the extent applicable, be governed by such provisions.</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Section 10.02. In case any provision in this Second Supplemental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Section 10.03. This Second Supplemental Indenture may be executed in any number of counterparts, each of which so executed shall be deemed to be an original, but all such counterparts shall together constitute but one and the same Second Supplemental Indenture. The exchange of copies of this Second Supplemental Indenture and of signature pages by facsimile, .pdf transmission, email or other electronic means shall constitute effective execution and delivery of this Second Supplemental Indenture for all purposes. Signatures of the parties hereto transmitted by facsimile, .pdf transmission, email or other electronic means shall be deemed to be their original signatures for all purposes.</w:t>
      </w:r>
    </w:p>
    <w:p>
      <w:pPr>
        <w:spacing w:after="0" w:line="17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Section 10.04. The Base Indenture, as supplemented and amended by this Second Supplemental Indenture, is in all respects ratified and confirmed, and the Base Indenture and this Second Supplemental Indenture shall be read, taken and construed as one and the same instrument with respect to the Notes. All provisions included in this Second Supplemental Indenture supersede any conflicting provisions included in the Base Indenture with respect to the Notes, unless not permitted by law. The Trustee accepts the trusts created by the Indenture, as supplemented by this Second Supplemental Indenture, and agrees to perform the same upon the terms and conditions of the Base Indenture, as supplemented by this Second Supplemental Indenture.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10.05. The provisions of this Second Supplemental Indenture shall become effective as of the date hereof.</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10.06. Notwithstanding anything else to the contrary herein, the terms and provisions of this Second Supplemental Indenture shall apply only to the Notes and shall not apply to any other series of Securities under the Indenture and this Second Supplemental Indenture shall not and does not otherwise affect, modify, alter, supplement or change the terms and provisions of any other series of Securities under the Indenture, whether now or hereafter issued and Outstanding.</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Section 10.07. The recitals contained herein and in the Notes, except the Trustee’s certificate of authentication, shall be taken as the statements of the Company, and the Trustee assumes no responsibility for their correctness. The Trustee makes no representations as to the validity or sufficiency of this Second Supplemental Indenture, the Notes or any Additional Notes, except that the Trustee represents that it is duly authorized to execute and deliver this Second Supplemental Indenture, authenticate the Notes and any Additional Notes and perform its obligations hereunder. The Trustee shall not be accountable for the use or application by the Company of the Notes or any Additional Notes or the proceeds thereof.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Second Supplemental Indenture to be duly executed as of the date first above written.</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AMERICAN STOCK TRANSFER &amp; TRUST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COMPANY, LLC, as Trustee</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Erica J. Goodstein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Erica J. Goodstein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Senior Counsel</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Supplemental Indenture</w:t>
      </w:r>
      <w:r>
        <w:rPr>
          <w:rFonts w:ascii="Arial" w:cs="Arial" w:eastAsia="Arial" w:hAnsi="Arial"/>
          <w:sz w:val="18"/>
          <w:szCs w:val="18"/>
          <w:color w:val="auto"/>
        </w:rPr>
        <w:t>]</w:t>
      </w:r>
    </w:p>
    <w:p>
      <w:pPr>
        <w:sectPr>
          <w:pgSz w:w="11900" w:h="16838" w:orient="portrait"/>
          <w:cols w:equalWidth="0" w:num="1">
            <w:col w:w="10680"/>
          </w:cols>
          <w:pgMar w:left="700" w:top="274" w:right="5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GLOBAL NOTE]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SECURITY IS A GLOBAL NOTE WITHIN THE MEANING OF THE INDENTURE HEREINAFTER DEFINED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TO THE COMPANY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$250,000,000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CUSIP No. 708062 AA2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ISIN No. US708062AA27</w:t>
      </w:r>
    </w:p>
    <w:p>
      <w:pPr>
        <w:spacing w:after="0" w:line="200" w:lineRule="exact"/>
        <w:rPr>
          <w:sz w:val="20"/>
          <w:szCs w:val="20"/>
          <w:color w:val="auto"/>
        </w:rPr>
      </w:pPr>
    </w:p>
    <w:p>
      <w:pPr>
        <w:sectPr>
          <w:pgSz w:w="11900" w:h="16838" w:orient="portrait"/>
          <w:cols w:equalWidth="0" w:num="2">
            <w:col w:w="7620" w:space="720"/>
            <w:col w:w="3080"/>
          </w:cols>
          <w:pgMar w:left="240" w:top="270" w:right="239" w:bottom="1440" w:gutter="0" w:footer="0" w:header="0"/>
          <w:type w:val="continuous"/>
        </w:sectPr>
      </w:pP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4.500% Notes due 2019</w:t>
      </w:r>
    </w:p>
    <w:p>
      <w:pPr>
        <w:sectPr>
          <w:pgSz w:w="11900" w:h="16838" w:orient="portrait"/>
          <w:cols w:equalWidth="0" w:num="1">
            <w:col w:w="11420"/>
          </w:cols>
          <w:pgMar w:left="240" w:top="270" w:right="239" w:bottom="1440" w:gutter="0" w:footer="0" w:header="0"/>
          <w:type w:val="continuous"/>
        </w:sectPr>
      </w:pPr>
    </w:p>
    <w:p>
      <w:pPr>
        <w:spacing w:after="0" w:line="24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PennantPark Investment Corporation, a corporation duly organized and existing under the laws of the State of Maryland (herein called the “Company”, which term includes any successor Person under the Indenture hereinafter referred to), for value received, hereby promises to pay to Cede &amp; Co., or registered assigns, the principal sum of two hundred fifty million dollars (U.S. $250,000,000) on October 1, 2019, and to pay interest thereon from September 23, 2014 or from the most recent Interest Payment Date to which interest has been paid or duly provided for, semi-annually on April 1 and October 1 of each year, commencing April 1, 2015 (</w:t>
      </w:r>
      <w:r>
        <w:rPr>
          <w:rFonts w:ascii="Arial" w:cs="Arial" w:eastAsia="Arial" w:hAnsi="Arial"/>
          <w:sz w:val="16"/>
          <w:szCs w:val="16"/>
          <w:i w:val="1"/>
          <w:iCs w:val="1"/>
          <w:color w:val="auto"/>
        </w:rPr>
        <w:t>provided</w:t>
      </w:r>
      <w:r>
        <w:rPr>
          <w:rFonts w:ascii="Arial" w:cs="Arial" w:eastAsia="Arial" w:hAnsi="Arial"/>
          <w:sz w:val="16"/>
          <w:szCs w:val="16"/>
          <w:color w:val="auto"/>
        </w:rPr>
        <w:t>, that if an Interest Payment Date falls on a day that is not a Business Day in The City of New York, then the applicable interest payment shall be made on the next succeeding Business Day and no additional interest shall accrue as a result of such delayed payment), at the rate of 4.500% per annum, until the principal hereof is paid or made available for payment. The interest so payable, and punctually paid or duly provided for, on any Interest Payment Date shall, as provided in such Indenture, be paid to the Person in whose name this Security is registered at the close of business on the Regular Record Date for such interest, which shall be March 15 and September 15 of each year, commencing March 15, 2015 (</w:t>
      </w:r>
      <w:r>
        <w:rPr>
          <w:rFonts w:ascii="Arial" w:cs="Arial" w:eastAsia="Arial" w:hAnsi="Arial"/>
          <w:sz w:val="16"/>
          <w:szCs w:val="16"/>
          <w:i w:val="1"/>
          <w:iCs w:val="1"/>
          <w:color w:val="auto"/>
        </w:rPr>
        <w:t>provided</w:t>
      </w:r>
      <w:r>
        <w:rPr>
          <w:rFonts w:ascii="Arial" w:cs="Arial" w:eastAsia="Arial" w:hAnsi="Arial"/>
          <w:sz w:val="16"/>
          <w:szCs w:val="16"/>
          <w:color w:val="auto"/>
        </w:rPr>
        <w:t>, that if a Regular Record Date falls on a day that is not a Business Day in The City of New York, then that Regular Record Date shall be the next succeeding Business Day), as the case may be, next preceding such Interest Payment Date. Any such interest not so punctually paid or duly provided for shall forthwith cease to be payable to the Holder on such Regular Record Date and may either be paid to the Person in whose name this Security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Payment of the principal of (and premium, if any) and any such interest on this Security shall be made at the Corporate Trust Office of the Trustee in New York, New York in such coin or currency of the United States of America as at the time of payment is legal tender for payment of public and private debts;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the option of the Company payment of interest may be made by check mailed to the address of the Person entitled thereto as such address shall appear in the Security Register.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type w:val="continuous"/>
        </w:sectPr>
      </w:pPr>
    </w:p>
    <w:bookmarkStart w:id="22" w:name="page23"/>
    <w:bookmarkEnd w:id="2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240" w:top="274" w:right="41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 by the undersigned officer.</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PENNANTPARK INVESTMENT CORPORATION</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Thomas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Secretary, PennantPark Investment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23, 2014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660"/>
          </w:cols>
          <w:pgMar w:left="240" w:top="274" w:right="99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Securities of the series designated therein referred to in the within-mentioned Indenture.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AMERICAN STOCK TRANSFER &amp; TRUST COMPANY,</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LLC, 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23, 2014</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60"/>
          </w:cols>
          <w:pgMar w:left="240" w:top="274" w:right="4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4.500% Notes due 2019</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 Indenture, dated as of January 22, 2013 (herein called the “Base Indenture”), between the Company and American Stock Transfer &amp; Trust Company, LLC,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Second Supplemental Indenture, dated as of September 23, 2014 (the “Second Supplemental Indenture” and, together with the Base Indenture, herein called the “Indenture”). In the event of any conflict between the Base Indenture and the Second Supplemental Indenture, the Second Supplemental Indenture shall govern and control.</w:t>
      </w:r>
    </w:p>
    <w:p>
      <w:pPr>
        <w:spacing w:after="0" w:line="192"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This Security is one of the series designated on the face hereof, initially limited in aggregate principal amount to $250,000,000. Under a Board Resolution, an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and other terms as the Securities. Any Additional Securities and the existing Securities shall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Securities of this series are subject to redemption in whole or in part, at any time or from time to time, at the option of the Company, at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Redemption Price equal to the greater of the following amounts, plus, in each case, accrued and unpaid interest to the Redemption Date:</w:t>
      </w:r>
    </w:p>
    <w:p>
      <w:pPr>
        <w:spacing w:after="0" w:line="116" w:lineRule="exact"/>
        <w:rPr>
          <w:sz w:val="20"/>
          <w:szCs w:val="20"/>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100% of the principal amount of the Securities to be redeemed, or</w:t>
      </w:r>
    </w:p>
    <w:p>
      <w:pPr>
        <w:spacing w:after="0" w:line="130" w:lineRule="exact"/>
        <w:rPr>
          <w:rFonts w:ascii="Arial" w:cs="Arial" w:eastAsia="Arial" w:hAnsi="Arial"/>
          <w:sz w:val="18"/>
          <w:szCs w:val="18"/>
          <w:color w:val="auto"/>
        </w:rPr>
      </w:pPr>
    </w:p>
    <w:p>
      <w:pPr>
        <w:jc w:val="both"/>
        <w:ind w:left="1480" w:right="60" w:hanging="567"/>
        <w:spacing w:after="0" w:line="286" w:lineRule="auto"/>
        <w:tabs>
          <w:tab w:leader="none" w:pos="1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(exclusive of accrued and unpaid interest to the Redemption Date) on the Securities to be redeemed, discounted to the Redemption Date on a semi-annual basis (assuming a 360-day year consisting of twelve 30-day months) using the applicable Treasury Rate plus 45 basis points.</w:t>
      </w:r>
    </w:p>
    <w:p>
      <w:pPr>
        <w:spacing w:after="0" w:line="16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Securities, on any Redemption Date, the following terms have the meanings set forth below:</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Rate</w:t>
      </w:r>
      <w:r>
        <w:rPr>
          <w:rFonts w:ascii="Arial" w:cs="Arial" w:eastAsia="Arial" w:hAnsi="Arial"/>
          <w:sz w:val="18"/>
          <w:szCs w:val="18"/>
          <w:color w:val="auto"/>
        </w:rPr>
        <w:t>”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the Company.</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Comparable Treasury Issue</w:t>
      </w:r>
      <w:r>
        <w:rPr>
          <w:rFonts w:ascii="Arial" w:cs="Arial" w:eastAsia="Arial" w:hAnsi="Arial"/>
          <w:sz w:val="17"/>
          <w:szCs w:val="17"/>
          <w:color w:val="auto"/>
        </w:rPr>
        <w:t>” means the United States Treasury security selected by the Reference Treasury Dealer as having a maturity comparable to the remaining term of the Securities to be redeemed that would be utilized, at the time of selection and in accordance with customary financing practice, in pricing new issues of corporate debt securities of comparable maturity to the remaining term of the Securities being redeemed.</w:t>
      </w:r>
    </w:p>
    <w:p>
      <w:pPr>
        <w:spacing w:after="0" w:line="166"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Treasury Price</w:t>
      </w:r>
      <w:r>
        <w:rPr>
          <w:rFonts w:ascii="Arial" w:cs="Arial" w:eastAsia="Arial" w:hAnsi="Arial"/>
          <w:sz w:val="18"/>
          <w:szCs w:val="18"/>
          <w:color w:val="auto"/>
        </w:rPr>
        <w:t>”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270" w:right="27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Quotation Agent</w:t>
      </w:r>
      <w:r>
        <w:rPr>
          <w:rFonts w:ascii="Arial" w:cs="Arial" w:eastAsia="Arial" w:hAnsi="Arial"/>
          <w:sz w:val="18"/>
          <w:szCs w:val="18"/>
          <w:color w:val="auto"/>
        </w:rPr>
        <w:t>” means a Reference Treasury Dealer selected by the Company.</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w:t>
      </w:r>
      <w:r>
        <w:rPr>
          <w:rFonts w:ascii="Arial" w:cs="Arial" w:eastAsia="Arial" w:hAnsi="Arial"/>
          <w:sz w:val="18"/>
          <w:szCs w:val="18"/>
          <w:color w:val="auto"/>
        </w:rPr>
        <w:t>” means each of (1) J.P. Morgan Securities LLC, (2) Goldman, Sachs &amp; Co. LLC and (3) Morgan Stanley &amp; Co. LLC or their respective affiliates which are primary U.S. government securities dealers and their respective successors; provided, however, that if any of the foregoing or their affiliates shall cease to be a primary U.S. government securities dealer in the United States (a “Primary Treasury Dealer”), the Company shall select another Primary Treasury Dealer.</w:t>
      </w:r>
    </w:p>
    <w:p>
      <w:pPr>
        <w:spacing w:after="0" w:line="18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17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Notice of redemption shall be given in writing and mailed, first-class postage prepaid or by overnight courier guaranteeing next-day delivery, to each Holder of the Securities to be redeemed, not less than thirty (30) nor more than sixty (60) days prior to the Redemption Date, at the Holder’s address appearing in the Security Register. All notices of redemption shall contain the information set forth in Section 1104 of the Base Indenture.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exercise of the Company’s option to redeem the Securities shall be done in compliance with the Investment Company Act.</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If less than all of the Securities are to be redeemed or purchased in an offer to purchase at any time, the Trustee shall select the Securities of such series to be redeemed or purchased (1) if the Securities are listed on any national securities exchange, in compliance with the requirements of the principal national securities exchange on which the Securities are listed, (2) on a pro rata basis to the extent practicable or (3) by lot or such similar method in accordance with the procedures of DTC. In the event of redemption of this Security in part only, a new Security or Securities of this series and of like tenor for the unredeemed portion hereof shall be issued in the name of the Holder hereof upon the cancellation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partial redemption shall reduce the portion of the principal amount of a Security not redeemed to less than $2,000.</w:t>
      </w:r>
    </w:p>
    <w:p>
      <w:pPr>
        <w:spacing w:after="0" w:line="178" w:lineRule="exact"/>
        <w:rPr>
          <w:sz w:val="20"/>
          <w:szCs w:val="20"/>
          <w:color w:val="auto"/>
        </w:rPr>
      </w:pPr>
    </w:p>
    <w:p>
      <w:pPr>
        <w:jc w:val="both"/>
        <w:ind w:right="280" w:firstLine="456"/>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shall cease to accrue on the Securities called for redemption.</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Holders will have the right to require the Company to repurchase their Securities upon the occurrence of a Change of Control Repurchase Event as set forth in the Indenture.</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Securities do not have the option to have the Securities repaid prior to October 1, 2019.</w:t>
      </w:r>
    </w:p>
    <w:p>
      <w:pPr>
        <w:spacing w:after="0" w:line="225" w:lineRule="exact"/>
        <w:rPr>
          <w:sz w:val="20"/>
          <w:szCs w:val="20"/>
          <w:color w:val="auto"/>
        </w:rPr>
      </w:pPr>
    </w:p>
    <w:p>
      <w:pPr>
        <w:jc w:val="both"/>
        <w:ind w:right="300" w:firstLine="456"/>
        <w:spacing w:after="0" w:line="279" w:lineRule="auto"/>
        <w:rPr>
          <w:sz w:val="20"/>
          <w:szCs w:val="20"/>
          <w:color w:val="auto"/>
        </w:rPr>
      </w:pPr>
      <w:r>
        <w:rPr>
          <w:rFonts w:ascii="Arial" w:cs="Arial" w:eastAsia="Arial" w:hAnsi="Arial"/>
          <w:sz w:val="17"/>
          <w:szCs w:val="17"/>
          <w:color w:val="auto"/>
        </w:rPr>
        <w:t>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on the Securities will automatically become due and payable.</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4" w:right="239" w:bottom="1440" w:gutter="0" w:footer="0" w:header="0"/>
        </w:sectPr>
      </w:pPr>
    </w:p>
    <w:bookmarkStart w:id="27" w:name="page28"/>
    <w:bookmarkEnd w:id="27"/>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7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(1) such Holder shall have previously given the Trustee written notice of a continuing Event of Default with respect to the Securities of this series, (2) the Holders of not less than 25% in principal amount of the Securities of this series at the time Outstanding shall have made written request to the Trustee to institute proceedings in respect of such Event of Default as Trustee, (3) such Holder offered the Trustee indemnity satisfactory to the Trustee against the costs, expenses and liabilities to be incurred in compliance with such request, (4) for sixty (60) days after receipt of such notice, request and offer of indemnity, the Trustee shall have failed to institute any such proceeding, and (5) the Trustee shall not have received from the Holders of a majority in principal amount of Securities of this series at the time Outstanding a direction inconsistent with such request. The foregoing shall not apply to any suit instituted by the Holder of this Security for the enforcement of any payment of principal hereof or any premium or interest hereon on or after the respective due dates expressed herein.</w:t>
      </w:r>
    </w:p>
    <w:p>
      <w:pPr>
        <w:spacing w:after="0" w:line="16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shall be issued to the designated transferee or transferees.</w:t>
      </w:r>
    </w:p>
    <w:p>
      <w:pPr>
        <w:spacing w:after="0" w:line="15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or Trustee may require payment of a sum sufficient to cover any tax or other governmental charge payable in connection therewith.</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To the extent any provision in this Security conflicts with the express provisions of the Indenture, the provisions of the Indenture shall govern and be controlling.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this Security shall be governed by and construed in accordance with the laws of the State of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19964799.5.BUSINESS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74"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(h)(5)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$250,000,000 Aggregate Principal Amount of 4.50% Notes due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ind w:left="9980"/>
        <w:spacing w:after="0"/>
        <w:rPr>
          <w:sz w:val="20"/>
          <w:szCs w:val="20"/>
          <w:color w:val="auto"/>
        </w:rPr>
      </w:pPr>
      <w:r>
        <w:rPr>
          <w:rFonts w:ascii="Arial" w:cs="Arial" w:eastAsia="Arial" w:hAnsi="Arial"/>
          <w:sz w:val="15"/>
          <w:szCs w:val="15"/>
          <w:color w:val="auto"/>
        </w:rPr>
        <w:t>September 16, 2014</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Peachtree Road,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PennantPark Investment Corporation, a Maryland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proposes to issue and sell $250,000,000 aggregate principal amount of 4.50%Notes due 2019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It is understood that, subject to the conditions hereinafter stated, the Securities will be sold by the Company to the several Underwriters named in Schedule A hereto (the</w:t>
      </w:r>
    </w:p>
    <w:p>
      <w:pPr>
        <w:sectPr>
          <w:pgSz w:w="11900" w:h="16838" w:orient="portrait"/>
          <w:cols w:equalWidth="0" w:num="1">
            <w:col w:w="11420"/>
          </w:cols>
          <w:pgMar w:left="240" w:top="121" w:right="239" w:bottom="1440" w:gutter="0" w:footer="0" w:header="0"/>
        </w:sectPr>
      </w:pPr>
    </w:p>
    <w:bookmarkStart w:id="29" w:name="page30"/>
    <w:bookmarkEnd w:id="29"/>
    <w:p>
      <w:pPr>
        <w:ind w:right="2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in connection with the offer and sale of such Securities. J.P. Morgan Securities LLC, Goldman, Sachs &amp; Co., Morgan Stanley &amp; Co. LLC and SunTrust Robinson Humphrey, Inc. shall act as joint book-running managers (the “</w:t>
      </w:r>
      <w:r>
        <w:rPr>
          <w:rFonts w:ascii="Arial" w:cs="Arial" w:eastAsia="Arial" w:hAnsi="Arial"/>
          <w:sz w:val="17"/>
          <w:szCs w:val="17"/>
          <w:b w:val="1"/>
          <w:bCs w:val="1"/>
          <w:i w:val="1"/>
          <w:iCs w:val="1"/>
          <w:color w:val="auto"/>
        </w:rPr>
        <w:t>Joint Book-Running Managers</w:t>
      </w:r>
      <w:r>
        <w:rPr>
          <w:rFonts w:ascii="Arial" w:cs="Arial" w:eastAsia="Arial" w:hAnsi="Arial"/>
          <w:sz w:val="17"/>
          <w:szCs w:val="17"/>
          <w:color w:val="auto"/>
        </w:rPr>
        <w:t>”).</w:t>
      </w:r>
    </w:p>
    <w:p>
      <w:pPr>
        <w:spacing w:after="0" w:line="14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Securities will be issued under an indenture dated as of January 22, 2013 (the “</w:t>
      </w:r>
      <w:r>
        <w:rPr>
          <w:rFonts w:ascii="Arial" w:cs="Arial" w:eastAsia="Arial" w:hAnsi="Arial"/>
          <w:sz w:val="17"/>
          <w:szCs w:val="17"/>
          <w:b w:val="1"/>
          <w:bCs w:val="1"/>
          <w:i w:val="1"/>
          <w:iCs w:val="1"/>
          <w:color w:val="auto"/>
        </w:rPr>
        <w:t>Base Indenture</w:t>
      </w:r>
      <w:r>
        <w:rPr>
          <w:rFonts w:ascii="Arial" w:cs="Arial" w:eastAsia="Arial" w:hAnsi="Arial"/>
          <w:sz w:val="17"/>
          <w:szCs w:val="17"/>
          <w:color w:val="auto"/>
        </w:rPr>
        <w:t>”), as supplemented by the Second Supplemental Indenture to be dated as of September 23, 2014 (the “</w:t>
      </w:r>
      <w:r>
        <w:rPr>
          <w:rFonts w:ascii="Arial" w:cs="Arial" w:eastAsia="Arial" w:hAnsi="Arial"/>
          <w:sz w:val="17"/>
          <w:szCs w:val="17"/>
          <w:b w:val="1"/>
          <w:bCs w:val="1"/>
          <w:i w:val="1"/>
          <w:iCs w:val="1"/>
          <w:color w:val="auto"/>
        </w:rPr>
        <w:t>Second 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between the Company and American Stock Transfer &amp; Trust Company, LLC, as trustee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The Securities will be issued to Cede &amp; Co., as nominee of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pursuant to a blanket letter of representations (the “</w:t>
      </w:r>
      <w:r>
        <w:rPr>
          <w:rFonts w:ascii="Arial" w:cs="Arial" w:eastAsia="Arial" w:hAnsi="Arial"/>
          <w:sz w:val="17"/>
          <w:szCs w:val="17"/>
          <w:b w:val="1"/>
          <w:bCs w:val="1"/>
          <w:i w:val="1"/>
          <w:iCs w:val="1"/>
          <w:color w:val="auto"/>
        </w:rPr>
        <w:t>DTC Agreement</w:t>
      </w:r>
      <w:r>
        <w:rPr>
          <w:rFonts w:ascii="Arial" w:cs="Arial" w:eastAsia="Arial" w:hAnsi="Arial"/>
          <w:sz w:val="17"/>
          <w:szCs w:val="17"/>
          <w:color w:val="auto"/>
        </w:rPr>
        <w:t>”), between the Company and DTC. The Indenture has been qualified under the Trust Indenture Act of 1939, as amended (the “</w:t>
      </w:r>
      <w:r>
        <w:rPr>
          <w:rFonts w:ascii="Arial" w:cs="Arial" w:eastAsia="Arial" w:hAnsi="Arial"/>
          <w:sz w:val="17"/>
          <w:szCs w:val="17"/>
          <w:b w:val="1"/>
          <w:bCs w:val="1"/>
          <w:i w:val="1"/>
          <w:iCs w:val="1"/>
          <w:color w:val="auto"/>
        </w:rPr>
        <w:t>Trust Indenture Act</w:t>
      </w:r>
      <w:r>
        <w:rPr>
          <w:rFonts w:ascii="Arial" w:cs="Arial" w:eastAsia="Arial" w:hAnsi="Arial"/>
          <w:sz w:val="17"/>
          <w:szCs w:val="17"/>
          <w:color w:val="auto"/>
        </w:rPr>
        <w:t>”).</w:t>
      </w:r>
    </w:p>
    <w:p>
      <w:pPr>
        <w:spacing w:after="0" w:line="17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Company has filed, in accordance with the provisions of the Securities Act of 1933, as amended, and the rules and regulations thereunder (collectively,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a registration statement on Form N-2 (File No. 333-192782) relating to the Securities. The registration statement, as amended by post-effective amendment No. 1, filed by the Company with the Commission on September 8, 2014, and as it may have heretofore been amended subsequently at the time it became effective, including the information (if any) deemed to be part of the registration statement at the time of effectiveness pursuant to Rule 430C and Rule 497 under the Act and also including any registration statement filed pursuant to Rule 462(b) under the Act, is hereinafter referred to as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prospectus, dated as of January 30, 2014, included in the Registration Statement at the time it became effective on January 30, 2014 (including the information, if any, deemed to be part of the Registration Statement at the time of effectiveness pursuant to Rule 430C and Rule 497 under the Act), in the form in which it was distributed, is hereinafter referred to as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the prospectus supplement dated September 16, 2014 filed with the Commission pursuant to Rule 497 under the Act is hereinafter referred to as the “</w:t>
      </w:r>
      <w:r>
        <w:rPr>
          <w:rFonts w:ascii="Arial" w:cs="Arial" w:eastAsia="Arial" w:hAnsi="Arial"/>
          <w:sz w:val="16"/>
          <w:szCs w:val="16"/>
          <w:b w:val="1"/>
          <w:bCs w:val="1"/>
          <w:i w:val="1"/>
          <w:iCs w:val="1"/>
          <w:color w:val="auto"/>
        </w:rPr>
        <w:t>Pricing 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Pricing Prospectus</w:t>
      </w:r>
      <w:r>
        <w:rPr>
          <w:rFonts w:ascii="Arial" w:cs="Arial" w:eastAsia="Arial" w:hAnsi="Arial"/>
          <w:sz w:val="16"/>
          <w:szCs w:val="16"/>
          <w:color w:val="auto"/>
        </w:rPr>
        <w:t>”). The prospectus supplement to be filed with the Commission pursuant to Rule 497 after the Execution Time (as defined below) and to be used to confirm sales is hereinafter referred to as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certain information relating to the pricing of the Securities omitted from the Pricing Prospectus that will be included in the Prospectus Supplement and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is hereinafter referred to as the “</w:t>
      </w:r>
      <w:r>
        <w:rPr>
          <w:rFonts w:ascii="Arial" w:cs="Arial" w:eastAsia="Arial" w:hAnsi="Arial"/>
          <w:sz w:val="16"/>
          <w:szCs w:val="16"/>
          <w:b w:val="1"/>
          <w:bCs w:val="1"/>
          <w:i w:val="1"/>
          <w:iCs w:val="1"/>
          <w:color w:val="auto"/>
        </w:rPr>
        <w:t>Pricing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A Notification of Election to be subject to Sections 55 through 65 of the Investment Company Act of 1940 was filed with the Commission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 N-54A (File No. 814-00743) (the “</w:t>
      </w:r>
      <w:r>
        <w:rPr>
          <w:rFonts w:ascii="Arial" w:cs="Arial" w:eastAsia="Arial" w:hAnsi="Arial"/>
          <w:sz w:val="16"/>
          <w:szCs w:val="16"/>
          <w:b w:val="1"/>
          <w:bCs w:val="1"/>
          <w:i w:val="1"/>
          <w:iCs w:val="1"/>
          <w:color w:val="auto"/>
        </w:rPr>
        <w:t>Notification of Election</w:t>
      </w:r>
      <w:r>
        <w:rPr>
          <w:rFonts w:ascii="Arial" w:cs="Arial" w:eastAsia="Arial" w:hAnsi="Arial"/>
          <w:sz w:val="16"/>
          <w:szCs w:val="16"/>
          <w:color w:val="auto"/>
        </w:rPr>
        <w:t>”) on April 19, 2007 pursuant to Section 54(a) of the Investment Company Act of 1940, as amended, and the rules and regulations thereunder (collectively, the “</w:t>
      </w:r>
      <w:r>
        <w:rPr>
          <w:rFonts w:ascii="Arial" w:cs="Arial" w:eastAsia="Arial" w:hAnsi="Arial"/>
          <w:sz w:val="16"/>
          <w:szCs w:val="16"/>
          <w:b w:val="1"/>
          <w:bCs w:val="1"/>
          <w:i w:val="1"/>
          <w:iCs w:val="1"/>
          <w:color w:val="auto"/>
        </w:rPr>
        <w:t>Investment Company Act</w:t>
      </w:r>
      <w:r>
        <w:rPr>
          <w:rFonts w:ascii="Arial" w:cs="Arial" w:eastAsia="Arial" w:hAnsi="Arial"/>
          <w:sz w:val="16"/>
          <w:szCs w:val="16"/>
          <w:color w:val="auto"/>
        </w:rPr>
        <w:t>”). As used herein,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shall mean a day on which the New York Stock Exchange is open for trading.</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entered into an investment advisory and management agreement, dated as of April 17, 2007, as renewed in February 2014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Investment Advisory Agreement</w:t>
      </w:r>
      <w:r>
        <w:rPr>
          <w:rFonts w:ascii="Arial" w:cs="Arial" w:eastAsia="Arial" w:hAnsi="Arial"/>
          <w:sz w:val="16"/>
          <w:szCs w:val="16"/>
          <w:color w:val="auto"/>
        </w:rPr>
        <w:t>”), with PennantPark Investment Advisers, LLC, a Delaware limited liability company registered as an investment adviser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Adviser</w:t>
      </w:r>
      <w:r>
        <w:rPr>
          <w:rFonts w:ascii="Arial" w:cs="Arial" w:eastAsia="Arial" w:hAnsi="Arial"/>
          <w:sz w:val="17"/>
          <w:szCs w:val="17"/>
          <w:color w:val="auto"/>
        </w:rPr>
        <w:t>”) under the Investment Advisers Act of 1940, as amended, and the rules and regulations thereunder (collectively, the “</w:t>
      </w:r>
      <w:r>
        <w:rPr>
          <w:rFonts w:ascii="Arial" w:cs="Arial" w:eastAsia="Arial" w:hAnsi="Arial"/>
          <w:sz w:val="17"/>
          <w:szCs w:val="17"/>
          <w:b w:val="1"/>
          <w:bCs w:val="1"/>
          <w:i w:val="1"/>
          <w:iCs w:val="1"/>
          <w:color w:val="auto"/>
        </w:rPr>
        <w:t>Advisers Act</w:t>
      </w:r>
      <w:r>
        <w:rPr>
          <w:rFonts w:ascii="Arial" w:cs="Arial" w:eastAsia="Arial" w:hAnsi="Arial"/>
          <w:sz w:val="17"/>
          <w:szCs w:val="17"/>
          <w:color w:val="auto"/>
        </w:rPr>
        <w:t>”).</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30" w:name="page31"/>
    <w:bookmarkEnd w:id="30"/>
    <w:p>
      <w:pPr>
        <w:ind w:right="92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entered into an administration agreement, dated as of April 17, 2007, as renewed in February 2014 (the “</w:t>
      </w: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with PennantPark Investment Administration, LLC, a Delaware limited liability company (the “</w:t>
      </w:r>
      <w:r>
        <w:rPr>
          <w:rFonts w:ascii="Arial" w:cs="Arial" w:eastAsia="Arial" w:hAnsi="Arial"/>
          <w:sz w:val="16"/>
          <w:szCs w:val="16"/>
          <w:b w:val="1"/>
          <w:bCs w:val="1"/>
          <w:i w:val="1"/>
          <w:iCs w:val="1"/>
          <w:color w:val="auto"/>
        </w:rPr>
        <w:t>Administrator</w:t>
      </w:r>
      <w:r>
        <w:rPr>
          <w:rFonts w:ascii="Arial" w:cs="Arial" w:eastAsia="Arial" w:hAnsi="Arial"/>
          <w:sz w:val="16"/>
          <w:szCs w:val="16"/>
          <w:color w:val="auto"/>
        </w:rPr>
        <w: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the Adviser, the Administrator and the Underwriters agree as follows:</w:t>
      </w:r>
    </w:p>
    <w:p>
      <w:pPr>
        <w:spacing w:after="0" w:line="225" w:lineRule="exact"/>
        <w:rPr>
          <w:sz w:val="20"/>
          <w:szCs w:val="20"/>
          <w:color w:val="auto"/>
        </w:rPr>
      </w:pPr>
    </w:p>
    <w:p>
      <w:pPr>
        <w:ind w:right="40" w:firstLine="464"/>
        <w:spacing w:after="0" w:line="273" w:lineRule="auto"/>
        <w:tabs>
          <w:tab w:leader="none" w:pos="636"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Sale and Purchase</w:t>
      </w:r>
      <w:r>
        <w:rPr>
          <w:rFonts w:ascii="Arial" w:cs="Arial" w:eastAsia="Arial" w:hAnsi="Arial"/>
          <w:sz w:val="17"/>
          <w:szCs w:val="17"/>
          <w:color w:val="auto"/>
        </w:rPr>
        <w:t>. Upon the basis of the representations and warranties and subject to the terms and conditions herein set forth, the Company agrees to issue and sell to the respective Underwriters and each of the Underwriters, severally and not jointly, agrees to purchase from the Company at the price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to be paid by the several Underwriters set forth in Schedule A hereto, the aggregate principal amount of Securities set forth opposite the name of such Underwriter in Schedule A attached hereto, subject to adjustment in accordance with Section 8 hereof. The Company is advised by you that the Underwriters intend initially to offer the Securities upon the terms set forth in the Prospectus. You may from time to time increase or decrease the public offering price after the public offering to such extent as you may determine.</w:t>
      </w:r>
    </w:p>
    <w:p>
      <w:pPr>
        <w:spacing w:after="0" w:line="178" w:lineRule="exact"/>
        <w:rPr>
          <w:rFonts w:ascii="Arial" w:cs="Arial" w:eastAsia="Arial" w:hAnsi="Arial"/>
          <w:sz w:val="17"/>
          <w:szCs w:val="17"/>
          <w:color w:val="auto"/>
        </w:rPr>
      </w:pPr>
    </w:p>
    <w:p>
      <w:pPr>
        <w:ind w:right="20" w:firstLine="464"/>
        <w:spacing w:after="0" w:line="297" w:lineRule="auto"/>
        <w:tabs>
          <w:tab w:leader="none" w:pos="63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Payment and Delivery</w:t>
      </w:r>
      <w:r>
        <w:rPr>
          <w:rFonts w:ascii="Arial" w:cs="Arial" w:eastAsia="Arial" w:hAnsi="Arial"/>
          <w:sz w:val="16"/>
          <w:szCs w:val="16"/>
          <w:color w:val="auto"/>
        </w:rPr>
        <w:t>. Payment of the purchase price for the Securities shall be made to the Company by Federal Funds wire transfer, against delivery of the Securities to you through the facilities of DTC for the respective accounts of the Underwriters. Such payment and delivery shall be made at 10:00 A.M., New York City time, on September 23, 2014 (unless another time shall be agreed to by you and the Company or unless postponed in accordance with the provisions of Section 8 hereof). The time at which such payment and delivery are to be made is hereinafter sometimes called “</w:t>
      </w:r>
      <w:r>
        <w:rPr>
          <w:rFonts w:ascii="Arial" w:cs="Arial" w:eastAsia="Arial" w:hAnsi="Arial"/>
          <w:sz w:val="16"/>
          <w:szCs w:val="16"/>
          <w:b w:val="1"/>
          <w:bCs w:val="1"/>
          <w:i w:val="1"/>
          <w:iCs w:val="1"/>
          <w:color w:val="auto"/>
        </w:rPr>
        <w:t>the time of purchase</w:t>
      </w:r>
      <w:r>
        <w:rPr>
          <w:rFonts w:ascii="Arial" w:cs="Arial" w:eastAsia="Arial" w:hAnsi="Arial"/>
          <w:sz w:val="16"/>
          <w:szCs w:val="16"/>
          <w:color w:val="auto"/>
        </w:rPr>
        <w:t>.” Electronic transfer of the Securities shall be made to you at the time of purchase in such names and in such denominations as you shall specify.</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Deliveries of the documents described in Section 6 hereof with respect to the purchase of the Securities shall be made at the offices of Fried, Frank, Harris, Shriver &amp; Jacobson LLP, One New York Plaza, New York, N.Y. 10004 at 10:00 A.M., New York City time, on the date of the closing of the purchase of the Securities.</w:t>
      </w:r>
    </w:p>
    <w:p>
      <w:pPr>
        <w:spacing w:after="0" w:line="181" w:lineRule="exact"/>
        <w:rPr>
          <w:sz w:val="20"/>
          <w:szCs w:val="20"/>
          <w:color w:val="auto"/>
        </w:rPr>
      </w:pPr>
    </w:p>
    <w:p>
      <w:pPr>
        <w:ind w:firstLine="464"/>
        <w:spacing w:after="0" w:line="277"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of the Underwriters, and the Adviser and the Administrator, jointly and severally, represent and warrant to and agree with each of the Underwriters that:</w:t>
      </w:r>
    </w:p>
    <w:p>
      <w:pPr>
        <w:spacing w:after="0" w:line="170" w:lineRule="exact"/>
        <w:rPr>
          <w:sz w:val="20"/>
          <w:szCs w:val="20"/>
          <w:color w:val="auto"/>
        </w:rPr>
      </w:pPr>
    </w:p>
    <w:p>
      <w:pPr>
        <w:ind w:right="120" w:firstLine="464"/>
        <w:spacing w:after="0" w:line="291" w:lineRule="auto"/>
        <w:tabs>
          <w:tab w:leader="none" w:pos="70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Registration Statement has been declared effective under the Act; no stop order of the Commission preventing or suspending the use of any Pricing Prospectus or the Prospectus or the effectiveness of the Registration Statement has been issued and no proceedings for such purpose have been instituted or, to the Company’s knowledge, are contemplated by the Commission; the Notification of Election was filed with the Commission on April 19, 2007 under the Investment Company Act; the Pricing Prospectus taken together with the Pricing Information, as of the date and time that this Agreement is executed and delivered by the parties hereto (the “</w:t>
      </w:r>
      <w:r>
        <w:rPr>
          <w:rFonts w:ascii="Arial" w:cs="Arial" w:eastAsia="Arial" w:hAnsi="Arial"/>
          <w:sz w:val="16"/>
          <w:szCs w:val="16"/>
          <w:b w:val="1"/>
          <w:bCs w:val="1"/>
          <w:i w:val="1"/>
          <w:iCs w:val="1"/>
          <w:color w:val="auto"/>
        </w:rPr>
        <w:t>Execution Time</w:t>
      </w:r>
      <w:r>
        <w:rPr>
          <w:rFonts w:ascii="Arial" w:cs="Arial" w:eastAsia="Arial" w:hAnsi="Arial"/>
          <w:sz w:val="16"/>
          <w:szCs w:val="16"/>
          <w:color w:val="auto"/>
        </w:rPr>
        <w:t>”), and at the time of purchase, did not contain any untrue statement of a material fact or omit to state a material fact required to be stated therein or necessary to make the statements therein, in the light of the circumstances under which they were made, not misleading; each Additional Disclosure Item (as defined in this Section 3(a)) listed on Schedule B</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1" w:name="page32"/>
    <w:bookmarkEnd w:id="31"/>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hereto does not and will not conflict with the information contained in the Registration Statement, the Pricing Prospectus or the Prospectus and each such Additional Disclosure Item, as supplemented by and taken together with the Pricing Prospectus as of the Execution Time, did not and will not include any untrue statement of a material fact or omit to state any material fact necessary in order to make the statements therein, in the light of the circumstances under which they were made, not misleading; the Registration Statement complied when it became effective, and complies and will comply, when the Prospectus is first filed in accordance with Rule 497 and at the time of purchase, in all material respects with the applicable requirements of the Act and the Investment Company Act and the Prospectus (and any supplements thereto), as of the date it is first filed in accordance with Rule 497 and at the time of purchase, will comply in all material respects with the applicable requirements of the Act and the Investment Company Act; the Registration Statement did not, when it became effective, does not and will not, when the Prospectus is first filed in accordance with Rule 497 and at the time of purchase and any additional time of purchase, contain an untrue statement of a material fact or omit to state a material fact required to be stated therein or necessary to make the statements therein not misleading and the Prospectus (and any supplements thereto) will not contain an untrue statement of a material fact or omit to state a material fact required to be stated therein or necessary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the Adviser and the Administrator make no warranty or representation with respect to any statement or omission contained in the Registration Statement, the Pricing Prospectus, or the Prospectus, or any amendment or supplement thereto, made in reliance upon and in conformity with information concerning an Underwriter and furnished in writing by or on behalf of such Underwriter to the Company expressly for use therein. No statement of a material fact included in the Prospectus has been omitted from the Pricing Prospectus, when considered together with the Pricing Information, and no statement of material fact included in the Pricing Prospectus, when considered together with the Pricing Information, that is required to be included in the Prospectus will be omitted therefrom; the Company has not distributed and will not distribute any offering material in connection with the offering or sale of the Securities other than the Registration Statement, the Pricing Prospectus, the Prospectus and the Additional Disclosure Items the use of which has been consented to by the Representatives and listed on Schedule B hereto (the “</w:t>
      </w:r>
      <w:r>
        <w:rPr>
          <w:rFonts w:ascii="Arial" w:cs="Arial" w:eastAsia="Arial" w:hAnsi="Arial"/>
          <w:sz w:val="16"/>
          <w:szCs w:val="16"/>
          <w:b w:val="1"/>
          <w:bCs w:val="1"/>
          <w:i w:val="1"/>
          <w:iCs w:val="1"/>
          <w:color w:val="auto"/>
        </w:rPr>
        <w:t>Additional Disclosure Items</w:t>
      </w:r>
      <w:r>
        <w:rPr>
          <w:rFonts w:ascii="Arial" w:cs="Arial" w:eastAsia="Arial" w:hAnsi="Arial"/>
          <w:sz w:val="16"/>
          <w:szCs w:val="16"/>
          <w:color w:val="auto"/>
        </w:rPr>
        <w:t>”); any materials or information provided to investors by, or with the approval of, the Company in connection with the offering of the Securities (“</w:t>
      </w:r>
      <w:r>
        <w:rPr>
          <w:rFonts w:ascii="Arial" w:cs="Arial" w:eastAsia="Arial" w:hAnsi="Arial"/>
          <w:sz w:val="16"/>
          <w:szCs w:val="16"/>
          <w:b w:val="1"/>
          <w:bCs w:val="1"/>
          <w:i w:val="1"/>
          <w:iCs w:val="1"/>
          <w:color w:val="auto"/>
        </w:rPr>
        <w:t>Marketing Materials</w:t>
      </w:r>
      <w:r>
        <w:rPr>
          <w:rFonts w:ascii="Arial" w:cs="Arial" w:eastAsia="Arial" w:hAnsi="Arial"/>
          <w:sz w:val="16"/>
          <w:szCs w:val="16"/>
          <w:color w:val="auto"/>
        </w:rPr>
        <w:t>”), including any Road Show Materials (as defined below) or investor presentations made to investors by the Company (whether in person or electronically), when considered together with the Pricing Prospectus, do not contain any untrue statement of material fact or omit to state a material fact necessary to make the statements therein, in the light of the circumstances under which they were made, not misleading;</w:t>
      </w:r>
    </w:p>
    <w:p>
      <w:pPr>
        <w:spacing w:after="0" w:line="179" w:lineRule="exact"/>
        <w:rPr>
          <w:sz w:val="20"/>
          <w:szCs w:val="20"/>
          <w:color w:val="auto"/>
        </w:rPr>
      </w:pPr>
    </w:p>
    <w:p>
      <w:pPr>
        <w:ind w:firstLine="464"/>
        <w:spacing w:after="0" w:line="273" w:lineRule="auto"/>
        <w:tabs>
          <w:tab w:leader="none" w:pos="711" w:val="left"/>
        </w:tabs>
        <w:numPr>
          <w:ilvl w:val="0"/>
          <w:numId w:val="38"/>
        </w:numPr>
        <w:rPr>
          <w:rFonts w:ascii="Arial" w:cs="Arial" w:eastAsia="Arial" w:hAnsi="Arial"/>
          <w:sz w:val="17"/>
          <w:szCs w:val="17"/>
          <w:color w:val="auto"/>
        </w:rPr>
      </w:pPr>
      <w:r>
        <w:rPr>
          <w:rFonts w:ascii="Arial" w:cs="Arial" w:eastAsia="Arial" w:hAnsi="Arial"/>
          <w:sz w:val="17"/>
          <w:szCs w:val="17"/>
          <w:color w:val="auto"/>
        </w:rPr>
        <w:t>as of the Execution Time, the Company has an authorized and outstanding capitalization as set forth under the heading “Actual” in the section of the Pricing Prospectus and the Prospectus entitled “Capitalization” and, as of the time of purchase, the Company shall have an authorized and outstanding capitalization as set forth under the heading “As adjusted for the offering” in the section of the Prospectus entitled “Capitalization” (subject to the issuance of any shares pursuant to the Company’s dividend reinvestment plan); all of the issued and outstanding shares of capital stock of the Company have been duly authorized and validly issued and are fully paid and non-assessable, have been issued in compliance with all federal and state securities laws and were not issued in violation of any preemptive right or right of first refusal;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2" w:name="page33"/>
    <w:bookmarkEnd w:id="32"/>
    <w:p>
      <w:pPr>
        <w:jc w:val="both"/>
        <w:ind w:left="-20" w:right="100" w:firstLine="464"/>
        <w:spacing w:after="0" w:line="264" w:lineRule="auto"/>
        <w:tabs>
          <w:tab w:leader="none" w:pos="681"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been duly incorporated and is validly existing as a corporation in good standing under the laws of the State of Maryland, and has the corporate power and authority to own, lease and operate its properties and conduct its business as described in the Pricing Prospectus, the Prospectus and the Registration Statement, to execute and deliver this Agreement, the Indenture and the Securities;</w:t>
      </w:r>
    </w:p>
    <w:p>
      <w:pPr>
        <w:spacing w:after="0" w:line="181" w:lineRule="exact"/>
        <w:rPr>
          <w:rFonts w:ascii="Arial" w:cs="Arial" w:eastAsia="Arial" w:hAnsi="Arial"/>
          <w:sz w:val="18"/>
          <w:szCs w:val="18"/>
          <w:color w:val="auto"/>
        </w:rPr>
      </w:pPr>
    </w:p>
    <w:p>
      <w:pPr>
        <w:ind w:left="-20" w:right="40" w:firstLine="464"/>
        <w:spacing w:after="0" w:line="272" w:lineRule="auto"/>
        <w:tabs>
          <w:tab w:leader="none" w:pos="691"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have a material adverse effect on the business, financial condition, results of operation or prospects of the Company and its subsidiaries PennantPark SBIC LP, PennantPark SBIC II LP, PennantPark SBIC GP, LLC, PennantPark SBIC GP II, LLC, PNNT Alabama Holdings Inc., PNNT Acentia, LLC, PNNT CI (GALLS) Prime Investment Holdings, LLC, PNNT Transportation 100 Holdco, LLC, PNNT Power Products Holdings, LLC, PNNT New Gulf Resources, LLC, PNNT ecoserve, LLC, PNNT CI (FBM) Investment Holdings LLC, PNNT RAM Energy LLC, SuttonPark Holdings, Inc. and SuttonPark Capital LLC (each a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Subsidiaries</w:t>
      </w:r>
      <w:r>
        <w:rPr>
          <w:rFonts w:ascii="Arial" w:cs="Arial" w:eastAsia="Arial" w:hAnsi="Arial"/>
          <w:sz w:val="17"/>
          <w:szCs w:val="17"/>
          <w:color w:val="auto"/>
        </w:rPr>
        <w:t>”) taken as a whole (a “</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20" w:firstLine="464"/>
        <w:spacing w:after="0" w:line="289" w:lineRule="auto"/>
        <w:tabs>
          <w:tab w:leader="none" w:pos="68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has no subsidiary, other than PennantPark SBIC LP, that is a significant subsidiary of the Company within the meaning of Rule 1-02(w) of Regulation S-X under the Act; the Company has no subsidiary (as defined in the Act) other than the Subsidiaries; each of the Subsidiaries has been duly organized, is validly existing as a Delaware limited partnership, a Delaware limited liability company and a Delaware corporation, as the case may be, is in good standing under the laws of the jurisdiction in which it was organized, has the power and authority to own, lease and operate its properties and to conduct its business as described in the Pricing Prospectus, the Prospectus and the Registration Statement, as applicable; complete and correct copies of the articles of incorporation, certificate of formation, certificate of limited partnership, limited liability company operating agreement, limited partnership agreement and bylaws, as applicable, of each of the Company and of the Subsidiaries, and all amendments thereto through the date hereof, have been delivered to you; the Company, either directly or through a wholly-owned subsidiary, owns all of the outstanding equity interests of the Subsidiaries free and clear of any liens, charges or encumbrances in favor of any third parties. PNNT Alabama Holdings Inc. does not employ any persons or conduct any business;</w:t>
      </w:r>
    </w:p>
    <w:p>
      <w:pPr>
        <w:spacing w:after="0" w:line="166" w:lineRule="exact"/>
        <w:rPr>
          <w:rFonts w:ascii="Arial" w:cs="Arial" w:eastAsia="Arial" w:hAnsi="Arial"/>
          <w:sz w:val="16"/>
          <w:szCs w:val="16"/>
          <w:color w:val="auto"/>
        </w:rPr>
      </w:pPr>
    </w:p>
    <w:p>
      <w:pPr>
        <w:ind w:left="-20" w:right="120" w:firstLine="464"/>
        <w:spacing w:after="0" w:line="264" w:lineRule="auto"/>
        <w:tabs>
          <w:tab w:leader="none" w:pos="66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Subsidiaries are duly qualified to do business as a foreign entity and are in good standing in each jurisdiction where the ownership or leasing of its properties or the conduct of its business requires such qualification, except where the failure to be so qualified and in good standing would not have a Material Adverse Effect;</w:t>
      </w:r>
    </w:p>
    <w:p>
      <w:pPr>
        <w:spacing w:after="0" w:line="181" w:lineRule="exact"/>
        <w:rPr>
          <w:rFonts w:ascii="Arial" w:cs="Arial" w:eastAsia="Arial" w:hAnsi="Arial"/>
          <w:sz w:val="18"/>
          <w:szCs w:val="18"/>
          <w:color w:val="auto"/>
        </w:rPr>
      </w:pPr>
    </w:p>
    <w:p>
      <w:pPr>
        <w:ind w:left="-20" w:right="100" w:firstLine="464"/>
        <w:spacing w:after="0" w:line="264" w:lineRule="auto"/>
        <w:tabs>
          <w:tab w:leader="none" w:pos="69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Indenture (including the Second Supplemental Indenture) has been duly authorized, and at the time of purchase, will be executed and delivered by the Company and when duly authorized, executed and delivered by the Trustee will constitute a valid and legally binding obligation of the Company, enforceable against the Company in accordance with its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33" w:name="page34"/>
    <w:bookmarkEnd w:id="33"/>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subject, as to enforcement, to applicable bankruptcy, reorganization, insolvency, moratorium or other laws affecting creditors’ rights generally and to general principles of equity (regardless of whether enforcement is considered in a proceeding in equity or law) (collectively, the “</w:t>
      </w:r>
      <w:r>
        <w:rPr>
          <w:rFonts w:ascii="Arial" w:cs="Arial" w:eastAsia="Arial" w:hAnsi="Arial"/>
          <w:sz w:val="18"/>
          <w:szCs w:val="18"/>
          <w:b w:val="1"/>
          <w:bCs w:val="1"/>
          <w:i w:val="1"/>
          <w:iCs w:val="1"/>
          <w:color w:val="auto"/>
        </w:rPr>
        <w:t>Enforceability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Exceptions</w:t>
      </w:r>
      <w:r>
        <w:rPr>
          <w:rFonts w:ascii="Arial" w:cs="Arial" w:eastAsia="Arial" w:hAnsi="Arial"/>
          <w:sz w:val="18"/>
          <w:szCs w:val="18"/>
          <w:color w:val="auto"/>
        </w:rPr>
        <w:t>”);</w:t>
      </w:r>
    </w:p>
    <w:p>
      <w:pPr>
        <w:spacing w:after="0" w:line="181" w:lineRule="exact"/>
        <w:rPr>
          <w:sz w:val="20"/>
          <w:szCs w:val="20"/>
          <w:color w:val="auto"/>
        </w:rPr>
      </w:pPr>
    </w:p>
    <w:p>
      <w:pPr>
        <w:ind w:firstLine="464"/>
        <w:spacing w:after="0" w:line="276" w:lineRule="auto"/>
        <w:tabs>
          <w:tab w:leader="none" w:pos="711"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Securities have been duly authorized for sale to the Underwriters pursuant to this Agreement and, when executed and delivered by the Company and authenticated by the Trustee pursuant to the provisions of this Agreement and of the Indenture relating thereto, against payment of the consideration set forth in this Agreement, will be valid and legally binding obligations of the Company enforceable in accordance with their terms, subject to the Enforceability Exceptions, and will be entitled to the benefits of the Indenture relating thereto; and the Securities and the Indenture will conform in all material respects to the statements relating thereto contained in the Pricing Prospectus and the Prospectus;</w:t>
      </w:r>
    </w:p>
    <w:p>
      <w:pPr>
        <w:spacing w:after="0" w:line="172" w:lineRule="exact"/>
        <w:rPr>
          <w:rFonts w:ascii="Arial" w:cs="Arial" w:eastAsia="Arial" w:hAnsi="Arial"/>
          <w:sz w:val="17"/>
          <w:szCs w:val="17"/>
          <w:color w:val="auto"/>
        </w:rPr>
      </w:pPr>
    </w:p>
    <w:p>
      <w:pPr>
        <w:ind w:right="20" w:firstLine="464"/>
        <w:spacing w:after="0" w:line="257" w:lineRule="auto"/>
        <w:tabs>
          <w:tab w:leader="none" w:pos="671"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this Agreement, the Investment Advisory Agreement and the Administration Agreement have been duly authorized, executed and delivered by the Company and constitute the valid and legally binding agreements of the Company, enforceable against the Company, in accordance with their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of the Company, Adviser and Administrator makes no representation or warranty with respect to the validity or enforceability of any provision hereunder or thereunder relating to rights to indemnity and/or contribution or to enforceability of any obligations that may be limited the Enforceability Exceptions;</w:t>
      </w:r>
    </w:p>
    <w:p>
      <w:pPr>
        <w:spacing w:after="0" w:line="188" w:lineRule="exact"/>
        <w:rPr>
          <w:rFonts w:ascii="Arial" w:cs="Arial" w:eastAsia="Arial" w:hAnsi="Arial"/>
          <w:sz w:val="18"/>
          <w:szCs w:val="18"/>
          <w:color w:val="auto"/>
        </w:rPr>
      </w:pPr>
    </w:p>
    <w:p>
      <w:pPr>
        <w:ind w:right="40" w:firstLine="464"/>
        <w:spacing w:after="0" w:line="284" w:lineRule="auto"/>
        <w:tabs>
          <w:tab w:leader="none" w:pos="671" w:val="left"/>
        </w:tabs>
        <w:numPr>
          <w:ilvl w:val="1"/>
          <w:numId w:val="40"/>
        </w:numPr>
        <w:rPr>
          <w:rFonts w:ascii="Arial" w:cs="Arial" w:eastAsia="Arial" w:hAnsi="Arial"/>
          <w:sz w:val="16"/>
          <w:szCs w:val="16"/>
          <w:color w:val="auto"/>
        </w:rPr>
      </w:pPr>
      <w:r>
        <w:rPr>
          <w:rFonts w:ascii="Arial" w:cs="Arial" w:eastAsia="Arial" w:hAnsi="Arial"/>
          <w:sz w:val="16"/>
          <w:szCs w:val="16"/>
          <w:color w:val="auto"/>
        </w:rPr>
        <w:t>neither the Company nor any Subsidiary is (i) in violation of its charter, by-laws, certificate of formation, limited liability company operating agreement, or other organizational documents of the Company or any Subsidiary, as applicable, or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any Subsidiary, as the case may be, is a party or (iii) in contravention of any law, regulation or rule or any decree, judgment or order applicable to the Company or any Subsidiary, as applicable, except, with respect to clause (ii) and (iii), to the extent that any such contravention would not have a Material Adverse Effect; and the execution, delivery and performance by the Company of this Agreement, the Indenture (including the Second Supplemental Indenture) and the Securities and the consummation of the transactions contemplated hereby will not (i) violate the charter, by-laws or other organizational documents of the Company, or</w:t>
      </w:r>
    </w:p>
    <w:p>
      <w:pPr>
        <w:spacing w:after="0" w:line="1" w:lineRule="exact"/>
        <w:rPr>
          <w:rFonts w:ascii="Arial" w:cs="Arial" w:eastAsia="Arial" w:hAnsi="Arial"/>
          <w:sz w:val="16"/>
          <w:szCs w:val="16"/>
          <w:color w:val="auto"/>
        </w:rPr>
      </w:pPr>
    </w:p>
    <w:p>
      <w:pPr>
        <w:ind w:right="100" w:firstLine="8"/>
        <w:spacing w:after="0" w:line="290" w:lineRule="auto"/>
        <w:tabs>
          <w:tab w:leader="none" w:pos="265"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any Subsidiary, as the case may be, is a party or (iii) contravene any law, regulation or rule or any decree, judgment or order applicable to the Company or any Subsidiary, as applicable, except, with respect to clause (ii) and (iii), to the extent that any such contravention would not have a Material Adverse Effect and, with respect to clause (iii), to the extent such contravention would not have a Material Adverse Effect on the ability of the Company to consummate the Offering or any transaction contemplated by this Agreement or the Pricing Prospectus;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4" w:name="page35"/>
    <w:bookmarkEnd w:id="34"/>
    <w:p>
      <w:pPr>
        <w:ind w:left="-20" w:right="140" w:firstLine="464"/>
        <w:spacing w:after="0" w:line="257" w:lineRule="auto"/>
        <w:tabs>
          <w:tab w:leader="none" w:pos="691"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approval, authorization, consent or order of or filing with any governmental or regulatory body or agency is required in connection with the performance by the Company of its obligations under this Agreement and the consummation of the transactions contemplated by this Agreement, the Indenture and the Securities other than registration of the Securities under the Act, which has been effected, and any necessary qualification under the Trust Indenture Act, the securities or blue sky laws of the various jurisdictions in which the Securities are being offered by the Underwriters or under the rules and regulations of the Financial Industry Regulatory Authority (“</w:t>
      </w:r>
      <w:r>
        <w:rPr>
          <w:rFonts w:ascii="Arial" w:cs="Arial" w:eastAsia="Arial" w:hAnsi="Arial"/>
          <w:sz w:val="18"/>
          <w:szCs w:val="18"/>
          <w:b w:val="1"/>
          <w:bCs w:val="1"/>
          <w:i w:val="1"/>
          <w:iCs w:val="1"/>
          <w:color w:val="auto"/>
        </w:rPr>
        <w:t>FINRA</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20" w:firstLine="464"/>
        <w:spacing w:after="0" w:line="302" w:lineRule="auto"/>
        <w:tabs>
          <w:tab w:leader="none" w:pos="651"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Pricing Prospectus and the Prospectus, (i) no person has the right to act as an underwriter or as a financial advisor to the Company in connection with the offer and sale of the Securities, and (ii) 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Securities registered pursuant to the Registration Statement;</w:t>
      </w:r>
    </w:p>
    <w:p>
      <w:pPr>
        <w:spacing w:after="0" w:line="154" w:lineRule="exact"/>
        <w:rPr>
          <w:rFonts w:ascii="Arial" w:cs="Arial" w:eastAsia="Arial" w:hAnsi="Arial"/>
          <w:sz w:val="16"/>
          <w:szCs w:val="16"/>
          <w:color w:val="auto"/>
        </w:rPr>
      </w:pPr>
    </w:p>
    <w:p>
      <w:pPr>
        <w:ind w:left="-20" w:right="20" w:firstLine="464"/>
        <w:spacing w:after="0" w:line="255" w:lineRule="auto"/>
        <w:tabs>
          <w:tab w:leader="none" w:pos="7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the Company and each of the Subsidiaries has all necessary licenses, authorizations, consents and approvals (collectively, the “</w:t>
      </w:r>
      <w:r>
        <w:rPr>
          <w:rFonts w:ascii="Arial" w:cs="Arial" w:eastAsia="Arial" w:hAnsi="Arial"/>
          <w:sz w:val="18"/>
          <w:szCs w:val="18"/>
          <w:b w:val="1"/>
          <w:bCs w:val="1"/>
          <w:i w:val="1"/>
          <w:iCs w:val="1"/>
          <w:color w:val="auto"/>
        </w:rPr>
        <w:t>Consents</w:t>
      </w:r>
      <w:r>
        <w:rPr>
          <w:rFonts w:ascii="Arial" w:cs="Arial" w:eastAsia="Arial" w:hAnsi="Arial"/>
          <w:sz w:val="18"/>
          <w:szCs w:val="18"/>
          <w:color w:val="auto"/>
        </w:rPr>
        <w:t>”) and has made all necessary filings required under any federal, state, local or foreign law, regulation or rule, and has obtained all necessary authorizations, consents and approvals from other persons, in order to conduct its business, except where the failure to obtain such consent would not have a Material Adverse Effect; neither the Company nor any Subsidiary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any Subsidiary, except where such violation, default, revocation or modification would not, individually or in the aggregate, have a Material Adverse Effect;</w:t>
      </w:r>
    </w:p>
    <w:p>
      <w:pPr>
        <w:spacing w:after="0" w:line="189" w:lineRule="exact"/>
        <w:rPr>
          <w:rFonts w:ascii="Arial" w:cs="Arial" w:eastAsia="Arial" w:hAnsi="Arial"/>
          <w:sz w:val="18"/>
          <w:szCs w:val="18"/>
          <w:color w:val="auto"/>
        </w:rPr>
      </w:pPr>
    </w:p>
    <w:p>
      <w:pPr>
        <w:ind w:left="-20" w:right="60" w:firstLine="464"/>
        <w:spacing w:after="0" w:line="264" w:lineRule="auto"/>
        <w:tabs>
          <w:tab w:leader="none" w:pos="69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legal proceedings, government proceedings known to the Company, affiliate transactions, consents, licenses, agreements, leases or documents of a character required to be described in the Pricing Prospectus and the Prospectus or to be filed as an exhibit to the Registration Statement have been so described or filed as required;</w:t>
      </w:r>
    </w:p>
    <w:p>
      <w:pPr>
        <w:spacing w:after="0" w:line="181" w:lineRule="exact"/>
        <w:rPr>
          <w:rFonts w:ascii="Arial" w:cs="Arial" w:eastAsia="Arial" w:hAnsi="Arial"/>
          <w:sz w:val="18"/>
          <w:szCs w:val="18"/>
          <w:color w:val="auto"/>
        </w:rPr>
      </w:pPr>
    </w:p>
    <w:p>
      <w:pPr>
        <w:ind w:left="-20" w:right="140" w:firstLine="464"/>
        <w:spacing w:after="0" w:line="255" w:lineRule="auto"/>
        <w:tabs>
          <w:tab w:leader="none" w:pos="691"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Pricing Prospectus and the Prospectus, there are no legal actions, suits, claims, investigations or proceedings pending or, to the Company’s knowledge, threatened to which the Company or the Subsidiaries, or any of their respective directors, managing members or officers is a party or of which any of their respective properties is or would be subject at law or in equity, before or by any federal, state, local or foreign governmental or regulatory commission, board, body, authority or agency, except any such action, suit, claim, investigation or proceeding which would not if determined adversely to the Company or the Subsidiaries, as the case may be, have a Material Adverse Effect or prevent consummation of the transactions contemplated hereby;</w:t>
      </w:r>
    </w:p>
    <w:p>
      <w:pPr>
        <w:spacing w:after="0" w:line="193" w:lineRule="exact"/>
        <w:rPr>
          <w:rFonts w:ascii="Arial" w:cs="Arial" w:eastAsia="Arial" w:hAnsi="Arial"/>
          <w:sz w:val="18"/>
          <w:szCs w:val="18"/>
          <w:color w:val="auto"/>
        </w:rPr>
      </w:pPr>
    </w:p>
    <w:p>
      <w:pPr>
        <w:ind w:left="-20" w:right="340" w:firstLine="464"/>
        <w:spacing w:after="0" w:line="277" w:lineRule="auto"/>
        <w:tabs>
          <w:tab w:leader="none" w:pos="691" w:val="left"/>
        </w:tabs>
        <w:numPr>
          <w:ilvl w:val="0"/>
          <w:numId w:val="42"/>
        </w:numPr>
        <w:rPr>
          <w:rFonts w:ascii="Arial" w:cs="Arial" w:eastAsia="Arial" w:hAnsi="Arial"/>
          <w:sz w:val="18"/>
          <w:szCs w:val="18"/>
          <w:color w:val="auto"/>
        </w:rPr>
      </w:pPr>
      <w:r>
        <w:rPr>
          <w:rFonts w:ascii="Arial" w:cs="Arial" w:eastAsia="Arial" w:hAnsi="Arial"/>
          <w:sz w:val="18"/>
          <w:szCs w:val="18"/>
          <w:color w:val="auto"/>
        </w:rPr>
        <w:t>KPMG LLP, whose report on the statement of assets and liabilities of the Company is filed with the Commission as part of the Prospectus, is an independent registered public accounting firm as required by the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35" w:name="page36"/>
    <w:bookmarkEnd w:id="35"/>
    <w:p>
      <w:pPr>
        <w:ind w:left="-20" w:right="160" w:firstLine="464"/>
        <w:spacing w:after="0" w:line="277" w:lineRule="auto"/>
        <w:tabs>
          <w:tab w:leader="none" w:pos="691"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McGladrey LLP, who has been engaged to conduct the audit on the statement of assets and liabilities of the Company for the fiscal year ending on September 30, 2014, is an independent registered public accounting firm as required by the Act;</w:t>
      </w:r>
    </w:p>
    <w:p>
      <w:pPr>
        <w:spacing w:after="0" w:line="170" w:lineRule="exact"/>
        <w:rPr>
          <w:rFonts w:ascii="Arial" w:cs="Arial" w:eastAsia="Arial" w:hAnsi="Arial"/>
          <w:sz w:val="18"/>
          <w:szCs w:val="18"/>
          <w:color w:val="auto"/>
        </w:rPr>
      </w:pPr>
    </w:p>
    <w:p>
      <w:pPr>
        <w:ind w:left="-20" w:right="20" w:firstLine="464"/>
        <w:spacing w:after="0" w:line="286" w:lineRule="auto"/>
        <w:tabs>
          <w:tab w:leader="none" w:pos="661"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financial statements of the Company included in the Pricing Prospectus, the Prospectus and the Registration Statement, together with the related notes, present fairly the financial position and results of operations of the Company as of the dates indicated and for the indicated periods (except that the unaudited financial statements were or are subject to normal year-end adjustments which were not, or are not expected to be, material in amount to the Company); such financial statements have been prepared in accordance with United States generally accepted accounting principles, consistently applied throughout the periods presented except as noted in the notes thereon, and all adjustments necessary for a fair presentation of results for such periods have been made (except, in each case, as may be permitted by the rules and regulations of the Commission); and the selected financial information included in the Registration Statement, Pricing Prospectus and Prospectus presents fairly in all material respects the information shown therein and has been compiled on a basis consistent with the financial statements presented therein; there are no financial statements that are required to be included in the Pricing Prospectus, the Prospectus and the Registration Statement that are not included as required; the Company does not have any material liabilities or obligations, direct or contingent (including any off-balance sheet obligations), not disclosed in the Pricing Prospectus, the Prospectus and the Registration Statement; and all disclosures contained in the Pricing Prospectus, the Prospectus and the Registration Statement regarding “non-GAAP financial measures” (as such term is defined by the rules and regulations of the Commission), if any, comply with Regulation G of the Securities Exchange Act of 1934, as amended, and the rules and regulations thereunder (collectively,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Item 10 of Regulation S-K under the Act, to the extent applicable.</w:t>
      </w:r>
    </w:p>
    <w:p>
      <w:pPr>
        <w:spacing w:after="0" w:line="174" w:lineRule="exact"/>
        <w:rPr>
          <w:rFonts w:ascii="Arial" w:cs="Arial" w:eastAsia="Arial" w:hAnsi="Arial"/>
          <w:sz w:val="16"/>
          <w:szCs w:val="16"/>
          <w:color w:val="auto"/>
        </w:rPr>
      </w:pPr>
    </w:p>
    <w:p>
      <w:pPr>
        <w:jc w:val="both"/>
        <w:ind w:left="-20" w:right="480" w:firstLine="464"/>
        <w:spacing w:after="0" w:line="312" w:lineRule="auto"/>
        <w:tabs>
          <w:tab w:leader="none" w:pos="671"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subsequent to the date of the Registration Statement, the Pricing Prospectus and the Prospectus (exclusive of any amendments or supplements thereto subsequent to the date of this Agreement), there has not been any material adverse change, or any development involving a prospective material adverse change, in the business, management, financial condition, prospects or results of operations of the Company or the Subsidiaries.</w:t>
      </w:r>
    </w:p>
    <w:p>
      <w:pPr>
        <w:spacing w:after="0" w:line="146" w:lineRule="exact"/>
        <w:rPr>
          <w:rFonts w:ascii="Arial" w:cs="Arial" w:eastAsia="Arial" w:hAnsi="Arial"/>
          <w:sz w:val="16"/>
          <w:szCs w:val="16"/>
          <w:color w:val="auto"/>
        </w:rPr>
      </w:pPr>
    </w:p>
    <w:p>
      <w:pPr>
        <w:ind w:left="-20" w:right="440" w:firstLine="464"/>
        <w:spacing w:after="0" w:line="286" w:lineRule="auto"/>
        <w:tabs>
          <w:tab w:leader="none" w:pos="651"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of the Company and of the Subsidiaries is not and, after giving effect to the offering and sale of the Securities and the application of the proceeds thereof as described in the Registration Statement, the Pricing Prospectus and the Prospectus, will not be required to register as an “investment company” and is not an entity “controlled” by an “investment company,” as such terms are defined in the Investment Company Act;</w:t>
      </w:r>
    </w:p>
    <w:p>
      <w:pPr>
        <w:spacing w:after="0" w:line="165" w:lineRule="exact"/>
        <w:rPr>
          <w:rFonts w:ascii="Arial" w:cs="Arial" w:eastAsia="Arial" w:hAnsi="Arial"/>
          <w:sz w:val="17"/>
          <w:szCs w:val="17"/>
          <w:color w:val="auto"/>
        </w:rPr>
      </w:pPr>
    </w:p>
    <w:p>
      <w:pPr>
        <w:ind w:left="-20" w:firstLine="464"/>
        <w:spacing w:after="0" w:line="276" w:lineRule="auto"/>
        <w:tabs>
          <w:tab w:leader="none" w:pos="691"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of the Company and of the Subsidiaries owns, or has obtained valid and enforceable licenses for, or other rights to use, the inventions, patent applications, patents, trademarks (both registered and unregistered), tradenames, copyrights, trade secrets and other proprietary information described in the Registration Statement, the Pricing Prospectus and the Prospectus as being licensed by it or which are necessary for the conduct of its businesses (collectively,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except where the failure to own, license or have such rights would not, individually or in the aggregate, have a Material Adverse Effect; except as disclosed in the Registration Statement, the Pricing Prospectus and the Prospectus, neither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74" w:right="259" w:bottom="1440" w:gutter="0" w:footer="0" w:header="0"/>
        </w:sectPr>
      </w:pPr>
    </w:p>
    <w:bookmarkStart w:id="36" w:name="page37"/>
    <w:bookmarkEnd w:id="3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nor any Subsidiary has received notice and is not otherwise aware of any infringement of, or conflict with, asserted rights of third parties with respect to any Intellectual Property or of any facts or circumstances which would render any Intellectual Property invalid or inadequate to protect the interest of the Company or of any Subsidiary, as the case may be, therein, and which infringement or conflict (if the subject of any unfavorable decision, ruling or finding) or invalidity or inadequacy, would result in a Material Adverse Effect;</w:t>
      </w:r>
    </w:p>
    <w:p>
      <w:pPr>
        <w:spacing w:after="0" w:line="187" w:lineRule="exact"/>
        <w:rPr>
          <w:sz w:val="20"/>
          <w:szCs w:val="20"/>
          <w:color w:val="auto"/>
        </w:rPr>
      </w:pPr>
    </w:p>
    <w:p>
      <w:pPr>
        <w:ind w:right="140" w:firstLine="464"/>
        <w:spacing w:after="0" w:line="264" w:lineRule="auto"/>
        <w:tabs>
          <w:tab w:leader="none" w:pos="7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maintains insurance covering its properties, operations, personnel and businesses as the Company deems adequate; such insurance insures against such losses and risks to an extent which is adequate in accordance with customary industry practice to protect the Company and its business; all such insurance is fully in force on the date hereof and will be fully in force at the time of purchase;</w:t>
      </w:r>
    </w:p>
    <w:p>
      <w:pPr>
        <w:spacing w:after="0" w:line="181" w:lineRule="exact"/>
        <w:rPr>
          <w:rFonts w:ascii="Arial" w:cs="Arial" w:eastAsia="Arial" w:hAnsi="Arial"/>
          <w:sz w:val="18"/>
          <w:szCs w:val="18"/>
          <w:color w:val="auto"/>
        </w:rPr>
      </w:pPr>
    </w:p>
    <w:p>
      <w:pPr>
        <w:ind w:right="40" w:firstLine="464"/>
        <w:spacing w:after="0" w:line="255" w:lineRule="auto"/>
        <w:tabs>
          <w:tab w:leader="none" w:pos="75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sufficient to provide reasonable assurance that (i) transactions are executed in accordance with management’s general or specific authorization and the applicable requirements of the Investment Company Act and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93" w:lineRule="exact"/>
        <w:rPr>
          <w:rFonts w:ascii="Arial" w:cs="Arial" w:eastAsia="Arial" w:hAnsi="Arial"/>
          <w:sz w:val="18"/>
          <w:szCs w:val="18"/>
          <w:color w:val="auto"/>
        </w:rPr>
      </w:pPr>
    </w:p>
    <w:p>
      <w:pPr>
        <w:ind w:firstLine="464"/>
        <w:spacing w:after="0" w:line="257" w:lineRule="auto"/>
        <w:tabs>
          <w:tab w:leader="none" w:pos="7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has established and maintains disclosure controls and procedures (as such term is defined in Rules 13a-15 and 15d-15 under the Exchange Act); such disclosure controls and procedures are designed to ensure that material information relating to the Company, including material information pertaining to the Company’s operations and assets managed by the Adviser, is made known to the Company’s Chief Executive Officer and Chief Financial Officer by others within the Company and the Adviser, and such disclosure controls and procedures are effective to perform the functions for which they were established;</w:t>
      </w:r>
    </w:p>
    <w:p>
      <w:pPr>
        <w:spacing w:after="0" w:line="188" w:lineRule="exact"/>
        <w:rPr>
          <w:rFonts w:ascii="Arial" w:cs="Arial" w:eastAsia="Arial" w:hAnsi="Arial"/>
          <w:sz w:val="18"/>
          <w:szCs w:val="18"/>
          <w:color w:val="auto"/>
        </w:rPr>
      </w:pPr>
    </w:p>
    <w:p>
      <w:pPr>
        <w:ind w:firstLine="464"/>
        <w:spacing w:after="0" w:line="291" w:lineRule="auto"/>
        <w:tabs>
          <w:tab w:leader="none" w:pos="711"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The Company’s internal control over financial reporting is effective and the Company is not aware of any material weaknesses in its internal control over financial reporting. Since the date of the latest audited financial statements included in the Registration Statement,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167" w:lineRule="exact"/>
        <w:rPr>
          <w:rFonts w:ascii="Arial" w:cs="Arial" w:eastAsia="Arial" w:hAnsi="Arial"/>
          <w:sz w:val="16"/>
          <w:szCs w:val="16"/>
          <w:color w:val="auto"/>
        </w:rPr>
      </w:pPr>
    </w:p>
    <w:p>
      <w:pPr>
        <w:ind w:right="40" w:firstLine="464"/>
        <w:spacing w:after="0" w:line="264" w:lineRule="auto"/>
        <w:tabs>
          <w:tab w:leader="none" w:pos="701"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of its respective directors, officers, affiliates or controlling persons has taken, directly or indirectly, any action designed, or which has constituted or might reasonably be expected to cause or result in, under the Exchange Act, the stabilization or manipulation of the price of any security of the Company to facilitate the sale of the Securities;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37" w:name="page38"/>
    <w:bookmarkEnd w:id="37"/>
    <w:p>
      <w:pPr>
        <w:ind w:left="-20" w:right="300" w:firstLine="464"/>
        <w:spacing w:after="0" w:line="286" w:lineRule="auto"/>
        <w:tabs>
          <w:tab w:leader="none" w:pos="761" w:val="left"/>
        </w:tabs>
        <w:numPr>
          <w:ilvl w:val="0"/>
          <w:numId w:val="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statistical and market-related data included in the Registration Statement, the Pricing Prospectus and the Prospectus are based on or derived from sources that the Company believes to be reliable and accurate, and the Company has obtained the written consent to the use of such data from such sources to the extent required;</w:t>
      </w:r>
    </w:p>
    <w:p>
      <w:pPr>
        <w:spacing w:after="0" w:line="165" w:lineRule="exact"/>
        <w:rPr>
          <w:rFonts w:ascii="Arial" w:cs="Arial" w:eastAsia="Arial" w:hAnsi="Arial"/>
          <w:sz w:val="17"/>
          <w:szCs w:val="17"/>
          <w:color w:val="auto"/>
        </w:rPr>
      </w:pPr>
    </w:p>
    <w:p>
      <w:pPr>
        <w:ind w:left="-20" w:firstLine="464"/>
        <w:spacing w:after="0" w:line="277" w:lineRule="auto"/>
        <w:tabs>
          <w:tab w:leader="none" w:pos="78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any member of FINRA and any of the Company’s officers, directors or securityholders, except as set forth in the Registration Statement, Pricing Prospectus and the Prospectus;</w:t>
      </w:r>
    </w:p>
    <w:p>
      <w:pPr>
        <w:spacing w:after="0" w:line="170" w:lineRule="exact"/>
        <w:rPr>
          <w:rFonts w:ascii="Arial" w:cs="Arial" w:eastAsia="Arial" w:hAnsi="Arial"/>
          <w:sz w:val="18"/>
          <w:szCs w:val="18"/>
          <w:color w:val="auto"/>
        </w:rPr>
      </w:pPr>
    </w:p>
    <w:p>
      <w:pPr>
        <w:ind w:left="-20" w:right="160" w:firstLine="464"/>
        <w:spacing w:after="0" w:line="277" w:lineRule="auto"/>
        <w:tabs>
          <w:tab w:leader="none" w:pos="76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of the Investment Advisory Agreement, including compensation terms, comply in all material respects with all applicable provisions of the Investment Company Act and the Advisers Act and the applicable published rules and regulations thereunder;</w:t>
      </w:r>
    </w:p>
    <w:p>
      <w:pPr>
        <w:spacing w:after="0" w:line="170" w:lineRule="exact"/>
        <w:rPr>
          <w:rFonts w:ascii="Arial" w:cs="Arial" w:eastAsia="Arial" w:hAnsi="Arial"/>
          <w:sz w:val="18"/>
          <w:szCs w:val="18"/>
          <w:color w:val="auto"/>
        </w:rPr>
      </w:pPr>
    </w:p>
    <w:p>
      <w:pPr>
        <w:ind w:left="-20" w:right="600" w:firstLine="464"/>
        <w:spacing w:after="0" w:line="264" w:lineRule="auto"/>
        <w:tabs>
          <w:tab w:leader="none" w:pos="78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approvals by the board of directors and the stockholders of the Company of the Investment Advisory Agreement have been made in accordance with the requirements of Section 15 of the Investment Company Act applicable to companies that have elected to be regulated as business development companies under the Investment Company Act;</w:t>
      </w:r>
    </w:p>
    <w:p>
      <w:pPr>
        <w:spacing w:after="0" w:line="181" w:lineRule="exact"/>
        <w:rPr>
          <w:rFonts w:ascii="Arial" w:cs="Arial" w:eastAsia="Arial" w:hAnsi="Arial"/>
          <w:sz w:val="18"/>
          <w:szCs w:val="18"/>
          <w:color w:val="auto"/>
        </w:rPr>
      </w:pPr>
    </w:p>
    <w:p>
      <w:pPr>
        <w:ind w:left="-20" w:firstLine="464"/>
        <w:spacing w:after="0" w:line="279" w:lineRule="auto"/>
        <w:tabs>
          <w:tab w:leader="none" w:pos="761"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Pricing Prospectus and the Prospectus, (i) no person is serving or acting as an officer, director or investment adviser of the Company, except in accordance with the provisions of the Investment Company Act and the Advisers Act and the applicable published rules and regulations thereunder, and (ii) to the knowledge of the Company, no director of the Company is an “affiliated person” (as defined in the Investment Company Act) of any of the Underwriters;</w:t>
      </w:r>
    </w:p>
    <w:p>
      <w:pPr>
        <w:spacing w:after="0" w:line="171" w:lineRule="exact"/>
        <w:rPr>
          <w:rFonts w:ascii="Arial" w:cs="Arial" w:eastAsia="Arial" w:hAnsi="Arial"/>
          <w:sz w:val="17"/>
          <w:szCs w:val="17"/>
          <w:color w:val="auto"/>
        </w:rPr>
      </w:pPr>
    </w:p>
    <w:p>
      <w:pPr>
        <w:ind w:left="-20" w:right="120" w:firstLine="464"/>
        <w:spacing w:after="0" w:line="297" w:lineRule="auto"/>
        <w:tabs>
          <w:tab w:leader="none" w:pos="71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has elected to be regulated as a business development company under the Investment Company Act and has not withdrawn that election, and the Commission has not ordered that such election be withdrawn nor, to the best of the Company’s knowledge, have the proceedings to effectuate such withdrawal been initiated or threatened by the Commission; all required action has or will have been taken by the Company under the Act to make the public offering and consummate the sale of the Securities as provided in this Agreement; the provisions of the corporate charter and by-laws of the Company comply in all material respects with the requirements of the Investment Company Act applicable to business development companies;</w:t>
      </w:r>
    </w:p>
    <w:p>
      <w:pPr>
        <w:spacing w:after="0" w:line="158" w:lineRule="exact"/>
        <w:rPr>
          <w:rFonts w:ascii="Arial" w:cs="Arial" w:eastAsia="Arial" w:hAnsi="Arial"/>
          <w:sz w:val="16"/>
          <w:szCs w:val="16"/>
          <w:color w:val="auto"/>
        </w:rPr>
      </w:pPr>
    </w:p>
    <w:p>
      <w:pPr>
        <w:ind w:left="-20" w:right="180" w:firstLine="464"/>
        <w:spacing w:after="0" w:line="259" w:lineRule="auto"/>
        <w:tabs>
          <w:tab w:leader="none" w:pos="781"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operations of the Company are in compliance in all material respects with the provisions of the Act and the Investment Company Act applicable to business development companies and the rules and regulations of the Commission thereunder, except as such will not result, individually or in the aggregate,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does not represent or warrant as to the compliance of Section 9(a)(2) hereof with Section 17(i) of the Investment Company Act;</w:t>
      </w:r>
    </w:p>
    <w:p>
      <w:pPr>
        <w:spacing w:after="0" w:line="186" w:lineRule="exact"/>
        <w:rPr>
          <w:rFonts w:ascii="Arial" w:cs="Arial" w:eastAsia="Arial" w:hAnsi="Arial"/>
          <w:sz w:val="18"/>
          <w:szCs w:val="18"/>
          <w:color w:val="auto"/>
        </w:rPr>
      </w:pPr>
    </w:p>
    <w:p>
      <w:pPr>
        <w:jc w:val="both"/>
        <w:ind w:left="-20" w:right="440" w:firstLine="464"/>
        <w:spacing w:after="0" w:line="342" w:lineRule="auto"/>
        <w:tabs>
          <w:tab w:leader="none" w:pos="78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and, to its knowledge, its directors and officers (in such capacity) are in compliance in all material respects with the applicable provisions of the Sarbanes-Oxley Act of 2002, as amended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and the Commission’s published rules promulgated thereunder;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74" w:right="259" w:bottom="1440" w:gutter="0" w:footer="0" w:header="0"/>
        </w:sectPr>
      </w:pPr>
    </w:p>
    <w:bookmarkStart w:id="38" w:name="page39"/>
    <w:bookmarkEnd w:id="38"/>
    <w:p>
      <w:pPr>
        <w:ind w:right="2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(ii)(i) each of the Company and of the Subsidiaries has filed all foreign, federal, state and local tax returns that are required to be filed or has requested extensions thereof (except in any case in which the failure so to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(ii) has elected to be treated, and operates its business so as to qualify, as a regulated investment company under Subchapter M of the Code;</w:t>
      </w:r>
    </w:p>
    <w:p>
      <w:pPr>
        <w:spacing w:after="0" w:line="173" w:lineRule="exact"/>
        <w:rPr>
          <w:sz w:val="20"/>
          <w:szCs w:val="20"/>
          <w:color w:val="auto"/>
        </w:rPr>
      </w:pPr>
    </w:p>
    <w:p>
      <w:pPr>
        <w:ind w:right="60" w:firstLine="464"/>
        <w:spacing w:after="0" w:line="272" w:lineRule="auto"/>
        <w:tabs>
          <w:tab w:leader="none" w:pos="721"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operations of the Company and each of the Subsidiaries are and have been conducted at all times in material compliance with all applicable financial recordkeeping and reporting requirements of the Currency and Foreign Transaction Reporting Act of 1970 (otherwise known as the Bank Secrecy Act), as amended, and the applicable anti-money laundering statutes of jurisdictions where the Company and each of the Subsidiaries conducts business, and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i w:val="1"/>
          <w:i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the Subsidiaries with respect to Anti-Money Laundering Laws is pending or, to the best knowledge of the Company or any of the Subsidiaries, threatened;</w:t>
      </w:r>
    </w:p>
    <w:p>
      <w:pPr>
        <w:spacing w:after="0" w:line="177" w:lineRule="exact"/>
        <w:rPr>
          <w:rFonts w:ascii="Arial" w:cs="Arial" w:eastAsia="Arial" w:hAnsi="Arial"/>
          <w:sz w:val="17"/>
          <w:szCs w:val="17"/>
          <w:color w:val="auto"/>
        </w:rPr>
      </w:pPr>
    </w:p>
    <w:p>
      <w:pPr>
        <w:ind w:firstLine="464"/>
        <w:spacing w:after="0" w:line="291" w:lineRule="auto"/>
        <w:tabs>
          <w:tab w:leader="none" w:pos="8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neither the Company nor any of the Subsidiaries nor, to the knowledge of the Company, any director, officer, agent, employee, affiliate or other person acting on behalf of the Company or any of the Subsidiaries is aware of or has taken any action, directly or indirectly, that has resulted or would result in a violation by such persons of the Foreign Corrupt Practices Act of 1977, as amended, and the rules and regulations thereunder (collectively, the “FCPA”), or any other applicable anti-corruption laws,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any other anti-corruption laws to which it may be subject; and</w:t>
      </w:r>
    </w:p>
    <w:p>
      <w:pPr>
        <w:spacing w:after="0" w:line="167" w:lineRule="exact"/>
        <w:rPr>
          <w:rFonts w:ascii="Arial" w:cs="Arial" w:eastAsia="Arial" w:hAnsi="Arial"/>
          <w:sz w:val="16"/>
          <w:szCs w:val="16"/>
          <w:color w:val="auto"/>
        </w:rPr>
      </w:pPr>
    </w:p>
    <w:p>
      <w:pPr>
        <w:ind w:right="40" w:firstLine="464"/>
        <w:spacing w:after="0" w:line="257" w:lineRule="auto"/>
        <w:tabs>
          <w:tab w:leader="none" w:pos="721"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the Company nor any of the Subsidiaries, any director, officer or employee of the Company nor, to the knowledge of the Company, any affiliate or agent of the Company is currently the subject of any sanctions administered by the Office of Foreign Assets Control of the U.S. Treasury Department (“</w:t>
      </w:r>
      <w:r>
        <w:rPr>
          <w:rFonts w:ascii="Arial" w:cs="Arial" w:eastAsia="Arial" w:hAnsi="Arial"/>
          <w:sz w:val="18"/>
          <w:szCs w:val="18"/>
          <w:b w:val="1"/>
          <w:bCs w:val="1"/>
          <w:i w:val="1"/>
          <w:i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person or entity, for the purpose of financing the activities of or with any person or entity, or in any country or territory that, at the time of such financing is the subject of any sanctions administered by OFAC.</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39" w:name="page40"/>
    <w:bookmarkEnd w:id="39"/>
    <w:p>
      <w:pPr>
        <w:ind w:right="2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any certificate signed by any duly appointed officer of the Company and delivered to the Underwriters or counsel for the Underwriters in connection with the offering of the Securities shall be deemed to be a representation and warranty by the Company as to matters covered thereby to each Underwriter.</w:t>
      </w:r>
    </w:p>
    <w:p>
      <w:pPr>
        <w:spacing w:after="0" w:line="181" w:lineRule="exact"/>
        <w:rPr>
          <w:sz w:val="20"/>
          <w:szCs w:val="20"/>
          <w:color w:val="auto"/>
        </w:rPr>
      </w:pPr>
    </w:p>
    <w:p>
      <w:pPr>
        <w:ind w:firstLine="464"/>
        <w:spacing w:after="0" w:line="277"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 and the Administrator</w:t>
      </w:r>
      <w:r>
        <w:rPr>
          <w:rFonts w:ascii="Arial" w:cs="Arial" w:eastAsia="Arial" w:hAnsi="Arial"/>
          <w:sz w:val="18"/>
          <w:szCs w:val="18"/>
          <w:color w:val="auto"/>
        </w:rPr>
        <w:t>. The Adviser and the Administrator, jointly and severally, represent and warrant to the Underwriters that:</w:t>
      </w:r>
    </w:p>
    <w:p>
      <w:pPr>
        <w:spacing w:after="0" w:line="170" w:lineRule="exact"/>
        <w:rPr>
          <w:sz w:val="20"/>
          <w:szCs w:val="20"/>
          <w:color w:val="auto"/>
        </w:rPr>
      </w:pPr>
    </w:p>
    <w:p>
      <w:pPr>
        <w:ind w:right="20" w:firstLine="464"/>
        <w:spacing w:after="0" w:line="270" w:lineRule="auto"/>
        <w:tabs>
          <w:tab w:leader="none" w:pos="701" w:val="left"/>
        </w:tabs>
        <w:numPr>
          <w:ilvl w:val="0"/>
          <w:numId w:val="48"/>
        </w:numPr>
        <w:rPr>
          <w:rFonts w:ascii="Arial" w:cs="Arial" w:eastAsia="Arial" w:hAnsi="Arial"/>
          <w:sz w:val="17"/>
          <w:szCs w:val="17"/>
          <w:color w:val="auto"/>
        </w:rPr>
      </w:pPr>
      <w:r>
        <w:rPr>
          <w:rFonts w:ascii="Arial" w:cs="Arial" w:eastAsia="Arial" w:hAnsi="Arial"/>
          <w:sz w:val="17"/>
          <w:szCs w:val="17"/>
          <w:color w:val="auto"/>
        </w:rPr>
        <w:t>each of the Adviser and the Administrator has been duly formed and is validly existing as a Delaware limited liability company and in good standing under the laws of the State of Delaware, with full power and authority to own, lease and operate its properties and to conduct its business as described in the Pricing Prospectus, the Prospectus and the Registration Statement and to execute and deliver this Agreement; the Adviser has full power and authority to execute and deliver the Investment Advisory Agreement; the Administrator has full power and authority to execute and deliver the Administration Agreement; and each of the Adviser and the Administrator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on the business, financial condition, capitalization or regulatory status of such entity, or otherwise reasonably be expected to prevent such entity from carrying out its obligations under the Investment Advisory Agreement or the Administration Agreement, as applicable (collectively, an “</w:t>
      </w:r>
      <w:r>
        <w:rPr>
          <w:rFonts w:ascii="Arial" w:cs="Arial" w:eastAsia="Arial" w:hAnsi="Arial"/>
          <w:sz w:val="17"/>
          <w:szCs w:val="17"/>
          <w:b w:val="1"/>
          <w:bCs w:val="1"/>
          <w:i w:val="1"/>
          <w:iCs w:val="1"/>
          <w:color w:val="auto"/>
        </w:rPr>
        <w:t>Adviser/Administrator Material Adverse Effect</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right="60" w:firstLine="464"/>
        <w:spacing w:after="0" w:line="279" w:lineRule="auto"/>
        <w:tabs>
          <w:tab w:leader="none" w:pos="711"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Adviser is duly registered with the Commission as an investment adviser under the Advisers Act and is not prohibited by the Advisers Act, the Investment Company Act or the applicable published rules and regulations thereunder from acting under the Investment Advisory Agreement for the Company as contemplated by the Prospectus. There does not exist any proceeding or, to the Adviser’s knowledge, any facts or circumstances the existence of which could lead to any proceeding which might adversely affect the registration of the Adviser with the Commission;</w:t>
      </w:r>
    </w:p>
    <w:p>
      <w:pPr>
        <w:spacing w:after="0" w:line="171" w:lineRule="exact"/>
        <w:rPr>
          <w:rFonts w:ascii="Arial" w:cs="Arial" w:eastAsia="Arial" w:hAnsi="Arial"/>
          <w:sz w:val="17"/>
          <w:szCs w:val="17"/>
          <w:color w:val="auto"/>
        </w:rPr>
      </w:pPr>
    </w:p>
    <w:p>
      <w:pPr>
        <w:ind w:right="200" w:firstLine="464"/>
        <w:spacing w:after="0" w:line="255" w:lineRule="auto"/>
        <w:tabs>
          <w:tab w:leader="none" w:pos="7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are no actions, suits, claims, investigations or proceedings pending or, to the knowledge of the Adviser and the Administrator, threatened to which either the Adviser or the Administrator or any of their officers, partners or members are or would be a party or of which any of their properties are or would be subject at law or in equity, or before or by any federal, state, local or foreign governmental or regulatory commission, board, body, authority or agency, except any such action, suit, claim, investigation or proceeding which would not if determined adversely to the Adviser or the Administrator, as the case may be (A) have, individually or in the aggregate, an Adviser/Administrator Material Adverse Effect, or (B) prevent the consummation of the transactions contemplated hereby;</w:t>
      </w:r>
    </w:p>
    <w:p>
      <w:pPr>
        <w:spacing w:after="0" w:line="193" w:lineRule="exact"/>
        <w:rPr>
          <w:rFonts w:ascii="Arial" w:cs="Arial" w:eastAsia="Arial" w:hAnsi="Arial"/>
          <w:sz w:val="18"/>
          <w:szCs w:val="18"/>
          <w:color w:val="auto"/>
        </w:rPr>
      </w:pPr>
    </w:p>
    <w:p>
      <w:pPr>
        <w:ind w:right="200" w:firstLine="464"/>
        <w:spacing w:after="0" w:line="264"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the Adviser nor the Administrator is (i) in violation of its limited liability company operating agreement or (ii) in breach of (nor has any event occurred which with notice, lapse of time or both would reasonably be expected to result in any breach or violation) any indenture, mortgage, deed of trust, bank loan or credit agreement or other evidence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 or any license, lease, contract or other agreement or instrument to which the Adviser or the Administrator, as the case may be, is a party or</w:t>
      </w:r>
    </w:p>
    <w:p>
      <w:pPr>
        <w:spacing w:after="0" w:line="46" w:lineRule="exact"/>
        <w:rPr>
          <w:sz w:val="20"/>
          <w:szCs w:val="20"/>
          <w:color w:val="auto"/>
        </w:rPr>
      </w:pPr>
    </w:p>
    <w:p>
      <w:pPr>
        <w:ind w:firstLine="8"/>
        <w:spacing w:after="0" w:line="287" w:lineRule="auto"/>
        <w:tabs>
          <w:tab w:leader="none" w:pos="3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contravention of any law, regulation or rule or any decree, judgment or order applicable to the Adviser or the Administrator, as applicable, except, with respect to clause (ii) and (iii), to the extent that any such contravention would not have an Adviser/Administrator Material Adverse Effect; and the execution, delivery and performance of this Agreement, and with respect to the Adviser only, the Investment Advisory Agreement, and with respect to the Administrator only, the Administration Agreement, and consummation of the transactions contemplated hereby and thereby, will not (i) violate the limited liability company operating agreement of the Adviser or the Administrator, as applicable,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contravene any law, regulation or rule or any decree, judgment or order applicable to the Adviser or the Administrator, as applicable, except, with respect to clause (ii) and (iii), to the extent that any such contravention would not have a Adviser/Administrator Material Adverse Effect;</w:t>
      </w:r>
    </w:p>
    <w:p>
      <w:pPr>
        <w:spacing w:after="0" w:line="166" w:lineRule="exact"/>
        <w:rPr>
          <w:rFonts w:ascii="Arial" w:cs="Arial" w:eastAsia="Arial" w:hAnsi="Arial"/>
          <w:sz w:val="16"/>
          <w:szCs w:val="16"/>
          <w:color w:val="auto"/>
        </w:rPr>
      </w:pPr>
    </w:p>
    <w:p>
      <w:pPr>
        <w:ind w:right="140" w:firstLine="464"/>
        <w:spacing w:after="0" w:line="284" w:lineRule="auto"/>
        <w:tabs>
          <w:tab w:leader="none" w:pos="701"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with respect to the Adviser only, the Investment Advisory Agreement, and with respect to the Administrator only, the Administration Agreement, and consummation of the transactions contemplated hereby and thereby, will not conflict with, result in any breach of violation of or constitute a default under (nor constitute any event which with notice, lapse of time or both would reasonably be expected to result in any breach or violation of or constitute a default under) (i) its limited liability company operating agreement, (ii) other organizational documents of the Adviser or the Administrator, (iii) any indenture, mortgage, deed of trust, bank loan or credit agreement or other evidence of indebtedness, or any license, lease, contract or other agreement or instrument to which the Adviser or the Administrator is a party or (iv) any federal, state, local or foreign law, regulation or rule or any decree, judgment or order applicable to the Adviser or the Administrator, as the case may be, except, with respect to clauses</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and (iv), to the extent that any such contravention would not have an Adviser/Administrator Material Adverse Effect;</w:t>
      </w:r>
    </w:p>
    <w:p>
      <w:pPr>
        <w:spacing w:after="0" w:line="210" w:lineRule="exact"/>
        <w:rPr>
          <w:rFonts w:ascii="Arial" w:cs="Arial" w:eastAsia="Arial" w:hAnsi="Arial"/>
          <w:sz w:val="18"/>
          <w:szCs w:val="18"/>
          <w:color w:val="auto"/>
        </w:rPr>
      </w:pPr>
    </w:p>
    <w:p>
      <w:pPr>
        <w:ind w:right="20" w:firstLine="464"/>
        <w:spacing w:after="0" w:line="255" w:lineRule="auto"/>
        <w:tabs>
          <w:tab w:leader="none" w:pos="681"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this Agreement has been duly authorized, executed and delivered by the Adviser and the Administrator; the Investment Advisory Agreement has been duly authorized, executed and delivered by the Adviser; and the Administration Agreement has been duly authorized, executed and delivered by the Administrator; this Agreement, the Investment Advisory Agreement and the Administration Agreement constitute valid and legally binding agreements of the Adviser and the Administrator, respectively,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of the Adviser and Administrator makes no representation or warranty with respect to the validity or enforceability of any provision hereunder or thereunder relating to rights to indemnity and/or contribution or enforceability of any obligations that may be limited by bankruptcy, insolvency, reorganization, moratorium and other laws relating to or affecting creditors’ rights generally and by general equitable principles;</w:t>
      </w:r>
    </w:p>
    <w:p>
      <w:pPr>
        <w:spacing w:after="0" w:line="189" w:lineRule="exact"/>
        <w:rPr>
          <w:rFonts w:ascii="Arial" w:cs="Arial" w:eastAsia="Arial" w:hAnsi="Arial"/>
          <w:sz w:val="18"/>
          <w:szCs w:val="18"/>
          <w:color w:val="auto"/>
        </w:rPr>
      </w:pPr>
    </w:p>
    <w:p>
      <w:pPr>
        <w:ind w:right="420" w:firstLine="464"/>
        <w:spacing w:after="0" w:line="277" w:lineRule="auto"/>
        <w:tabs>
          <w:tab w:leader="none" w:pos="711"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description of the Adviser and the Administrator contained in the Pricing Prospectus, the Prospectus and the Registration Statement is true, accurate and complete in all material respects;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41" w:name="page42"/>
    <w:bookmarkEnd w:id="41"/>
    <w:p>
      <w:pPr>
        <w:ind w:right="40" w:firstLine="464"/>
        <w:spacing w:after="0" w:line="264" w:lineRule="auto"/>
        <w:tabs>
          <w:tab w:leader="none" w:pos="711"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Adviser and the Administrator has the financial resources available to it necessary for the performance of its services and obligations as contemplated in the Pricing Prospectus, the Prospectus and the Registration Statement and under this Agreement and, with respect to the Adviser only, the Investment Advisory Agreement and, with respect to the Administrator only, the Administration Agreement;</w:t>
      </w:r>
    </w:p>
    <w:p>
      <w:pPr>
        <w:spacing w:after="0" w:line="181" w:lineRule="exact"/>
        <w:rPr>
          <w:rFonts w:ascii="Arial" w:cs="Arial" w:eastAsia="Arial" w:hAnsi="Arial"/>
          <w:sz w:val="18"/>
          <w:szCs w:val="18"/>
          <w:color w:val="auto"/>
        </w:rPr>
      </w:pPr>
    </w:p>
    <w:p>
      <w:pPr>
        <w:ind w:right="120" w:firstLine="464"/>
        <w:spacing w:after="0" w:line="259" w:lineRule="auto"/>
        <w:tabs>
          <w:tab w:leader="none" w:pos="6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subsequent to the date of the Registration Statement, the Pricing Prospectus and the Prospectus, there has not been any material adverse change, or any development involving a prospective material adverse change, in the business, financial condition, capitalization, prospects or regulatory status of the Adviser or the Administrator, or that would otherwise prevent the Adviser or the Administrator from carrying out its respective obligations under the Investment Advisory Agreement or the Administration Agreement, as appropriate;</w:t>
      </w:r>
    </w:p>
    <w:p>
      <w:pPr>
        <w:spacing w:after="0" w:line="186" w:lineRule="exact"/>
        <w:rPr>
          <w:rFonts w:ascii="Arial" w:cs="Arial" w:eastAsia="Arial" w:hAnsi="Arial"/>
          <w:sz w:val="18"/>
          <w:szCs w:val="18"/>
          <w:color w:val="auto"/>
        </w:rPr>
      </w:pPr>
    </w:p>
    <w:p>
      <w:pPr>
        <w:ind w:right="40" w:firstLine="464"/>
        <w:spacing w:after="0" w:line="273" w:lineRule="auto"/>
        <w:tabs>
          <w:tab w:leader="none" w:pos="671"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of the Adviser and the Administrator has all Consents and has made all necessary filings required under any federal, state, local or foreign law, regulation or rule and has obtained all necessary Consents from other persons, in order to conduct its business, except where the failure to obtain such Consents would not have an Adviser/Administrator Material Adverse Effect; neither the Adviser or the Administrator is in violation of, or in default under, nor has the Adviser or the Administrator received notice of any proceedings relating to revocation or modification of any such Consent or any federal, state, local or foreign law, regulation or rule or any decree, order or judgment applicable to the Adviser or the Administrator, except where such revocation or modification would not, individually or in the aggregate, have an Adviser/Administrator Material Adverse Effect;</w:t>
      </w:r>
    </w:p>
    <w:p>
      <w:pPr>
        <w:spacing w:after="0" w:line="178" w:lineRule="exact"/>
        <w:rPr>
          <w:rFonts w:ascii="Arial" w:cs="Arial" w:eastAsia="Arial" w:hAnsi="Arial"/>
          <w:sz w:val="17"/>
          <w:szCs w:val="17"/>
          <w:color w:val="auto"/>
        </w:rPr>
      </w:pPr>
    </w:p>
    <w:p>
      <w:pPr>
        <w:jc w:val="both"/>
        <w:ind w:firstLine="464"/>
        <w:spacing w:after="0" w:line="264" w:lineRule="auto"/>
        <w:tabs>
          <w:tab w:leader="none" w:pos="7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neither the Adviser, the Administrator, nor, to the knowledge of the Adviser or the Administrator, any of their respective partners, officers, affiliates or controlling persons has taken, directly or indirectly, any action designed, under the Exchange Act, to result in the stabilization or manipulation of the price of any security of the Company to facilitate the sale of the Securities;</w:t>
      </w:r>
    </w:p>
    <w:p>
      <w:pPr>
        <w:spacing w:after="0" w:line="181" w:lineRule="exact"/>
        <w:rPr>
          <w:rFonts w:ascii="Arial" w:cs="Arial" w:eastAsia="Arial" w:hAnsi="Arial"/>
          <w:sz w:val="18"/>
          <w:szCs w:val="18"/>
          <w:color w:val="auto"/>
        </w:rPr>
      </w:pPr>
    </w:p>
    <w:p>
      <w:pPr>
        <w:ind w:left="680" w:hanging="216"/>
        <w:spacing w:after="0"/>
        <w:tabs>
          <w:tab w:leader="none" w:pos="6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Adviser is not aware that (i) any executive, key employee or significant group of employees of the Company, if any, the Adviser or the</w:t>
      </w:r>
    </w:p>
    <w:p>
      <w:pPr>
        <w:spacing w:after="0" w:line="34" w:lineRule="exact"/>
        <w:rPr>
          <w:rFonts w:ascii="Arial" w:cs="Arial" w:eastAsia="Arial" w:hAnsi="Arial"/>
          <w:sz w:val="17"/>
          <w:szCs w:val="17"/>
          <w:color w:val="auto"/>
        </w:rPr>
      </w:pPr>
    </w:p>
    <w:p>
      <w:pPr>
        <w:ind w:right="40"/>
        <w:spacing w:after="0" w:line="254" w:lineRule="auto"/>
        <w:rPr>
          <w:rFonts w:ascii="Arial" w:cs="Arial" w:eastAsia="Arial" w:hAnsi="Arial"/>
          <w:sz w:val="17"/>
          <w:szCs w:val="17"/>
          <w:color w:val="auto"/>
        </w:rPr>
      </w:pPr>
      <w:r>
        <w:rPr>
          <w:rFonts w:ascii="Arial" w:cs="Arial" w:eastAsia="Arial" w:hAnsi="Arial"/>
          <w:sz w:val="18"/>
          <w:szCs w:val="18"/>
          <w:color w:val="auto"/>
        </w:rPr>
        <w:t>Administrator, as applicable, plans to terminate employment with the Company, the Adviser or the Administrator or (ii) any such executive, key employee or significant group of employees is subject to any noncompete, nondisclosure, confidentiality, employment, consulting or similar agreement that would be violated by the present or proposed business activities of the Company or the Adviser, except where such termination or violation would not have an Adviser/Administrator Material Adverse Effect;</w:t>
      </w:r>
    </w:p>
    <w:p>
      <w:pPr>
        <w:spacing w:after="0" w:line="189" w:lineRule="exact"/>
        <w:rPr>
          <w:rFonts w:ascii="Arial" w:cs="Arial" w:eastAsia="Arial" w:hAnsi="Arial"/>
          <w:sz w:val="17"/>
          <w:szCs w:val="17"/>
          <w:color w:val="auto"/>
        </w:rPr>
      </w:pPr>
    </w:p>
    <w:p>
      <w:pPr>
        <w:ind w:right="60" w:firstLine="464"/>
        <w:spacing w:after="0" w:line="264" w:lineRule="auto"/>
        <w:tabs>
          <w:tab w:leader="none" w:pos="76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Adviser maintains a system of internal controls sufficient to provide reasonable assurance that (i) transactions effectuated by it under the Investment Advisory Agreement are executed in accordance with its management’s general or specific authorization; and (ii) access to the Company’s assets is permitted only in accordance with its management’s general or specific authorization;</w:t>
      </w:r>
    </w:p>
    <w:p>
      <w:pPr>
        <w:spacing w:after="0" w:line="181"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Administrator maintains a system of internal accounting controls sufficient to provide reasonable assurance that (i) transactions for which it has bookkeeping and record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42" w:name="page43"/>
    <w:bookmarkEnd w:id="42"/>
    <w:p>
      <w:pPr>
        <w:ind w:right="3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keeping responsibility under the Administration Agreement are recorded as necessary to permit preparation of the Company’s financial statements in conformity with generally accepted accounting principles and to maintain accountability for the Company’s assets and (ii) the recorded accountability for such assets is compared with existing assets at reasonable intervals and appropriate action is taken with respect to any differences;</w:t>
      </w:r>
    </w:p>
    <w:p>
      <w:pPr>
        <w:spacing w:after="0" w:line="147" w:lineRule="exact"/>
        <w:rPr>
          <w:sz w:val="20"/>
          <w:szCs w:val="20"/>
          <w:color w:val="auto"/>
        </w:rPr>
      </w:pPr>
    </w:p>
    <w:p>
      <w:pPr>
        <w:ind w:right="40" w:firstLine="464"/>
        <w:spacing w:after="0" w:line="312" w:lineRule="auto"/>
        <w:tabs>
          <w:tab w:leader="none" w:pos="71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operations of the Adviser have been conducted at all times in material compliance with all applicable financial recordkeeping and reporting requirements of the Anti-Money Laundering Laws and no action, suit or proceeding by or before any court or governmental agency, authority or body or any arbitrator involving the Adviser with respect to Anti-Money Laundering Laws is pending or, to the best knowledge of the Adviser, threatened;</w:t>
      </w:r>
    </w:p>
    <w:p>
      <w:pPr>
        <w:spacing w:after="0" w:line="146" w:lineRule="exact"/>
        <w:rPr>
          <w:rFonts w:ascii="Arial" w:cs="Arial" w:eastAsia="Arial" w:hAnsi="Arial"/>
          <w:sz w:val="16"/>
          <w:szCs w:val="16"/>
          <w:color w:val="auto"/>
        </w:rPr>
      </w:pPr>
    </w:p>
    <w:p>
      <w:pPr>
        <w:ind w:firstLine="464"/>
        <w:spacing w:after="0" w:line="273" w:lineRule="auto"/>
        <w:tabs>
          <w:tab w:leader="none" w:pos="711" w:val="left"/>
        </w:tabs>
        <w:numPr>
          <w:ilvl w:val="0"/>
          <w:numId w:val="52"/>
        </w:numPr>
        <w:rPr>
          <w:rFonts w:ascii="Arial" w:cs="Arial" w:eastAsia="Arial" w:hAnsi="Arial"/>
          <w:sz w:val="17"/>
          <w:szCs w:val="17"/>
          <w:color w:val="auto"/>
        </w:rPr>
      </w:pPr>
      <w:r>
        <w:rPr>
          <w:rFonts w:ascii="Arial" w:cs="Arial" w:eastAsia="Arial" w:hAnsi="Arial"/>
          <w:sz w:val="17"/>
          <w:szCs w:val="17"/>
          <w:color w:val="auto"/>
        </w:rPr>
        <w:t>neither the Adviser nor any of the Subsidiaries, nor, to the knowledge of the Adviser, any director, officer, agent, employee, affiliate or other person acting on behalf of the Adviser or any of the Subsidiaries is aware of or has taken any action, directly or indirectly, that has resulted or would result in a violation by such persons of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w:t>
      </w:r>
    </w:p>
    <w:p>
      <w:pPr>
        <w:spacing w:after="0" w:line="178" w:lineRule="exact"/>
        <w:rPr>
          <w:rFonts w:ascii="Arial" w:cs="Arial" w:eastAsia="Arial" w:hAnsi="Arial"/>
          <w:sz w:val="17"/>
          <w:szCs w:val="17"/>
          <w:color w:val="auto"/>
        </w:rPr>
      </w:pPr>
    </w:p>
    <w:p>
      <w:pPr>
        <w:ind w:right="140" w:firstLine="464"/>
        <w:spacing w:after="0" w:line="279" w:lineRule="auto"/>
        <w:tabs>
          <w:tab w:leader="none" w:pos="711" w:val="left"/>
        </w:tabs>
        <w:numPr>
          <w:ilvl w:val="0"/>
          <w:numId w:val="52"/>
        </w:numPr>
        <w:rPr>
          <w:rFonts w:ascii="Arial" w:cs="Arial" w:eastAsia="Arial" w:hAnsi="Arial"/>
          <w:sz w:val="17"/>
          <w:szCs w:val="17"/>
          <w:color w:val="auto"/>
        </w:rPr>
      </w:pPr>
      <w:r>
        <w:rPr>
          <w:rFonts w:ascii="Arial" w:cs="Arial" w:eastAsia="Arial" w:hAnsi="Arial"/>
          <w:sz w:val="17"/>
          <w:szCs w:val="17"/>
          <w:color w:val="auto"/>
        </w:rPr>
        <w:t>neither the Adviser, any director, officer or employee of the Adviser nor, to the knowledge of the Adviser, any affiliate or agent of the Adviser is currently the subject of any sanctions administered by OFAC; and the Adviser will not directly or indirectly use the proceeds of the offering, or lend, contribute or otherwise make available such proceeds to any person or entity, for the purpose of financing the activities of or with any person or entity, or in any country or territory that, at the time of such financing is the subject of any sanctions administered by OFAC.</w:t>
      </w:r>
    </w:p>
    <w:p>
      <w:pPr>
        <w:spacing w:after="0" w:line="171" w:lineRule="exact"/>
        <w:rPr>
          <w:sz w:val="20"/>
          <w:szCs w:val="20"/>
          <w:color w:val="auto"/>
        </w:rPr>
      </w:pPr>
    </w:p>
    <w:p>
      <w:pPr>
        <w:ind w:right="320" w:firstLine="464"/>
        <w:spacing w:after="0" w:line="277" w:lineRule="auto"/>
        <w:tabs>
          <w:tab w:leader="none" w:pos="63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Company, the Adviser and the Administrator</w:t>
      </w:r>
      <w:r>
        <w:rPr>
          <w:rFonts w:ascii="Arial" w:cs="Arial" w:eastAsia="Arial" w:hAnsi="Arial"/>
          <w:sz w:val="18"/>
          <w:szCs w:val="18"/>
          <w:color w:val="auto"/>
        </w:rPr>
        <w:t>. The Company agrees, and the Adviser and the Administrator, jointly and severally, agree:</w:t>
      </w:r>
    </w:p>
    <w:p>
      <w:pPr>
        <w:spacing w:after="0" w:line="170" w:lineRule="exact"/>
        <w:rPr>
          <w:sz w:val="20"/>
          <w:szCs w:val="20"/>
          <w:color w:val="auto"/>
        </w:rPr>
      </w:pPr>
    </w:p>
    <w:p>
      <w:pPr>
        <w:ind w:right="40" w:firstLine="464"/>
        <w:spacing w:after="0" w:line="293" w:lineRule="auto"/>
        <w:tabs>
          <w:tab w:leader="none" w:pos="701"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 furnish such information as may be required and otherwise to cooperate in qualifying the Securities for offering and sale under the securities or blue sky laws of such states or other jurisdictions as you may designate and to use its best efforts to maintain such qualifications in effect so long as you may reasonably request for the distribution of the Securities; provided that, in connection therewith, the Company shall not be required to qualify as a foreign corporation or to file a consent to the service of process under the laws of any such jurisdiction (except a limited consent to service of process with respect to the offering and sale of the Securities); and to advise you promptly of the receipt by the Company of any notification with respect to the suspension of the qualification of the Securities for sale in any jurisdiction or the initiation or threatening of any proceeding for such purpose;</w:t>
      </w:r>
    </w:p>
    <w:p>
      <w:pPr>
        <w:spacing w:after="0" w:line="164" w:lineRule="exact"/>
        <w:rPr>
          <w:rFonts w:ascii="Arial" w:cs="Arial" w:eastAsia="Arial" w:hAnsi="Arial"/>
          <w:sz w:val="16"/>
          <w:szCs w:val="16"/>
          <w:color w:val="auto"/>
        </w:rPr>
      </w:pPr>
    </w:p>
    <w:p>
      <w:pPr>
        <w:ind w:right="20" w:firstLine="464"/>
        <w:spacing w:after="0" w:line="277" w:lineRule="auto"/>
        <w:tabs>
          <w:tab w:leader="none" w:pos="7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make available to the Underwriters as soon as reasonably practicable after the Registration Statement becomes effective and thereafter from time to time furnish to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as many copies of the Pricing Prospectus and the Prospectus (or of the Pricing Prospectus and the Prospectus as amended or supplemented if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shall have made any amendments or supplements thereto after the date of the Pricing Prospectus) as the Underwriters may reasonably request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purposes contemplated by the Act; in case any Underwriter is required to deliver a prospectus after the nine-month period referred to in Section 10(a)</w:t>
      </w:r>
    </w:p>
    <w:p>
      <w:pPr>
        <w:spacing w:after="0" w:line="32" w:lineRule="exact"/>
        <w:rPr>
          <w:sz w:val="20"/>
          <w:szCs w:val="20"/>
          <w:color w:val="auto"/>
        </w:rPr>
      </w:pPr>
    </w:p>
    <w:p>
      <w:pPr>
        <w:ind w:right="220" w:firstLine="8"/>
        <w:spacing w:after="0" w:line="255"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the Act in connection with the sale of the Securities, the Company will prepare, at the requesting Underwriter’s expense, promptly upon request such amendment or amendments to the Registration Statement and the Prospectus as may be necessary to permit compliance with the requirements of Section 10(a)(3) of the Act;</w:t>
      </w:r>
    </w:p>
    <w:p>
      <w:pPr>
        <w:spacing w:after="0" w:line="190" w:lineRule="exact"/>
        <w:rPr>
          <w:rFonts w:ascii="Arial" w:cs="Arial" w:eastAsia="Arial" w:hAnsi="Arial"/>
          <w:sz w:val="18"/>
          <w:szCs w:val="18"/>
          <w:color w:val="auto"/>
        </w:rPr>
      </w:pPr>
    </w:p>
    <w:p>
      <w:pPr>
        <w:jc w:val="both"/>
        <w:ind w:right="20" w:firstLine="464"/>
        <w:spacing w:after="0" w:line="288" w:lineRule="auto"/>
        <w:tabs>
          <w:tab w:leader="none" w:pos="701"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that if, at the time of this Agreement is executed and delivered, it is necessary for the Registration Statement or any post-effective amendment thereto to be declared effective before the Securities may be sold, the Company will endeavor to cause the Registration Statement or such post-effective amendment to become effective as soon as possible, and the Company will advise you promptly and, if requested by you, will confirm such advice in writing,</w:t>
      </w:r>
    </w:p>
    <w:p>
      <w:pPr>
        <w:ind w:right="180"/>
        <w:spacing w:after="0" w:line="323" w:lineRule="auto"/>
        <w:rPr>
          <w:rFonts w:ascii="Arial" w:cs="Arial" w:eastAsia="Arial" w:hAnsi="Arial"/>
          <w:sz w:val="16"/>
          <w:szCs w:val="16"/>
          <w:color w:val="auto"/>
        </w:rPr>
      </w:pPr>
      <w:r>
        <w:rPr>
          <w:rFonts w:ascii="Arial" w:cs="Arial" w:eastAsia="Arial" w:hAnsi="Arial"/>
          <w:sz w:val="16"/>
          <w:szCs w:val="16"/>
          <w:color w:val="auto"/>
        </w:rPr>
        <w:t>(i) when the Registration Statement and any such post-effective amendment thereto has become effective, and (ii) if Rule 430A under the Act is used, when the Prospectus is filed with the Commission pursuant to Rule 497 under the Act (which the Company agrees to file in a timely manner under such Rule);</w:t>
      </w:r>
    </w:p>
    <w:p>
      <w:pPr>
        <w:spacing w:after="0" w:line="138" w:lineRule="exact"/>
        <w:rPr>
          <w:rFonts w:ascii="Arial" w:cs="Arial" w:eastAsia="Arial" w:hAnsi="Arial"/>
          <w:sz w:val="16"/>
          <w:szCs w:val="16"/>
          <w:color w:val="auto"/>
        </w:rPr>
      </w:pPr>
    </w:p>
    <w:p>
      <w:pPr>
        <w:ind w:firstLine="464"/>
        <w:spacing w:after="0" w:line="290" w:lineRule="auto"/>
        <w:tabs>
          <w:tab w:leader="none" w:pos="711" w:val="left"/>
        </w:tabs>
        <w:numPr>
          <w:ilvl w:val="1"/>
          <w:numId w:val="55"/>
        </w:numPr>
        <w:rPr>
          <w:rFonts w:ascii="Arial" w:cs="Arial" w:eastAsia="Arial" w:hAnsi="Arial"/>
          <w:sz w:val="16"/>
          <w:szCs w:val="16"/>
          <w:color w:val="auto"/>
        </w:rPr>
      </w:pPr>
      <w:r>
        <w:rPr>
          <w:rFonts w:ascii="Arial" w:cs="Arial" w:eastAsia="Arial" w:hAnsi="Arial"/>
          <w:sz w:val="16"/>
          <w:szCs w:val="16"/>
          <w:color w:val="auto"/>
        </w:rPr>
        <w:t>to advise you promptly, and, if requested, confirm such advice in writing,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the Pricing Prospectus or the Prospectus, and to provide you and Underwriters’ counsel copies of any such documents for review and comment a reasonable amount of time prior to any proposed filing and to file no such amendment or supplement to which you shall reasonably object in writing (unless such filing is required to maintain compliance with the Act or the Investment Company Act), and to file with the Commission within the applicable period specified in Rule 497(h) under the Act any prospectus required to be filed pursuant to such Rule;</w:t>
      </w:r>
    </w:p>
    <w:p>
      <w:pPr>
        <w:spacing w:after="0" w:line="166" w:lineRule="exact"/>
        <w:rPr>
          <w:rFonts w:ascii="Arial" w:cs="Arial" w:eastAsia="Arial" w:hAnsi="Arial"/>
          <w:sz w:val="16"/>
          <w:szCs w:val="16"/>
          <w:color w:val="auto"/>
        </w:rPr>
      </w:pPr>
    </w:p>
    <w:p>
      <w:pPr>
        <w:jc w:val="both"/>
        <w:ind w:right="120" w:firstLine="464"/>
        <w:spacing w:after="0" w:line="264" w:lineRule="auto"/>
        <w:tabs>
          <w:tab w:leader="none" w:pos="701"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furnish to the Joint Book-Running Managers a copy of all promotional materials (including “road show slides” or “road show scripts”) prepared by the Company or the Adviser for use in connection with the offering and sale of the Securities (the “</w:t>
      </w:r>
      <w:r>
        <w:rPr>
          <w:rFonts w:ascii="Arial" w:cs="Arial" w:eastAsia="Arial" w:hAnsi="Arial"/>
          <w:sz w:val="18"/>
          <w:szCs w:val="18"/>
          <w:b w:val="1"/>
          <w:bCs w:val="1"/>
          <w:i w:val="1"/>
          <w:iCs w:val="1"/>
          <w:color w:val="auto"/>
        </w:rPr>
        <w:t>Road Show Materials</w:t>
      </w:r>
      <w:r>
        <w:rPr>
          <w:rFonts w:ascii="Arial" w:cs="Arial" w:eastAsia="Arial" w:hAnsi="Arial"/>
          <w:sz w:val="18"/>
          <w:szCs w:val="18"/>
          <w:color w:val="auto"/>
        </w:rPr>
        <w:t>”) and not to use or refer to any such materials to which the Joint Book-Running Managers reasonably object;</w:t>
      </w:r>
    </w:p>
    <w:p>
      <w:pPr>
        <w:spacing w:after="0" w:line="181" w:lineRule="exact"/>
        <w:rPr>
          <w:rFonts w:ascii="Arial" w:cs="Arial" w:eastAsia="Arial" w:hAnsi="Arial"/>
          <w:sz w:val="18"/>
          <w:szCs w:val="18"/>
          <w:color w:val="auto"/>
        </w:rPr>
      </w:pPr>
    </w:p>
    <w:p>
      <w:pPr>
        <w:ind w:right="20" w:firstLine="464"/>
        <w:spacing w:after="0" w:line="259" w:lineRule="auto"/>
        <w:tabs>
          <w:tab w:leader="none" w:pos="681"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furnish to you and to each of the other Underwriters, only to the extent not otherwise available on the Commission’s EDGAR system, for a period of one year from the date of this Agreement (i) copies of any reports, proxy statements, or other communications which the Company shall send to its stockholders or shall from time to time publish or publicly disseminate, (ii) copies of all annual, quarterly and current reports filed with the Commission on Forms 10-K, 10-Q and 8-K, or such other similar forms as may be designated by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44" w:name="page45"/>
    <w:bookmarkEnd w:id="44"/>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Commission, (iii) copies of documents or reports filed with any national securities exchange on which any class of securities of the Company is listed or quoted and (iv) such other information as you may reasonably request regarding the Company;</w:t>
      </w:r>
    </w:p>
    <w:p>
      <w:pPr>
        <w:spacing w:after="0" w:line="170" w:lineRule="exact"/>
        <w:rPr>
          <w:sz w:val="20"/>
          <w:szCs w:val="20"/>
          <w:color w:val="auto"/>
        </w:rPr>
      </w:pPr>
    </w:p>
    <w:p>
      <w:pPr>
        <w:ind w:firstLine="464"/>
        <w:spacing w:after="0" w:line="259" w:lineRule="auto"/>
        <w:tabs>
          <w:tab w:leader="none" w:pos="7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furnish to you as early as practicable prior to the time of purchase, but not later than two business days prior thereto, a copy of the latest available unaudited interim and monthly consolidated financial statements, if any, of the Company which have been read by the Company’s independent certified public accountants, as stated in their letter to be furnished pursuant to Section 6(c) hereof; provided, however, that this requirement to furnish any such information shall be subject to compliance with applicable law;</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necessary or appropriate, to file a registration statement pursuant to Rule 462(b) under the Act;</w:t>
      </w:r>
    </w:p>
    <w:p>
      <w:pPr>
        <w:spacing w:after="0" w:line="225" w:lineRule="exact"/>
        <w:rPr>
          <w:rFonts w:ascii="Arial" w:cs="Arial" w:eastAsia="Arial" w:hAnsi="Arial"/>
          <w:sz w:val="18"/>
          <w:szCs w:val="18"/>
          <w:color w:val="auto"/>
        </w:rPr>
      </w:pPr>
    </w:p>
    <w:p>
      <w:pPr>
        <w:ind w:right="40" w:firstLine="464"/>
        <w:spacing w:after="0" w:line="272" w:lineRule="auto"/>
        <w:tabs>
          <w:tab w:leader="none" w:pos="671"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advise the Underwriters promptly of the happening of any event within the time during which a prospectus relating to the Securities is required to be delivered under the Act which could require the making of any change in the Pricing Prospectus (prior to availability of the Prospectus), or the Prospectus then being used so that the Pricing Prospectus, together with the Pricing Information (prior to availability of the Prospectus), or the Prospectus would not include an untrue statement of material fact or omit to state a material fact necessary to make the statements therein, in the light of the circumstances under which they are made, not misleading, and, during such time, subject to Section 5(d) hereof, to prepare, at the Company’s expense, and thereafter, at the Underwriters’ expense, and furnish to the Underwriters promptly such amendments or supplements to such Pricing Prospectus (prior to availability of the Prospectus), or Prospectus as may be necessary to reflect any such change;</w:t>
      </w:r>
    </w:p>
    <w:p>
      <w:pPr>
        <w:spacing w:after="0" w:line="177" w:lineRule="exact"/>
        <w:rPr>
          <w:rFonts w:ascii="Arial" w:cs="Arial" w:eastAsia="Arial" w:hAnsi="Arial"/>
          <w:sz w:val="17"/>
          <w:szCs w:val="17"/>
          <w:color w:val="auto"/>
        </w:rPr>
      </w:pPr>
    </w:p>
    <w:p>
      <w:pPr>
        <w:ind w:right="160" w:firstLine="464"/>
        <w:spacing w:after="0" w:line="277" w:lineRule="auto"/>
        <w:tabs>
          <w:tab w:leader="none" w:pos="6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as soon as practicable, the Company will make generally available to its security holders an earnings statement or statements of the Company which will satisfy the provisions of Section 11(a) of the Act and Rule 158 under the Act;</w:t>
      </w:r>
    </w:p>
    <w:p>
      <w:pPr>
        <w:spacing w:after="0" w:line="170" w:lineRule="exact"/>
        <w:rPr>
          <w:rFonts w:ascii="Arial" w:cs="Arial" w:eastAsia="Arial" w:hAnsi="Arial"/>
          <w:sz w:val="18"/>
          <w:szCs w:val="18"/>
          <w:color w:val="auto"/>
        </w:rPr>
      </w:pPr>
    </w:p>
    <w:p>
      <w:pPr>
        <w:ind w:right="160" w:firstLine="464"/>
        <w:spacing w:after="0" w:line="308" w:lineRule="auto"/>
        <w:tabs>
          <w:tab w:leader="none" w:pos="711"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 will promptly deliver to each Underwriter and Fried, Frank, Harris, Shriver &amp; Jacobson LLP, counsel for the Underwriters, a signed copy of the Registration Statement, as initially filed and all amendments thereto, including all consents and exhibits filed therewith;</w:t>
      </w:r>
    </w:p>
    <w:p>
      <w:pPr>
        <w:spacing w:after="0" w:line="146" w:lineRule="exact"/>
        <w:rPr>
          <w:rFonts w:ascii="Arial" w:cs="Arial" w:eastAsia="Arial" w:hAnsi="Arial"/>
          <w:sz w:val="17"/>
          <w:szCs w:val="17"/>
          <w:color w:val="auto"/>
        </w:rPr>
      </w:pPr>
    </w:p>
    <w:p>
      <w:pPr>
        <w:ind w:right="220" w:firstLine="464"/>
        <w:spacing w:after="0" w:line="277" w:lineRule="auto"/>
        <w:tabs>
          <w:tab w:leader="none" w:pos="6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apply the net proceeds from the sale of the Securities in the manner set forth under the caption “Use of Proceeds” in the Pricing Prospectus and the Prospectus;</w:t>
      </w:r>
    </w:p>
    <w:p>
      <w:pPr>
        <w:spacing w:after="0" w:line="170" w:lineRule="exact"/>
        <w:rPr>
          <w:rFonts w:ascii="Arial" w:cs="Arial" w:eastAsia="Arial" w:hAnsi="Arial"/>
          <w:sz w:val="18"/>
          <w:szCs w:val="18"/>
          <w:color w:val="auto"/>
        </w:rPr>
      </w:pPr>
    </w:p>
    <w:p>
      <w:pPr>
        <w:ind w:right="120" w:firstLine="464"/>
        <w:spacing w:after="0" w:line="286" w:lineRule="auto"/>
        <w:tabs>
          <w:tab w:leader="none" w:pos="761"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Company will use its best efforts to maintain its status as a business development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Company may change the nature of its business so as to cease to be, or to withdraw its election as, a business development company, with the approval of the board of directors and a vote of stockholders as required by Section 58 of the Investment Company Act or any successor provision;</w:t>
      </w:r>
    </w:p>
    <w:p>
      <w:pPr>
        <w:spacing w:after="0" w:line="165" w:lineRule="exact"/>
        <w:rPr>
          <w:rFonts w:ascii="Arial" w:cs="Arial" w:eastAsia="Arial" w:hAnsi="Arial"/>
          <w:sz w:val="17"/>
          <w:szCs w:val="17"/>
          <w:color w:val="auto"/>
        </w:rPr>
      </w:pPr>
    </w:p>
    <w:p>
      <w:pPr>
        <w:ind w:right="140" w:firstLine="464"/>
        <w:spacing w:after="0" w:line="264" w:lineRule="auto"/>
        <w:tabs>
          <w:tab w:leader="none" w:pos="7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that the Company will use its best efforts to maintain its qualification and election as a regulated investment company under Subchapter M of the Code for each full fiscal year during which it is a business development company under the Investment Company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discretion of the Company’s board of directors, the Company may elect not to be so treated;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45" w:name="page46"/>
    <w:bookmarkEnd w:id="45"/>
    <w:p>
      <w:pPr>
        <w:ind w:firstLine="464"/>
        <w:spacing w:after="0" w:line="283" w:lineRule="auto"/>
        <w:tabs>
          <w:tab w:leader="none" w:pos="711" w:val="left"/>
        </w:tabs>
        <w:numPr>
          <w:ilvl w:val="1"/>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pay all costs, expenses, fees and taxes incident to the performance of its obligations hereunder, including (i) the preparation and filing of the Registration Statement, the Pricing Prospectus, the Prospectus, and any amendments or supplements thereto, and the printing and furnishing of copies of the Pricing Prospectus and Prospectus to the Underwriters and to dealers (including costs of mailing and shipment), (ii) the registration, issue, sale and delivery of the Securities, including the fees, disbursements and expenses of the Company’s counsel and accountants incurred in connection therewith, and any transfer or other taxes payable upon the sale, issuance or delivery of the Securities to the Underwriters, (iii) the qualification of the Securities for offering and sale under state or foreign laws and the determination of their eligibility for investment under state or foreign law as aforesaid (including the reasonable legal fees and filing fees and other disbursements of counsel for the Underwriters) and the furnishing of copies of any blue sky surveys or legal investment surveys to the Underwriters and to dealers, (iv) any fees charged by rating agencies for rating the Securities, (v) any filing for review of the public offering of the Securities by FINRA, including the reasonable legal fees and filing fees and other disbursements of counsel to the Underwriters, (vi) attending or hosting meetings with prospective purchasers of the Securities, including all travel expenses of the Company’s officers, directors, employees and affiliates and any other expense of the Company incurred in connection therewith, (vii) the fees and expenses of the Trustee and any transfer agent, registrar or depositary with respect to the Securities, (viii) the expenses and application fees incurred in connection with the approval of the Securities for book-entry transfer by DTC and</w:t>
      </w:r>
    </w:p>
    <w:p>
      <w:pPr>
        <w:spacing w:after="0" w:line="3" w:lineRule="exact"/>
        <w:rPr>
          <w:rFonts w:ascii="Arial" w:cs="Arial" w:eastAsia="Arial" w:hAnsi="Arial"/>
          <w:sz w:val="16"/>
          <w:szCs w:val="16"/>
          <w:color w:val="auto"/>
        </w:rPr>
      </w:pPr>
    </w:p>
    <w:p>
      <w:pPr>
        <w:ind w:firstLine="8"/>
        <w:spacing w:after="0" w:line="252" w:lineRule="auto"/>
        <w:tabs>
          <w:tab w:leader="none" w:pos="3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performance of the Company’s other obligations hereunder which are not specifically provided for in this Section 5(o). It is understood, however, that except as provided in this Section, Section 8 and Section 9, the Underwriters will pay all of their costs and expenses, including fees and disbursements of their counsel, stock transfer taxes payable in respect of any of the Securities and any advertising expenses connected with any offers they may make. It is further understood that, in accordance with Rule 5110(f)(2)(D) of the Corporate Financing Rule of FINRA, in the event this Agreement is terminated, the Underwriters will be reimbursed, subject to Section 8, only for actual accountable out-of-pocket expenses which they have incurred in connection with the transactions contemplated by this Agreement;</w:t>
      </w:r>
    </w:p>
    <w:p>
      <w:pPr>
        <w:spacing w:after="0" w:line="194" w:lineRule="exact"/>
        <w:rPr>
          <w:rFonts w:ascii="Arial" w:cs="Arial" w:eastAsia="Arial" w:hAnsi="Arial"/>
          <w:sz w:val="18"/>
          <w:szCs w:val="18"/>
          <w:color w:val="auto"/>
        </w:rPr>
      </w:pPr>
    </w:p>
    <w:p>
      <w:pPr>
        <w:ind w:right="20" w:firstLine="464"/>
        <w:spacing w:after="0" w:line="255" w:lineRule="auto"/>
        <w:tabs>
          <w:tab w:leader="none" w:pos="711"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the Company shall not, and shall cause its Subsidiaries not to, sell, offer to sell, contract or agree to sell, hypothecate, pledge, grant any option to purchase or otherwise dispose of or agree to dispose of, directly or indirectly, any debt securities issued or guaranteed by the Company or any securities convertible into or exchangeable or exercisable for debt securities issued or guaranteed by the Company or file or cause to be declared effective a registration statement under the Act with respect to any of the foregoing through the time of purchase, without the prior written consent of the Representatives of the several Underwriters, which may not be unreasonably withheld. The foregoing sentence shall not apply to the registration of the Securities and the sales to the Underwriters pursuant to this Agreement; and</w:t>
      </w:r>
    </w:p>
    <w:p>
      <w:pPr>
        <w:spacing w:after="0" w:line="193" w:lineRule="exact"/>
        <w:rPr>
          <w:rFonts w:ascii="Arial" w:cs="Arial" w:eastAsia="Arial" w:hAnsi="Arial"/>
          <w:sz w:val="18"/>
          <w:szCs w:val="18"/>
          <w:color w:val="auto"/>
        </w:rPr>
      </w:pPr>
    </w:p>
    <w:p>
      <w:pPr>
        <w:ind w:right="280" w:firstLine="464"/>
        <w:spacing w:after="0" w:line="277" w:lineRule="auto"/>
        <w:tabs>
          <w:tab w:leader="none" w:pos="711" w:val="left"/>
        </w:tabs>
        <w:numPr>
          <w:ilvl w:val="1"/>
          <w:numId w:val="58"/>
        </w:numPr>
        <w:rPr>
          <w:rFonts w:ascii="Arial" w:cs="Arial" w:eastAsia="Arial" w:hAnsi="Arial"/>
          <w:sz w:val="18"/>
          <w:szCs w:val="18"/>
          <w:color w:val="auto"/>
        </w:rPr>
      </w:pPr>
      <w:r>
        <w:rPr>
          <w:rFonts w:ascii="Arial" w:cs="Arial" w:eastAsia="Arial" w:hAnsi="Arial"/>
          <w:sz w:val="18"/>
          <w:szCs w:val="18"/>
          <w:color w:val="auto"/>
        </w:rPr>
        <w:t>to cooperate with the Representatives and use its commercially reasonable efforts to permit the offered Securities to be eligible for clearance and settlement through the facilities of DTC.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46" w:name="page47"/>
    <w:bookmarkEnd w:id="46"/>
    <w:p>
      <w:pPr>
        <w:ind w:firstLine="464"/>
        <w:spacing w:after="0" w:line="312" w:lineRule="auto"/>
        <w:tabs>
          <w:tab w:leader="none" w:pos="636"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of Underwriters’ Obligations</w:t>
      </w:r>
      <w:r>
        <w:rPr>
          <w:rFonts w:ascii="Arial" w:cs="Arial" w:eastAsia="Arial" w:hAnsi="Arial"/>
          <w:sz w:val="16"/>
          <w:szCs w:val="16"/>
          <w:color w:val="auto"/>
        </w:rPr>
        <w:t>. The several obligations of the Underwriters hereunder are subject to the accuracy of the representations and warranties on the part of the Company, the Adviser and the Administrator on the date hereof and at the time of purchase, the performance by the Company, the Adviser and the Administrator of each of its obligations hereunder and to the following additional conditions precedent:</w:t>
      </w:r>
    </w:p>
    <w:p>
      <w:pPr>
        <w:spacing w:after="0" w:line="147" w:lineRule="exact"/>
        <w:rPr>
          <w:sz w:val="20"/>
          <w:szCs w:val="20"/>
          <w:color w:val="auto"/>
        </w:rPr>
      </w:pPr>
    </w:p>
    <w:p>
      <w:pPr>
        <w:ind w:right="340" w:firstLine="464"/>
        <w:spacing w:after="0" w:line="264" w:lineRule="auto"/>
        <w:tabs>
          <w:tab w:leader="none" w:pos="70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You shall have received at the time of purchase an opinion of Dechert LLP, outside counsel for the Company, the Adviser and the Administrator addressed to the Underwriters, and dated the time of purchase set forth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opinion of Dechert LLP described in this Section 6(a) shall be rendered to the Underwriters at the request of the Company and shall so state therein.</w:t>
      </w:r>
    </w:p>
    <w:p>
      <w:pPr>
        <w:spacing w:after="0" w:line="181" w:lineRule="exact"/>
        <w:rPr>
          <w:rFonts w:ascii="Arial" w:cs="Arial" w:eastAsia="Arial" w:hAnsi="Arial"/>
          <w:sz w:val="18"/>
          <w:szCs w:val="18"/>
          <w:color w:val="auto"/>
        </w:rPr>
      </w:pPr>
    </w:p>
    <w:p>
      <w:pPr>
        <w:jc w:val="both"/>
        <w:ind w:right="40" w:firstLine="464"/>
        <w:spacing w:after="0" w:line="264" w:lineRule="auto"/>
        <w:tabs>
          <w:tab w:leader="none" w:pos="7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You shall have received an opinion of Venable LLP, special counsel for the Company, addressed to the Underwriters, and dated the time of purchase set forth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opinion of Venable LLP described in this Section 6(b) shall be rendered to the Underwriters at the request of the Company and shall so state therein.</w:t>
      </w:r>
    </w:p>
    <w:p>
      <w:pPr>
        <w:spacing w:after="0" w:line="181" w:lineRule="exact"/>
        <w:rPr>
          <w:rFonts w:ascii="Arial" w:cs="Arial" w:eastAsia="Arial" w:hAnsi="Arial"/>
          <w:sz w:val="18"/>
          <w:szCs w:val="18"/>
          <w:color w:val="auto"/>
        </w:rPr>
      </w:pPr>
    </w:p>
    <w:p>
      <w:pPr>
        <w:ind w:right="520" w:firstLine="464"/>
        <w:spacing w:after="0" w:line="279" w:lineRule="auto"/>
        <w:tabs>
          <w:tab w:leader="none" w:pos="701" w:val="left"/>
        </w:tabs>
        <w:numPr>
          <w:ilvl w:val="0"/>
          <w:numId w:val="60"/>
        </w:numPr>
        <w:rPr>
          <w:rFonts w:ascii="Arial" w:cs="Arial" w:eastAsia="Arial" w:hAnsi="Arial"/>
          <w:sz w:val="17"/>
          <w:szCs w:val="17"/>
          <w:color w:val="auto"/>
        </w:rPr>
      </w:pPr>
      <w:r>
        <w:rPr>
          <w:rFonts w:ascii="Arial" w:cs="Arial" w:eastAsia="Arial" w:hAnsi="Arial"/>
          <w:sz w:val="17"/>
          <w:szCs w:val="17"/>
          <w:color w:val="auto"/>
        </w:rPr>
        <w:t>You shall have received from KPMG LLP letters dated, respectively, the Execution Time and the time of purchase, and addressed to the Underwriters (with reproduced copies for each of the Underwriters) in the forms heretofore approved by the Joint Book-Running Managers containing statements and information of the type ordinarily included in accountants’ “comfort letters” to underwriters with respect to the financial statements and certain financial information contained in the Registration Statement, the Pricing Prospectus and the Prospectus.</w:t>
      </w:r>
    </w:p>
    <w:p>
      <w:pPr>
        <w:spacing w:after="0" w:line="171" w:lineRule="exact"/>
        <w:rPr>
          <w:rFonts w:ascii="Arial" w:cs="Arial" w:eastAsia="Arial" w:hAnsi="Arial"/>
          <w:sz w:val="17"/>
          <w:szCs w:val="17"/>
          <w:color w:val="auto"/>
        </w:rPr>
      </w:pPr>
    </w:p>
    <w:p>
      <w:pPr>
        <w:jc w:val="both"/>
        <w:ind w:right="520" w:firstLine="464"/>
        <w:spacing w:after="0" w:line="279" w:lineRule="auto"/>
        <w:tabs>
          <w:tab w:leader="none" w:pos="711" w:val="left"/>
        </w:tabs>
        <w:numPr>
          <w:ilvl w:val="0"/>
          <w:numId w:val="60"/>
        </w:numPr>
        <w:rPr>
          <w:rFonts w:ascii="Arial" w:cs="Arial" w:eastAsia="Arial" w:hAnsi="Arial"/>
          <w:sz w:val="17"/>
          <w:szCs w:val="17"/>
          <w:color w:val="auto"/>
        </w:rPr>
      </w:pPr>
      <w:r>
        <w:rPr>
          <w:rFonts w:ascii="Arial" w:cs="Arial" w:eastAsia="Arial" w:hAnsi="Arial"/>
          <w:sz w:val="17"/>
          <w:szCs w:val="17"/>
          <w:color w:val="auto"/>
        </w:rPr>
        <w:t>You shall have received from McGladrey LLP letters dated, respectively, the Execution Time and the time of purchase, and addressed to the Underwriters (with reproduced copies for each of the Underwriters) in the forms heretofore approved by the Joint Book-Running Managers containing statements and information of the type ordinarily included in accountants’ “comfort letters” to underwriters with respect to the financial statements and certain financial information contained in the Registration Statement, the Pricing Prospectus and the Prospectus.</w:t>
      </w:r>
    </w:p>
    <w:p>
      <w:pPr>
        <w:spacing w:after="0" w:line="171" w:lineRule="exact"/>
        <w:rPr>
          <w:rFonts w:ascii="Arial" w:cs="Arial" w:eastAsia="Arial" w:hAnsi="Arial"/>
          <w:sz w:val="17"/>
          <w:szCs w:val="17"/>
          <w:color w:val="auto"/>
        </w:rPr>
      </w:pPr>
    </w:p>
    <w:p>
      <w:pPr>
        <w:ind w:firstLine="464"/>
        <w:spacing w:after="0" w:line="277" w:lineRule="auto"/>
        <w:tabs>
          <w:tab w:leader="none" w:pos="701" w:val="left"/>
        </w:tabs>
        <w:numPr>
          <w:ilvl w:val="0"/>
          <w:numId w:val="60"/>
        </w:numPr>
        <w:rPr>
          <w:rFonts w:ascii="Arial" w:cs="Arial" w:eastAsia="Arial" w:hAnsi="Arial"/>
          <w:sz w:val="18"/>
          <w:szCs w:val="18"/>
          <w:color w:val="auto"/>
        </w:rPr>
      </w:pPr>
      <w:r>
        <w:rPr>
          <w:rFonts w:ascii="Arial" w:cs="Arial" w:eastAsia="Arial" w:hAnsi="Arial"/>
          <w:sz w:val="18"/>
          <w:szCs w:val="18"/>
          <w:color w:val="auto"/>
        </w:rPr>
        <w:t>You shall have received at the time of purchase the favorable opinion of Fried, Frank, Harris, Shriver &amp; Jacobson LLP, counsel for the Underwriters, dated the time of purchase, with respect the sale of the Securities and other related matters as the Underwriters may require.</w:t>
      </w:r>
    </w:p>
    <w:p>
      <w:pPr>
        <w:spacing w:after="0" w:line="170" w:lineRule="exact"/>
        <w:rPr>
          <w:rFonts w:ascii="Arial" w:cs="Arial" w:eastAsia="Arial" w:hAnsi="Arial"/>
          <w:sz w:val="18"/>
          <w:szCs w:val="18"/>
          <w:color w:val="auto"/>
        </w:rPr>
      </w:pPr>
    </w:p>
    <w:p>
      <w:pPr>
        <w:ind w:right="20" w:firstLine="464"/>
        <w:spacing w:after="0" w:line="297" w:lineRule="auto"/>
        <w:tabs>
          <w:tab w:leader="none" w:pos="681"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Prior to the time of purchase, (i) no stop order with respect to the effectiveness of the Registration Statement shall have been issued under the Act or, to the Company’s knowledge,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 and (iii) the Prospectus, as then amended or supplemented, shall not contain an untrue statement of a material fact or omit to state a material fact required to be stated therein or necessary to make the statements therein, in the light of the circumstances under which they are made, not misleading.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47" w:name="page48"/>
    <w:bookmarkEnd w:id="47"/>
    <w:p>
      <w:pPr>
        <w:jc w:val="both"/>
        <w:ind w:left="-8" w:firstLine="464"/>
        <w:spacing w:after="0" w:line="264" w:lineRule="auto"/>
        <w:tabs>
          <w:tab w:leader="none" w:pos="703"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Between the time of execution of this Agreement and the time of purchase, no material adverse change or any development involving a prospective material adverse change in the business, properties, management, financial condition or results of operations of the Company, the Subsidiaries or the Adviser, taken as a whole, shall occur or become known.</w:t>
      </w:r>
    </w:p>
    <w:p>
      <w:pPr>
        <w:spacing w:after="0" w:line="181" w:lineRule="exact"/>
        <w:rPr>
          <w:rFonts w:ascii="Arial" w:cs="Arial" w:eastAsia="Arial" w:hAnsi="Arial"/>
          <w:sz w:val="18"/>
          <w:szCs w:val="18"/>
          <w:color w:val="auto"/>
        </w:rPr>
      </w:pPr>
    </w:p>
    <w:p>
      <w:pPr>
        <w:ind w:left="-8" w:right="20" w:firstLine="464"/>
        <w:spacing w:after="0" w:line="277" w:lineRule="auto"/>
        <w:tabs>
          <w:tab w:leader="none" w:pos="7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Each of the Company, the Adviser and the Administrator will, at the time of purchase, deliver to you a certificate of its Chief Executive Officer and its Chief Financial Officer in the form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672" w:hanging="216"/>
        <w:spacing w:after="0"/>
        <w:tabs>
          <w:tab w:leader="none" w:pos="672"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The Company will, at the Execution Time, deliver to you a certificate of its Chief Financial Officer in the form attached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w:t>
      </w:r>
    </w:p>
    <w:p>
      <w:pPr>
        <w:spacing w:after="0" w:line="236" w:lineRule="exact"/>
        <w:rPr>
          <w:rFonts w:ascii="Arial" w:cs="Arial" w:eastAsia="Arial" w:hAnsi="Arial"/>
          <w:sz w:val="17"/>
          <w:szCs w:val="17"/>
          <w:color w:val="auto"/>
        </w:rPr>
      </w:pPr>
    </w:p>
    <w:p>
      <w:pPr>
        <w:ind w:left="672" w:hanging="216"/>
        <w:spacing w:after="0"/>
        <w:tabs>
          <w:tab w:leader="none" w:pos="672"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and the Trustee shall have executed and delivered the Indenture, the Second Supplemental Indenture and the Securities.</w:t>
      </w:r>
    </w:p>
    <w:p>
      <w:pPr>
        <w:spacing w:after="0" w:line="236" w:lineRule="exact"/>
        <w:rPr>
          <w:rFonts w:ascii="Arial" w:cs="Arial" w:eastAsia="Arial" w:hAnsi="Arial"/>
          <w:sz w:val="17"/>
          <w:szCs w:val="17"/>
          <w:color w:val="auto"/>
        </w:rPr>
      </w:pPr>
    </w:p>
    <w:p>
      <w:pPr>
        <w:ind w:left="-8" w:right="140" w:firstLine="464"/>
        <w:spacing w:after="0" w:line="259" w:lineRule="auto"/>
        <w:tabs>
          <w:tab w:leader="none" w:pos="7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There shall not have been any decrease in the rating of any debt of the Company or any Subsidiary by any “nationally recognized statistical rating organization” (as defined in Section 3(a)(62) of the Exchange Act), or any notice given of any intended or potential decrease in any such rating or of a possible change in any such rating that does not indicate the direction of the possible change, and no such organization shall have publicly announced it has under surveillance or review any such rating.</w:t>
      </w:r>
    </w:p>
    <w:p>
      <w:pPr>
        <w:spacing w:after="0" w:line="186" w:lineRule="exact"/>
        <w:rPr>
          <w:rFonts w:ascii="Arial" w:cs="Arial" w:eastAsia="Arial" w:hAnsi="Arial"/>
          <w:sz w:val="18"/>
          <w:szCs w:val="18"/>
          <w:color w:val="auto"/>
        </w:rPr>
      </w:pPr>
    </w:p>
    <w:p>
      <w:pPr>
        <w:ind w:left="-8" w:right="580" w:firstLine="464"/>
        <w:spacing w:after="0" w:line="308" w:lineRule="auto"/>
        <w:tabs>
          <w:tab w:leader="none" w:pos="663"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shall have furnished to you such other documents and certificates as to the accuracy and completeness of any statement in the Registration Statement, the Pricing Prospectus and the Prospectus as of the time of purchase as you may reasonably request.</w:t>
      </w:r>
    </w:p>
    <w:p>
      <w:pPr>
        <w:spacing w:after="0" w:line="147" w:lineRule="exact"/>
        <w:rPr>
          <w:sz w:val="20"/>
          <w:szCs w:val="20"/>
          <w:color w:val="auto"/>
        </w:rPr>
      </w:pPr>
    </w:p>
    <w:p>
      <w:pPr>
        <w:ind w:left="-8" w:right="20" w:firstLine="464"/>
        <w:spacing w:after="0" w:line="283" w:lineRule="auto"/>
        <w:tabs>
          <w:tab w:leader="none" w:pos="628"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obligations of the several Underwriters hereunder shall be subject to termination in the absolute discretion of any of the Joint Book-Running Managers, if (x) since the time of execution of this Agreement or the earlier respective dates as of which information is given in the Registration Statement, the Pricing Prospectus and the Prospectus, there has been any material adverse change or any development involving a prospective material adverse change in the business, properties, management, financial condition, prospects or results of operations of the Company or the Adviser, taken as a whole, which would, in any of the Joint Book-Running Managers’ judgment or in the judgment of such group of Underwriters, make it impracticable or inadvisable to proceed with the public offering or the delivery of the Securities on the terms and in the manner contemplated in the Registration Statement, the Pricing Prospectus and the Prospectus, or (y) since execution of this Agreement, there shall have occurred: (i) a suspension or material limitation in trading in securities generally on the New York Stock Exchange or the Nasdaq Global Select Market; (ii) a suspension or material limitation in trading in any of the Company’s securities; (iii) a general moratorium on commercial banking activities declared by either federal or New York State authorities or a material disruption in commercial banking or securities settlement, payment or clearance services in the United States; (iv) an outbreak or escalation of hostilities or acts of terrorism involving the United States or a declaration by the United States of a national emergency or war; or (v) any other calamity or crisis or any change in financial, political or economic conditions in the United States or elsewhere, if the effect of any such event specified in clause (iv) or</w:t>
      </w:r>
    </w:p>
    <w:p>
      <w:pPr>
        <w:spacing w:after="0" w:line="3" w:lineRule="exact"/>
        <w:rPr>
          <w:rFonts w:ascii="Arial" w:cs="Arial" w:eastAsia="Arial" w:hAnsi="Arial"/>
          <w:sz w:val="16"/>
          <w:szCs w:val="16"/>
          <w:color w:val="auto"/>
        </w:rPr>
      </w:pPr>
    </w:p>
    <w:p>
      <w:pPr>
        <w:ind w:left="252" w:hanging="252"/>
        <w:spacing w:after="0"/>
        <w:tabs>
          <w:tab w:leader="none" w:pos="2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any of the Joint Book-Running Managers’ judgment or in the judgment of such group of</w:t>
      </w:r>
    </w:p>
    <w:p>
      <w:pPr>
        <w:spacing w:after="0" w:line="14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52"/>
          </w:cols>
          <w:pgMar w:left="248" w:top="274" w:right="299" w:bottom="1440" w:gutter="0" w:footer="0" w:header="0"/>
        </w:sectPr>
      </w:pPr>
    </w:p>
    <w:bookmarkStart w:id="48" w:name="page49"/>
    <w:bookmarkEnd w:id="48"/>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makes it impracticable or inadvisable to proceed with the public offering or the delivery of the Securities on the terms and in the manner contemplated in the Registration Statement, Pricing Prospectus and the Prospectus.</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the sale to the Underwriters of the Securities,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 9 hereof), and the Underwriters shall be under no obligation or liability to the Company under this Agreement (except to the extent provided in Section 9 hereof) or to one another hereunder.</w:t>
      </w:r>
    </w:p>
    <w:p>
      <w:pPr>
        <w:spacing w:after="0" w:line="154" w:lineRule="exact"/>
        <w:rPr>
          <w:sz w:val="20"/>
          <w:szCs w:val="20"/>
          <w:color w:val="auto"/>
        </w:rPr>
      </w:pPr>
    </w:p>
    <w:p>
      <w:pPr>
        <w:ind w:right="20" w:firstLine="464"/>
        <w:spacing w:after="0" w:line="289" w:lineRule="auto"/>
        <w:tabs>
          <w:tab w:leader="none" w:pos="636"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Increase in Underwriters’ Commitments</w:t>
      </w:r>
      <w:r>
        <w:rPr>
          <w:rFonts w:ascii="Arial" w:cs="Arial" w:eastAsia="Arial" w:hAnsi="Arial"/>
          <w:sz w:val="16"/>
          <w:szCs w:val="16"/>
          <w:color w:val="auto"/>
        </w:rPr>
        <w:t>. Subject to Sections 6 and 7 hereof, if any Underwriter shall default in its obligation to take up and pay for the Securities to be purchased by it hereunder (otherwise than for a failure of a condition set forth in Section 6 hereof or a reason sufficient to justify the termination of this Agreement under the provisions of Section 7 hereof) and if the aggregate principal amount of Securities which all Underwriters so defaulting shall have agreed but failed to take up and pay for does not exceed 10% of the total aggregate principal amount of Securities, the non-defaulting Underwriters shall take up and pay for (in addition to the aggregate principal amount of Securities they are obligated to purchase pursuant to Section 1 hereof) the aggregate principal amount of Securities agreed to be purchased by all such defaulting Underwriters, as hereinafter provided. Such Securities shall be taken up and paid for by such non-defaulting Underwriters in such amount or amounts as you may designate with the consent of each Underwriter so designated or, in the event no such designation is made, such Securities shall be taken up and paid for by all non-defaulting Underwriters pro rata in proportion to the aggregate principal amount of Securities set opposite the names of such non-defaulting Underwriters in Schedule A.</w:t>
      </w:r>
    </w:p>
    <w:p>
      <w:pPr>
        <w:spacing w:after="0" w:line="16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Without relieving any defaulting Underwriter from its obligations hereunder, the Company agrees with the non-defaulting Underwriters that it will not sell any Securiteis hereunder unless all of the Securities are purchased by the Underwriters (or by substituted Underwriters selected by you with the approval of the Company or selected by the Company with your approval).</w:t>
      </w:r>
    </w:p>
    <w:p>
      <w:pPr>
        <w:spacing w:after="0" w:line="181"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16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term Underwriter as used in this Agreement shall refer to and include any Underwriter substituted under this Section 8 with like effect as if such substituted Underwriter had originally been named in Schedule A.</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the aggregate principal amount of Securities which the defaulting Underwriter or Underwriters agreed to purchase exceeds 10% of the total aggregate principal amount of Securities which all Underwriters agreed to purchase hereunder, and if neither the non-defaulting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49" w:name="page50"/>
    <w:bookmarkEnd w:id="49"/>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Underwriters nor the Company shall make arrangements within the five business day-period stated above for the purchase of all the Securities which the defaulting Underwriter or Underwriters agreed to purchase hereunder, this Agreement shall terminate without further act or deed and without any liability on the part of the Company to any non-defaulting Underwriter (except as provided in Section 9)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88" w:lineRule="exact"/>
        <w:rPr>
          <w:sz w:val="20"/>
          <w:szCs w:val="20"/>
          <w:color w:val="auto"/>
        </w:rPr>
      </w:pPr>
    </w:p>
    <w:p>
      <w:pPr>
        <w:ind w:left="640" w:hanging="17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Indemnity and Contribution</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(a)(1) The Company agrees to indemnify, defend and hold harmless each Underwriter, its partners, directors and officers, and any person who controls any Underwriter within the meaning of Section 15 of the Act or Section 20 of the Exchange Act, each affiliate of any Underwriter within the meaning of Rule 405 under the Act that is involved in the Offering, and the successors and assigns of all of the foregoing persons, from and against any loss, damage, expense, liability or claim (including the reasonable cost of any investigation incurred in connection therewith) which, jointly or severally, any such Underwriter or any such person may incur under the Act, the Exchange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the Pricing Prospectus together with the Pricing Information, any Marketing Materials, any Additional Disclosure Item or the Prospectus (as amended or supplemented by the Company), or arising out of or based upon any omission or alleged omission to state a material fact required to be stated in either the Registration Statement, the Pricing Prospectus together with the Pricing Information, any Marketing Materials or the Prospectus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the Pricing Prospectus together with the Pricing Information, any Marketing Materials, any Additional Disclosure Item or the Prospectus or arising out of or based upon any omission or alleged omission to state a material fact in connection with such information required to be stated in the Registration Statement, the Pricing Prospectus together with the Pricing Information, any Marketing Materials or the Prospectus or necessary to make such information not misleading or (ii) any untrue statement or alleged untrue statement made by the Company in Section 3 hereof or the failure by the Company to perform when and as required any agreement or covenant contained herein.</w:t>
      </w:r>
    </w:p>
    <w:p>
      <w:pPr>
        <w:spacing w:after="0" w:line="175" w:lineRule="exact"/>
        <w:rPr>
          <w:sz w:val="20"/>
          <w:szCs w:val="20"/>
          <w:color w:val="auto"/>
        </w:rPr>
      </w:pPr>
    </w:p>
    <w:p>
      <w:pPr>
        <w:ind w:right="60" w:firstLine="921"/>
        <w:spacing w:after="0" w:line="257" w:lineRule="auto"/>
        <w:tabs>
          <w:tab w:leader="none" w:pos="11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Adviser and the Administrator, jointly and severally, agree to indemnify, defend and hold harmless each Underwriter and each other person specified in subsection (a)(1) of this Section 9 from and against any loss, damage, expense, liability or claim (including the reasonable cost of any investigation incurred in connection therewith) any such Underwriter or any such other person may incur as specified in such subsection, insofar as such loss, damage, expense, liability or claim arises out of or is based upon (x) any untrue statement or alleged untrue statement of a material fact contained in the Registration Statement (or in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50" w:name="page51"/>
    <w:bookmarkEnd w:id="50"/>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as amended by any post-effective amendment thereof by the Company), the Pricing Prospectus, any Marketing Materials, any Additional Disclosure Item or the Prospectus (as amended or supplemented by the Company) regarding the Adviser or the Administrator or arising out of or is based upon any omission or alleged omission to state a material fact required to be stated in either the Registration Statement, the Pricing Prospectus, any Marketing Materials, any Additional Disclosure Item or the Prospectus or necessary to make the statements made therein not misleading or (y) any untrue statement or alleged untrue statement made by the Adviser or the Administrator in Section 4 hereof.</w:t>
      </w:r>
    </w:p>
    <w:p>
      <w:pPr>
        <w:spacing w:after="0" w:line="173" w:lineRule="exact"/>
        <w:rPr>
          <w:sz w:val="20"/>
          <w:szCs w:val="20"/>
          <w:color w:val="auto"/>
        </w:rPr>
      </w:pPr>
    </w:p>
    <w:p>
      <w:pPr>
        <w:ind w:firstLine="921"/>
        <w:spacing w:after="0" w:line="284" w:lineRule="auto"/>
        <w:tabs>
          <w:tab w:leader="none" w:pos="1168"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any action, suit or proceeding (each,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is brought against an Underwriter or any such person in respect of which indemnity may be sought against the Company, the Adviser or the Administrator, as appropriate, pursuant to the foregoing paragraph, such Underwriter or such person shall promptly notify the Company, the Adviser or the Administrator, as appropriate, in writing of the institution of such Proceeding and the Company, the Adviser or the Administrator, as appropriate, shall assume the defense of such Proceeding, including the employment of counsel reasonably satisfactory to such indemnified party and payment of all fees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omission to so notify the Company, the Adviser or the Administrator, as appropriate, shall not relieve the Company, the Adviser or the Administrator, as appropriate, from any liability which the Company, the Adviser or the Administrator, as appropriate, may have to any Underwriter or any such person or otherwise. Such Underwriter or such person shall have the right to employ its or their own counsel in any such case, but the fees and expenses of such counsel shall be at the expense of such Underwriter or of such person unless the employment of such counsel shall have been authorized in writing by the Company, the Adviser or the Administrator, as appropriate, in connection with the defense of such Proceeding or the Company, the Adviser or the Administrator, as appropriate, shall not have, within a reasonable period of time in light of the circumstances, employed counsel to have charge of the defense of such Proceeding or such indemnified party or parties shall have reasonably concluded that there may be defenses available to it or them which are different from, additional to or in conflict with those available to the Company, the Adviser or the Administrator, as appropriate, (in which case the Company, the Adviser or the Administrator, as appropriate, shall not have the right to direct the defense of such Proceeding on behalf of the indemnified party or parties), in any of which events such fees and expenses shall be borne by the Company, the Adviser or the Administrator, as appropriate, and paid as incurred (it being understood, however, that the Company, the Adviser or the Administrator, as appropriate, shall not be liable for the expenses of more than one separate counsel (in addition to any local counsel) in any one Proceeding or series of related Proceedings in the same jurisdiction representing the indemnified parties who are parties to such Proceeding). Each of the Company, the Adviser or the Administrator, as appropriate, shall not be liable for any settlement of any Proceeding effected without its written consent but if settled with the written consent of the Company, the Adviser or the Administrator, as appropriate, the Company, the Adviser or the Administrator, as appropriate, agrees to indemnify and hold harmless any Underwriter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51" w:name="page52"/>
    <w:bookmarkEnd w:id="51"/>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w:t>
      </w:r>
    </w:p>
    <w:p>
      <w:pPr>
        <w:spacing w:after="0" w:line="178" w:lineRule="exact"/>
        <w:rPr>
          <w:sz w:val="20"/>
          <w:szCs w:val="20"/>
          <w:color w:val="auto"/>
        </w:rPr>
      </w:pPr>
    </w:p>
    <w:p>
      <w:pPr>
        <w:ind w:right="60" w:firstLine="464"/>
        <w:spacing w:after="0" w:line="287" w:lineRule="auto"/>
        <w:tabs>
          <w:tab w:leader="none" w:pos="711"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defend and hold harmless the Company, the Adviser and the Administrator, their directors, partners and officers, and any person who controls the Company, the Adviser or the Administrator within the meaning of Section 15 of the Act or Section 20 of the Exchange Act, and the successors and assigns of all of the foregoing persons, from and against any loss, damage, expense, liability or claim (including the reasonable cost of any investigation incurred in connection therewith) which, jointly or severally, the Company, the Adviser or the Administrator, or any such person may incur under the Act, the Exchange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the Pricing Prospectus together with the Pricing Information, any Additional Disclosure Item or the Prospectus, or arises out of or is based upon any omission or alleged omission to state a material fact in connection with such information required to be stated in the Registration Statement, the Pricing Prospectus together with the Pricing Information, any Additional Disclosure Item or the Prospectus or necessary to make such information not misleading.</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any Proceeding is brought against the Company, the Adviser or the Administrator, or any such person in respect of which indemnity may be sought against any Underwriter pursuant to the foregoing paragraph, the Company, the Adviser or the Administrator, or such person shall promptly notify such Underwriter in writing of the institution of such Proceeding and such Underwriter shall assume the defense of such Proceeding, including the employment of counsel reasonably satisfactory to such indemnified party and payment of all fees and expenses; provided, however, that the omission to so notify such Underwriter shall not relieve such Underwriter from any liability which such Underwriter may have to the Company, the Adviser or the Administrator, or any such person or otherwise. The Company, the Adviser or the Administrator, or such person shall have the right to employ its own counsel in any such case, but the fees and expenses of such counsel shall be at the expense of the Company, the Adviser or the Administrator, or such person unless the employment of such counsel shall have been authorized in writing by such Underwriter in connection with the defense of such Proceeding or such Underwriter shall not have, within a reasonable period of time in light of the circumstances, employed counsel to defend such Proceeding or such indemnified party or parties shall have reasonably concluded that there may be defenses available to it or them which are different from or additional to or in conflict with those available to such Underwriter (in which case such</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52" w:name="page53"/>
    <w:bookmarkEnd w:id="5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 shall not have the right to direct the defense of such Proceeding on behalf of the indemnified party or parties, but such Underwriter may employ counsel and participate in the defense thereof but the fees and expenses of such counsel shall be at the expense of such Underwriter), in any of which events such fees and expenses shall be borne by such Underwriter and paid as incurred (it being understood, however, that such Underwriter shall not be liable for the expenses of more than one separate counsel (in addition to any local counsel) in any one Proceeding or series of related Proceedings in the same jurisdiction representing the indemnified parties who are parties to such Proceeding). No Underwriter shall be liable for any settlement of any such Proceeding effected without the written consent of such Underwriter but if settled with the written consent of such Underwriter, such Underwriter agrees to indemnify and hold harmless the Company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69" w:lineRule="exact"/>
        <w:rPr>
          <w:sz w:val="20"/>
          <w:szCs w:val="20"/>
          <w:color w:val="auto"/>
        </w:rPr>
      </w:pPr>
    </w:p>
    <w:p>
      <w:pPr>
        <w:ind w:firstLine="464"/>
        <w:spacing w:after="0" w:line="288" w:lineRule="auto"/>
        <w:tabs>
          <w:tab w:leader="none" w:pos="701"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an indemnified party under subsections (a) and (b)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w:t>
      </w:r>
    </w:p>
    <w:p>
      <w:pPr>
        <w:ind w:right="140" w:firstLine="8"/>
        <w:spacing w:after="0" w:line="286" w:lineRule="auto"/>
        <w:tabs>
          <w:tab w:leader="none" w:pos="215"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such proportion as is appropriate to reflect the relative benefits received by the Company, the Adviser and the Administrator on the one hand and the Underwriters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Company, the Adviser and the Administrator on the one hand and of the Underwriters on the other in connection with the statements or omissions which resulted in such losses, damages, expenses, liabilities or claims, as well as any other relevant equitable considerations. The relative benefits received by the Company, the Adviser and the Administrator on the one hand and the Underwriters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Underwriters, bear to the aggregate public offering price of the Securities. The relative fault of the Company, the Adviser and the Administrator on the one hand and of the Underwriters on the other shall be determined by reference to, among other things, whether the untrue statement or alleged untrue statement of a material fact or omission or alleged omission relates to information supplied by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53" w:name="page54"/>
    <w:bookmarkEnd w:id="53"/>
    <w:p>
      <w:pPr>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party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147" w:lineRule="exact"/>
        <w:rPr>
          <w:sz w:val="20"/>
          <w:szCs w:val="20"/>
          <w:color w:val="auto"/>
        </w:rPr>
      </w:pPr>
    </w:p>
    <w:p>
      <w:pPr>
        <w:ind w:firstLine="464"/>
        <w:spacing w:after="0" w:line="290" w:lineRule="auto"/>
        <w:tabs>
          <w:tab w:leader="none" w:pos="711"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 the Adviser, the Administrator and the Underwriters agree that it would not be just and equitable if contribution pursuant to this Section 9 were determined by pro rata allocation (even if the Underwriters were treated as one entity for such purpose) or by any other method of allocation that does not take account of the equitable considerations referred to in subsection (c) above. Notwithstanding the provisions of this Section 9, no Underwriter shall be required to contribute any amount in excess of the amount by which the total price at which the Securities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166" w:lineRule="exact"/>
        <w:rPr>
          <w:rFonts w:ascii="Arial" w:cs="Arial" w:eastAsia="Arial" w:hAnsi="Arial"/>
          <w:sz w:val="16"/>
          <w:szCs w:val="16"/>
          <w:color w:val="auto"/>
        </w:rPr>
      </w:pPr>
    </w:p>
    <w:p>
      <w:pPr>
        <w:ind w:right="60" w:firstLine="464"/>
        <w:spacing w:after="0" w:line="270" w:lineRule="auto"/>
        <w:tabs>
          <w:tab w:leader="none" w:pos="701"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indemnity and contribution agreements contained in this Section 9 and the covenants, warranties and representations of the Company, the Adviser and the Administrator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Act or Section 20 of the Exchange Act, or any affiliate of any Underwriter within the meaning of Rule 405 under the Act that is involved in the Offering, or any successors or assigns of all of the foregoing persons, or by or on behalf of the Company, its directors or officers or any person who controls the Company within the meaning of Section 15 of the Act or Section 20 of the Exchange Act, and shall survive any termination of this Agreement or the issuance and delivery of the Securities. The Company, the Adviser, the Administrator and each Underwriter agree promptly to notify each other of the commencement of any Proceeding against it and, in the case of the Company, the Adviser or the Administrator, against any of the Company’s officers or directors, the Adviser and the Administrator or their partners or officers in connection with the issuance and sale of the Securities, or in connection with the Registration Statement, the Pricing Prospectus or the Prospectus.</w:t>
      </w:r>
    </w:p>
    <w:p>
      <w:pPr>
        <w:spacing w:after="0" w:line="178" w:lineRule="exact"/>
        <w:rPr>
          <w:sz w:val="20"/>
          <w:szCs w:val="20"/>
          <w:color w:val="auto"/>
        </w:rPr>
      </w:pPr>
    </w:p>
    <w:p>
      <w:pPr>
        <w:ind w:right="120" w:firstLine="464"/>
        <w:spacing w:after="0" w:line="257" w:lineRule="auto"/>
        <w:tabs>
          <w:tab w:leader="none" w:pos="72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Information Furnished by the Underwriters</w:t>
      </w:r>
      <w:r>
        <w:rPr>
          <w:rFonts w:ascii="Arial" w:cs="Arial" w:eastAsia="Arial" w:hAnsi="Arial"/>
          <w:sz w:val="18"/>
          <w:szCs w:val="18"/>
          <w:color w:val="auto"/>
        </w:rPr>
        <w:t>. The Company acknowledges that (i) the statements regarding delivery of the Securities set forth in the last paragraph of the cover page and in the second and third paragraphs under the heading “Underwriting,” (ii) the names of the underwriters set forth in the table following the first paragraph under the heading “Underwriting, (iii) the sentences relating to concessions, and (iv) the sentences related to stabilization and syndicate covering transactions in the Pricing Prospectus and the Prospectus constitute the only information furnished by or on behalf of the several Underwriters for inclusion in the Pricing Prospectus and the Prospectus.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54" w:name="page55"/>
    <w:bookmarkEnd w:id="54"/>
    <w:p>
      <w:pPr>
        <w:ind w:right="120" w:firstLine="464"/>
        <w:spacing w:after="0" w:line="255" w:lineRule="auto"/>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8"/>
          <w:szCs w:val="18"/>
          <w:color w:val="auto"/>
        </w:rPr>
        <w:t>. Except as otherwise herein provided, all statements, requests, notices and agreements shall be in writing or by telegram and, if to the Underwriters, shall be sufficient in all respects if delivered or sent to J.P. Morgan Securities LLC, 383 Madison Avenue, New York, New York 10179, with a copy to the Legal Department and a copy, which shall not constitute notice, to Fried, Frank, Harris, Shriver &amp; Jacobson LLP, One New York Plaza, New York, NY 10004, attention of Paul Tropp, Esq.; and, if to the Company, the Adviser or the Administrator shall be sufficient in all respects if delivered or sent to the Company at the offices of the Company at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NY 10022, facsimile no. (212) 905-1075, Attention: Arthur Penn.</w:t>
      </w:r>
    </w:p>
    <w:p>
      <w:pPr>
        <w:spacing w:after="0" w:line="193" w:lineRule="exact"/>
        <w:rPr>
          <w:rFonts w:ascii="Arial" w:cs="Arial" w:eastAsia="Arial" w:hAnsi="Arial"/>
          <w:sz w:val="18"/>
          <w:szCs w:val="18"/>
          <w:color w:val="auto"/>
        </w:rPr>
      </w:pPr>
    </w:p>
    <w:p>
      <w:pPr>
        <w:ind w:firstLine="464"/>
        <w:spacing w:after="0" w:line="276" w:lineRule="auto"/>
        <w:tabs>
          <w:tab w:leader="none" w:pos="72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Governing Law; Construction</w:t>
      </w:r>
      <w:r>
        <w:rPr>
          <w:rFonts w:ascii="Arial" w:cs="Arial" w:eastAsia="Arial" w:hAnsi="Arial"/>
          <w:sz w:val="17"/>
          <w:szCs w:val="17"/>
          <w:color w:val="auto"/>
        </w:rPr>
        <w:t>. This Agreement and any claim, counterclaim or dispute of any kind or nature whatsoever arising out of or in any way relating to this Agreement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directly or indirectly, shall be governed by, and construed in accordance with, the laws of the State of New York applicable to contracts formed and to be performed entirely within the State of New York, without regard to the applicability or effect of conflict of law principles or rules thereof, to the extent such principles would require or permit the application of the laws of another jurisdiction. The section headings in this Agreement have been inserted as a matter of convenience of reference and are not a part of this Agreement.</w:t>
      </w:r>
    </w:p>
    <w:p>
      <w:pPr>
        <w:spacing w:after="0" w:line="172" w:lineRule="exact"/>
        <w:rPr>
          <w:rFonts w:ascii="Arial" w:cs="Arial" w:eastAsia="Arial" w:hAnsi="Arial"/>
          <w:sz w:val="17"/>
          <w:szCs w:val="17"/>
          <w:color w:val="auto"/>
        </w:rPr>
      </w:pPr>
    </w:p>
    <w:p>
      <w:pPr>
        <w:ind w:right="80" w:firstLine="464"/>
        <w:spacing w:after="0" w:line="269" w:lineRule="auto"/>
        <w:tabs>
          <w:tab w:leader="none" w:pos="72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Company, the Adviser and the Administrator consents to the jurisdiction of such courts and personal service with respect thereto. Each of the Company, the Adviser and the Administrator hereby consents to personal jurisdiction, service and venue in any court in which any Claim arising out of or in any way relating to this Agreement is brought by any third party against the Joint Book-Running Managers or any indemnified party. Each of the Joint Book-Running Managers, the Company (on its behalf and, to the extent permitted by applicable law, on behalf of its stockholders and affiliates), the Adviser and the Administrator waives all right to trial by jury in any action, proceeding or counterclaim (whether based upon contract, tort or otherwise) in any way arising out of or relating to this Agreement. Each of the Company, the Adviser and the Administrator agrees that a final judgment in any such action, proceeding or counterclaim brought in any such court shall be conclusive and binding upon the Company, the Adviser and the Administrator, as appropriate, and may be enforced in any other courts to the jurisdiction of which the Company, the Adviser and the Administrator, as appropriate, is or may be subject, by suit upon such judgment.</w:t>
      </w:r>
    </w:p>
    <w:p>
      <w:pPr>
        <w:spacing w:after="0" w:line="182" w:lineRule="exact"/>
        <w:rPr>
          <w:rFonts w:ascii="Arial" w:cs="Arial" w:eastAsia="Arial" w:hAnsi="Arial"/>
          <w:sz w:val="17"/>
          <w:szCs w:val="17"/>
          <w:color w:val="auto"/>
        </w:rPr>
      </w:pPr>
    </w:p>
    <w:p>
      <w:pPr>
        <w:ind w:right="20" w:firstLine="464"/>
        <w:spacing w:after="0" w:line="279" w:lineRule="auto"/>
        <w:tabs>
          <w:tab w:leader="none" w:pos="72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Parties at Interest</w:t>
      </w:r>
      <w:r>
        <w:rPr>
          <w:rFonts w:ascii="Arial" w:cs="Arial" w:eastAsia="Arial" w:hAnsi="Arial"/>
          <w:sz w:val="17"/>
          <w:szCs w:val="17"/>
          <w:color w:val="auto"/>
        </w:rPr>
        <w:t>. The Agreement herein set forth has been and is made solely for the benefit of the Underwriters and the Company and to the extent provided in Section 9 hereof the controlling persons, partners, directors and officers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55" w:name="page56"/>
    <w:bookmarkEnd w:id="55"/>
    <w:p>
      <w:pPr>
        <w:ind w:right="40" w:firstLine="464"/>
        <w:spacing w:after="0" w:line="277" w:lineRule="auto"/>
        <w:tabs>
          <w:tab w:leader="none" w:pos="726"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pacing w:after="0" w:line="170" w:lineRule="exact"/>
        <w:rPr>
          <w:rFonts w:ascii="Arial" w:cs="Arial" w:eastAsia="Arial" w:hAnsi="Arial"/>
          <w:sz w:val="18"/>
          <w:szCs w:val="18"/>
          <w:color w:val="auto"/>
        </w:rPr>
      </w:pPr>
    </w:p>
    <w:p>
      <w:pPr>
        <w:ind w:right="580" w:firstLine="464"/>
        <w:spacing w:after="0" w:line="264" w:lineRule="auto"/>
        <w:tabs>
          <w:tab w:leader="none" w:pos="726"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Underwriters, the Company, the Adviser and the Administrator and their successors and assigns and any successor or assign of any substantial portion of the Company’s, the Adviser’s and the Administrator’s and any of the Underwriters’ respective businesses and/or assets.</w:t>
      </w:r>
    </w:p>
    <w:p>
      <w:pPr>
        <w:spacing w:after="0" w:line="181" w:lineRule="exact"/>
        <w:rPr>
          <w:rFonts w:ascii="Arial" w:cs="Arial" w:eastAsia="Arial" w:hAnsi="Arial"/>
          <w:sz w:val="18"/>
          <w:szCs w:val="18"/>
          <w:color w:val="auto"/>
        </w:rPr>
      </w:pPr>
    </w:p>
    <w:p>
      <w:pPr>
        <w:ind w:right="60" w:firstLine="464"/>
        <w:spacing w:after="0" w:line="285" w:lineRule="auto"/>
        <w:tabs>
          <w:tab w:leader="none" w:pos="726"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Each of the Company, the Adviser and the Administrator acknowledges and agrees that (i) the sale through the Underwriters of any Securities pursuant to this Agreement, including the determination of the price of the Securities and any related compensation, discounts or commissions, is an arm’s-length commercial transaction between the Company, the Adviser and the Administrator, on the one hand, and the Underwriters, on the other hand, (ii) in connection with the offering of the Securities and the process leading to such transactions each Underwriter will act solely as an agent and not as a fiduciary of the Company, the Adviser or the Administrator, or any of their respective stockholders, members, creditors or employees, or any other party,</w:t>
      </w:r>
    </w:p>
    <w:p>
      <w:pPr>
        <w:spacing w:after="0" w:line="2" w:lineRule="exact"/>
        <w:rPr>
          <w:rFonts w:ascii="Arial" w:cs="Arial" w:eastAsia="Arial" w:hAnsi="Arial"/>
          <w:sz w:val="16"/>
          <w:szCs w:val="16"/>
          <w:color w:val="auto"/>
        </w:rPr>
      </w:pPr>
    </w:p>
    <w:p>
      <w:pPr>
        <w:ind w:firstLine="8"/>
        <w:spacing w:after="0" w:line="288" w:lineRule="auto"/>
        <w:tabs>
          <w:tab w:leader="none" w:pos="315"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 Underwriter will assume an advisory or fiduciary responsibility in favor of the Company, the Adviser or the Administrator with respect to the offering of Securities contemplated hereby or the process leading thereto (irrespective of whether such Underwriter has advised or is currently advising the Company, the Adviser or the Administrator on other matters) and no Underwriter will have any obligation to the Company, the Adviser or the Administrator with respect to the offering of Securities except the obligations expressly set forth herein, (iv) each Underwriter and its respective affiliates may be engaged in a broad range of transactions that involve interests that differ from those of the Company, the Adviser and the Administrator and (v) no Underwriter has provided and will provide any legal, accounting, regulatory or tax advice with respect to the offering of the Securities and each of the Company, the Adviser and the Administrator has consulted and will consult its own legal, accounting, regulatory and tax advisors to the extent it deemed appropriate.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56" w:name="page57"/>
    <w:bookmarkEnd w:id="56"/>
    <w:p>
      <w:pPr>
        <w:jc w:val="both"/>
        <w:ind w:right="3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PENNANTPARK INVESTMENT ADMINISTRATION, LLC</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1360"/>
          </w:cols>
          <w:pgMar w:left="240" w:top="274" w:right="29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 as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Stephen L. Sheiner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Stephen L. Sheiner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GOLDMAN, SACHS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Ryan Gilliam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Ryan Gilliam</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Yurij Slyz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Yurij Slyz</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By:  SUNTRUST ROBINSON HUMPHREY, INC.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Frank P. Tantillo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Frank P. Tantillo</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219"/>
          </w:cols>
          <w:pgMar w:left="240" w:top="274" w:right="1440" w:bottom="1440" w:gutter="0" w:footer="0" w:header="0"/>
        </w:sectPr>
      </w:pPr>
    </w:p>
    <w:bookmarkStart w:id="58" w:name="page59"/>
    <w:bookmarkEnd w:id="58"/>
    <w:p>
      <w:pPr>
        <w:ind w:left="51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1. The purchase price for the Securities to be paid by the several Underwriters shall be 98.405% of the aggregate principal amount thereof.</w:t>
      </w:r>
    </w:p>
    <w:p>
      <w:pPr>
        <w:spacing w:after="0" w:line="25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Principal</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Amount of</w:t>
            </w: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spacing w:after="0"/>
              <w:rPr>
                <w:sz w:val="20"/>
                <w:szCs w:val="20"/>
                <w:color w:val="auto"/>
              </w:rPr>
            </w:pPr>
            <w:r>
              <w:rPr>
                <w:rFonts w:ascii="Arial" w:cs="Arial" w:eastAsia="Arial" w:hAnsi="Arial"/>
                <w:sz w:val="14"/>
                <w:szCs w:val="14"/>
                <w:color w:val="auto"/>
              </w:rPr>
              <w:t>Underwriter</w:t>
            </w: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Securities to</w:t>
            </w:r>
          </w:p>
        </w:tc>
        <w:tc>
          <w:tcPr>
            <w:tcW w:w="0" w:type="dxa"/>
            <w:vAlign w:val="bottom"/>
          </w:tcPr>
          <w:p>
            <w:pPr>
              <w:spacing w:after="0"/>
              <w:rPr>
                <w:sz w:val="1"/>
                <w:szCs w:val="1"/>
                <w:color w:val="auto"/>
              </w:rPr>
            </w:pPr>
          </w:p>
        </w:tc>
      </w:tr>
      <w:tr>
        <w:trPr>
          <w:trHeight w:val="154"/>
        </w:trPr>
        <w:tc>
          <w:tcPr>
            <w:tcW w:w="4600" w:type="dxa"/>
            <w:vAlign w:val="bottom"/>
            <w:gridSpan w:val="2"/>
            <w:vMerge w:val="continue"/>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56,250,000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48,750,000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48,750,000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Comerica Securities, Inc.</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ING Financial Markets LLC</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0" w:right="1440" w:bottom="1440" w:gutter="0" w:footer="0" w:header="0"/>
        </w:sectPr>
      </w:pPr>
    </w:p>
    <w:bookmarkStart w:id="59" w:name="page60"/>
    <w:bookmarkEnd w:id="59"/>
    <w:p>
      <w:pPr>
        <w:ind w:left="513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256" w:lineRule="exact"/>
        <w:rPr>
          <w:sz w:val="20"/>
          <w:szCs w:val="20"/>
          <w:color w:val="auto"/>
        </w:rPr>
      </w:pPr>
    </w:p>
    <w:p>
      <w:pPr>
        <w:ind w:left="452" w:hanging="452"/>
        <w:spacing w:after="0"/>
        <w:tabs>
          <w:tab w:leader="none" w:pos="4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“New Issue” Bloomberg filed with the Commission on September 16, 2014 pursuant to Rule 497(a) (as a Rule 482ad).</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“Launch” Bloomberg filed with the Commission on September 16, 2014 pursuant to Rule 497(a) (as a Rule 482ad).</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“Priced” Bloomberg filed with the Commission on September 16, 2014 pursuant to Rule 497(a) (as a Rule 482ad).</w:t>
      </w:r>
    </w:p>
    <w:p>
      <w:pPr>
        <w:spacing w:after="0" w:line="130" w:lineRule="exact"/>
        <w:rPr>
          <w:rFonts w:ascii="Arial" w:cs="Arial" w:eastAsia="Arial" w:hAnsi="Arial"/>
          <w:sz w:val="18"/>
          <w:szCs w:val="18"/>
          <w:color w:val="auto"/>
        </w:rPr>
      </w:pPr>
    </w:p>
    <w:p>
      <w:pPr>
        <w:ind w:left="452" w:hanging="452"/>
        <w:spacing w:after="0" w:line="342" w:lineRule="auto"/>
        <w:tabs>
          <w:tab w:leader="none" w:pos="45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Pricing Term Sheet, dated September 16, 2014, containing the terms governing the Securities, substantially in the form of Exhibit E to this Agreement filed with the Commission on September 16, 2014 pursuant to Rule 497(a) (as a Rule 482ad) (the “Pricing Term Sheet”).</w:t>
      </w:r>
    </w:p>
    <w:p>
      <w:pPr>
        <w:sectPr>
          <w:pgSz w:w="11900" w:h="16838" w:orient="portrait"/>
          <w:cols w:equalWidth="0" w:num="1">
            <w:col w:w="10732"/>
          </w:cols>
          <w:pgMar w:left="248" w:top="270" w:right="91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Opinion of Dechert LLP</w:t>
      </w:r>
    </w:p>
    <w:p>
      <w:pPr>
        <w:sectPr>
          <w:pgSz w:w="11900" w:h="16838" w:orient="portrait"/>
          <w:cols w:equalWidth="0" w:num="1">
            <w:col w:w="9019"/>
          </w:cols>
          <w:pgMar w:left="1440" w:top="270" w:right="1440"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Form of Opinion of Venable LLP</w:t>
      </w:r>
    </w:p>
    <w:p>
      <w:pPr>
        <w:sectPr>
          <w:pgSz w:w="11900" w:h="16838" w:orient="portrait"/>
          <w:cols w:equalWidth="0" w:num="1">
            <w:col w:w="9019"/>
          </w:cols>
          <w:pgMar w:left="1440" w:top="270" w:right="1440" w:bottom="1440" w:gutter="0" w:footer="0" w:header="0"/>
        </w:sectPr>
      </w:pPr>
    </w:p>
    <w:bookmarkStart w:id="62" w:name="page63"/>
    <w:bookmarkEnd w:id="62"/>
    <w:p>
      <w:pPr>
        <w:jc w:val="center"/>
        <w:ind w:right="-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Form of Certificate Required by Section 6(h)</w:t>
      </w:r>
    </w:p>
    <w:p>
      <w:pPr>
        <w:spacing w:after="0" w:line="252" w:lineRule="exact"/>
        <w:rPr>
          <w:sz w:val="20"/>
          <w:szCs w:val="20"/>
          <w:color w:val="auto"/>
        </w:rPr>
      </w:pPr>
    </w:p>
    <w:p>
      <w:pPr>
        <w:ind w:left="452" w:hanging="452"/>
        <w:spacing w:after="0"/>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the Registration Statement, the Pricing Prospectus and the Prospectus.</w:t>
      </w:r>
    </w:p>
    <w:p>
      <w:pPr>
        <w:spacing w:after="0" w:line="130" w:lineRule="exact"/>
        <w:rPr>
          <w:rFonts w:ascii="Arial" w:cs="Arial" w:eastAsia="Arial" w:hAnsi="Arial"/>
          <w:sz w:val="18"/>
          <w:szCs w:val="18"/>
          <w:color w:val="auto"/>
        </w:rPr>
      </w:pPr>
    </w:p>
    <w:p>
      <w:pPr>
        <w:ind w:left="452" w:right="80" w:hanging="452"/>
        <w:spacing w:after="0" w:line="277" w:lineRule="auto"/>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representations and warranties of each of the Company, the Adviser and the Administrator as set forth in the Underwriting Agreement are true and correct as of the time of purchase.</w:t>
      </w:r>
    </w:p>
    <w:p>
      <w:pPr>
        <w:spacing w:after="0" w:line="75" w:lineRule="exact"/>
        <w:rPr>
          <w:rFonts w:ascii="Arial" w:cs="Arial" w:eastAsia="Arial" w:hAnsi="Arial"/>
          <w:sz w:val="18"/>
          <w:szCs w:val="18"/>
          <w:color w:val="auto"/>
        </w:rPr>
      </w:pPr>
    </w:p>
    <w:p>
      <w:pPr>
        <w:ind w:left="452" w:right="60" w:hanging="452"/>
        <w:spacing w:after="0" w:line="277" w:lineRule="auto"/>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the Company, the Adviser and the Administrator has performed all of its obligations under the Underwriting Agreement as are to be performed at or before the time of purchase.</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conditions set forth in paragraphs (f) and (g) of Section 6 of the Underwriting Agreement have been met.</w:t>
      </w:r>
    </w:p>
    <w:p>
      <w:pPr>
        <w:spacing w:after="0" w:line="130" w:lineRule="exact"/>
        <w:rPr>
          <w:rFonts w:ascii="Arial" w:cs="Arial" w:eastAsia="Arial" w:hAnsi="Arial"/>
          <w:sz w:val="18"/>
          <w:szCs w:val="18"/>
          <w:color w:val="auto"/>
        </w:rPr>
      </w:pPr>
    </w:p>
    <w:p>
      <w:pPr>
        <w:ind w:left="452" w:hanging="452"/>
        <w:spacing w:after="0" w:line="264" w:lineRule="auto"/>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financial statements and other financial information included in the Registration Statement, the Pricing Prospectus and the Prospectus fairly present in all material respects the financial condition of the Company as of the date presented in the Registration Statement, the Pricing Prospectus and the Prospectus, as appropriate.</w:t>
      </w:r>
    </w:p>
    <w:p>
      <w:pPr>
        <w:sectPr>
          <w:pgSz w:w="11900" w:h="16838" w:orient="portrait"/>
          <w:cols w:equalWidth="0" w:num="1">
            <w:col w:w="11392"/>
          </w:cols>
          <w:pgMar w:left="248" w:top="270" w:right="259" w:bottom="1440" w:gutter="0" w:footer="0" w:header="0"/>
        </w:sectPr>
      </w:pPr>
    </w:p>
    <w:bookmarkStart w:id="63" w:name="page64"/>
    <w:bookmarkEnd w:id="63"/>
    <w:p>
      <w:pPr>
        <w:jc w:val="center"/>
        <w:ind w:right="-9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9" w:lineRule="exact"/>
        <w:rPr>
          <w:sz w:val="20"/>
          <w:szCs w:val="20"/>
          <w:color w:val="auto"/>
        </w:rPr>
      </w:pPr>
    </w:p>
    <w:p>
      <w:pPr>
        <w:jc w:val="center"/>
        <w:ind w:right="-91"/>
        <w:spacing w:after="0"/>
        <w:rPr>
          <w:sz w:val="20"/>
          <w:szCs w:val="20"/>
          <w:color w:val="auto"/>
        </w:rPr>
      </w:pPr>
      <w:r>
        <w:rPr>
          <w:rFonts w:ascii="Arial" w:cs="Arial" w:eastAsia="Arial" w:hAnsi="Arial"/>
          <w:sz w:val="18"/>
          <w:szCs w:val="18"/>
          <w:u w:val="single" w:color="auto"/>
          <w:color w:val="auto"/>
        </w:rPr>
        <w:t>Form of Certificate Required by Section 6(i)</w:t>
      </w:r>
    </w:p>
    <w:p>
      <w:pPr>
        <w:spacing w:after="0" w:line="252" w:lineRule="exact"/>
        <w:rPr>
          <w:sz w:val="20"/>
          <w:szCs w:val="20"/>
          <w:color w:val="auto"/>
        </w:rPr>
      </w:pPr>
    </w:p>
    <w:p>
      <w:pPr>
        <w:jc w:val="both"/>
        <w:ind w:left="452" w:hanging="452"/>
        <w:spacing w:after="0" w:line="286" w:lineRule="auto"/>
        <w:tabs>
          <w:tab w:leader="none" w:pos="452" w:val="left"/>
        </w:tabs>
        <w:numPr>
          <w:ilvl w:val="0"/>
          <w:numId w:val="78"/>
        </w:numPr>
        <w:rPr>
          <w:rFonts w:ascii="Arial" w:cs="Arial" w:eastAsia="Arial" w:hAnsi="Arial"/>
          <w:sz w:val="17"/>
          <w:szCs w:val="17"/>
          <w:color w:val="auto"/>
        </w:rPr>
      </w:pPr>
      <w:r>
        <w:rPr>
          <w:rFonts w:ascii="Arial" w:cs="Arial" w:eastAsia="Arial" w:hAnsi="Arial"/>
          <w:sz w:val="17"/>
          <w:szCs w:val="17"/>
          <w:color w:val="auto"/>
        </w:rPr>
        <w:t>I am providing this certificate in connection with the issuance of the Securities pursuant to the terms and conditions of the Underwriting Agreement, as described in the preliminary prospectus supplement relating to the Securities, dated September [•], 2014, and filed with the Commission on September [•], 2014 (together with the accompanying base prospectus dated January 30, 2014, the “</w:t>
      </w:r>
      <w:r>
        <w:rPr>
          <w:rFonts w:ascii="Arial" w:cs="Arial" w:eastAsia="Arial" w:hAnsi="Arial"/>
          <w:sz w:val="17"/>
          <w:szCs w:val="17"/>
          <w:u w:val="single" w:color="auto"/>
          <w:color w:val="auto"/>
        </w:rPr>
        <w:t>Preliminary Prospectus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52" w:right="100" w:hanging="452"/>
        <w:spacing w:after="0" w:line="277" w:lineRule="auto"/>
        <w:tabs>
          <w:tab w:leader="none" w:pos="4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am the principal financial and accounting officer of the Company. I have responsibility for financial and accounting matters of the Company and am familiar with the accounting, operations and records systems of the Company.</w:t>
      </w:r>
    </w:p>
    <w:p>
      <w:pPr>
        <w:spacing w:after="0" w:line="75" w:lineRule="exact"/>
        <w:rPr>
          <w:rFonts w:ascii="Arial" w:cs="Arial" w:eastAsia="Arial" w:hAnsi="Arial"/>
          <w:sz w:val="18"/>
          <w:szCs w:val="18"/>
          <w:color w:val="auto"/>
        </w:rPr>
      </w:pPr>
    </w:p>
    <w:p>
      <w:pPr>
        <w:ind w:left="452" w:right="80" w:hanging="452"/>
        <w:spacing w:after="0" w:line="277" w:lineRule="auto"/>
        <w:tabs>
          <w:tab w:leader="none" w:pos="4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the financial data attached hereto as Exhibit A. I certify that all numbers circled have been appropriately derived from the Company’s accounting books and records and such circled numbers are accurate in all material respects.</w:t>
      </w:r>
    </w:p>
    <w:p>
      <w:pPr>
        <w:sectPr>
          <w:pgSz w:w="11900" w:h="16838" w:orient="portrait"/>
          <w:cols w:equalWidth="0" w:num="1">
            <w:col w:w="11332"/>
          </w:cols>
          <w:pgMar w:left="248" w:top="270" w:right="31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$250,000,000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4.50% Notes due 2019</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16, 2014</w:t>
      </w:r>
    </w:p>
    <w:p>
      <w:pPr>
        <w:spacing w:after="0" w:line="21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following sets forth the final terms of the 4.500% Notes due 2019 and should only be read together with the preliminary prospectus supplement dated September 16, 2014, together with the accompanying prospectus dated January 30, 2014,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420"/>
          </w:cols>
          <w:pgMar w:left="240" w:top="270"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Issuer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PennantPark Investment Corporation</w:t>
      </w:r>
    </w:p>
    <w:p>
      <w:pPr>
        <w:spacing w:after="0" w:line="140" w:lineRule="exact"/>
        <w:rPr>
          <w:sz w:val="20"/>
          <w:szCs w:val="20"/>
          <w:color w:val="auto"/>
        </w:rPr>
      </w:pPr>
    </w:p>
    <w:p>
      <w:pPr>
        <w:sectPr>
          <w:pgSz w:w="11900" w:h="16838" w:orient="portrait"/>
          <w:cols w:equalWidth="0" w:num="2">
            <w:col w:w="3180" w:space="720"/>
            <w:col w:w="752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4.50% Notes due 2019</w:t>
      </w:r>
    </w:p>
    <w:p>
      <w:pPr>
        <w:spacing w:after="0" w:line="140" w:lineRule="exact"/>
        <w:rPr>
          <w:sz w:val="20"/>
          <w:szCs w:val="20"/>
          <w:color w:val="auto"/>
        </w:rPr>
      </w:pPr>
    </w:p>
    <w:p>
      <w:pPr>
        <w:sectPr>
          <w:pgSz w:w="11900" w:h="16838" w:orient="portrait"/>
          <w:cols w:equalWidth="0" w:num="2">
            <w:col w:w="3180" w:space="720"/>
            <w:col w:w="752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Aggregate Principal Amount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$250,000,000</w:t>
      </w:r>
    </w:p>
    <w:p>
      <w:pPr>
        <w:spacing w:after="0" w:line="140" w:lineRule="exact"/>
        <w:rPr>
          <w:sz w:val="20"/>
          <w:szCs w:val="20"/>
          <w:color w:val="auto"/>
        </w:rPr>
      </w:pPr>
    </w:p>
    <w:p>
      <w:pPr>
        <w:sectPr>
          <w:pgSz w:w="11900" w:h="16838" w:orient="portrait"/>
          <w:cols w:equalWidth="0" w:num="2">
            <w:col w:w="3180" w:space="720"/>
            <w:col w:w="7520"/>
          </w:cols>
          <w:pgMar w:left="240" w:top="270" w:right="239" w:bottom="1440" w:gutter="0" w:footer="0" w:header="0"/>
          <w:type w:val="continuous"/>
        </w:sect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September 16, 2014</w:t>
      </w:r>
    </w:p>
    <w:p>
      <w:pPr>
        <w:spacing w:after="0" w:line="152" w:lineRule="exact"/>
        <w:rPr>
          <w:sz w:val="20"/>
          <w:szCs w:val="20"/>
          <w:color w:val="auto"/>
        </w:rPr>
      </w:pPr>
    </w:p>
    <w:p>
      <w:pPr>
        <w:sectPr>
          <w:pgSz w:w="11900" w:h="16838" w:orient="portrait"/>
          <w:cols w:equalWidth="0" w:num="2">
            <w:col w:w="3180" w:space="720"/>
            <w:col w:w="752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September 23, 2014 (T+5)</w:t>
      </w:r>
    </w:p>
    <w:p>
      <w:pPr>
        <w:spacing w:after="0" w:line="140" w:lineRule="exact"/>
        <w:rPr>
          <w:sz w:val="20"/>
          <w:szCs w:val="20"/>
          <w:color w:val="auto"/>
        </w:rPr>
      </w:pPr>
    </w:p>
    <w:p>
      <w:pPr>
        <w:sectPr>
          <w:pgSz w:w="11900" w:h="16838" w:orient="portrait"/>
          <w:cols w:equalWidth="0" w:num="2">
            <w:col w:w="3180" w:space="720"/>
            <w:col w:w="752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October 1, 2019</w:t>
      </w:r>
    </w:p>
    <w:p>
      <w:pPr>
        <w:spacing w:after="0" w:line="140" w:lineRule="exact"/>
        <w:rPr>
          <w:sz w:val="20"/>
          <w:szCs w:val="20"/>
          <w:color w:val="auto"/>
        </w:rPr>
      </w:pPr>
    </w:p>
    <w:p>
      <w:pPr>
        <w:sectPr>
          <w:pgSz w:w="11900" w:h="16838" w:orient="portrait"/>
          <w:cols w:equalWidth="0" w:num="2">
            <w:col w:w="3180" w:space="720"/>
            <w:col w:w="752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Each April and October 1st, commencing April 1, 2015</w:t>
      </w:r>
    </w:p>
    <w:p>
      <w:pPr>
        <w:spacing w:after="0" w:line="140" w:lineRule="exact"/>
        <w:rPr>
          <w:sz w:val="20"/>
          <w:szCs w:val="20"/>
          <w:color w:val="auto"/>
        </w:rPr>
      </w:pPr>
    </w:p>
    <w:p>
      <w:pPr>
        <w:sectPr>
          <w:pgSz w:w="11900" w:h="16838" w:orient="portrait"/>
          <w:cols w:equalWidth="0" w:num="2">
            <w:col w:w="3180" w:space="720"/>
            <w:col w:w="752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1.625% due August 31, 2019</w:t>
      </w:r>
    </w:p>
    <w:p>
      <w:pPr>
        <w:spacing w:after="0" w:line="140" w:lineRule="exact"/>
        <w:rPr>
          <w:sz w:val="20"/>
          <w:szCs w:val="20"/>
          <w:color w:val="auto"/>
        </w:rPr>
      </w:pPr>
    </w:p>
    <w:p>
      <w:pPr>
        <w:sectPr>
          <w:pgSz w:w="11900" w:h="16838" w:orient="portrait"/>
          <w:cols w:equalWidth="0" w:num="2">
            <w:col w:w="3180" w:space="720"/>
            <w:col w:w="752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1.771%</w:t>
      </w:r>
    </w:p>
    <w:p>
      <w:pPr>
        <w:spacing w:after="0" w:line="140" w:lineRule="exact"/>
        <w:rPr>
          <w:sz w:val="20"/>
          <w:szCs w:val="20"/>
          <w:color w:val="auto"/>
        </w:rPr>
      </w:pPr>
    </w:p>
    <w:p>
      <w:pPr>
        <w:sectPr>
          <w:pgSz w:w="11900" w:h="16838" w:orient="portrait"/>
          <w:cols w:equalWidth="0" w:num="2">
            <w:col w:w="3180" w:space="720"/>
            <w:col w:w="752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+275 basis points</w:t>
      </w:r>
    </w:p>
    <w:p>
      <w:pPr>
        <w:spacing w:after="0" w:line="140" w:lineRule="exact"/>
        <w:rPr>
          <w:sz w:val="20"/>
          <w:szCs w:val="20"/>
          <w:color w:val="auto"/>
        </w:rPr>
      </w:pPr>
    </w:p>
    <w:p>
      <w:pPr>
        <w:sectPr>
          <w:pgSz w:w="11900" w:h="16838" w:orient="portrait"/>
          <w:cols w:equalWidth="0" w:num="2">
            <w:col w:w="3180" w:space="720"/>
            <w:col w:w="752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4.521%</w:t>
      </w:r>
    </w:p>
    <w:p>
      <w:pPr>
        <w:spacing w:after="0" w:line="140" w:lineRule="exact"/>
        <w:rPr>
          <w:sz w:val="20"/>
          <w:szCs w:val="20"/>
          <w:color w:val="auto"/>
        </w:rPr>
      </w:pPr>
    </w:p>
    <w:p>
      <w:pPr>
        <w:sectPr>
          <w:pgSz w:w="11900" w:h="16838" w:orient="portrait"/>
          <w:cols w:equalWidth="0" w:num="2">
            <w:col w:w="3180" w:space="720"/>
            <w:col w:w="752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4.500%</w:t>
      </w:r>
    </w:p>
    <w:p>
      <w:pPr>
        <w:spacing w:after="0" w:line="140" w:lineRule="exact"/>
        <w:rPr>
          <w:sz w:val="20"/>
          <w:szCs w:val="20"/>
          <w:color w:val="auto"/>
        </w:rPr>
      </w:pPr>
    </w:p>
    <w:p>
      <w:pPr>
        <w:sectPr>
          <w:pgSz w:w="11900" w:h="16838" w:orient="portrait"/>
          <w:cols w:equalWidth="0" w:num="2">
            <w:col w:w="3180" w:space="720"/>
            <w:col w:w="752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 (Issue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99.905%</w:t>
      </w:r>
    </w:p>
    <w:p>
      <w:pPr>
        <w:spacing w:after="0" w:line="140" w:lineRule="exact"/>
        <w:rPr>
          <w:sz w:val="20"/>
          <w:szCs w:val="20"/>
          <w:color w:val="auto"/>
        </w:rPr>
      </w:pPr>
    </w:p>
    <w:p>
      <w:pPr>
        <w:sectPr>
          <w:pgSz w:w="11900" w:h="16838" w:orient="portrait"/>
          <w:cols w:equalWidth="0" w:num="2">
            <w:col w:w="3180" w:space="720"/>
            <w:col w:w="752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Make-Whole Redemption</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Equal to the greater of the following amounts, plus, in each case, accrued and unpaid interest to the redemption date:</w:t>
      </w:r>
    </w:p>
    <w:p>
      <w:pPr>
        <w:spacing w:after="0" w:line="76" w:lineRule="exact"/>
        <w:rPr>
          <w:sz w:val="20"/>
          <w:szCs w:val="20"/>
          <w:color w:val="auto"/>
        </w:rPr>
      </w:pPr>
    </w:p>
    <w:p>
      <w:pPr>
        <w:sectPr>
          <w:pgSz w:w="11900" w:h="16838" w:orient="portrait"/>
          <w:cols w:equalWidth="0" w:num="2">
            <w:col w:w="3180" w:space="720"/>
            <w:col w:w="7520"/>
          </w:cols>
          <w:pgMar w:left="240" w:top="270" w:right="239" w:bottom="1440" w:gutter="0" w:footer="0" w:header="0"/>
          <w:type w:val="continuous"/>
        </w:sectPr>
      </w:pPr>
    </w:p>
    <w:p>
      <w:pPr>
        <w:ind w:left="39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 of the principal amount of the Notes to be redeemed, or</w:t>
      </w:r>
    </w:p>
    <w:p>
      <w:pPr>
        <w:spacing w:after="0" w:line="153" w:lineRule="exact"/>
        <w:rPr>
          <w:sz w:val="20"/>
          <w:szCs w:val="20"/>
          <w:color w:val="auto"/>
        </w:rPr>
      </w:pPr>
    </w:p>
    <w:p>
      <w:pPr>
        <w:sectPr>
          <w:pgSz w:w="11900" w:h="16838" w:orient="portrait"/>
          <w:cols w:equalWidth="0" w:num="2">
            <w:col w:w="3960" w:space="220"/>
            <w:col w:w="7240"/>
          </w:cols>
          <w:pgMar w:left="240" w:top="270" w:right="239" w:bottom="1440" w:gutter="0" w:footer="0" w:header="0"/>
          <w:type w:val="continuous"/>
        </w:sectPr>
      </w:pPr>
    </w:p>
    <w:p>
      <w:pPr>
        <w:ind w:left="39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sum of the present values of the remaining scheduled payments of principal and interest</w:t>
      </w:r>
    </w:p>
    <w:p>
      <w:pPr>
        <w:spacing w:after="0" w:line="46" w:lineRule="exact"/>
        <w:rPr>
          <w:sz w:val="20"/>
          <w:szCs w:val="20"/>
          <w:color w:val="auto"/>
        </w:rPr>
      </w:pPr>
    </w:p>
    <w:p>
      <w:pPr>
        <w:sectPr>
          <w:pgSz w:w="11900" w:h="16838" w:orient="portrait"/>
          <w:cols w:equalWidth="0" w:num="2">
            <w:col w:w="3960" w:space="220"/>
            <w:col w:w="7240"/>
          </w:cols>
          <w:pgMar w:left="240" w:top="270" w:right="239" w:bottom="1440" w:gutter="0" w:footer="0" w:header="0"/>
          <w:type w:val="continuous"/>
        </w:sectPr>
      </w:pPr>
    </w:p>
    <w:p>
      <w:pPr>
        <w:jc w:val="both"/>
        <w:ind w:left="4260" w:right="160"/>
        <w:spacing w:after="0" w:line="302" w:lineRule="auto"/>
        <w:rPr>
          <w:sz w:val="20"/>
          <w:szCs w:val="20"/>
          <w:color w:val="auto"/>
        </w:rPr>
      </w:pPr>
      <w:r>
        <w:rPr>
          <w:rFonts w:ascii="Arial" w:cs="Arial" w:eastAsia="Arial" w:hAnsi="Arial"/>
          <w:sz w:val="16"/>
          <w:szCs w:val="16"/>
          <w:color w:val="auto"/>
        </w:rPr>
        <w:t>(exclusive of accrued and unpaid interest to the date of redemption) on the Notes to be redeemed, discounted to the redemption date on a semi-annual basis (assuming a 360-day year consisting of twelve 30-day months) using the applicable Treasury Rate plus 45 basis points</w:t>
      </w:r>
    </w:p>
    <w:p>
      <w:pPr>
        <w:sectPr>
          <w:pgSz w:w="11900" w:h="16838" w:orient="portrait"/>
          <w:cols w:equalWidth="0" w:num="1">
            <w:col w:w="11420"/>
          </w:cols>
          <w:pgMar w:left="240" w:top="270" w:right="2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color w:val="auto"/>
        </w:rPr>
        <w:t>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-269875</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180" w:space="720"/>
            <w:col w:w="7520"/>
          </w:cols>
          <w:pgMar w:left="240" w:top="382" w:right="239" w:bottom="1440" w:gutter="0" w:footer="0" w:header="0"/>
        </w:sectPr>
      </w:pPr>
    </w:p>
    <w:p>
      <w:pPr>
        <w:spacing w:after="0"/>
        <w:rPr>
          <w:sz w:val="20"/>
          <w:szCs w:val="20"/>
          <w:color w:val="auto"/>
        </w:rPr>
      </w:pPr>
      <w:r>
        <w:rPr>
          <w:rFonts w:ascii="Arial" w:cs="Arial" w:eastAsia="Arial" w:hAnsi="Arial"/>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708062AA2 / US708062AA27</w:t>
      </w:r>
    </w:p>
    <w:p>
      <w:pPr>
        <w:spacing w:after="0" w:line="140" w:lineRule="exact"/>
        <w:rPr>
          <w:sz w:val="20"/>
          <w:szCs w:val="20"/>
          <w:color w:val="auto"/>
        </w:rPr>
      </w:pPr>
    </w:p>
    <w:p>
      <w:pPr>
        <w:sectPr>
          <w:pgSz w:w="11900" w:h="16838" w:orient="portrait"/>
          <w:cols w:equalWidth="0" w:num="2">
            <w:col w:w="3180" w:space="720"/>
            <w:col w:w="7520"/>
          </w:cols>
          <w:pgMar w:left="240" w:top="382"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139" w:lineRule="exact"/>
        <w:rPr>
          <w:sz w:val="20"/>
          <w:szCs w:val="20"/>
          <w:color w:val="auto"/>
        </w:rPr>
      </w:pPr>
    </w:p>
    <w:p>
      <w:pPr>
        <w:sectPr>
          <w:pgSz w:w="11900" w:h="16838" w:orient="portrait"/>
          <w:cols w:equalWidth="0" w:num="2">
            <w:col w:w="3180" w:space="720"/>
            <w:col w:w="7520"/>
          </w:cols>
          <w:pgMar w:left="240" w:top="382"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Keefe Bruyette &amp; Woods,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116" w:lineRule="exact"/>
        <w:rPr>
          <w:sz w:val="20"/>
          <w:szCs w:val="20"/>
          <w:color w:val="auto"/>
        </w:rPr>
      </w:pPr>
    </w:p>
    <w:p>
      <w:pPr>
        <w:sectPr>
          <w:pgSz w:w="11900" w:h="16838" w:orient="portrait"/>
          <w:cols w:equalWidth="0" w:num="2">
            <w:col w:w="3180" w:space="720"/>
            <w:col w:w="7520"/>
          </w:cols>
          <w:pgMar w:left="240" w:top="382" w:right="239" w:bottom="1440" w:gutter="0" w:footer="0" w:header="0"/>
          <w:type w:val="continuous"/>
        </w:sectPr>
      </w:pPr>
    </w:p>
    <w:p>
      <w:pPr>
        <w:spacing w:after="0"/>
        <w:rPr>
          <w:sz w:val="20"/>
          <w:szCs w:val="20"/>
          <w:color w:val="auto"/>
        </w:rPr>
      </w:pPr>
      <w:r>
        <w:rPr>
          <w:rFonts w:ascii="Arial" w:cs="Arial" w:eastAsia="Arial" w:hAnsi="Arial"/>
          <w:sz w:val="15"/>
          <w:szCs w:val="15"/>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Comerica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ING Financial Markets LLC</w:t>
      </w:r>
    </w:p>
    <w:p>
      <w:pPr>
        <w:spacing w:after="0" w:line="200" w:lineRule="exact"/>
        <w:rPr>
          <w:sz w:val="20"/>
          <w:szCs w:val="20"/>
          <w:color w:val="auto"/>
        </w:rPr>
      </w:pPr>
    </w:p>
    <w:p>
      <w:pPr>
        <w:sectPr>
          <w:pgSz w:w="11900" w:h="16838" w:orient="portrait"/>
          <w:cols w:equalWidth="0" w:num="2">
            <w:col w:w="3180" w:space="720"/>
            <w:col w:w="7520"/>
          </w:cols>
          <w:pgMar w:left="240" w:top="382" w:right="239" w:bottom="1440" w:gutter="0" w:footer="0" w:header="0"/>
          <w:type w:val="continuous"/>
        </w:sectPr>
      </w:pPr>
    </w:p>
    <w:p>
      <w:pPr>
        <w:spacing w:after="0" w:line="32"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b w:val="1"/>
          <w:bCs w:val="1"/>
          <w:color w:val="auto"/>
        </w:rPr>
        <w:t>Investors are advised to carefully consider the investment objective, risks, charges and expenses of PennantPark Investment Corporation before investing. The Preliminary Prospectus, which has been filed with the Securities and Exchange Commission, contains this and other information about PennantPark Investment Corporation and should be read carefully before investing.</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the Preliminary Prospectus and in this pricing term sheet is not complete and may be changed. The Preliminary Prospectus and this pricing term sheet are not offers to sell any securities of PennantPark Investment Corporation and are not soliciting an offer to buy such securities in any state where such offer and sale is not permitted.</w:t>
      </w:r>
    </w:p>
    <w:p>
      <w:pPr>
        <w:spacing w:after="0" w:line="177"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b w:val="1"/>
          <w:bCs w:val="1"/>
          <w:color w:val="auto"/>
        </w:rPr>
        <w:t>A shelf registration statement relating to these securities is on file with and has been declared effective by the Securities and Exchange Commission. The offering may be made only by means of a preliminary prospectus supplement and an accompanying prospectus. Copies of the Preliminary Prospectus may be obtained from .P. Morgan Securities LLC,</w:t>
      </w:r>
    </w:p>
    <w:p>
      <w:pPr>
        <w:spacing w:after="0" w:line="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b w:val="1"/>
          <w:bCs w:val="1"/>
          <w:color w:val="auto"/>
        </w:rPr>
        <w:t>c/o Broadridge Financial Solutions, 1155 Long Island Avenue, Edgewood, NY 11717 or by calling toll-free (866) 803-9204, Goldman, Sachs &amp; Co., Prospectus Department, 200 West Street, New York, NY 10282, telephone: 1-866-471-2526, facsimile: 212-902-9316 or by emailing prospectus-ny@ny.email.gs.com, Morgan Stanley &amp; Co. LLC, Attention: Prospectus Department, 180 Varick Street, 2nd Floor, New York, NY 10014, telephone:</w:t>
      </w:r>
    </w:p>
    <w:p>
      <w:pPr>
        <w:spacing w:after="0" w:line="2" w:lineRule="exact"/>
        <w:rPr>
          <w:sz w:val="20"/>
          <w:szCs w:val="20"/>
          <w:color w:val="auto"/>
        </w:rPr>
      </w:pPr>
    </w:p>
    <w:p>
      <w:pPr>
        <w:ind w:left="440" w:hanging="432"/>
        <w:spacing w:after="0"/>
        <w:tabs>
          <w:tab w:leader="none" w:pos="44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718-1649, or SunTrust Robinson Humphrey, Inc., Attention: Prospectus Department, 3333 Peachtree Road, NE, Atlanta, GA 30326, telephone:</w:t>
      </w:r>
    </w:p>
    <w:p>
      <w:pPr>
        <w:spacing w:after="0" w:line="32" w:lineRule="exact"/>
        <w:rPr>
          <w:rFonts w:ascii="Arial" w:cs="Arial" w:eastAsia="Arial" w:hAnsi="Arial"/>
          <w:sz w:val="16"/>
          <w:szCs w:val="16"/>
          <w:b w:val="1"/>
          <w:bCs w:val="1"/>
          <w:color w:val="auto"/>
        </w:rPr>
      </w:pPr>
    </w:p>
    <w:p>
      <w:pPr>
        <w:ind w:left="440" w:hanging="432"/>
        <w:spacing w:after="0"/>
        <w:tabs>
          <w:tab w:leader="none" w:pos="4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926-5744 or by emailing prospectus@rhco.com.</w:t>
      </w:r>
    </w:p>
    <w:p>
      <w:pPr>
        <w:sectPr>
          <w:pgSz w:w="11900" w:h="16838" w:orient="portrait"/>
          <w:cols w:equalWidth="0" w:num="1">
            <w:col w:w="11420"/>
          </w:cols>
          <w:pgMar w:left="240" w:top="382" w:right="23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(l)(4)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5531485" cy="4546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3148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23,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Re:</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w w:val="90"/>
              </w:rPr>
              <w:t>Registration Statement on Form N-2:</w:t>
            </w:r>
          </w:p>
        </w:tc>
      </w:tr>
      <w:tr>
        <w:trPr>
          <w:trHeight w:val="190"/>
        </w:trPr>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2"/>
          </w:tcPr>
          <w:p>
            <w:pPr>
              <w:spacing w:after="0" w:line="190" w:lineRule="exact"/>
              <w:rPr>
                <w:sz w:val="20"/>
                <w:szCs w:val="20"/>
                <w:color w:val="auto"/>
              </w:rPr>
            </w:pPr>
            <w:r>
              <w:rPr>
                <w:rFonts w:ascii="Arial" w:cs="Arial" w:eastAsia="Arial" w:hAnsi="Arial"/>
                <w:sz w:val="18"/>
                <w:szCs w:val="18"/>
                <w:color w:val="auto"/>
              </w:rPr>
              <w:t>File No.: 333-192782</w:t>
            </w:r>
          </w:p>
        </w:tc>
      </w:tr>
      <w:tr>
        <w:trPr>
          <w:trHeight w:val="20"/>
        </w:trPr>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We have served as Maryland counsel to PennantPark Investment Corporation, a Maryland corporation (the “Company”) and a business development company under the Investment Company Act of 1940, as amended (the “1940 Act”), in connection with certain matters of Maryland law arising out of the registration by the Company of $250,000,000 aggregate principal amount of the Company’s 4.50% Notes due 2019 (the “Notes”), covered by the above-referenced Registration Statement, and all amendments thereto (the “Registration Statement”), filed by the Company with the United States Securities and Exchange Commission (the “Commission”) under the Securities Act of 1933, as amended (the “1933 Act”).</w:t>
      </w:r>
    </w:p>
    <w:p>
      <w:pPr>
        <w:spacing w:after="0" w:line="173"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47" w:lineRule="exact"/>
        <w:rPr>
          <w:sz w:val="20"/>
          <w:szCs w:val="20"/>
          <w:color w:val="auto"/>
        </w:rPr>
      </w:pPr>
    </w:p>
    <w:p>
      <w:pPr>
        <w:ind w:right="340" w:firstLine="921"/>
        <w:spacing w:after="0" w:line="277" w:lineRule="auto"/>
        <w:tabs>
          <w:tab w:leader="none" w:pos="109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 substantially in the form in which it was transmitted to the Commission under the 1933 Act;</w:t>
      </w:r>
    </w:p>
    <w:p>
      <w:pPr>
        <w:spacing w:after="0" w:line="170" w:lineRule="exact"/>
        <w:rPr>
          <w:rFonts w:ascii="Arial" w:cs="Arial" w:eastAsia="Arial" w:hAnsi="Arial"/>
          <w:sz w:val="18"/>
          <w:szCs w:val="18"/>
          <w:color w:val="auto"/>
        </w:rPr>
      </w:pPr>
    </w:p>
    <w:p>
      <w:pPr>
        <w:ind w:left="1100" w:hanging="179"/>
        <w:spacing w:after="0"/>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charter of the Company, certified by the State Department of Assessments and Taxation of Maryland (the “SDAT”);</w:t>
      </w:r>
    </w:p>
    <w:p>
      <w:pPr>
        <w:spacing w:after="0" w:line="225" w:lineRule="exact"/>
        <w:rPr>
          <w:rFonts w:ascii="Arial" w:cs="Arial" w:eastAsia="Arial" w:hAnsi="Arial"/>
          <w:sz w:val="18"/>
          <w:szCs w:val="18"/>
          <w:color w:val="auto"/>
        </w:rPr>
      </w:pPr>
    </w:p>
    <w:p>
      <w:pPr>
        <w:ind w:left="1100" w:hanging="179"/>
        <w:spacing w:after="0"/>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Bylaws of the Company, certified as of the date hereof by an officer of the Company;</w:t>
      </w:r>
    </w:p>
    <w:p>
      <w:pPr>
        <w:spacing w:after="0" w:line="225" w:lineRule="exact"/>
        <w:rPr>
          <w:rFonts w:ascii="Arial" w:cs="Arial" w:eastAsia="Arial" w:hAnsi="Arial"/>
          <w:sz w:val="18"/>
          <w:szCs w:val="18"/>
          <w:color w:val="auto"/>
        </w:rPr>
      </w:pPr>
    </w:p>
    <w:p>
      <w:pPr>
        <w:ind w:left="1100" w:hanging="179"/>
        <w:spacing w:after="0"/>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pacing w:after="0" w:line="225" w:lineRule="exact"/>
        <w:rPr>
          <w:rFonts w:ascii="Arial" w:cs="Arial" w:eastAsia="Arial" w:hAnsi="Arial"/>
          <w:sz w:val="18"/>
          <w:szCs w:val="18"/>
          <w:color w:val="auto"/>
        </w:rPr>
      </w:pPr>
    </w:p>
    <w:p>
      <w:pPr>
        <w:jc w:val="both"/>
        <w:ind w:right="220" w:firstLine="921"/>
        <w:spacing w:after="0" w:line="342" w:lineRule="auto"/>
        <w:tabs>
          <w:tab w:leader="none" w:pos="1093"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Resolutions (the “Resolutions”) adopted by the Board of Directors of the Company, and a duly authorized committee thereof, relating to the authorization of the filing of the Registration Statement and the sale and issuance of the Notes, certified as of the date hereof by an officer of the Company;</w:t>
      </w:r>
    </w:p>
    <w:p>
      <w:pPr>
        <w:spacing w:after="0" w:line="123" w:lineRule="exact"/>
        <w:rPr>
          <w:rFonts w:ascii="Arial" w:cs="Arial" w:eastAsia="Arial" w:hAnsi="Arial"/>
          <w:sz w:val="16"/>
          <w:szCs w:val="16"/>
          <w:color w:val="auto"/>
        </w:rPr>
      </w:pPr>
    </w:p>
    <w:p>
      <w:pPr>
        <w:ind w:left="1100" w:hanging="179"/>
        <w:spacing w:after="0"/>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ectPr>
          <w:pgSz w:w="11900" w:h="16838" w:orient="portrait"/>
          <w:cols w:equalWidth="0" w:num="1">
            <w:col w:w="11420"/>
          </w:cols>
          <w:pgMar w:left="240" w:top="12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680720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34795" cy="411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534795" cy="411480"/>
                    </a:xfrm>
                    <a:prstGeom prst="rect">
                      <a:avLst/>
                    </a:prstGeom>
                    <a:noFill/>
                  </pic:spPr>
                </pic:pic>
              </a:graphicData>
            </a:graphic>
          </wp:anchor>
        </w:drawing>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760" w:firstLine="921"/>
        <w:spacing w:after="0" w:line="277" w:lineRule="auto"/>
        <w:tabs>
          <w:tab w:leader="none" w:pos="1093"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225" w:lineRule="exact"/>
        <w:rPr>
          <w:sz w:val="20"/>
          <w:szCs w:val="20"/>
          <w:color w:val="auto"/>
        </w:rPr>
      </w:pPr>
    </w:p>
    <w:p>
      <w:pPr>
        <w:ind w:left="1100" w:hanging="179"/>
        <w:spacing w:after="0"/>
        <w:tabs>
          <w:tab w:leader="none" w:pos="11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individual executing any of the Documents, whether on behalf of such individual or any other person, is legally competent to do so.</w:t>
      </w:r>
    </w:p>
    <w:p>
      <w:pPr>
        <w:spacing w:after="0" w:line="236" w:lineRule="exact"/>
        <w:rPr>
          <w:rFonts w:ascii="Arial" w:cs="Arial" w:eastAsia="Arial" w:hAnsi="Arial"/>
          <w:sz w:val="17"/>
          <w:szCs w:val="17"/>
          <w:color w:val="auto"/>
        </w:rPr>
      </w:pPr>
    </w:p>
    <w:p>
      <w:pPr>
        <w:ind w:left="1100" w:hanging="179"/>
        <w:spacing w:after="0"/>
        <w:tabs>
          <w:tab w:leader="none" w:pos="11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225" w:lineRule="exact"/>
        <w:rPr>
          <w:rFonts w:ascii="Arial" w:cs="Arial" w:eastAsia="Arial" w:hAnsi="Arial"/>
          <w:sz w:val="18"/>
          <w:szCs w:val="18"/>
          <w:color w:val="auto"/>
        </w:rPr>
      </w:pPr>
    </w:p>
    <w:p>
      <w:pPr>
        <w:ind w:right="300" w:firstLine="921"/>
        <w:spacing w:after="0" w:line="264" w:lineRule="auto"/>
        <w:tabs>
          <w:tab w:leader="none" w:pos="1093"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81" w:lineRule="exact"/>
        <w:rPr>
          <w:rFonts w:ascii="Arial" w:cs="Arial" w:eastAsia="Arial" w:hAnsi="Arial"/>
          <w:sz w:val="18"/>
          <w:szCs w:val="18"/>
          <w:color w:val="auto"/>
        </w:rPr>
      </w:pPr>
    </w:p>
    <w:p>
      <w:pPr>
        <w:ind w:right="80" w:firstLine="921"/>
        <w:spacing w:after="0" w:line="255" w:lineRule="auto"/>
        <w:tabs>
          <w:tab w:leader="none" w:pos="1093"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225" w:lineRule="exact"/>
        <w:rPr>
          <w:sz w:val="20"/>
          <w:szCs w:val="20"/>
          <w:color w:val="auto"/>
        </w:rPr>
      </w:pPr>
    </w:p>
    <w:p>
      <w:pPr>
        <w:ind w:right="40" w:firstLine="921"/>
        <w:spacing w:after="0" w:line="277" w:lineRule="auto"/>
        <w:tabs>
          <w:tab w:leader="none" w:pos="109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pacing w:after="0" w:line="170" w:lineRule="exact"/>
        <w:rPr>
          <w:rFonts w:ascii="Arial" w:cs="Arial" w:eastAsia="Arial" w:hAnsi="Arial"/>
          <w:sz w:val="18"/>
          <w:szCs w:val="18"/>
          <w:color w:val="auto"/>
        </w:rPr>
      </w:pPr>
    </w:p>
    <w:p>
      <w:pPr>
        <w:ind w:right="320" w:firstLine="921"/>
        <w:spacing w:after="0" w:line="277" w:lineRule="auto"/>
        <w:tabs>
          <w:tab w:leader="none" w:pos="109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issuance of the Notes has been duly authorized and, when and if issued and delivered against payment therefor in accordance with the Resolutions, the Notes will be validly issued.</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foregoing opinion is limited to the laws of the State of Maryland and we do not express any opinion herein concerning any other law. We express no opinion as to compliance with federal or state securities laws, including the securities laws of the State of Maryland, or the 1940 Act. To the extent that any matter as to which our opinion is expressed herein would be governed by the laws of any jurisdiction other than the State of Maryland, we do not express any opinion on such matter.</w:t>
      </w:r>
    </w:p>
    <w:p>
      <w:pPr>
        <w:sectPr>
          <w:pgSz w:w="11900" w:h="16838" w:orient="portrait"/>
          <w:cols w:equalWidth="0" w:num="1">
            <w:col w:w="11380"/>
          </w:cols>
          <w:pgMar w:left="240" w:top="1111" w:right="27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680720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34795"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534795" cy="411480"/>
                    </a:xfrm>
                    <a:prstGeom prst="rect">
                      <a:avLst/>
                    </a:prstGeom>
                    <a:noFill/>
                  </pic:spPr>
                </pic:pic>
              </a:graphicData>
            </a:graphic>
          </wp:anchor>
        </w:drawing>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Venable LLP</w:t>
      </w:r>
    </w:p>
    <w:p>
      <w:pPr>
        <w:sectPr>
          <w:pgSz w:w="11900" w:h="16838" w:orient="portrait"/>
          <w:cols w:equalWidth="0" w:num="1">
            <w:col w:w="11380"/>
          </w:cols>
          <w:pgMar w:left="240" w:top="1111" w:right="27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(l)(5)</w:t>
      </w:r>
    </w:p>
    <w:p>
      <w:pPr>
        <w:spacing w:after="0" w:line="25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1900 K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191895" cy="411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91895" cy="41148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Washington, DC 20006-1110</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+1 202 261 3300 Main</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+1 202 261 3333 Fax</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142875</wp:posOffset>
            </wp:positionV>
            <wp:extent cx="18097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N-2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have acted as counsel to PennantPark Investment Corporation,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of a Registration Statement on Form N-2 (Registration No. 333-192782) as originally filed on December 11, 2013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under the Investment Company Act of 1940, as amended (the “</w:t>
      </w:r>
      <w:r>
        <w:rPr>
          <w:rFonts w:ascii="Arial" w:cs="Arial" w:eastAsia="Arial" w:hAnsi="Arial"/>
          <w:sz w:val="16"/>
          <w:szCs w:val="16"/>
          <w:u w:val="single" w:color="auto"/>
          <w:color w:val="auto"/>
        </w:rPr>
        <w:t>Investment Company Act</w:t>
      </w:r>
      <w:r>
        <w:rPr>
          <w:rFonts w:ascii="Arial" w:cs="Arial" w:eastAsia="Arial" w:hAnsi="Arial"/>
          <w:sz w:val="16"/>
          <w:szCs w:val="16"/>
          <w:color w:val="auto"/>
        </w:rPr>
        <w:t>”), and as subsequently amended on September 8, 2014 and September 23, 2014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relating to the proposed issuance by the Company of $250,000,000 aggregate principal amount of 4.50% notes due 2019 (the “</w:t>
      </w:r>
      <w:r>
        <w:rPr>
          <w:rFonts w:ascii="Arial" w:cs="Arial" w:eastAsia="Arial" w:hAnsi="Arial"/>
          <w:sz w:val="16"/>
          <w:szCs w:val="16"/>
          <w:u w:val="single" w:color="auto"/>
          <w:color w:val="auto"/>
        </w:rPr>
        <w:t>Notes</w:t>
      </w:r>
      <w:r>
        <w:rPr>
          <w:rFonts w:ascii="Arial" w:cs="Arial" w:eastAsia="Arial" w:hAnsi="Arial"/>
          <w:sz w:val="16"/>
          <w:szCs w:val="16"/>
          <w:color w:val="auto"/>
        </w:rPr>
        <w:t>”) to be sold to underwriters pursuant to an underwriting agreement substantially in the form filed as Exhibit (h)(5) to the Registration Statement (the “</w:t>
      </w:r>
      <w:r>
        <w:rPr>
          <w:rFonts w:ascii="Arial" w:cs="Arial" w:eastAsia="Arial" w:hAnsi="Arial"/>
          <w:sz w:val="16"/>
          <w:szCs w:val="16"/>
          <w:u w:val="single" w:color="auto"/>
          <w:color w:val="auto"/>
        </w:rPr>
        <w:t>Underwriting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This opinion letter is being furnished to the Company in accordance with the requirements of Item 25 of Form N-2 under the Investment Company Act, and no opinion is expressed herein as to any matter other than as to the legality of Indenture and the Notes.</w:t>
      </w:r>
    </w:p>
    <w:p>
      <w:pPr>
        <w:spacing w:after="0" w:line="166"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Notes are to be issued pursuant to the indenture dated as of January 22, 2013 (the “</w:t>
      </w:r>
      <w:r>
        <w:rPr>
          <w:rFonts w:ascii="Arial" w:cs="Arial" w:eastAsia="Arial" w:hAnsi="Arial"/>
          <w:sz w:val="17"/>
          <w:szCs w:val="17"/>
          <w:u w:val="single" w:color="auto"/>
          <w:color w:val="auto"/>
        </w:rPr>
        <w:t>Base Indenture</w:t>
      </w:r>
      <w:r>
        <w:rPr>
          <w:rFonts w:ascii="Arial" w:cs="Arial" w:eastAsia="Arial" w:hAnsi="Arial"/>
          <w:sz w:val="17"/>
          <w:szCs w:val="17"/>
          <w:color w:val="auto"/>
        </w:rPr>
        <w:t>”), between the Company and American Stock Transfer &amp; Trust Company, LLC,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as supplemented by the second supplemental indenture dated as of September 23, 2014 (the “</w:t>
      </w:r>
      <w:r>
        <w:rPr>
          <w:rFonts w:ascii="Arial" w:cs="Arial" w:eastAsia="Arial" w:hAnsi="Arial"/>
          <w:sz w:val="17"/>
          <w:szCs w:val="17"/>
          <w:u w:val="single" w:color="auto"/>
          <w:color w:val="auto"/>
        </w:rPr>
        <w:t>Second Supplemental Indenture</w:t>
      </w:r>
      <w:r>
        <w:rPr>
          <w:rFonts w:ascii="Arial" w:cs="Arial" w:eastAsia="Arial" w:hAnsi="Arial"/>
          <w:sz w:val="17"/>
          <w:szCs w:val="17"/>
          <w:color w:val="auto"/>
        </w:rPr>
        <w:t>” and, together with the Base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between the Company and the Trustee.</w:t>
      </w:r>
    </w:p>
    <w:p>
      <w:pPr>
        <w:spacing w:after="0" w:line="16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rendering the opinion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rendering this opinion, including the following documents:</w:t>
      </w:r>
    </w:p>
    <w:p>
      <w:pPr>
        <w:spacing w:after="0" w:line="92"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Underwriting Agreement;</w:t>
      </w:r>
    </w:p>
    <w:p>
      <w:pPr>
        <w:sectPr>
          <w:pgSz w:w="11900" w:h="16838" w:orient="portrait"/>
          <w:cols w:equalWidth="0" w:num="1">
            <w:col w:w="11420"/>
          </w:cols>
          <w:pgMar w:left="240" w:top="121" w:right="239" w:bottom="1440" w:gutter="0" w:footer="0" w:header="0"/>
        </w:sectPr>
      </w:pPr>
    </w:p>
    <w:bookmarkStart w:id="70" w:name="page71"/>
    <w:bookmarkEnd w:id="70"/>
    <w:p>
      <w:pPr>
        <w:ind w:left="8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191895"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91895" cy="41148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Page 2</w:t>
      </w:r>
    </w:p>
    <w:p>
      <w:pPr>
        <w:spacing w:after="0" w:line="359"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specimen copy of the form of the Notes to be issued pursuant to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Certificate of Incorporation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Bylaws of the Company;</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certificate of good standing with respect to the Company issued by the State Department of Assessments and Taxation of Maryland as of a recent date;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resolutions of the board of directors of the Company relating to, among other things, the authorization and issuance of the Notes.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to the facts upon which this opinion is based, we have relied, to the extent we deem proper, upon certificates of public officials and certificates and written statements of officers, directors, employees and representatives of the Company.</w:t>
      </w:r>
    </w:p>
    <w:p>
      <w:pPr>
        <w:spacing w:after="0" w:line="170"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In our examination, we have assumed the genuineness of all signatures, the authenticity of all documents submitted to us as original documents and the conformity to original documents of all documents submitted to us as copies. In addition, we have assumed (i) the legal capacity of natural persons and (ii) the legal power and authority of all persons signing on behalf of the parties to all documents (other than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subject to the assumptions and qualifications set forth in this letter, we are of the opinion that:</w:t>
      </w:r>
    </w:p>
    <w:p>
      <w:pPr>
        <w:spacing w:after="0" w:line="131" w:lineRule="exact"/>
        <w:rPr>
          <w:sz w:val="20"/>
          <w:szCs w:val="20"/>
          <w:color w:val="auto"/>
        </w:rPr>
      </w:pPr>
    </w:p>
    <w:p>
      <w:pPr>
        <w:ind w:left="900" w:hanging="446"/>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When the Indenture is duly authorized, executed and delivered by the Company and qualified under the Trust Indenture Act of 1939, as amended, the Indenture will constitute the valid and legally binding obligation of the Company, enforceable against the Company in accordance with its terms.</w:t>
      </w:r>
    </w:p>
    <w:p>
      <w:pPr>
        <w:spacing w:after="0" w:line="86" w:lineRule="exact"/>
        <w:rPr>
          <w:rFonts w:ascii="Arial" w:cs="Arial" w:eastAsia="Arial" w:hAnsi="Arial"/>
          <w:sz w:val="18"/>
          <w:szCs w:val="18"/>
          <w:color w:val="auto"/>
        </w:rPr>
      </w:pPr>
    </w:p>
    <w:p>
      <w:pPr>
        <w:ind w:left="900" w:right="200" w:hanging="446"/>
        <w:spacing w:after="0" w:line="286"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When duly executed by the Company and authenticated by the Trustee in accordance with the terms of the Indenture and delivered to the Underwriters against payment therefor in accordance with the terms of the Underwriting Agreement, the Notes will constitute valid and legally binding obligations of the Company, enforceable against the Company in accordance with their terms.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opinions set forth herein are subject to the following assumptions, qualifications, limitations and exceptions being true and correct at or before the time of the Notes:</w:t>
      </w:r>
    </w:p>
    <w:p>
      <w:pPr>
        <w:spacing w:after="0" w:line="76"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in good standing under the laws of the State of Maryland;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Indenture and the Notes have been duly authorized, executed and delivered by each party thereto (other than the Company);</w:t>
      </w:r>
    </w:p>
    <w:p>
      <w:pPr>
        <w:sectPr>
          <w:pgSz w:w="11900" w:h="16838" w:orient="portrait"/>
          <w:cols w:equalWidth="0" w:num="1">
            <w:col w:w="11400"/>
          </w:cols>
          <w:pgMar w:left="240" w:top="274" w:right="259" w:bottom="1440" w:gutter="0" w:footer="0" w:header="0"/>
        </w:sectPr>
      </w:pPr>
    </w:p>
    <w:bookmarkStart w:id="71" w:name="page72"/>
    <w:bookmarkEnd w:id="71"/>
    <w:p>
      <w:pPr>
        <w:ind w:left="8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September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191895" cy="411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91895" cy="41148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Page 3</w:t>
      </w:r>
    </w:p>
    <w:p>
      <w:pPr>
        <w:spacing w:after="0" w:line="359"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final terms of the Notes have been duly established and approved by all necessary corporate action on the part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terms of the Notes as established comply with the requirements of the Investment Company Act of 1940, as amended;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Notes have been duly executed by the Company and authenticated by the Trustee in accordance with the Indenture and delivered to and paid for by the purchasers thereof.</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 and (iii) an implied covenant of good faith and fair dealing.</w:t>
      </w:r>
    </w:p>
    <w:p>
      <w:pPr>
        <w:spacing w:after="0" w:line="19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herein are limited to the federal laws of the United States of America and the laws of the State of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assume no obligation to advise you of any changes in the foregoing subsequent to the date of this opinion.</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hereby consent to the filing of this opinion as an exhibit to the Registration Statement and to the reference to this firm under the caption “Legal Matters” in the prospectus which forms a part of the Registration Statement. In giving such consent, we do not thereby admit that we are in the category of persons whose consent is required under Section 7 of the Securities Act or the rules and regulations of the Commission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Dechert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decimal"/>
      <w:start w:val="590"/>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1"/>
      <w:numFmt w:val="bullet"/>
      <w:start w:val="1"/>
    </w:lvl>
  </w:abstractNum>
  <w:abstractNum w:abstractNumId="4">
    <w:nsid w:val="6DE91B18"/>
    <w:multiLevelType w:val="hybridMultilevel"/>
    <w:lvl w:ilvl="0">
      <w:lvlJc w:val="left"/>
      <w:lvlText w:val="2"/>
      <w:numFmt w:val="bullet"/>
      <w:start w:val="1"/>
    </w:lvl>
    <w:lvl w:ilvl="1">
      <w:lvlJc w:val="left"/>
      <w:lvlText w:val="(%2)"/>
      <w:numFmt w:val="lowerLetter"/>
      <w:start w:val="1"/>
    </w:lvl>
  </w:abstractNum>
  <w:abstractNum w:abstractNumId="5">
    <w:nsid w:val="38437FDB"/>
    <w:multiLevelType w:val="hybridMultilevel"/>
    <w:lvl w:ilvl="0">
      <w:lvlJc w:val="left"/>
      <w:lvlText w:val="&amp;"/>
      <w:numFmt w:val="bullet"/>
      <w:start w:val="1"/>
    </w:lvl>
  </w:abstractNum>
  <w:abstractNum w:abstractNumId="6">
    <w:nsid w:val="7644A45C"/>
    <w:multiLevelType w:val="hybridMultilevel"/>
    <w:lvl w:ilvl="0">
      <w:lvlJc w:val="left"/>
      <w:lvlText w:val="(%1)"/>
      <w:numFmt w:val="lowerLetter"/>
      <w:start w:val="5"/>
    </w:lvl>
  </w:abstractNum>
  <w:abstractNum w:abstractNumId="7">
    <w:nsid w:val="32FFF902"/>
    <w:multiLevelType w:val="hybridMultilevel"/>
    <w:lvl w:ilvl="0">
      <w:lvlJc w:val="left"/>
      <w:lvlText w:val="(%1)"/>
      <w:numFmt w:val="lowerLetter"/>
      <w:start w:val="7"/>
    </w:lvl>
  </w:abstractNum>
  <w:abstractNum w:abstractNumId="8">
    <w:nsid w:val="684A481A"/>
    <w:multiLevelType w:val="hybridMultilevel"/>
    <w:lvl w:ilvl="0">
      <w:lvlJc w:val="left"/>
      <w:lvlText w:val="(%1)"/>
      <w:numFmt w:val="lowerLetter"/>
      <w:start w:val="10"/>
    </w:lvl>
  </w:abstractNum>
  <w:abstractNum w:abstractNumId="9">
    <w:nsid w:val="579478FE"/>
    <w:multiLevelType w:val="hybridMultilevel"/>
    <w:lvl w:ilvl="0">
      <w:lvlJc w:val="left"/>
      <w:lvlText w:val="(%1)"/>
      <w:numFmt w:val="lowerLetter"/>
      <w:start w:val="18"/>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1."/>
      <w:numFmt w:val="decimal"/>
      <w:start w:val="1"/>
    </w:lvl>
  </w:abstractNum>
  <w:abstractNum w:abstractNumId="12">
    <w:nsid w:val="1BA026FA"/>
    <w:multiLevelType w:val="hybridMultilevel"/>
    <w:lvl w:ilvl="0">
      <w:lvlJc w:val="left"/>
      <w:lvlText w:val="(%1)"/>
      <w:numFmt w:val="decimal"/>
      <w:start w:val="1"/>
    </w:lvl>
  </w:abstractNum>
  <w:abstractNum w:abstractNumId="13">
    <w:nsid w:val="79A1DEAA"/>
    <w:multiLevelType w:val="hybridMultilevel"/>
    <w:lvl w:ilvl="0">
      <w:lvlJc w:val="left"/>
      <w:lvlText w:val="(%1)"/>
      <w:numFmt w:val="decimal"/>
      <w:start w:val="1"/>
    </w:lvl>
  </w:abstractNum>
  <w:abstractNum w:abstractNumId="14">
    <w:nsid w:val="75C6C33A"/>
    <w:multiLevelType w:val="hybridMultilevel"/>
    <w:lvl w:ilvl="0">
      <w:lvlJc w:val="left"/>
      <w:lvlText w:val="(%1)"/>
      <w:numFmt w:val="decimal"/>
      <w:start w:val="2"/>
    </w:lvl>
  </w:abstractNum>
  <w:abstractNum w:abstractNumId="15">
    <w:nsid w:val="12E685FB"/>
    <w:multiLevelType w:val="hybridMultilevel"/>
    <w:lvl w:ilvl="0">
      <w:lvlJc w:val="left"/>
      <w:lvlText w:val="(%1)"/>
      <w:numFmt w:val="lowerRoman"/>
      <w:start w:val="1"/>
    </w:lvl>
  </w:abstractNum>
  <w:abstractNum w:abstractNumId="16">
    <w:nsid w:val="70C6A529"/>
    <w:multiLevelType w:val="hybridMultilevel"/>
    <w:lvl w:ilvl="0">
      <w:lvlJc w:val="left"/>
      <w:lvlText w:val="(%1)"/>
      <w:numFmt w:val="lowerLetter"/>
      <w:start w:val="2"/>
    </w:lvl>
  </w:abstractNum>
  <w:abstractNum w:abstractNumId="17">
    <w:nsid w:val="520EEDD1"/>
    <w:multiLevelType w:val="hybridMultilevel"/>
    <w:lvl w:ilvl="0">
      <w:lvlJc w:val="left"/>
      <w:lvlText w:val="(%1)"/>
      <w:numFmt w:val="lowerRoman"/>
      <w:start w:val="1"/>
    </w:lvl>
  </w:abstractNum>
  <w:abstractNum w:abstractNumId="18">
    <w:nsid w:val="374A3FE6"/>
    <w:multiLevelType w:val="hybridMultilevel"/>
    <w:lvl w:ilvl="0">
      <w:lvlJc w:val="left"/>
      <w:lvlText w:val="(%1)"/>
      <w:numFmt w:val="lowerRoman"/>
      <w:start w:val="2"/>
    </w:lvl>
  </w:abstractNum>
  <w:abstractNum w:abstractNumId="19">
    <w:nsid w:val="4F4EF005"/>
    <w:multiLevelType w:val="hybridMultilevel"/>
    <w:lvl w:ilvl="0">
      <w:lvlJc w:val="left"/>
      <w:lvlText w:val="%1"/>
      <w:numFmt w:val="lowerLetter"/>
      <w:start w:val="1"/>
    </w:lvl>
    <w:lvl w:ilvl="1">
      <w:lvlJc w:val="left"/>
      <w:lvlText w:val="(%2)"/>
      <w:numFmt w:val="lowerLetter"/>
      <w:start w:val="7"/>
    </w:lvl>
  </w:abstractNum>
  <w:abstractNum w:abstractNumId="20">
    <w:nsid w:val="23F9C13C"/>
    <w:multiLevelType w:val="hybridMultilevel"/>
    <w:lvl w:ilvl="0">
      <w:lvlJc w:val="left"/>
      <w:lvlText w:val="(%1)"/>
      <w:numFmt w:val="lowerLetter"/>
      <w:start w:val="1"/>
    </w:lvl>
    <w:lvl w:ilvl="1">
      <w:lvlJc w:val="left"/>
      <w:lvlText w:val="%2"/>
      <w:numFmt w:val="lowerLetter"/>
      <w:start w:val="1"/>
    </w:lvl>
  </w:abstractNum>
  <w:abstractNum w:abstractNumId="21">
    <w:nsid w:val="649BB77C"/>
    <w:multiLevelType w:val="hybridMultilevel"/>
    <w:lvl w:ilvl="0">
      <w:lvlJc w:val="left"/>
      <w:lvlText w:val="(%1)"/>
      <w:numFmt w:val="lowerLetter"/>
      <w:start w:val="2"/>
    </w:lvl>
  </w:abstractNum>
  <w:abstractNum w:abstractNumId="22">
    <w:nsid w:val="275AC794"/>
    <w:multiLevelType w:val="hybridMultilevel"/>
    <w:lvl w:ilvl="0">
      <w:lvlJc w:val="left"/>
      <w:lvlText w:val="(%1)"/>
      <w:numFmt w:val="decimal"/>
      <w:start w:val="6"/>
    </w:lvl>
  </w:abstractNum>
  <w:abstractNum w:abstractNumId="23">
    <w:nsid w:val="39386575"/>
    <w:multiLevelType w:val="hybridMultilevel"/>
    <w:lvl w:ilvl="0">
      <w:lvlJc w:val="left"/>
      <w:lvlText w:val="(%1)"/>
      <w:numFmt w:val="lowerLetter"/>
      <w:start w:val="1"/>
    </w:lvl>
  </w:abstractNum>
  <w:abstractNum w:abstractNumId="24">
    <w:nsid w:val="1CF10FD8"/>
    <w:multiLevelType w:val="hybridMultilevel"/>
    <w:lvl w:ilvl="0">
      <w:lvlJc w:val="left"/>
      <w:lvlText w:val="(%1)"/>
      <w:numFmt w:val="lowerLetter"/>
      <w:start w:val="7"/>
    </w:lvl>
  </w:abstractNum>
  <w:abstractNum w:abstractNumId="25">
    <w:nsid w:val="180115BE"/>
    <w:multiLevelType w:val="hybridMultilevel"/>
    <w:lvl w:ilvl="0">
      <w:lvlJc w:val="left"/>
      <w:lvlText w:val="(%1)"/>
      <w:numFmt w:val="lowerLetter"/>
      <w:start w:val="8"/>
    </w:lvl>
    <w:lvl w:ilvl="1">
      <w:lvlJc w:val="left"/>
      <w:lvlText w:val="(%2)"/>
      <w:numFmt w:val="lowerRoman"/>
      <w:start w:val="1"/>
    </w:lvl>
    <w:lvl w:ilvl="2">
      <w:lvlJc w:val="left"/>
      <w:lvlText w:val="(%3)"/>
      <w:numFmt w:val="decimal"/>
      <w:start w:val="1"/>
    </w:lvl>
  </w:abstractNum>
  <w:abstractNum w:abstractNumId="26">
    <w:nsid w:val="235BA861"/>
    <w:multiLevelType w:val="hybridMultilevel"/>
    <w:lvl w:ilvl="0">
      <w:lvlJc w:val="left"/>
      <w:lvlText w:val="(%1)"/>
      <w:numFmt w:val="lowerRoman"/>
      <w:start w:val="2"/>
    </w:lvl>
  </w:abstractNum>
  <w:abstractNum w:abstractNumId="27">
    <w:nsid w:val="47398C89"/>
    <w:multiLevelType w:val="hybridMultilevel"/>
    <w:lvl w:ilvl="0">
      <w:lvlJc w:val="left"/>
      <w:lvlText w:val="%1"/>
      <w:numFmt w:val="lowerLetter"/>
      <w:start w:val="1"/>
    </w:lvl>
    <w:lvl w:ilvl="1">
      <w:lvlJc w:val="left"/>
      <w:lvlText w:val="(%2)"/>
      <w:numFmt w:val="lowerRoman"/>
      <w:start w:val="4"/>
    </w:lvl>
  </w:abstractNum>
  <w:abstractNum w:abstractNumId="28">
    <w:nsid w:val="354FE9F9"/>
    <w:multiLevelType w:val="hybridMultilevel"/>
    <w:lvl w:ilvl="0">
      <w:lvlJc w:val="left"/>
      <w:lvlText w:val="(%1)"/>
      <w:numFmt w:val="lowerLetter"/>
      <w:start w:val="9"/>
    </w:lvl>
    <w:lvl w:ilvl="1">
      <w:lvlJc w:val="left"/>
      <w:lvlText w:val="%2"/>
      <w:numFmt w:val="lowerRoman"/>
      <w:start w:val="1"/>
    </w:lvl>
  </w:abstractNum>
  <w:abstractNum w:abstractNumId="29">
    <w:nsid w:val="15B5AF5C"/>
    <w:multiLevelType w:val="hybridMultilevel"/>
    <w:lvl w:ilvl="0">
      <w:lvlJc w:val="left"/>
      <w:lvlText w:val="(%1)"/>
      <w:numFmt w:val="lowerRoman"/>
      <w:start w:val="1"/>
    </w:lvl>
  </w:abstractNum>
  <w:abstractNum w:abstractNumId="30">
    <w:nsid w:val="741226BB"/>
    <w:multiLevelType w:val="hybridMultilevel"/>
    <w:lvl w:ilvl="0">
      <w:lvlJc w:val="left"/>
      <w:lvlText w:val="(%1)"/>
      <w:numFmt w:val="decimal"/>
      <w:start w:val="1"/>
    </w:lvl>
  </w:abstractNum>
  <w:abstractNum w:abstractNumId="31">
    <w:nsid w:val="D34B6A8"/>
    <w:multiLevelType w:val="hybridMultilevel"/>
    <w:lvl w:ilvl="0">
      <w:lvlJc w:val="left"/>
      <w:lvlText w:val="(%1)"/>
      <w:numFmt w:val="decimal"/>
      <w:start w:val="1"/>
    </w:lvl>
  </w:abstractNum>
  <w:abstractNum w:abstractNumId="32">
    <w:nsid w:val="10233C99"/>
    <w:multiLevelType w:val="hybridMultilevel"/>
    <w:lvl w:ilvl="0">
      <w:lvlJc w:val="left"/>
      <w:lvlText w:val="(%1)"/>
      <w:numFmt w:val="decimal"/>
      <w:start w:val="3"/>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1."/>
      <w:numFmt w:val="decimal"/>
      <w:start w:val="3"/>
    </w:lvl>
  </w:abstractNum>
  <w:abstractNum w:abstractNumId="36">
    <w:nsid w:val="77AE35EB"/>
    <w:multiLevelType w:val="hybridMultilevel"/>
    <w:lvl w:ilvl="0">
      <w:lvlJc w:val="left"/>
      <w:lvlText w:val="(%1)"/>
      <w:numFmt w:val="lowerLetter"/>
      <w:start w:val="1"/>
    </w:lvl>
  </w:abstractNum>
  <w:abstractNum w:abstractNumId="37">
    <w:nsid w:val="579BE4F1"/>
    <w:multiLevelType w:val="hybridMultilevel"/>
    <w:lvl w:ilvl="0">
      <w:lvlJc w:val="left"/>
      <w:lvlText w:val="(%1)"/>
      <w:numFmt w:val="lowerLetter"/>
      <w:start w:val="2"/>
    </w:lvl>
  </w:abstractNum>
  <w:abstractNum w:abstractNumId="38">
    <w:nsid w:val="310C50B3"/>
    <w:multiLevelType w:val="hybridMultilevel"/>
    <w:lvl w:ilvl="0">
      <w:lvlJc w:val="left"/>
      <w:lvlText w:val="(%1)"/>
      <w:numFmt w:val="lowerLetter"/>
      <w:start w:val="3"/>
    </w:lvl>
  </w:abstractNum>
  <w:abstractNum w:abstractNumId="39">
    <w:nsid w:val="5FF87E05"/>
    <w:multiLevelType w:val="hybridMultilevel"/>
    <w:lvl w:ilvl="0">
      <w:lvlJc w:val="left"/>
      <w:lvlText w:val="%1"/>
      <w:numFmt w:val="lowerLetter"/>
      <w:start w:val="1"/>
    </w:lvl>
    <w:lvl w:ilvl="1">
      <w:lvlJc w:val="left"/>
      <w:lvlText w:val="(%2)"/>
      <w:numFmt w:val="lowerLetter"/>
      <w:start w:val="8"/>
    </w:lvl>
  </w:abstractNum>
  <w:abstractNum w:abstractNumId="40">
    <w:nsid w:val="2F305DEF"/>
    <w:multiLevelType w:val="hybridMultilevel"/>
    <w:lvl w:ilvl="0">
      <w:lvlJc w:val="left"/>
      <w:lvlText w:val="(%1)"/>
      <w:numFmt w:val="lowerLetter"/>
      <w:start w:val="35"/>
    </w:lvl>
    <w:lvl w:ilvl="1">
      <w:lvlJc w:val="left"/>
      <w:lvlText w:val="%2"/>
      <w:numFmt w:val="lowerLetter"/>
      <w:start w:val="1"/>
    </w:lvl>
  </w:abstractNum>
  <w:abstractNum w:abstractNumId="41">
    <w:nsid w:val="25A70BF7"/>
    <w:multiLevelType w:val="hybridMultilevel"/>
    <w:lvl w:ilvl="0">
      <w:lvlJc w:val="left"/>
      <w:lvlText w:val="(%1)"/>
      <w:numFmt w:val="lowerLetter"/>
      <w:start w:val="11"/>
    </w:lvl>
  </w:abstractNum>
  <w:abstractNum w:abstractNumId="42">
    <w:nsid w:val="1DBABF00"/>
    <w:multiLevelType w:val="hybridMultilevel"/>
    <w:lvl w:ilvl="0">
      <w:lvlJc w:val="left"/>
      <w:lvlText w:val="(%1)"/>
      <w:numFmt w:val="lowerLetter"/>
      <w:start w:val="17"/>
    </w:lvl>
  </w:abstractNum>
  <w:abstractNum w:abstractNumId="43">
    <w:nsid w:val="4AD084E9"/>
    <w:multiLevelType w:val="hybridMultilevel"/>
    <w:lvl w:ilvl="0">
      <w:lvlJc w:val="left"/>
      <w:lvlText w:val="(%1)"/>
      <w:numFmt w:val="lowerLetter"/>
      <w:start w:val="22"/>
    </w:lvl>
  </w:abstractNum>
  <w:abstractNum w:abstractNumId="44">
    <w:nsid w:val="1F48EAA1"/>
    <w:multiLevelType w:val="hybridMultilevel"/>
    <w:lvl w:ilvl="0">
      <w:lvlJc w:val="left"/>
      <w:lvlText w:val="(%1)"/>
      <w:numFmt w:val="lowerLetter"/>
      <w:start w:val="27"/>
    </w:lvl>
  </w:abstractNum>
  <w:abstractNum w:abstractNumId="45">
    <w:nsid w:val="1381823A"/>
    <w:multiLevelType w:val="hybridMultilevel"/>
    <w:lvl w:ilvl="0">
      <w:lvlJc w:val="left"/>
      <w:lvlText w:val="(%1)"/>
      <w:numFmt w:val="lowerLetter"/>
      <w:start w:val="36"/>
    </w:lvl>
  </w:abstractNum>
  <w:abstractNum w:abstractNumId="46">
    <w:nsid w:val="5DB70AE5"/>
    <w:multiLevelType w:val="hybridMultilevel"/>
    <w:lvl w:ilvl="0">
      <w:lvlJc w:val="left"/>
      <w:lvlText w:val="%1."/>
      <w:numFmt w:val="decimal"/>
      <w:start w:val="4"/>
    </w:lvl>
  </w:abstractNum>
  <w:abstractNum w:abstractNumId="47">
    <w:nsid w:val="100F8FCA"/>
    <w:multiLevelType w:val="hybridMultilevel"/>
    <w:lvl w:ilvl="0">
      <w:lvlJc w:val="left"/>
      <w:lvlText w:val="(%1)"/>
      <w:numFmt w:val="lowerLetter"/>
      <w:start w:val="1"/>
    </w:lvl>
  </w:abstractNum>
  <w:abstractNum w:abstractNumId="48">
    <w:nsid w:val="6590700B"/>
    <w:multiLevelType w:val="hybridMultilevel"/>
    <w:lvl w:ilvl="0">
      <w:lvlJc w:val="left"/>
      <w:lvlText w:val="(%1)"/>
      <w:numFmt w:val="lowerLetter"/>
      <w:start w:val="61"/>
    </w:lvl>
    <w:lvl w:ilvl="1">
      <w:lvlJc w:val="left"/>
      <w:lvlText w:val="(%2)"/>
      <w:numFmt w:val="lowerLetter"/>
      <w:start w:val="5"/>
    </w:lvl>
  </w:abstractNum>
  <w:abstractNum w:abstractNumId="49">
    <w:nsid w:val="15014ACB"/>
    <w:multiLevelType w:val="hybridMultilevel"/>
    <w:lvl w:ilvl="0">
      <w:lvlJc w:val="left"/>
      <w:lvlText w:val="(%1)"/>
      <w:numFmt w:val="lowerLetter"/>
      <w:start w:val="61"/>
    </w:lvl>
    <w:lvl w:ilvl="1">
      <w:lvlJc w:val="left"/>
      <w:lvlText w:val="(%2)"/>
      <w:numFmt w:val="lowerLetter"/>
      <w:start w:val="6"/>
    </w:lvl>
  </w:abstractNum>
  <w:abstractNum w:abstractNumId="50">
    <w:nsid w:val="5F5E7FD0"/>
    <w:multiLevelType w:val="hybridMultilevel"/>
    <w:lvl w:ilvl="0">
      <w:lvlJc w:val="left"/>
      <w:lvlText w:val="(%1)"/>
      <w:numFmt w:val="lowerLetter"/>
      <w:start w:val="8"/>
    </w:lvl>
  </w:abstractNum>
  <w:abstractNum w:abstractNumId="51">
    <w:nsid w:val="98A3148"/>
    <w:multiLevelType w:val="hybridMultilevel"/>
    <w:lvl w:ilvl="0">
      <w:lvlJc w:val="left"/>
      <w:lvlText w:val="(%1)"/>
      <w:numFmt w:val="lowerLetter"/>
      <w:start w:val="15"/>
    </w:lvl>
  </w:abstractNum>
  <w:abstractNum w:abstractNumId="52">
    <w:nsid w:val="799D0247"/>
    <w:multiLevelType w:val="hybridMultilevel"/>
    <w:lvl w:ilvl="0">
      <w:lvlJc w:val="left"/>
      <w:lvlText w:val="%1."/>
      <w:numFmt w:val="decimal"/>
      <w:start w:val="5"/>
    </w:lvl>
  </w:abstractNum>
  <w:abstractNum w:abstractNumId="53">
    <w:nsid w:val="6B94764"/>
    <w:multiLevelType w:val="hybridMultilevel"/>
    <w:lvl w:ilvl="0">
      <w:lvlJc w:val="left"/>
      <w:lvlText w:val="(%1)"/>
      <w:numFmt w:val="lowerLetter"/>
      <w:start w:val="1"/>
    </w:lvl>
  </w:abstractNum>
  <w:abstractNum w:abstractNumId="54">
    <w:nsid w:val="42C296BD"/>
    <w:multiLevelType w:val="hybridMultilevel"/>
    <w:lvl w:ilvl="0">
      <w:lvlJc w:val="left"/>
      <w:lvlText w:val="(%1)"/>
      <w:numFmt w:val="decimal"/>
      <w:start w:val="3"/>
    </w:lvl>
    <w:lvl w:ilvl="1">
      <w:lvlJc w:val="left"/>
      <w:lvlText w:val="(%2)"/>
      <w:numFmt w:val="lowerLetter"/>
      <w:start w:val="3"/>
    </w:lvl>
  </w:abstractNum>
  <w:abstractNum w:abstractNumId="55">
    <w:nsid w:val="168E121F"/>
    <w:multiLevelType w:val="hybridMultilevel"/>
    <w:lvl w:ilvl="0">
      <w:lvlJc w:val="left"/>
      <w:lvlText w:val="(%1)"/>
      <w:numFmt w:val="lowerLetter"/>
      <w:start w:val="7"/>
    </w:lvl>
  </w:abstractNum>
  <w:abstractNum w:abstractNumId="56">
    <w:nsid w:val="1EBA5D23"/>
    <w:multiLevelType w:val="hybridMultilevel"/>
    <w:lvl w:ilvl="0">
      <w:lvlJc w:val="left"/>
      <w:lvlText w:val="%1"/>
      <w:numFmt w:val="lowerRoman"/>
      <w:start w:val="1"/>
    </w:lvl>
    <w:lvl w:ilvl="1">
      <w:lvlJc w:val="left"/>
      <w:lvlText w:val="(%2)"/>
      <w:numFmt w:val="lowerLetter"/>
      <w:start w:val="15"/>
    </w:lvl>
  </w:abstractNum>
  <w:abstractNum w:abstractNumId="57">
    <w:nsid w:val="661E3F1E"/>
    <w:multiLevelType w:val="hybridMultilevel"/>
    <w:lvl w:ilvl="0">
      <w:lvlJc w:val="left"/>
      <w:lvlText w:val="(%1)"/>
      <w:numFmt w:val="lowerRoman"/>
      <w:start w:val="9"/>
    </w:lvl>
    <w:lvl w:ilvl="1">
      <w:lvlJc w:val="left"/>
      <w:lvlText w:val="(%2)"/>
      <w:numFmt w:val="lowerLetter"/>
      <w:start w:val="16"/>
    </w:lvl>
  </w:abstractNum>
  <w:abstractNum w:abstractNumId="58">
    <w:nsid w:val="5DC79EA8"/>
    <w:multiLevelType w:val="hybridMultilevel"/>
    <w:lvl w:ilvl="0">
      <w:lvlJc w:val="left"/>
      <w:lvlText w:val="%1."/>
      <w:numFmt w:val="decimal"/>
      <w:start w:val="6"/>
    </w:lvl>
  </w:abstractNum>
  <w:abstractNum w:abstractNumId="59">
    <w:nsid w:val="540A471C"/>
    <w:multiLevelType w:val="hybridMultilevel"/>
    <w:lvl w:ilvl="0">
      <w:lvlJc w:val="left"/>
      <w:lvlText w:val="(%1)"/>
      <w:numFmt w:val="lowerLetter"/>
      <w:start w:val="1"/>
    </w:lvl>
  </w:abstractNum>
  <w:abstractNum w:abstractNumId="60">
    <w:nsid w:val="7BD3EE7B"/>
    <w:multiLevelType w:val="hybridMultilevel"/>
    <w:lvl w:ilvl="0">
      <w:lvlJc w:val="left"/>
      <w:lvlText w:val="(%1)"/>
      <w:numFmt w:val="lowerLetter"/>
      <w:start w:val="7"/>
    </w:lvl>
  </w:abstractNum>
  <w:abstractNum w:abstractNumId="61">
    <w:nsid w:val="51D9C564"/>
    <w:multiLevelType w:val="hybridMultilevel"/>
    <w:lvl w:ilvl="0">
      <w:lvlJc w:val="left"/>
      <w:lvlText w:val="%1"/>
      <w:numFmt w:val="lowerRoman"/>
      <w:start w:val="1"/>
    </w:lvl>
    <w:lvl w:ilvl="1">
      <w:lvlJc w:val="left"/>
      <w:lvlText w:val="%2."/>
      <w:numFmt w:val="decimal"/>
      <w:start w:val="7"/>
    </w:lvl>
  </w:abstractNum>
  <w:abstractNum w:abstractNumId="62">
    <w:nsid w:val="613EFDC5"/>
    <w:multiLevelType w:val="hybridMultilevel"/>
    <w:lvl w:ilvl="0">
      <w:lvlJc w:val="left"/>
      <w:lvlText w:val="(%1)"/>
      <w:numFmt w:val="lowerRoman"/>
      <w:start w:val="5"/>
    </w:lvl>
    <w:lvl w:ilvl="1">
      <w:lvlJc w:val="left"/>
      <w:lvlText w:val="%2"/>
      <w:numFmt w:val="decimal"/>
      <w:start w:val="1"/>
    </w:lvl>
  </w:abstractNum>
  <w:abstractNum w:abstractNumId="63">
    <w:nsid w:val="BF72B14"/>
    <w:multiLevelType w:val="hybridMultilevel"/>
    <w:lvl w:ilvl="0">
      <w:lvlJc w:val="left"/>
      <w:lvlText w:val="%1."/>
      <w:numFmt w:val="decimal"/>
      <w:start w:val="8"/>
    </w:lvl>
  </w:abstractNum>
  <w:abstractNum w:abstractNumId="64">
    <w:nsid w:val="11447B73"/>
    <w:multiLevelType w:val="hybridMultilevel"/>
    <w:lvl w:ilvl="0">
      <w:lvlJc w:val="left"/>
      <w:lvlText w:val="%1."/>
      <w:numFmt w:val="decimal"/>
      <w:start w:val="9"/>
    </w:lvl>
  </w:abstractNum>
  <w:abstractNum w:abstractNumId="65">
    <w:nsid w:val="42963E5A"/>
    <w:multiLevelType w:val="hybridMultilevel"/>
    <w:lvl w:ilvl="0">
      <w:lvlJc w:val="left"/>
      <w:lvlText w:val="(%1)"/>
      <w:numFmt w:val="decimal"/>
      <w:start w:val="2"/>
    </w:lvl>
  </w:abstractNum>
  <w:abstractNum w:abstractNumId="66">
    <w:nsid w:val="A0382C5"/>
    <w:multiLevelType w:val="hybridMultilevel"/>
    <w:lvl w:ilvl="0">
      <w:lvlJc w:val="left"/>
      <w:lvlText w:val="(%1)"/>
      <w:numFmt w:val="decimal"/>
      <w:start w:val="3"/>
    </w:lvl>
  </w:abstractNum>
  <w:abstractNum w:abstractNumId="67">
    <w:nsid w:val="8F2B15E"/>
    <w:multiLevelType w:val="hybridMultilevel"/>
    <w:lvl w:ilvl="0">
      <w:lvlJc w:val="left"/>
      <w:lvlText w:val="(%1)"/>
      <w:numFmt w:val="lowerLetter"/>
      <w:start w:val="2"/>
    </w:lvl>
  </w:abstractNum>
  <w:abstractNum w:abstractNumId="68">
    <w:nsid w:val="1A32234B"/>
    <w:multiLevelType w:val="hybridMultilevel"/>
    <w:lvl w:ilvl="0">
      <w:lvlJc w:val="left"/>
      <w:lvlText w:val="%1"/>
      <w:numFmt w:val="lowerLetter"/>
      <w:start w:val="1"/>
    </w:lvl>
    <w:lvl w:ilvl="1">
      <w:lvlJc w:val="left"/>
      <w:lvlText w:val="(%2)"/>
      <w:numFmt w:val="lowerLetter"/>
      <w:start w:val="3"/>
    </w:lvl>
  </w:abstractNum>
  <w:abstractNum w:abstractNumId="69">
    <w:nsid w:val="3B0FD379"/>
    <w:multiLevelType w:val="hybridMultilevel"/>
    <w:lvl w:ilvl="0">
      <w:lvlJc w:val="left"/>
      <w:lvlText w:val="(%1)"/>
      <w:numFmt w:val="lowerLetter"/>
      <w:start w:val="9"/>
    </w:lvl>
    <w:lvl w:ilvl="1">
      <w:lvlJc w:val="left"/>
      <w:lvlText w:val="%2"/>
      <w:numFmt w:val="lowerLetter"/>
      <w:start w:val="1"/>
    </w:lvl>
  </w:abstractNum>
  <w:abstractNum w:abstractNumId="70">
    <w:nsid w:val="68EB2F63"/>
    <w:multiLevelType w:val="hybridMultilevel"/>
    <w:lvl w:ilvl="0">
      <w:lvlJc w:val="left"/>
      <w:lvlText w:val="(%1)"/>
      <w:numFmt w:val="lowerLetter"/>
      <w:start w:val="4"/>
    </w:lvl>
  </w:abstractNum>
  <w:abstractNum w:abstractNumId="71">
    <w:nsid w:val="4962813B"/>
    <w:multiLevelType w:val="hybridMultilevel"/>
    <w:lvl w:ilvl="0">
      <w:lvlJc w:val="left"/>
      <w:lvlText w:val="%1."/>
      <w:numFmt w:val="decimal"/>
      <w:start w:val="10"/>
    </w:lvl>
  </w:abstractNum>
  <w:abstractNum w:abstractNumId="72">
    <w:nsid w:val="60B6DF70"/>
    <w:multiLevelType w:val="hybridMultilevel"/>
    <w:lvl w:ilvl="0">
      <w:lvlJc w:val="left"/>
      <w:lvlText w:val="%1."/>
      <w:numFmt w:val="decimal"/>
      <w:start w:val="11"/>
    </w:lvl>
  </w:abstractNum>
  <w:abstractNum w:abstractNumId="73">
    <w:nsid w:val="6A5EE64"/>
    <w:multiLevelType w:val="hybridMultilevel"/>
    <w:lvl w:ilvl="0">
      <w:lvlJc w:val="left"/>
      <w:lvlText w:val="%1"/>
      <w:numFmt w:val="lowerRoman"/>
      <w:start w:val="1"/>
    </w:lvl>
    <w:lvl w:ilvl="1">
      <w:lvlJc w:val="left"/>
      <w:lvlText w:val="%2."/>
      <w:numFmt w:val="decimal"/>
      <w:start w:val="15"/>
    </w:lvl>
  </w:abstractNum>
  <w:abstractNum w:abstractNumId="74">
    <w:nsid w:val="14330624"/>
    <w:multiLevelType w:val="hybridMultilevel"/>
    <w:lvl w:ilvl="0">
      <w:lvlJc w:val="left"/>
      <w:lvlText w:val="(%1)"/>
      <w:numFmt w:val="lowerRoman"/>
      <w:start w:val="3"/>
    </w:lvl>
    <w:lvl w:ilvl="1">
      <w:lvlJc w:val="left"/>
      <w:lvlText w:val="%2"/>
      <w:numFmt w:val="decimal"/>
      <w:start w:val="1"/>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1."/>
      <w:numFmt w:val="decimal"/>
      <w:start w:val="1"/>
    </w:lvl>
  </w:abstractNum>
  <w:abstractNum w:abstractNumId="77">
    <w:nsid w:val="71EA1109"/>
    <w:multiLevelType w:val="hybridMultilevel"/>
    <w:lvl w:ilvl="0">
      <w:lvlJc w:val="left"/>
      <w:lvlText w:val="%1."/>
      <w:numFmt w:val="decimal"/>
      <w:start w:val="1"/>
    </w:lvl>
  </w:abstractNum>
  <w:abstractNum w:abstractNumId="78">
    <w:nsid w:val="100F59DC"/>
    <w:multiLevelType w:val="hybridMultilevel"/>
    <w:lvl w:ilvl="0">
      <w:lvlJc w:val="left"/>
      <w:lvlText w:val="(%1)"/>
      <w:numFmt w:val="decimal"/>
      <w:start w:val="866"/>
    </w:lvl>
  </w:abstractNum>
  <w:abstractNum w:abstractNumId="79">
    <w:nsid w:val="7FB7E0AA"/>
    <w:multiLevelType w:val="hybridMultilevel"/>
    <w:lvl w:ilvl="0">
      <w:lvlJc w:val="left"/>
      <w:lvlText w:val="(%1)"/>
      <w:numFmt w:val="decimal"/>
      <w:start w:val="404"/>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1."/>
      <w:numFmt w:val="decimal"/>
      <w:start w:val="7"/>
    </w:lvl>
  </w:abstractNum>
  <w:abstractNum w:abstractNumId="82">
    <w:nsid w:val="94211F2"/>
    <w:multiLevelType w:val="hybridMultilevel"/>
    <w:lvl w:ilvl="0">
      <w:lvlJc w:val="left"/>
      <w:lvlText w:val="%1."/>
      <w:numFmt w:val="decimal"/>
      <w:start w:val="1"/>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lowerRoman"/>
      <w:start w:val="1"/>
    </w:lvl>
  </w:abstractNum>
  <w:abstractNum w:abstractNumId="85">
    <w:nsid w:val="4C04A8AF"/>
    <w:multiLevelType w:val="hybridMultilevel"/>
    <w:lvl w:ilvl="0">
      <w:lvlJc w:val="left"/>
      <w:lvlText w:val="(%1)"/>
      <w:numFmt w:val="lowerRoman"/>
      <w:start w:val="3"/>
    </w:lvl>
  </w:abstractNum>
  <w:abstractNum w:abstractNumId="86">
    <w:nsid w:val="1716703B"/>
    <w:multiLevelType w:val="hybridMultilevel"/>
    <w:lvl w:ilvl="0">
      <w:lvlJc w:val="left"/>
      <w:lvlText w:val="%1."/>
      <w:numFmt w:val="decimal"/>
      <w:start w:val="1"/>
    </w:lvl>
  </w:abstractNum>
  <w:abstractNum w:abstractNumId="87">
    <w:nsid w:val="14E17E33"/>
    <w:multiLevelType w:val="hybridMultilevel"/>
    <w:lvl w:ilvl="0">
      <w:lvlJc w:val="left"/>
      <w:lvlText w:val="(%1)"/>
      <w:numFmt w:val="lowerRoman"/>
      <w:start w:val="1"/>
    </w:lvl>
  </w:abstractNum>
  <w:abstractNum w:abstractNumId="88">
    <w:nsid w:val="3222E7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2019-12-07T15:16:54Z</dcterms:created>
  <dcterms:modified xsi:type="dcterms:W3CDTF">2019-12-07T15:16:54Z</dcterms:modified>
</cp:coreProperties>
</file>