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42825.htm"/>
      <w:bookmarkStart w:id="1" w:name="ksf8k_0428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May 2,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May 2, 2025, PennantPark Investment Corporation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p>
    <w:p>
      <w:pPr>
        <w:pStyle w:val="TextBody"/>
        <w:bidi w:val="0"/>
        <w:jc w:val="left"/>
        <w:rPr>
          <w:sz w:val="20"/>
        </w:rPr>
      </w:pPr>
      <w:r>
        <w:rPr>
          <w:sz w:val="20"/>
        </w:rPr>
        <w:t>None</w:t>
      </w:r>
    </w:p>
    <w:p>
      <w:pPr>
        <w:pStyle w:val="TextBody"/>
        <w:bidi w:val="0"/>
        <w:spacing w:before="0" w:after="283"/>
        <w:jc w:val="left"/>
        <w:rPr/>
      </w:pPr>
      <w:r>
        <w:rPr>
          <w:rStyle w:val="StrongEmphasis"/>
          <w:sz w:val="20"/>
        </w:rPr>
        <w:t>(b) Pro forma financial information:</w:t>
      </w:r>
    </w:p>
    <w:p>
      <w:pPr>
        <w:pStyle w:val="TextBody"/>
        <w:bidi w:val="0"/>
        <w:jc w:val="left"/>
        <w:rPr>
          <w:sz w:val="20"/>
        </w:rPr>
      </w:pPr>
      <w:r>
        <w:rPr>
          <w:sz w:val="20"/>
        </w:rPr>
        <w:t>None</w:t>
      </w:r>
    </w:p>
    <w:p>
      <w:pPr>
        <w:pStyle w:val="TextBody"/>
        <w:bidi w:val="0"/>
        <w:spacing w:before="0" w:after="283"/>
        <w:jc w:val="left"/>
        <w:rPr/>
      </w:pPr>
      <w:r>
        <w:rPr>
          <w:rStyle w:val="StrongEmphasis"/>
          <w:sz w:val="20"/>
        </w:rPr>
        <w:t>(c) Shell company transactions:</w:t>
      </w:r>
    </w:p>
    <w:p>
      <w:pPr>
        <w:pStyle w:val="TextBody"/>
        <w:bidi w:val="0"/>
        <w:jc w:val="left"/>
        <w:rPr>
          <w:sz w:val="20"/>
        </w:rPr>
      </w:pPr>
      <w:r>
        <w:rPr>
          <w:sz w:val="20"/>
        </w:rPr>
        <w:t>None</w:t>
      </w:r>
    </w:p>
    <w:p>
      <w:pPr>
        <w:pStyle w:val="TextBody"/>
        <w:bidi w:val="0"/>
        <w:spacing w:before="0" w:after="283"/>
        <w:jc w:val="left"/>
        <w:rPr/>
      </w:pP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 xml:space="preserve">Press Release of PennantPark Investment Corporation Dated May 2, 2025 </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770" w:type="dxa"/>
        <w:jc w:val="left"/>
        <w:tblInd w:w="0" w:type="dxa"/>
        <w:tblLayout w:type="fixed"/>
        <w:tblCellMar>
          <w:top w:w="0" w:type="dxa"/>
          <w:left w:w="0" w:type="dxa"/>
          <w:bottom w:w="0" w:type="dxa"/>
          <w:right w:w="0" w:type="dxa"/>
        </w:tblCellMar>
      </w:tblPr>
      <w:tblGrid>
        <w:gridCol w:w="1535"/>
        <w:gridCol w:w="365"/>
        <w:gridCol w:w="2870"/>
      </w:tblGrid>
      <w:tr>
        <w:trPr/>
        <w:tc>
          <w:tcPr>
            <w:tcW w:w="153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May 2, 2025</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$0.08 per Share</w:t>
      </w:r>
    </w:p>
    <w:p>
      <w:pPr>
        <w:pStyle w:val="TextBody"/>
        <w:bidi w:val="0"/>
        <w:jc w:val="both"/>
        <w:rPr/>
      </w:pPr>
      <w:r>
        <w:rPr/>
        <w:t>MIAMI, May 02, 2025 (GLOBE NEWSWIRE) -- PennantPark Investment Corporation (the “Company”) (NYSE: PNNT) declares its monthly distribution for May 2025 of $0.08 per share, payable on June 2, 2025 to stockholders of record as of May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ABOUT PENNANTPARK INVESTMENT CORPORATION</w:t>
        <w:b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jc w:val="both"/>
        <w:rPr/>
      </w:pPr>
      <w:r>
        <w:rPr/>
        <w:t>ABOUT PENNANTPARK INVESTMENT ADVISERS, LLC</w:t>
        <w:br/>
        <w:t>PennantPark Investment Advisers, LLC is a leading middle market credit platform, managing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jc w:val="both"/>
        <w:rPr/>
      </w:pPr>
      <w:r>
        <w:rPr/>
        <w:t>FORWARD-LOOKING STATEMENTS</w:t>
        <w:b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1138</Words>
  <Characters>6634</Characters>
  <CharactersWithSpaces>7726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