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160020</wp:posOffset>
            </wp:positionV>
            <wp:extent cx="218567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567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CONTACT: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212-905-1000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u w:val="single" w:color="auto"/>
          <w:color w:val="auto"/>
        </w:rPr>
        <w:t>InvestorRelations@pennantpark.com</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 of $150 Million 4.50% Unsecured Notes Due 2026</w:t>
      </w:r>
    </w:p>
    <w:p>
      <w:pPr>
        <w:spacing w:after="0" w:line="22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 xml:space="preserve">NEW YORK, NY, April 14, 2021 — PennantPark Investment Corporation (the “Company”) (NASDAQ: PNNT) announced that it has priced an underwritten public offering of $150 million in aggregate principal amount of its 4.50% unsecured notes due 2026 (the “Notes”). The Notes will mature on May 1, 2026 and may be redeemed in whole or in part at the Company’s option at any time at par plus a “make-whole” premium, if applicable;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Notes may be redeemed at par three months prior to their maturity. The Notes will bear interest at a rate of 4.50% per year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semi-annually on May 1 and November 1 of each year, beginning November 1, 2021.</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The offering is expected to close on April 21, 2021, subject to customary closing conditions.</w:t>
      </w:r>
    </w:p>
    <w:p>
      <w:pPr>
        <w:spacing w:after="0" w:line="225"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Raymond James &amp; Associates, Inc., Keefe, Bruyette &amp; Woods, Inc., </w:t>
      </w:r>
      <w:r>
        <w:rPr>
          <w:rFonts w:ascii="Arial" w:cs="Arial" w:eastAsia="Arial" w:hAnsi="Arial"/>
          <w:sz w:val="18"/>
          <w:szCs w:val="18"/>
          <w:i w:val="1"/>
          <w:iCs w:val="1"/>
          <w:color w:val="auto"/>
        </w:rPr>
        <w:t>A Stifel Company</w:t>
      </w:r>
      <w:r>
        <w:rPr>
          <w:rFonts w:ascii="Arial" w:cs="Arial" w:eastAsia="Arial" w:hAnsi="Arial"/>
          <w:sz w:val="18"/>
          <w:szCs w:val="18"/>
          <w:color w:val="auto"/>
        </w:rPr>
        <w:t>, Truist Securities, Inc. and J.P. Morgan Securities LLC are acting as joint book-running managers for this offering. Compass Point Research &amp; Trading, LLC, JMP Securities LLC, Ladenburg Thalmann &amp; Co. Inc. and Capital One Securities, Inc. are acting as co-managers for this offering.</w:t>
      </w:r>
    </w:p>
    <w:p>
      <w:pPr>
        <w:spacing w:after="0" w:line="184"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Company expects to use the net proceeds from this offering to reduce outstanding obligations under its credit facility, to invest in new or existing portfolio companies or for other general corporate or strategic purposes.</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Company before investing. The pricing term sheet, dated April 14, 2021, the preliminary prospectus supplement, dated April 14, 2021, and the accompanying prospectus, dated January 30, 2020, each of which has been filed with the Securities and Exchange Commission (the “SEC”), contain this and other information about the Company and should be read carefully before investing.</w:t>
      </w:r>
    </w:p>
    <w:p>
      <w:pPr>
        <w:spacing w:after="0" w:line="180"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the Company and are not soliciting an offer to buy such securities in any state or jurisdiction where such offer and sale is not permitted.</w:t>
      </w:r>
    </w:p>
    <w:p>
      <w:pPr>
        <w:spacing w:after="0" w:line="180"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Company’s shelf registration statement is on file and has been declared effective by the SEC. The offering may be made only by means of a preliminary prospectus supplement and an accompanying prospectus.</w:t>
      </w:r>
    </w:p>
    <w:p>
      <w:pPr>
        <w:sectPr>
          <w:pgSz w:w="11900" w:h="16838" w:orient="portrait"/>
          <w:cols w:equalWidth="0" w:num="1">
            <w:col w:w="11020"/>
          </w:cols>
          <w:pgMar w:left="440" w:top="229" w:right="439" w:bottom="1440" w:gutter="0" w:footer="0" w:header="0"/>
        </w:sectPr>
      </w:pPr>
    </w:p>
    <w:bookmarkStart w:id="1" w:name="page2"/>
    <w:bookmarkEnd w:id="1"/>
    <w:p>
      <w:pPr>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Before you invest, you should read the prospectus in that registration statement, the preliminary prospectus supplement and other documents the Company has filed with the SEC for more complete information about the Company and this offering. You may get these documents for free by visiting EDGAR on the SEC website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xml:space="preserve">. </w:t>
      </w:r>
      <w:r>
        <w:rPr>
          <w:rFonts w:ascii="Arial" w:cs="Arial" w:eastAsia="Arial" w:hAnsi="Arial"/>
          <w:sz w:val="17"/>
          <w:szCs w:val="17"/>
          <w:color w:val="auto"/>
        </w:rPr>
        <w:t>Alternatively, you may obtain copies of the preliminary prospectus supplement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accompanying prospectus from: Raymond James &amp; Associates, Inc., 880 Carillon Parkway, St. Petersburg, FL 33716, email: prospectus@raymondjames.com, telephone: 800-248-8863; Keefe, Bruyette &amp; Woods, </w:t>
      </w:r>
      <w:r>
        <w:rPr>
          <w:rFonts w:ascii="Arial" w:cs="Arial" w:eastAsia="Arial" w:hAnsi="Arial"/>
          <w:sz w:val="17"/>
          <w:szCs w:val="17"/>
          <w:i w:val="1"/>
          <w:iCs w:val="1"/>
          <w:color w:val="auto"/>
        </w:rPr>
        <w:t>A Stifel Company</w:t>
      </w:r>
      <w:r>
        <w:rPr>
          <w:rFonts w:ascii="Arial" w:cs="Arial" w:eastAsia="Arial" w:hAnsi="Arial"/>
          <w:sz w:val="17"/>
          <w:szCs w:val="17"/>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 You are advised to obtain a copy of the prospectus supplement and accompanying prospectus and to carefully review the information contained or incorporated by reference therein before making any investment decision.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CORPORATION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2021-04-15T07:11:20Z</dcterms:created>
  <dcterms:modified xsi:type="dcterms:W3CDTF">2021-04-15T07:11:20Z</dcterms:modified>
</cp:coreProperties>
</file>