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7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6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February 4, 2025</w:t>
      </w:r>
    </w:p>
    <w:p>
      <w:pPr>
        <w:spacing w:after="0" w:line="19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1"/>
          <w:szCs w:val="31"/>
          <w:b w:val="1"/>
          <w:bCs w:val="1"/>
          <w:color w:val="auto"/>
        </w:rPr>
        <w:t>PennantPark Investment Corporation</w:t>
      </w:r>
    </w:p>
    <w:p>
      <w:pPr>
        <w:spacing w:after="0" w:line="3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5" w:lineRule="exact"/>
        <w:rPr>
          <w:sz w:val="24"/>
          <w:szCs w:val="24"/>
          <w:color w:val="auto"/>
        </w:rPr>
      </w:pPr>
    </w:p>
    <w:tbl>
      <w:tblPr>
        <w:tblLayout w:type="fixed"/>
        <w:tblInd w:w="780" w:type="dxa"/>
        <w:tblCellMar>
          <w:top w:w="0" w:type="dxa"/>
          <w:left w:w="0" w:type="dxa"/>
          <w:bottom w:w="0" w:type="dxa"/>
          <w:right w:w="0" w:type="dxa"/>
        </w:tblCellMar>
      </w:tblPr>
      <w:tr>
        <w:trPr>
          <w:trHeight w:val="163"/>
        </w:trPr>
        <w:tc>
          <w:tcPr>
            <w:tcW w:w="3820" w:type="dxa"/>
            <w:vAlign w:val="bottom"/>
          </w:tcPr>
          <w:p>
            <w:pPr>
              <w:jc w:val="center"/>
              <w:ind w:right="1535"/>
              <w:spacing w:after="0"/>
              <w:rPr>
                <w:sz w:val="20"/>
                <w:szCs w:val="20"/>
                <w:color w:val="auto"/>
              </w:rPr>
            </w:pPr>
            <w:r>
              <w:rPr>
                <w:rFonts w:ascii="Times New Roman" w:cs="Times New Roman" w:eastAsia="Times New Roman" w:hAnsi="Times New Roman"/>
                <w:sz w:val="14"/>
                <w:szCs w:val="14"/>
                <w:b w:val="1"/>
                <w:bCs w:val="1"/>
                <w:color w:val="auto"/>
              </w:rPr>
              <w:t>Maryland</w:t>
            </w:r>
          </w:p>
        </w:tc>
        <w:tc>
          <w:tcPr>
            <w:tcW w:w="2600" w:type="dxa"/>
            <w:vAlign w:val="bottom"/>
          </w:tcPr>
          <w:p>
            <w:pPr>
              <w:jc w:val="right"/>
              <w:ind w:right="1195"/>
              <w:spacing w:after="0"/>
              <w:rPr>
                <w:sz w:val="20"/>
                <w:szCs w:val="20"/>
                <w:color w:val="auto"/>
              </w:rPr>
            </w:pPr>
            <w:r>
              <w:rPr>
                <w:rFonts w:ascii="Times New Roman" w:cs="Times New Roman" w:eastAsia="Times New Roman" w:hAnsi="Times New Roman"/>
                <w:sz w:val="14"/>
                <w:szCs w:val="14"/>
                <w:b w:val="1"/>
                <w:bCs w:val="1"/>
                <w:color w:val="auto"/>
              </w:rPr>
              <w:t>814-00736</w:t>
            </w:r>
          </w:p>
        </w:tc>
        <w:tc>
          <w:tcPr>
            <w:tcW w:w="3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20-8250744</w:t>
            </w:r>
          </w:p>
        </w:tc>
      </w:tr>
      <w:tr>
        <w:trPr>
          <w:trHeight w:val="152"/>
        </w:trPr>
        <w:tc>
          <w:tcPr>
            <w:tcW w:w="3820" w:type="dxa"/>
            <w:vAlign w:val="bottom"/>
          </w:tcPr>
          <w:p>
            <w:pPr>
              <w:jc w:val="center"/>
              <w:ind w:right="1535"/>
              <w:spacing w:after="0"/>
              <w:rPr>
                <w:sz w:val="20"/>
                <w:szCs w:val="20"/>
                <w:color w:val="auto"/>
              </w:rPr>
            </w:pPr>
            <w:r>
              <w:rPr>
                <w:rFonts w:ascii="Times New Roman" w:cs="Times New Roman" w:eastAsia="Times New Roman" w:hAnsi="Times New Roman"/>
                <w:sz w:val="12"/>
                <w:szCs w:val="12"/>
                <w:b w:val="1"/>
                <w:bCs w:val="1"/>
                <w:color w:val="auto"/>
                <w:w w:val="97"/>
              </w:rPr>
              <w:t>(State or other jurisdiction of incorporation)</w:t>
            </w:r>
          </w:p>
        </w:tc>
        <w:tc>
          <w:tcPr>
            <w:tcW w:w="2600" w:type="dxa"/>
            <w:vAlign w:val="bottom"/>
          </w:tcPr>
          <w:p>
            <w:pPr>
              <w:jc w:val="center"/>
              <w:ind w:right="475"/>
              <w:spacing w:after="0"/>
              <w:rPr>
                <w:sz w:val="20"/>
                <w:szCs w:val="20"/>
                <w:color w:val="auto"/>
              </w:rPr>
            </w:pPr>
            <w:r>
              <w:rPr>
                <w:rFonts w:ascii="Times New Roman" w:cs="Times New Roman" w:eastAsia="Times New Roman" w:hAnsi="Times New Roman"/>
                <w:sz w:val="12"/>
                <w:szCs w:val="12"/>
                <w:b w:val="1"/>
                <w:bCs w:val="1"/>
                <w:color w:val="auto"/>
                <w:w w:val="96"/>
              </w:rPr>
              <w:t>(Commission File Number)</w:t>
            </w:r>
          </w:p>
        </w:tc>
        <w:tc>
          <w:tcPr>
            <w:tcW w:w="3020" w:type="dxa"/>
            <w:vAlign w:val="bottom"/>
          </w:tcPr>
          <w:p>
            <w:pPr>
              <w:jc w:val="center"/>
              <w:ind w:left="1251"/>
              <w:spacing w:after="0"/>
              <w:rPr>
                <w:sz w:val="20"/>
                <w:szCs w:val="20"/>
                <w:color w:val="auto"/>
              </w:rPr>
            </w:pPr>
            <w:r>
              <w:rPr>
                <w:rFonts w:ascii="Times New Roman" w:cs="Times New Roman" w:eastAsia="Times New Roman" w:hAnsi="Times New Roman"/>
                <w:sz w:val="12"/>
                <w:szCs w:val="12"/>
                <w:b w:val="1"/>
                <w:bCs w:val="1"/>
                <w:color w:val="auto"/>
                <w:w w:val="97"/>
              </w:rPr>
              <w:t>(IRS Employer Identification No.)</w:t>
            </w:r>
          </w:p>
        </w:tc>
      </w:tr>
      <w:tr>
        <w:trPr>
          <w:trHeight w:val="414"/>
        </w:trPr>
        <w:tc>
          <w:tcPr>
            <w:tcW w:w="3820" w:type="dxa"/>
            <w:vAlign w:val="bottom"/>
          </w:tcPr>
          <w:p>
            <w:pPr>
              <w:jc w:val="center"/>
              <w:ind w:left="175"/>
              <w:spacing w:after="0"/>
              <w:rPr>
                <w:sz w:val="20"/>
                <w:szCs w:val="20"/>
                <w:color w:val="auto"/>
              </w:rPr>
            </w:pPr>
            <w:r>
              <w:rPr>
                <w:rFonts w:ascii="Times New Roman" w:cs="Times New Roman" w:eastAsia="Times New Roman" w:hAnsi="Times New Roman"/>
                <w:sz w:val="14"/>
                <w:szCs w:val="14"/>
                <w:b w:val="1"/>
                <w:bCs w:val="1"/>
                <w:color w:val="auto"/>
              </w:rPr>
              <w:t>1691 Michigan Avenue, Miami Beach, Florida</w:t>
            </w:r>
          </w:p>
        </w:tc>
        <w:tc>
          <w:tcPr>
            <w:tcW w:w="2600" w:type="dxa"/>
            <w:vAlign w:val="bottom"/>
          </w:tcPr>
          <w:p>
            <w:pPr>
              <w:spacing w:after="0"/>
              <w:rPr>
                <w:sz w:val="24"/>
                <w:szCs w:val="24"/>
                <w:color w:val="auto"/>
              </w:rPr>
            </w:pPr>
          </w:p>
        </w:tc>
        <w:tc>
          <w:tcPr>
            <w:tcW w:w="3020" w:type="dxa"/>
            <w:vAlign w:val="bottom"/>
          </w:tcPr>
          <w:p>
            <w:pPr>
              <w:jc w:val="right"/>
              <w:ind w:right="1531"/>
              <w:spacing w:after="0"/>
              <w:rPr>
                <w:sz w:val="20"/>
                <w:szCs w:val="20"/>
                <w:color w:val="auto"/>
              </w:rPr>
            </w:pPr>
            <w:r>
              <w:rPr>
                <w:rFonts w:ascii="Times New Roman" w:cs="Times New Roman" w:eastAsia="Times New Roman" w:hAnsi="Times New Roman"/>
                <w:sz w:val="14"/>
                <w:szCs w:val="14"/>
                <w:b w:val="1"/>
                <w:bCs w:val="1"/>
                <w:color w:val="auto"/>
              </w:rPr>
              <w:t>33139</w:t>
            </w:r>
          </w:p>
        </w:tc>
      </w:tr>
      <w:tr>
        <w:trPr>
          <w:trHeight w:val="190"/>
        </w:trPr>
        <w:tc>
          <w:tcPr>
            <w:tcW w:w="3820" w:type="dxa"/>
            <w:vAlign w:val="bottom"/>
          </w:tcPr>
          <w:p>
            <w:pPr>
              <w:jc w:val="center"/>
              <w:ind w:left="175"/>
              <w:spacing w:after="0"/>
              <w:rPr>
                <w:sz w:val="20"/>
                <w:szCs w:val="20"/>
                <w:color w:val="auto"/>
              </w:rPr>
            </w:pPr>
            <w:r>
              <w:rPr>
                <w:rFonts w:ascii="Times New Roman" w:cs="Times New Roman" w:eastAsia="Times New Roman" w:hAnsi="Times New Roman"/>
                <w:sz w:val="12"/>
                <w:szCs w:val="12"/>
                <w:b w:val="1"/>
                <w:bCs w:val="1"/>
                <w:color w:val="auto"/>
                <w:w w:val="97"/>
              </w:rPr>
              <w:t>(Address of principal executive offices)</w:t>
            </w:r>
          </w:p>
        </w:tc>
        <w:tc>
          <w:tcPr>
            <w:tcW w:w="2600" w:type="dxa"/>
            <w:vAlign w:val="bottom"/>
          </w:tcPr>
          <w:p>
            <w:pPr>
              <w:spacing w:after="0"/>
              <w:rPr>
                <w:sz w:val="16"/>
                <w:szCs w:val="16"/>
                <w:color w:val="auto"/>
              </w:rPr>
            </w:pPr>
          </w:p>
        </w:tc>
        <w:tc>
          <w:tcPr>
            <w:tcW w:w="3020" w:type="dxa"/>
            <w:vAlign w:val="bottom"/>
          </w:tcPr>
          <w:p>
            <w:pPr>
              <w:jc w:val="center"/>
              <w:ind w:right="49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9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(786) 297-9500</w:t>
      </w:r>
    </w:p>
    <w:p>
      <w:pPr>
        <w:spacing w:after="0" w:line="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2"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69"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95" w:lineRule="exact"/>
        <w:rPr>
          <w:rFonts w:ascii="MS PGothic" w:cs="MS PGothic" w:eastAsia="MS PGothic" w:hAnsi="MS PGothic"/>
          <w:sz w:val="14"/>
          <w:szCs w:val="14"/>
          <w:color w:val="auto"/>
        </w:rPr>
      </w:pPr>
    </w:p>
    <w:p>
      <w:pPr>
        <w:ind w:left="480" w:hanging="459"/>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95" w:lineRule="exact"/>
        <w:rPr>
          <w:rFonts w:ascii="MS PGothic" w:cs="MS PGothic" w:eastAsia="MS PGothic" w:hAnsi="MS PGothic"/>
          <w:sz w:val="14"/>
          <w:szCs w:val="14"/>
          <w:color w:val="auto"/>
        </w:rPr>
      </w:pPr>
    </w:p>
    <w:p>
      <w:pPr>
        <w:ind w:left="480" w:hanging="459"/>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95" w:lineRule="exact"/>
        <w:rPr>
          <w:rFonts w:ascii="MS PGothic" w:cs="MS PGothic" w:eastAsia="MS PGothic" w:hAnsi="MS PGothic"/>
          <w:sz w:val="14"/>
          <w:szCs w:val="14"/>
          <w:color w:val="auto"/>
        </w:rPr>
      </w:pPr>
    </w:p>
    <w:p>
      <w:pPr>
        <w:ind w:left="480" w:hanging="459"/>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3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ectPr>
          <w:pgSz w:w="11900" w:h="16838" w:orient="portrait"/>
          <w:cols w:equalWidth="0" w:num="1">
            <w:col w:w="11160"/>
          </w:cols>
          <w:pgMar w:left="320" w:top="1258" w:right="419" w:bottom="1440" w:gutter="0" w:footer="0" w:header="0"/>
        </w:sectPr>
      </w:pPr>
    </w:p>
    <w:p>
      <w:pPr>
        <w:spacing w:after="0" w:line="134" w:lineRule="exact"/>
        <w:rPr>
          <w:sz w:val="24"/>
          <w:szCs w:val="24"/>
          <w:color w:val="auto"/>
        </w:rPr>
      </w:pPr>
    </w:p>
    <w:p>
      <w:pPr>
        <w:jc w:val="center"/>
        <w:ind w:left="12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6" w:lineRule="exact"/>
        <w:rPr>
          <w:sz w:val="24"/>
          <w:szCs w:val="24"/>
          <w:color w:val="auto"/>
        </w:rPr>
      </w:pPr>
    </w:p>
    <w:p>
      <w:pPr>
        <w:jc w:val="center"/>
        <w:ind w:left="120"/>
        <w:spacing w:after="0"/>
        <w:rPr>
          <w:sz w:val="20"/>
          <w:szCs w:val="20"/>
          <w:color w:val="auto"/>
        </w:rPr>
      </w:pPr>
      <w:r>
        <w:rPr>
          <w:rFonts w:ascii="Times New Roman" w:cs="Times New Roman" w:eastAsia="Times New Roman" w:hAnsi="Times New Roman"/>
          <w:sz w:val="14"/>
          <w:szCs w:val="14"/>
          <w:color w:val="auto"/>
        </w:rPr>
        <w:t>Common Stock, par value $0.001 per share</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6"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4"/>
          <w:szCs w:val="14"/>
          <w:color w:val="auto"/>
        </w:rPr>
        <w:t>PNNT</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6"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4"/>
          <w:szCs w:val="14"/>
          <w:color w:val="auto"/>
        </w:rPr>
        <w:t>The New York Stock Exchange</w:t>
      </w:r>
    </w:p>
    <w:p>
      <w:pPr>
        <w:spacing w:after="0" w:line="120" w:lineRule="exact"/>
        <w:rPr>
          <w:sz w:val="24"/>
          <w:szCs w:val="24"/>
          <w:color w:val="auto"/>
        </w:rPr>
      </w:pPr>
    </w:p>
    <w:p>
      <w:pPr>
        <w:sectPr>
          <w:pgSz w:w="11900" w:h="16838" w:orient="portrait"/>
          <w:cols w:equalWidth="0" w:num="3">
            <w:col w:w="4360" w:space="720"/>
            <w:col w:w="1820" w:space="720"/>
            <w:col w:w="3540"/>
          </w:cols>
          <w:pgMar w:left="320" w:top="1258" w:right="419" w:bottom="1440" w:gutter="0" w:footer="0" w:header="0"/>
          <w:type w:val="continuous"/>
        </w:sectPr>
      </w:pPr>
    </w:p>
    <w:p>
      <w:pPr>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(17 CFR § 230.405) or Rule 12b-2 of the Securities Exchange Act of 1934 (17 CFR § 240.12b-2).</w:t>
      </w:r>
    </w:p>
    <w:p>
      <w:pPr>
        <w:spacing w:after="0" w:line="7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81" w:lineRule="exact"/>
        <w:rPr>
          <w:sz w:val="24"/>
          <w:szCs w:val="24"/>
          <w:color w:val="auto"/>
        </w:rPr>
      </w:pPr>
    </w:p>
    <w:p>
      <w:pPr>
        <w:ind w:right="48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382905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8" w:right="419" w:bottom="1440" w:gutter="0" w:footer="0" w:header="0"/>
          <w:type w:val="continuous"/>
        </w:sectPr>
      </w:pPr>
    </w:p>
    <w:bookmarkStart w:id="1" w:name="page2"/>
    <w:bookmarkEnd w:id="1"/>
    <w:p>
      <w:pPr>
        <w:ind w:left="20"/>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4"/>
          <w:szCs w:val="14"/>
          <w:b w:val="1"/>
          <w:bCs w:val="1"/>
          <w:color w:val="auto"/>
        </w:rPr>
        <w:t>Submission of Matters to a Vote of Security Holders</w:t>
      </w:r>
    </w:p>
    <w:p>
      <w:pPr>
        <w:spacing w:after="0" w:line="71" w:lineRule="exact"/>
        <w:rPr>
          <w:sz w:val="20"/>
          <w:szCs w:val="20"/>
          <w:color w:val="auto"/>
        </w:rPr>
      </w:pPr>
    </w:p>
    <w:p>
      <w:pPr>
        <w:jc w:val="both"/>
        <w:ind w:right="200" w:firstLine="509"/>
        <w:spacing w:after="0" w:line="241" w:lineRule="auto"/>
        <w:rPr>
          <w:sz w:val="20"/>
          <w:szCs w:val="20"/>
          <w:color w:val="auto"/>
        </w:rPr>
      </w:pPr>
      <w:r>
        <w:rPr>
          <w:rFonts w:ascii="Times New Roman" w:cs="Times New Roman" w:eastAsia="Times New Roman" w:hAnsi="Times New Roman"/>
          <w:sz w:val="14"/>
          <w:szCs w:val="14"/>
          <w:color w:val="auto"/>
        </w:rPr>
        <w:t>On February 4, 2025, PennantPark Investment Corporation (the “Company”) held its annual meeting of stockholders (the “Annual Meeting”) and submitted two matters to the vote of stockholders. The proposals are described in detail in the Company’s definitive proxy statement filed with the Securities and Exchange Commission on December 11, 2024. As of December 4, 2024, the record date, 65,296,094 shares of common stock were eligible to vote. A summary of the matters voted upon by the stockholders is set forth below.</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Proposal 1. </w:t>
      </w:r>
      <w:r>
        <w:rPr>
          <w:rFonts w:ascii="Times New Roman" w:cs="Times New Roman" w:eastAsia="Times New Roman" w:hAnsi="Times New Roman"/>
          <w:sz w:val="14"/>
          <w:szCs w:val="14"/>
          <w:color w:val="auto"/>
        </w:rPr>
        <w:t>The Company’s stockholders elected two Class III directors of the Company, who will each serve until the 2028 Annual Meeting and until his successor is duly elected and qualifies.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gridSpan w:val="6"/>
          </w:tcPr>
          <w:p>
            <w:pPr>
              <w:ind w:left="520"/>
              <w:spacing w:after="0"/>
              <w:rPr>
                <w:sz w:val="20"/>
                <w:szCs w:val="20"/>
                <w:color w:val="auto"/>
              </w:rPr>
            </w:pPr>
            <w:r>
              <w:rPr>
                <w:rFonts w:ascii="Times New Roman" w:cs="Times New Roman" w:eastAsia="Times New Roman" w:hAnsi="Times New Roman"/>
                <w:sz w:val="14"/>
                <w:szCs w:val="14"/>
                <w:color w:val="auto"/>
              </w:rPr>
              <w:t>The voting results as of February 4, 2025, as certified by the inspector of election, are set forth below:</w:t>
            </w:r>
          </w:p>
        </w:tc>
        <w:tc>
          <w:tcPr>
            <w:tcW w:w="164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color w:val="auto"/>
              </w:rPr>
              <w:t>Abstain</w:t>
            </w:r>
          </w:p>
        </w:tc>
        <w:tc>
          <w:tcPr>
            <w:tcW w:w="420" w:type="dxa"/>
            <w:vAlign w:val="bottom"/>
            <w:vMerge w:val="restart"/>
          </w:tcPr>
          <w:p>
            <w:pPr>
              <w:spacing w:after="0"/>
              <w:rPr>
                <w:sz w:val="13"/>
                <w:szCs w:val="13"/>
                <w:color w:val="auto"/>
              </w:rPr>
            </w:pPr>
          </w:p>
        </w:tc>
        <w:tc>
          <w:tcPr>
            <w:tcW w:w="16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Broker Non-Vote</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280" w:type="dxa"/>
            <w:vAlign w:val="bottom"/>
          </w:tcPr>
          <w:p>
            <w:pPr>
              <w:spacing w:after="0"/>
              <w:rPr>
                <w:sz w:val="14"/>
                <w:szCs w:val="14"/>
                <w:color w:val="auto"/>
              </w:rPr>
            </w:pPr>
          </w:p>
        </w:tc>
        <w:tc>
          <w:tcPr>
            <w:tcW w:w="2040" w:type="dxa"/>
            <w:vAlign w:val="bottom"/>
            <w:tcBorders>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rPr>
              <w:t>For</w:t>
            </w:r>
          </w:p>
        </w:tc>
        <w:tc>
          <w:tcPr>
            <w:tcW w:w="420" w:type="dxa"/>
            <w:vAlign w:val="bottom"/>
          </w:tcPr>
          <w:p>
            <w:pPr>
              <w:spacing w:after="0"/>
              <w:rPr>
                <w:sz w:val="14"/>
                <w:szCs w:val="14"/>
                <w:color w:val="auto"/>
              </w:rPr>
            </w:pPr>
          </w:p>
        </w:tc>
        <w:tc>
          <w:tcPr>
            <w:tcW w:w="162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color w:val="auto"/>
              </w:rPr>
              <w:t>Against</w:t>
            </w:r>
          </w:p>
        </w:tc>
        <w:tc>
          <w:tcPr>
            <w:tcW w:w="420" w:type="dxa"/>
            <w:vAlign w:val="bottom"/>
          </w:tcPr>
          <w:p>
            <w:pPr>
              <w:spacing w:after="0"/>
              <w:rPr>
                <w:sz w:val="14"/>
                <w:szCs w:val="14"/>
                <w:color w:val="auto"/>
              </w:rPr>
            </w:pPr>
          </w:p>
        </w:tc>
        <w:tc>
          <w:tcPr>
            <w:tcW w:w="1640" w:type="dxa"/>
            <w:vAlign w:val="bottom"/>
            <w:tcBorders>
              <w:bottom w:val="single" w:sz="8" w:color="auto"/>
            </w:tcBorders>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6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60" w:type="dxa"/>
            <w:vAlign w:val="bottom"/>
            <w:shd w:val="clear" w:color="auto" w:fill="BDD7EE"/>
          </w:tcPr>
          <w:p>
            <w:pPr>
              <w:ind w:left="20"/>
              <w:spacing w:after="0" w:line="142" w:lineRule="exact"/>
              <w:rPr>
                <w:sz w:val="20"/>
                <w:szCs w:val="20"/>
                <w:color w:val="auto"/>
              </w:rPr>
            </w:pPr>
            <w:r>
              <w:rPr>
                <w:rFonts w:ascii="Times New Roman" w:cs="Times New Roman" w:eastAsia="Times New Roman" w:hAnsi="Times New Roman"/>
                <w:sz w:val="14"/>
                <w:szCs w:val="14"/>
                <w:color w:val="auto"/>
              </w:rPr>
              <w:t>Arthur H. Penn</w:t>
            </w:r>
          </w:p>
        </w:tc>
        <w:tc>
          <w:tcPr>
            <w:tcW w:w="2320" w:type="dxa"/>
            <w:vAlign w:val="bottom"/>
            <w:gridSpan w:val="2"/>
            <w:shd w:val="clear" w:color="auto" w:fill="BDD7EE"/>
          </w:tcPr>
          <w:p>
            <w:pPr>
              <w:jc w:val="right"/>
              <w:spacing w:after="0" w:line="142" w:lineRule="exact"/>
              <w:rPr>
                <w:sz w:val="20"/>
                <w:szCs w:val="20"/>
                <w:color w:val="auto"/>
              </w:rPr>
            </w:pPr>
            <w:r>
              <w:rPr>
                <w:rFonts w:ascii="Times New Roman" w:cs="Times New Roman" w:eastAsia="Times New Roman" w:hAnsi="Times New Roman"/>
                <w:sz w:val="14"/>
                <w:szCs w:val="14"/>
                <w:color w:val="auto"/>
              </w:rPr>
              <w:t>15,115,878</w:t>
            </w:r>
          </w:p>
        </w:tc>
        <w:tc>
          <w:tcPr>
            <w:tcW w:w="420" w:type="dxa"/>
            <w:vAlign w:val="bottom"/>
            <w:shd w:val="clear" w:color="auto" w:fill="BDD7EE"/>
          </w:tcPr>
          <w:p>
            <w:pPr>
              <w:spacing w:after="0"/>
              <w:rPr>
                <w:sz w:val="12"/>
                <w:szCs w:val="12"/>
                <w:color w:val="auto"/>
              </w:rPr>
            </w:pPr>
          </w:p>
        </w:tc>
        <w:tc>
          <w:tcPr>
            <w:tcW w:w="1620" w:type="dxa"/>
            <w:vAlign w:val="bottom"/>
            <w:shd w:val="clear" w:color="auto" w:fill="BDD7EE"/>
          </w:tcPr>
          <w:p>
            <w:pPr>
              <w:jc w:val="right"/>
              <w:spacing w:after="0" w:line="142" w:lineRule="exact"/>
              <w:rPr>
                <w:sz w:val="20"/>
                <w:szCs w:val="20"/>
                <w:color w:val="auto"/>
              </w:rPr>
            </w:pPr>
            <w:r>
              <w:rPr>
                <w:rFonts w:ascii="Times New Roman" w:cs="Times New Roman" w:eastAsia="Times New Roman" w:hAnsi="Times New Roman"/>
                <w:sz w:val="14"/>
                <w:szCs w:val="14"/>
                <w:color w:val="auto"/>
              </w:rPr>
              <w:t>5,475,578</w:t>
            </w:r>
          </w:p>
        </w:tc>
        <w:tc>
          <w:tcPr>
            <w:tcW w:w="420" w:type="dxa"/>
            <w:vAlign w:val="bottom"/>
            <w:shd w:val="clear" w:color="auto" w:fill="BDD7EE"/>
          </w:tcPr>
          <w:p>
            <w:pPr>
              <w:spacing w:after="0"/>
              <w:rPr>
                <w:sz w:val="12"/>
                <w:szCs w:val="12"/>
                <w:color w:val="auto"/>
              </w:rPr>
            </w:pPr>
          </w:p>
        </w:tc>
        <w:tc>
          <w:tcPr>
            <w:tcW w:w="1640" w:type="dxa"/>
            <w:vAlign w:val="bottom"/>
            <w:shd w:val="clear" w:color="auto" w:fill="BDD7EE"/>
          </w:tcPr>
          <w:p>
            <w:pPr>
              <w:jc w:val="right"/>
              <w:spacing w:after="0" w:line="142" w:lineRule="exact"/>
              <w:rPr>
                <w:sz w:val="20"/>
                <w:szCs w:val="20"/>
                <w:color w:val="auto"/>
              </w:rPr>
            </w:pPr>
            <w:r>
              <w:rPr>
                <w:rFonts w:ascii="Times New Roman" w:cs="Times New Roman" w:eastAsia="Times New Roman" w:hAnsi="Times New Roman"/>
                <w:sz w:val="14"/>
                <w:szCs w:val="14"/>
                <w:color w:val="auto"/>
              </w:rPr>
              <w:t>350,107</w:t>
            </w:r>
          </w:p>
        </w:tc>
        <w:tc>
          <w:tcPr>
            <w:tcW w:w="420" w:type="dxa"/>
            <w:vAlign w:val="bottom"/>
            <w:shd w:val="clear" w:color="auto" w:fill="BDD7EE"/>
          </w:tcPr>
          <w:p>
            <w:pPr>
              <w:spacing w:after="0"/>
              <w:rPr>
                <w:sz w:val="12"/>
                <w:szCs w:val="12"/>
                <w:color w:val="auto"/>
              </w:rPr>
            </w:pPr>
          </w:p>
        </w:tc>
        <w:tc>
          <w:tcPr>
            <w:tcW w:w="1640" w:type="dxa"/>
            <w:vAlign w:val="bottom"/>
            <w:shd w:val="clear" w:color="auto" w:fill="BDD7EE"/>
          </w:tcPr>
          <w:p>
            <w:pPr>
              <w:jc w:val="right"/>
              <w:spacing w:after="0" w:line="142" w:lineRule="exact"/>
              <w:rPr>
                <w:sz w:val="20"/>
                <w:szCs w:val="20"/>
                <w:color w:val="auto"/>
              </w:rPr>
            </w:pPr>
            <w:r>
              <w:rPr>
                <w:rFonts w:ascii="Times New Roman" w:cs="Times New Roman" w:eastAsia="Times New Roman" w:hAnsi="Times New Roman"/>
                <w:sz w:val="14"/>
                <w:szCs w:val="14"/>
                <w:color w:val="auto"/>
              </w:rPr>
              <w:t>22,982,160</w:t>
            </w:r>
          </w:p>
        </w:tc>
        <w:tc>
          <w:tcPr>
            <w:tcW w:w="100" w:type="dxa"/>
            <w:vAlign w:val="bottom"/>
            <w:shd w:val="clear" w:color="auto" w:fill="BDD7E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 of Shares Voted</w:t>
            </w:r>
          </w:p>
        </w:tc>
        <w:tc>
          <w:tcPr>
            <w:tcW w:w="274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72.18 %</w:t>
            </w:r>
          </w:p>
        </w:tc>
        <w:tc>
          <w:tcPr>
            <w:tcW w:w="20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26.15 %</w:t>
            </w:r>
          </w:p>
        </w:tc>
        <w:tc>
          <w:tcPr>
            <w:tcW w:w="20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1.67 %</w:t>
            </w:r>
          </w:p>
        </w:tc>
        <w:tc>
          <w:tcPr>
            <w:tcW w:w="1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48"/>
        </w:trPr>
        <w:tc>
          <w:tcPr>
            <w:tcW w:w="2660" w:type="dxa"/>
            <w:vAlign w:val="bottom"/>
            <w:shd w:val="clear" w:color="auto" w:fill="BDD7EE"/>
          </w:tcPr>
          <w:p>
            <w:pPr>
              <w:ind w:left="20"/>
              <w:spacing w:after="0" w:line="149" w:lineRule="exact"/>
              <w:rPr>
                <w:sz w:val="20"/>
                <w:szCs w:val="20"/>
                <w:color w:val="auto"/>
              </w:rPr>
            </w:pPr>
            <w:r>
              <w:rPr>
                <w:rFonts w:ascii="Times New Roman" w:cs="Times New Roman" w:eastAsia="Times New Roman" w:hAnsi="Times New Roman"/>
                <w:sz w:val="14"/>
                <w:szCs w:val="14"/>
                <w:color w:val="auto"/>
              </w:rPr>
              <w:t>José A. Briones, Jr.</w:t>
            </w:r>
          </w:p>
        </w:tc>
        <w:tc>
          <w:tcPr>
            <w:tcW w:w="2320" w:type="dxa"/>
            <w:vAlign w:val="bottom"/>
            <w:gridSpan w:val="2"/>
            <w:shd w:val="clear" w:color="auto" w:fill="BDD7EE"/>
          </w:tcPr>
          <w:p>
            <w:pPr>
              <w:jc w:val="right"/>
              <w:spacing w:after="0" w:line="149" w:lineRule="exact"/>
              <w:rPr>
                <w:sz w:val="20"/>
                <w:szCs w:val="20"/>
                <w:color w:val="auto"/>
              </w:rPr>
            </w:pPr>
            <w:r>
              <w:rPr>
                <w:rFonts w:ascii="Times New Roman" w:cs="Times New Roman" w:eastAsia="Times New Roman" w:hAnsi="Times New Roman"/>
                <w:sz w:val="14"/>
                <w:szCs w:val="14"/>
                <w:color w:val="auto"/>
              </w:rPr>
              <w:t>15,055,544</w:t>
            </w:r>
          </w:p>
        </w:tc>
        <w:tc>
          <w:tcPr>
            <w:tcW w:w="420" w:type="dxa"/>
            <w:vAlign w:val="bottom"/>
            <w:shd w:val="clear" w:color="auto" w:fill="BDD7EE"/>
          </w:tcPr>
          <w:p>
            <w:pPr>
              <w:spacing w:after="0"/>
              <w:rPr>
                <w:sz w:val="12"/>
                <w:szCs w:val="12"/>
                <w:color w:val="auto"/>
              </w:rPr>
            </w:pPr>
          </w:p>
        </w:tc>
        <w:tc>
          <w:tcPr>
            <w:tcW w:w="1620" w:type="dxa"/>
            <w:vAlign w:val="bottom"/>
            <w:shd w:val="clear" w:color="auto" w:fill="BDD7EE"/>
          </w:tcPr>
          <w:p>
            <w:pPr>
              <w:jc w:val="right"/>
              <w:spacing w:after="0" w:line="149" w:lineRule="exact"/>
              <w:rPr>
                <w:sz w:val="20"/>
                <w:szCs w:val="20"/>
                <w:color w:val="auto"/>
              </w:rPr>
            </w:pPr>
            <w:r>
              <w:rPr>
                <w:rFonts w:ascii="Times New Roman" w:cs="Times New Roman" w:eastAsia="Times New Roman" w:hAnsi="Times New Roman"/>
                <w:sz w:val="14"/>
                <w:szCs w:val="14"/>
                <w:color w:val="auto"/>
              </w:rPr>
              <w:t>5,491,726</w:t>
            </w:r>
          </w:p>
        </w:tc>
        <w:tc>
          <w:tcPr>
            <w:tcW w:w="420" w:type="dxa"/>
            <w:vAlign w:val="bottom"/>
            <w:shd w:val="clear" w:color="auto" w:fill="BDD7EE"/>
          </w:tcPr>
          <w:p>
            <w:pPr>
              <w:spacing w:after="0"/>
              <w:rPr>
                <w:sz w:val="12"/>
                <w:szCs w:val="12"/>
                <w:color w:val="auto"/>
              </w:rPr>
            </w:pPr>
          </w:p>
        </w:tc>
        <w:tc>
          <w:tcPr>
            <w:tcW w:w="1640" w:type="dxa"/>
            <w:vAlign w:val="bottom"/>
            <w:shd w:val="clear" w:color="auto" w:fill="BDD7EE"/>
          </w:tcPr>
          <w:p>
            <w:pPr>
              <w:jc w:val="right"/>
              <w:spacing w:after="0" w:line="149" w:lineRule="exact"/>
              <w:rPr>
                <w:sz w:val="20"/>
                <w:szCs w:val="20"/>
                <w:color w:val="auto"/>
              </w:rPr>
            </w:pPr>
            <w:r>
              <w:rPr>
                <w:rFonts w:ascii="Times New Roman" w:cs="Times New Roman" w:eastAsia="Times New Roman" w:hAnsi="Times New Roman"/>
                <w:sz w:val="14"/>
                <w:szCs w:val="14"/>
                <w:color w:val="auto"/>
              </w:rPr>
              <w:t>394,293</w:t>
            </w:r>
          </w:p>
        </w:tc>
        <w:tc>
          <w:tcPr>
            <w:tcW w:w="420" w:type="dxa"/>
            <w:vAlign w:val="bottom"/>
            <w:shd w:val="clear" w:color="auto" w:fill="BDD7EE"/>
          </w:tcPr>
          <w:p>
            <w:pPr>
              <w:spacing w:after="0"/>
              <w:rPr>
                <w:sz w:val="12"/>
                <w:szCs w:val="12"/>
                <w:color w:val="auto"/>
              </w:rPr>
            </w:pPr>
          </w:p>
        </w:tc>
        <w:tc>
          <w:tcPr>
            <w:tcW w:w="1640" w:type="dxa"/>
            <w:vAlign w:val="bottom"/>
            <w:shd w:val="clear" w:color="auto" w:fill="BDD7EE"/>
          </w:tcPr>
          <w:p>
            <w:pPr>
              <w:jc w:val="right"/>
              <w:spacing w:after="0" w:line="149" w:lineRule="exact"/>
              <w:rPr>
                <w:sz w:val="20"/>
                <w:szCs w:val="20"/>
                <w:color w:val="auto"/>
              </w:rPr>
            </w:pPr>
            <w:r>
              <w:rPr>
                <w:rFonts w:ascii="Times New Roman" w:cs="Times New Roman" w:eastAsia="Times New Roman" w:hAnsi="Times New Roman"/>
                <w:sz w:val="14"/>
                <w:szCs w:val="14"/>
                <w:color w:val="auto"/>
              </w:rPr>
              <w:t>22,982,160</w:t>
            </w:r>
          </w:p>
        </w:tc>
        <w:tc>
          <w:tcPr>
            <w:tcW w:w="100" w:type="dxa"/>
            <w:vAlign w:val="bottom"/>
            <w:shd w:val="clear" w:color="auto" w:fill="BDD7E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6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 of Shares Voted</w:t>
            </w:r>
          </w:p>
        </w:tc>
        <w:tc>
          <w:tcPr>
            <w:tcW w:w="27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71.89 %</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26.22 %</w:t>
            </w:r>
          </w:p>
        </w:tc>
        <w:tc>
          <w:tcPr>
            <w:tcW w:w="2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1.89 %</w:t>
            </w: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Proposal 2. </w:t>
      </w:r>
      <w:r>
        <w:rPr>
          <w:rFonts w:ascii="Times New Roman" w:cs="Times New Roman" w:eastAsia="Times New Roman" w:hAnsi="Times New Roman"/>
          <w:sz w:val="14"/>
          <w:szCs w:val="14"/>
          <w:color w:val="auto"/>
        </w:rPr>
        <w:t>The Company’s stockholders ratified the selection of RSM US LLP to serve as the Company’s independent registered public accounting firm for the year ending September 30, 2025.</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The voting results as of February 4, 2025, as certified by the inspector of election, are set forth below:</w:t>
            </w:r>
          </w:p>
        </w:tc>
        <w:tc>
          <w:tcPr>
            <w:tcW w:w="2500" w:type="dxa"/>
            <w:vAlign w:val="bottom"/>
            <w:gridSpan w:val="2"/>
            <w:vMerge w:val="restart"/>
          </w:tcPr>
          <w:p>
            <w:pPr>
              <w:jc w:val="right"/>
              <w:ind w:right="1280"/>
              <w:spacing w:after="0"/>
              <w:rPr>
                <w:sz w:val="20"/>
                <w:szCs w:val="20"/>
                <w:color w:val="auto"/>
              </w:rPr>
            </w:pPr>
            <w:r>
              <w:rPr>
                <w:rFonts w:ascii="Times New Roman" w:cs="Times New Roman" w:eastAsia="Times New Roman" w:hAnsi="Times New Roman"/>
                <w:sz w:val="14"/>
                <w:szCs w:val="14"/>
                <w:color w:val="auto"/>
              </w:rPr>
              <w:t>Against</w:t>
            </w:r>
          </w:p>
        </w:tc>
        <w:tc>
          <w:tcPr>
            <w:tcW w:w="2160" w:type="dxa"/>
            <w:vAlign w:val="bottom"/>
            <w:gridSpan w:val="2"/>
            <w:vMerge w:val="restart"/>
          </w:tcPr>
          <w:p>
            <w:pPr>
              <w:jc w:val="right"/>
              <w:ind w:right="940"/>
              <w:spacing w:after="0"/>
              <w:rPr>
                <w:sz w:val="20"/>
                <w:szCs w:val="20"/>
                <w:color w:val="auto"/>
              </w:rPr>
            </w:pPr>
            <w:r>
              <w:rPr>
                <w:rFonts w:ascii="Times New Roman" w:cs="Times New Roman" w:eastAsia="Times New Roman" w:hAnsi="Times New Roman"/>
                <w:sz w:val="14"/>
                <w:szCs w:val="14"/>
                <w:color w:val="auto"/>
              </w:rPr>
              <w:t>Abstain</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2980" w:type="dxa"/>
            <w:vAlign w:val="bottom"/>
            <w:gridSpan w:val="2"/>
          </w:tcPr>
          <w:p>
            <w:pPr>
              <w:jc w:val="right"/>
              <w:ind w:right="1640"/>
              <w:spacing w:after="0"/>
              <w:rPr>
                <w:sz w:val="20"/>
                <w:szCs w:val="20"/>
                <w:color w:val="auto"/>
              </w:rPr>
            </w:pPr>
            <w:r>
              <w:rPr>
                <w:rFonts w:ascii="Times New Roman" w:cs="Times New Roman" w:eastAsia="Times New Roman" w:hAnsi="Times New Roman"/>
                <w:sz w:val="14"/>
                <w:szCs w:val="14"/>
                <w:color w:val="auto"/>
              </w:rPr>
              <w:t>For</w:t>
            </w:r>
          </w:p>
        </w:tc>
        <w:tc>
          <w:tcPr>
            <w:tcW w:w="2500" w:type="dxa"/>
            <w:vAlign w:val="bottom"/>
            <w:gridSpan w:val="2"/>
            <w:vMerge w:val="continue"/>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00" w:type="dxa"/>
            <w:vAlign w:val="bottom"/>
            <w:shd w:val="clear" w:color="auto" w:fill="BDD7EE"/>
          </w:tcPr>
          <w:p>
            <w:pPr>
              <w:ind w:left="20"/>
              <w:spacing w:after="0" w:line="142" w:lineRule="exact"/>
              <w:rPr>
                <w:sz w:val="20"/>
                <w:szCs w:val="20"/>
                <w:color w:val="auto"/>
              </w:rPr>
            </w:pPr>
            <w:r>
              <w:rPr>
                <w:rFonts w:ascii="Times New Roman" w:cs="Times New Roman" w:eastAsia="Times New Roman" w:hAnsi="Times New Roman"/>
                <w:sz w:val="14"/>
                <w:szCs w:val="14"/>
                <w:color w:val="auto"/>
              </w:rPr>
              <w:t>Shares Voted</w:t>
            </w:r>
          </w:p>
        </w:tc>
        <w:tc>
          <w:tcPr>
            <w:tcW w:w="2480" w:type="dxa"/>
            <w:vAlign w:val="bottom"/>
            <w:tcBorders>
              <w:top w:val="single" w:sz="8" w:color="auto"/>
            </w:tcBorders>
            <w:shd w:val="clear" w:color="auto" w:fill="BDD7EE"/>
          </w:tcPr>
          <w:p>
            <w:pPr>
              <w:jc w:val="right"/>
              <w:spacing w:after="0" w:line="142" w:lineRule="exact"/>
              <w:rPr>
                <w:sz w:val="20"/>
                <w:szCs w:val="20"/>
                <w:color w:val="auto"/>
              </w:rPr>
            </w:pPr>
            <w:r>
              <w:rPr>
                <w:rFonts w:ascii="Times New Roman" w:cs="Times New Roman" w:eastAsia="Times New Roman" w:hAnsi="Times New Roman"/>
                <w:sz w:val="14"/>
                <w:szCs w:val="14"/>
                <w:color w:val="auto"/>
              </w:rPr>
              <w:t>42,706,940</w:t>
            </w:r>
          </w:p>
        </w:tc>
        <w:tc>
          <w:tcPr>
            <w:tcW w:w="500" w:type="dxa"/>
            <w:vAlign w:val="bottom"/>
            <w:shd w:val="clear" w:color="auto" w:fill="BDD7EE"/>
          </w:tcPr>
          <w:p>
            <w:pPr>
              <w:spacing w:after="0"/>
              <w:rPr>
                <w:sz w:val="12"/>
                <w:szCs w:val="12"/>
                <w:color w:val="auto"/>
              </w:rPr>
            </w:pPr>
          </w:p>
        </w:tc>
        <w:tc>
          <w:tcPr>
            <w:tcW w:w="2000" w:type="dxa"/>
            <w:vAlign w:val="bottom"/>
            <w:tcBorders>
              <w:top w:val="single" w:sz="8" w:color="auto"/>
            </w:tcBorders>
            <w:shd w:val="clear" w:color="auto" w:fill="BDD7EE"/>
          </w:tcPr>
          <w:p>
            <w:pPr>
              <w:jc w:val="right"/>
              <w:spacing w:after="0" w:line="142" w:lineRule="exact"/>
              <w:rPr>
                <w:sz w:val="20"/>
                <w:szCs w:val="20"/>
                <w:color w:val="auto"/>
              </w:rPr>
            </w:pPr>
            <w:r>
              <w:rPr>
                <w:rFonts w:ascii="Times New Roman" w:cs="Times New Roman" w:eastAsia="Times New Roman" w:hAnsi="Times New Roman"/>
                <w:sz w:val="14"/>
                <w:szCs w:val="14"/>
                <w:color w:val="auto"/>
              </w:rPr>
              <w:t>585,766</w:t>
            </w:r>
          </w:p>
        </w:tc>
        <w:tc>
          <w:tcPr>
            <w:tcW w:w="500" w:type="dxa"/>
            <w:vAlign w:val="bottom"/>
            <w:shd w:val="clear" w:color="auto" w:fill="BDD7EE"/>
          </w:tcPr>
          <w:p>
            <w:pPr>
              <w:spacing w:after="0"/>
              <w:rPr>
                <w:sz w:val="12"/>
                <w:szCs w:val="12"/>
                <w:color w:val="auto"/>
              </w:rPr>
            </w:pPr>
          </w:p>
        </w:tc>
        <w:tc>
          <w:tcPr>
            <w:tcW w:w="2020" w:type="dxa"/>
            <w:vAlign w:val="bottom"/>
            <w:tcBorders>
              <w:top w:val="single" w:sz="8" w:color="auto"/>
            </w:tcBorders>
            <w:shd w:val="clear" w:color="auto" w:fill="BDD7EE"/>
          </w:tcPr>
          <w:p>
            <w:pPr>
              <w:jc w:val="right"/>
              <w:spacing w:after="0" w:line="142" w:lineRule="exact"/>
              <w:rPr>
                <w:sz w:val="20"/>
                <w:szCs w:val="20"/>
                <w:color w:val="auto"/>
              </w:rPr>
            </w:pPr>
            <w:r>
              <w:rPr>
                <w:rFonts w:ascii="Times New Roman" w:cs="Times New Roman" w:eastAsia="Times New Roman" w:hAnsi="Times New Roman"/>
                <w:sz w:val="14"/>
                <w:szCs w:val="14"/>
                <w:color w:val="auto"/>
              </w:rPr>
              <w:t>631,017</w:t>
            </w:r>
          </w:p>
        </w:tc>
        <w:tc>
          <w:tcPr>
            <w:tcW w:w="140" w:type="dxa"/>
            <w:vAlign w:val="bottom"/>
            <w:shd w:val="clear" w:color="auto" w:fill="BDD7E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0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 of Shares Voted</w:t>
            </w:r>
          </w:p>
        </w:tc>
        <w:tc>
          <w:tcPr>
            <w:tcW w:w="2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97.23 %</w:t>
            </w:r>
          </w:p>
        </w:tc>
        <w:tc>
          <w:tcPr>
            <w:tcW w:w="25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1.33 %</w:t>
            </w:r>
          </w:p>
        </w:tc>
        <w:tc>
          <w:tcPr>
            <w:tcW w:w="2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1.44 %</w:t>
            </w:r>
          </w:p>
        </w:tc>
        <w:tc>
          <w:tcPr>
            <w:tcW w:w="0" w:type="dxa"/>
            <w:vAlign w:val="bottom"/>
          </w:tcPr>
          <w:p>
            <w:pPr>
              <w:spacing w:after="0"/>
              <w:rPr>
                <w:sz w:val="1"/>
                <w:szCs w:val="1"/>
                <w:color w:val="auto"/>
              </w:rPr>
            </w:pPr>
          </w:p>
        </w:tc>
      </w:tr>
      <w:tr>
        <w:trPr>
          <w:trHeight w:val="953"/>
        </w:trPr>
        <w:tc>
          <w:tcPr>
            <w:tcW w:w="360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65" w:lineRule="exact"/>
        <w:rPr>
          <w:sz w:val="20"/>
          <w:szCs w:val="20"/>
          <w:color w:val="auto"/>
        </w:rPr>
      </w:pPr>
    </w:p>
    <w:p>
      <w:pPr>
        <w:ind w:right="180" w:firstLine="481"/>
        <w:spacing w:after="0" w:line="261"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as amended, the Registrant has duly caused this report to be signed on its behalf by the undersigned hereunto duly authorized.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Date: February 6, 2025</w:t>
            </w:r>
          </w:p>
        </w:tc>
        <w:tc>
          <w:tcPr>
            <w:tcW w:w="5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 RICHARD T. ALLORTO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6100" w:type="dxa"/>
            <w:vAlign w:val="bottom"/>
          </w:tcPr>
          <w:p>
            <w:pPr>
              <w:spacing w:after="0"/>
              <w:rPr>
                <w:sz w:val="4"/>
                <w:szCs w:val="4"/>
                <w:color w:val="auto"/>
              </w:rPr>
            </w:pPr>
          </w:p>
        </w:tc>
        <w:tc>
          <w:tcPr>
            <w:tcW w:w="5120" w:type="dxa"/>
            <w:vAlign w:val="bottom"/>
            <w:tcBorders>
              <w:bottom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6100" w:type="dxa"/>
            <w:vAlign w:val="bottom"/>
          </w:tcPr>
          <w:p>
            <w:pPr>
              <w:spacing w:after="0"/>
              <w:rPr>
                <w:sz w:val="18"/>
                <w:szCs w:val="18"/>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Richard T. Allorto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100" w:type="dxa"/>
            <w:vAlign w:val="bottom"/>
          </w:tcPr>
          <w:p>
            <w:pPr>
              <w:spacing w:after="0"/>
              <w:rPr>
                <w:sz w:val="16"/>
                <w:szCs w:val="16"/>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Financial Officer &amp; Treasurer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8"/>
        </w:trPr>
        <w:tc>
          <w:tcPr>
            <w:tcW w:w="610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2025-02-06T15:14:21Z</dcterms:created>
  <dcterms:modified xsi:type="dcterms:W3CDTF">2025-02-06T15:14:21Z</dcterms:modified>
</cp:coreProperties>
</file>