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21742d10ka.htm"/>
      <w:bookmarkStart w:id="1" w:name="ksd121742d10ka"/>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10-K/A</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z w:val="20"/>
        </w:rPr>
      </w:pPr>
      <w:r>
        <w:rPr>
          <w:rFonts w:ascii="Times New Roman" w:hAnsi="Times New Roman"/>
          <w:b/>
          <w:sz w:val="20"/>
        </w:rPr>
        <w:t xml:space="preserve">(Mark One)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ANNUAL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FISCAL YEAR ENDED SEPTEMBER 30, 2025 </w:t>
      </w:r>
    </w:p>
    <w:p>
      <w:pPr>
        <w:pStyle w:val="TextBody"/>
        <w:bidi w:val="0"/>
        <w:spacing w:before="240" w:after="0"/>
        <w:jc w:val="center"/>
        <w:rPr>
          <w:rFonts w:ascii="Times New Roman" w:hAnsi="Times New Roman"/>
          <w:b/>
          <w:sz w:val="20"/>
        </w:rPr>
      </w:pPr>
      <w:r>
        <w:rPr>
          <w:rFonts w:ascii="Times New Roman" w:hAnsi="Times New Roman"/>
          <w:b/>
          <w:sz w:val="20"/>
        </w:rPr>
        <w:t xml:space="preserve">OR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pPr>
            <w:r>
              <w:rPr/>
              <w:t>☐</w:t>
            </w:r>
          </w:p>
        </w:tc>
        <w:tc>
          <w:tcPr>
            <w:tcW w:w="9960" w:type="dxa"/>
            <w:tcBorders/>
            <w:vAlign w:val="center"/>
          </w:tcPr>
          <w:p>
            <w:pPr>
              <w:pStyle w:val="TableContents"/>
              <w:bidi w:val="0"/>
              <w:spacing w:before="0" w:after="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FOR THE TRANSITION PERIOD FROM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strike w:val="false"/>
          <w:dstrike w:val="false"/>
          <w:spacing w:val="0"/>
          <w:u w:val="single"/>
          <w:effect w:val="none"/>
        </w:rPr>
      </w:pPr>
      <w:r>
        <w:rPr>
          <w:strike w:val="false"/>
          <w:dstrike w:val="false"/>
          <w:spacing w:val="0"/>
          <w:u w:val="single"/>
          <w:effect w:val="none"/>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814-00736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PENNANTPARK INVESTMENT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3935"/>
        <w:gridCol w:w="60"/>
        <w:gridCol w:w="1370"/>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MARYLAND</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20-8250744</w:t>
            </w:r>
          </w:p>
        </w:tc>
      </w:tr>
      <w:tr>
        <w:trPr/>
        <w:tc>
          <w:tcPr>
            <w:tcW w:w="393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r>
        <w:trPr/>
        <w:tc>
          <w:tcPr>
            <w:tcW w:w="3935"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1691 Michigan Avenue</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0"/>
              <w:jc w:val="center"/>
              <w:rPr>
                <w:b/>
                <w:spacing w:val="0"/>
              </w:rPr>
            </w:pPr>
            <w:r>
              <w:rPr>
                <w:b/>
                <w:spacing w:val="0"/>
              </w:rPr>
              <w:t>Miami Beach, Florida.</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33139</w:t>
            </w:r>
          </w:p>
        </w:tc>
      </w:tr>
      <w:tr>
        <w:trPr/>
        <w:tc>
          <w:tcPr>
            <w:tcW w:w="3935" w:type="dxa"/>
            <w:tcBorders/>
            <w:vAlign w:val="center"/>
          </w:tcPr>
          <w:p>
            <w:pPr>
              <w:pStyle w:val="TableContents"/>
              <w:bidi w:val="0"/>
              <w:spacing w:before="0" w:after="0"/>
              <w:jc w:val="center"/>
              <w:rPr>
                <w:b/>
                <w:spacing w:val="0"/>
              </w:rPr>
            </w:pPr>
            <w:r>
              <w:rPr>
                <w:b/>
                <w:spacing w:val="0"/>
              </w:rPr>
              <w:t>(Address of principal executive offices)</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b/>
                <w:spacing w:val="0"/>
              </w:rPr>
            </w:pPr>
            <w:r>
              <w:rPr>
                <w:b/>
                <w:spacing w:val="0"/>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(786) 297-9500 </w:t>
      </w:r>
    </w:p>
    <w:p>
      <w:pPr>
        <w:pStyle w:val="TextBody"/>
        <w:bidi w:val="0"/>
        <w:spacing w:before="0" w:after="0"/>
        <w:jc w:val="center"/>
        <w:rPr>
          <w:rFonts w:ascii="Times New Roman" w:hAnsi="Times New Roman"/>
          <w:b/>
          <w:sz w:val="16"/>
        </w:rPr>
      </w:pPr>
      <w:r>
        <w:rPr>
          <w:rFonts w:ascii="Times New Roman" w:hAnsi="Times New Roman"/>
          <w:b/>
          <w:sz w:val="16"/>
        </w:rPr>
        <w:t xml:space="preserve">(Registrant’s Telephone Number, Including Area Code)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12(b) of the Act: </w:t>
      </w:r>
    </w:p>
    <w:p>
      <w:pPr>
        <w:pStyle w:val="TextBody"/>
        <w:bidi w:val="0"/>
        <w:spacing w:before="0" w:after="0"/>
        <w:jc w:val="left"/>
        <w:rPr/>
      </w:pPr>
      <w:r>
        <w:rPr/>
        <w:t> </w:t>
      </w:r>
    </w:p>
    <w:tbl>
      <w:tblPr>
        <w:tblW w:w="8550" w:type="dxa"/>
        <w:jc w:val="left"/>
        <w:tblInd w:w="0" w:type="dxa"/>
        <w:tblLayout w:type="fixed"/>
        <w:tblCellMar>
          <w:top w:w="0" w:type="dxa"/>
          <w:left w:w="0" w:type="dxa"/>
          <w:bottom w:w="0" w:type="dxa"/>
          <w:right w:w="0" w:type="dxa"/>
        </w:tblCellMar>
      </w:tblPr>
      <w:tblGrid>
        <w:gridCol w:w="4430"/>
        <w:gridCol w:w="60"/>
        <w:gridCol w:w="740"/>
        <w:gridCol w:w="60"/>
        <w:gridCol w:w="3260"/>
      </w:tblGrid>
      <w:tr>
        <w:trPr/>
        <w:tc>
          <w:tcPr>
            <w:tcW w:w="4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4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430" w:type="dxa"/>
            <w:tcBorders/>
            <w:vAlign w:val="center"/>
          </w:tcPr>
          <w:p>
            <w:pPr>
              <w:pStyle w:val="TableContents"/>
              <w:bidi w:val="0"/>
              <w:spacing w:before="0" w:after="0"/>
              <w:jc w:val="center"/>
              <w:rPr>
                <w:b/>
                <w:spacing w:val="0"/>
              </w:rPr>
            </w:pPr>
            <w:r>
              <w:rPr>
                <w:b/>
                <w:spacing w:val="0"/>
              </w:rPr>
              <w:t>Common Stock, par value $0.001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b/>
                <w:spacing w:val="0"/>
              </w:rPr>
            </w:pPr>
            <w:r>
              <w:rPr>
                <w:b/>
                <w:spacing w:val="0"/>
              </w:rPr>
              <w:t>PNNT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center"/>
              <w:rPr>
                <w:b/>
                <w:spacing w:val="0"/>
              </w:rPr>
            </w:pPr>
            <w:r>
              <w:rPr>
                <w:b/>
                <w:spacing w:val="0"/>
              </w:rPr>
              <w:t>The New York Stock Exchange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Securities registered pursuant to Section 12(g) of the Act: None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not required to file reports pursuant to Section 13 or Section 15(d) of the Act. Yes ☐ No ☒.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submitted electronically every Interactive Data File required to be submitted pursuant to Rule 405 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S-T</w:t>
      </w:r>
    </w:p>
    <w:p>
      <w:pPr>
        <w:pStyle w:val="TextBody"/>
        <w:bidi w:val="0"/>
        <w:spacing w:before="240" w:after="0"/>
        <w:jc w:val="left"/>
        <w:rPr>
          <w:rFonts w:ascii="Times New Roman" w:hAnsi="Times New Roman"/>
          <w:sz w:val="20"/>
        </w:rPr>
      </w:pPr>
      <w:r>
        <w:rPr>
          <w:rFonts w:ascii="Times New Roman" w:hAnsi="Times New Roman"/>
          <w:sz w:val="20"/>
        </w:rPr>
        <w:t xml:space="preserve">(§232.405 of this chapter) during the preceding 12 months (or for such shorter period that the registrant was required to submit such files). Yes ☒ No ☐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non-accelerated</w:t>
      </w:r>
    </w:p>
    <w:p>
      <w:pPr>
        <w:pStyle w:val="TextBody"/>
        <w:bidi w:val="0"/>
        <w:spacing w:before="240" w:after="0"/>
        <w:jc w:val="left"/>
        <w:rPr>
          <w:rFonts w:ascii="Times New Roman" w:hAnsi="Times New Roman"/>
          <w:sz w:val="20"/>
        </w:rPr>
      </w:pPr>
      <w:r>
        <w:rPr>
          <w:rFonts w:ascii="Times New Roman" w:hAnsi="Times New Roman"/>
          <w:sz w:val="20"/>
        </w:rPr>
        <w:t xml:space="preserve">filer, smaller reporting company, or an emerging growth company. See the definitions of “large accelerated filer,” “accelerated filer,” “smaller reporting company” and “emerging growth company”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0" w:after="0"/>
        <w:jc w:val="left"/>
        <w:rPr/>
      </w:pPr>
      <w:r>
        <w:rPr/>
        <w:t> </w:t>
      </w:r>
    </w:p>
    <w:tbl>
      <w:tblPr>
        <w:tblW w:w="5465" w:type="dxa"/>
        <w:jc w:val="left"/>
        <w:tblInd w:w="0" w:type="dxa"/>
        <w:tblLayout w:type="fixed"/>
        <w:tblCellMar>
          <w:top w:w="0" w:type="dxa"/>
          <w:left w:w="0" w:type="dxa"/>
          <w:bottom w:w="0" w:type="dxa"/>
          <w:right w:w="0" w:type="dxa"/>
        </w:tblCellMar>
      </w:tblPr>
      <w:tblGrid>
        <w:gridCol w:w="2135"/>
        <w:gridCol w:w="60"/>
        <w:gridCol w:w="230"/>
        <w:gridCol w:w="120"/>
        <w:gridCol w:w="2615"/>
        <w:gridCol w:w="60"/>
        <w:gridCol w:w="245"/>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left"/>
              <w:rPr>
                <w:spacing w:val="0"/>
              </w:rPr>
            </w:pPr>
            <w:r>
              <w:rPr>
                <w:spacing w:val="0"/>
              </w:rPr>
              <w:t>Non-accelerated</w:t>
            </w:r>
          </w:p>
          <w:p>
            <w:pPr>
              <w:pStyle w:val="TableContents"/>
              <w:bidi w:val="0"/>
              <w:spacing w:before="0" w:after="0"/>
              <w:jc w:val="left"/>
              <w:rPr/>
            </w:pPr>
            <w:r>
              <w:rPr/>
              <w:t>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2135" w:type="dxa"/>
            <w:tcBorders/>
            <w:vAlign w:val="center"/>
          </w:tcPr>
          <w:p>
            <w:pPr>
              <w:pStyle w:val="TableContents"/>
              <w:bidi w:val="0"/>
              <w:spacing w:before="0" w:after="283"/>
              <w:jc w:val="left"/>
              <w:rPr>
                <w:sz w:val="4"/>
                <w:szCs w:val="4"/>
              </w:rPr>
            </w:pPr>
            <w:r>
              <w:rPr>
                <w:sz w:val="4"/>
                <w:szCs w:val="4"/>
              </w:rPr>
            </w:r>
          </w:p>
        </w:tc>
        <w:tc>
          <w:tcPr>
            <w:tcW w:w="290" w:type="dxa"/>
            <w:gridSpan w:val="2"/>
            <w:tcBorders/>
            <w:vAlign w:val="center"/>
          </w:tcPr>
          <w:p>
            <w:pPr>
              <w:pStyle w:val="TableContents"/>
              <w:bidi w:val="0"/>
              <w:spacing w:before="0" w:after="283"/>
              <w:jc w:val="left"/>
              <w:rPr>
                <w:sz w:val="4"/>
                <w:szCs w:val="4"/>
              </w:rPr>
            </w:pPr>
            <w:r>
              <w:rPr>
                <w:sz w:val="4"/>
                <w:szCs w:val="4"/>
              </w:rPr>
            </w:r>
          </w:p>
        </w:tc>
        <w:tc>
          <w:tcPr>
            <w:tcW w:w="2735" w:type="dxa"/>
            <w:gridSpan w:val="2"/>
            <w:tcBorders/>
            <w:vAlign w:val="center"/>
          </w:tcPr>
          <w:p>
            <w:pPr>
              <w:pStyle w:val="TableContents"/>
              <w:bidi w:val="0"/>
              <w:spacing w:before="0" w:after="283"/>
              <w:jc w:val="left"/>
              <w:rPr>
                <w:sz w:val="4"/>
                <w:szCs w:val="4"/>
              </w:rPr>
            </w:pPr>
            <w:r>
              <w:rPr>
                <w:sz w:val="4"/>
                <w:szCs w:val="4"/>
              </w:rPr>
            </w:r>
          </w:p>
        </w:tc>
        <w:tc>
          <w:tcPr>
            <w:tcW w:w="305" w:type="dxa"/>
            <w:gridSpan w:val="2"/>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before="240" w:after="0"/>
        <w:jc w:val="left"/>
        <w:rPr>
          <w:rFonts w:ascii="Times New Roman" w:hAnsi="Times New Roman"/>
          <w:sz w:val="20"/>
        </w:rPr>
      </w:pPr>
      <w:r>
        <w:rPr>
          <w:rFonts w:ascii="Times New Roman" w:hAnsi="Times New Roman"/>
          <w:sz w:val="20"/>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any of these error corrections are restatements that required a recovery analysis of incentive-based compensation received by any of the registrant’s executive officers during the relevant recovery period pursuant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§240.10D-1(b). ☐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shell company (as defined in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Act). Yes ☐ No ☒. </w:t>
      </w:r>
    </w:p>
    <w:p>
      <w:pPr>
        <w:pStyle w:val="TextBody"/>
        <w:bidi w:val="0"/>
        <w:spacing w:before="240" w:after="0"/>
        <w:jc w:val="left"/>
        <w:rPr>
          <w:rFonts w:ascii="Times New Roman" w:hAnsi="Times New Roman"/>
          <w:sz w:val="20"/>
        </w:rPr>
      </w:pPr>
      <w:r>
        <w:rPr>
          <w:rFonts w:ascii="Times New Roman" w:hAnsi="Times New Roman"/>
          <w:sz w:val="20"/>
        </w:rPr>
        <w:t xml:space="preserve">The aggregate market value of common stock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of the Registrant on March 31, 2025 based on the closing price on that </w:t>
      </w:r>
    </w:p>
    <w:p>
      <w:pPr>
        <w:pStyle w:val="TextBody"/>
        <w:bidi w:val="0"/>
        <w:spacing w:before="240" w:after="0"/>
        <w:jc w:val="left"/>
        <w:rPr>
          <w:rFonts w:ascii="Times New Roman" w:hAnsi="Times New Roman"/>
          <w:sz w:val="20"/>
        </w:rPr>
      </w:pPr>
      <w:r>
        <w:rPr>
          <w:rFonts w:ascii="Times New Roman" w:hAnsi="Times New Roman"/>
          <w:sz w:val="20"/>
        </w:rPr>
        <w:t xml:space="preserve">date </w:t>
      </w:r>
    </w:p>
    <w:p>
      <w:pPr>
        <w:pStyle w:val="TextBody"/>
        <w:bidi w:val="0"/>
        <w:spacing w:before="240" w:after="0"/>
        <w:jc w:val="left"/>
        <w:rPr>
          <w:rFonts w:ascii="Times New Roman" w:hAnsi="Times New Roman"/>
          <w:sz w:val="20"/>
        </w:rPr>
      </w:pPr>
      <w:r>
        <w:rPr>
          <w:rFonts w:ascii="Times New Roman" w:hAnsi="Times New Roman"/>
          <w:sz w:val="20"/>
        </w:rPr>
        <w:t xml:space="preserve">of $7.03 on The New York Stock Exchange was approximately $443.6 million. For the purposes of calculating the aggregate market value of common stock held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non-affiliates,</w:t>
      </w:r>
    </w:p>
    <w:p>
      <w:pPr>
        <w:pStyle w:val="TextBody"/>
        <w:bidi w:val="0"/>
        <w:spacing w:before="240" w:after="0"/>
        <w:jc w:val="left"/>
        <w:rPr>
          <w:rFonts w:ascii="Times New Roman" w:hAnsi="Times New Roman"/>
          <w:sz w:val="20"/>
        </w:rPr>
      </w:pPr>
      <w:r>
        <w:rPr>
          <w:rFonts w:ascii="Times New Roman" w:hAnsi="Times New Roman"/>
          <w:sz w:val="20"/>
        </w:rPr>
        <w:t xml:space="preserve">all directors and executive officers of the Registrant have been treated as affiliates. There were 65,296,094 shares of the Registrant’s common stock outstanding as of July 1, 2026 Documents Incorporated by Reference: Portions of the Registrant’s Proxy Statement relating to the Registrant’s 2026 Annual Meeting of Stockholders to be filed not later than 120 days after the end of the fiscal year covered by this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are incorporated by reference into Part III of this Report.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Corporation, a Maryland corporation, or together with its subsidiaries, where applicable, or the Company, which may also be referred to as “we,” “us” or “our,” is filing this Amendment No. 2, or this Amendment, to our Annual Report on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for the fiscal year ended September 30, 2025, or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which was initially filed with the Securities and Exchange Commission, or the SEC, on November 24, 2025. </w:t>
      </w:r>
    </w:p>
    <w:p>
      <w:pPr>
        <w:pStyle w:val="TextBody"/>
        <w:bidi w:val="0"/>
        <w:spacing w:before="240" w:after="0"/>
        <w:jc w:val="left"/>
        <w:rPr>
          <w:rFonts w:ascii="Times New Roman" w:hAnsi="Times New Roman"/>
          <w:sz w:val="20"/>
        </w:rPr>
      </w:pPr>
      <w:r>
        <w:rPr>
          <w:rFonts w:ascii="Times New Roman" w:hAnsi="Times New Roman"/>
          <w:sz w:val="20"/>
        </w:rPr>
        <w:t xml:space="preserve">We are filing this Amendment to provide audited consolidated financial statements for our investment in an unconsolidated portfolio company, AKW Holdings Limited (“AKW”), as of December 31, 2025 and for the year ended December 31, 2025 and unaudited consolidated financial statements for our investment in AKW as of December 31, 2024 and for each of the years in the </w:t>
      </w:r>
    </w:p>
    <w:p>
      <w:pPr>
        <w:pStyle w:val="TextBody"/>
        <w:bidi w:val="0"/>
        <w:spacing w:before="240" w:after="0"/>
        <w:jc w:val="left"/>
        <w:rPr>
          <w:rFonts w:ascii="Times New Roman" w:hAnsi="Times New Roman"/>
          <w:sz w:val="20"/>
        </w:rPr>
      </w:pPr>
      <w:r>
        <w:rPr>
          <w:rFonts w:ascii="Times New Roman" w:hAnsi="Times New Roman"/>
          <w:sz w:val="20"/>
        </w:rPr>
        <w:t>two-year</w:t>
      </w:r>
    </w:p>
    <w:p>
      <w:pPr>
        <w:pStyle w:val="TextBody"/>
        <w:bidi w:val="0"/>
        <w:spacing w:before="240" w:after="0"/>
        <w:jc w:val="left"/>
        <w:rPr>
          <w:rFonts w:ascii="Times New Roman" w:hAnsi="Times New Roman"/>
          <w:sz w:val="20"/>
        </w:rPr>
      </w:pPr>
      <w:r>
        <w:rPr>
          <w:rFonts w:ascii="Times New Roman" w:hAnsi="Times New Roman"/>
          <w:sz w:val="20"/>
        </w:rPr>
        <w:t xml:space="preserve">period ended December 31, 2024 (as Exhibit 99.5). </w:t>
      </w:r>
    </w:p>
    <w:p>
      <w:pPr>
        <w:pStyle w:val="TextBody"/>
        <w:bidi w:val="0"/>
        <w:spacing w:before="240" w:after="0"/>
        <w:jc w:val="left"/>
        <w:rPr>
          <w:rFonts w:ascii="Times New Roman" w:hAnsi="Times New Roman"/>
          <w:sz w:val="20"/>
        </w:rPr>
      </w:pPr>
      <w:r>
        <w:rPr>
          <w:rFonts w:ascii="Times New Roman" w:hAnsi="Times New Roman"/>
          <w:sz w:val="20"/>
        </w:rPr>
        <w:t xml:space="preserve">We have determined that this unconsolidated portfolio company has met the conditions of a significant subsidiary under Rule </w:t>
      </w:r>
    </w:p>
    <w:p>
      <w:pPr>
        <w:pStyle w:val="TextBody"/>
        <w:bidi w:val="0"/>
        <w:spacing w:before="240" w:after="0"/>
        <w:jc w:val="left"/>
        <w:rPr>
          <w:rFonts w:ascii="Times New Roman" w:hAnsi="Times New Roman"/>
          <w:sz w:val="20"/>
        </w:rPr>
      </w:pPr>
      <w:r>
        <w:rPr>
          <w:rFonts w:ascii="Times New Roman" w:hAnsi="Times New Roman"/>
          <w:sz w:val="20"/>
        </w:rPr>
        <w:t>1-02(w)</w:t>
      </w:r>
    </w:p>
    <w:p>
      <w:pPr>
        <w:pStyle w:val="TextBody"/>
        <w:bidi w:val="0"/>
        <w:spacing w:before="240" w:after="0"/>
        <w:jc w:val="left"/>
        <w:rPr>
          <w:rFonts w:ascii="Times New Roman" w:hAnsi="Times New Roman"/>
          <w:sz w:val="20"/>
        </w:rPr>
      </w:pPr>
      <w:r>
        <w:rPr>
          <w:rFonts w:ascii="Times New Roman" w:hAnsi="Times New Roman"/>
          <w:sz w:val="20"/>
        </w:rPr>
        <w:t xml:space="preserve">of Regulation </w:t>
      </w:r>
    </w:p>
    <w:p>
      <w:pPr>
        <w:pStyle w:val="TextBody"/>
        <w:bidi w:val="0"/>
        <w:spacing w:before="240" w:after="0"/>
        <w:jc w:val="left"/>
        <w:rPr>
          <w:rFonts w:ascii="Times New Roman" w:hAnsi="Times New Roman"/>
          <w:sz w:val="20"/>
        </w:rPr>
      </w:pPr>
      <w:r>
        <w:rPr>
          <w:rFonts w:ascii="Times New Roman" w:hAnsi="Times New Roman"/>
          <w:sz w:val="20"/>
        </w:rPr>
        <w:t>S-X</w:t>
      </w:r>
    </w:p>
    <w:p>
      <w:pPr>
        <w:pStyle w:val="TextBody"/>
        <w:bidi w:val="0"/>
        <w:spacing w:before="240" w:after="0"/>
        <w:jc w:val="left"/>
        <w:rPr>
          <w:rFonts w:ascii="Times New Roman" w:hAnsi="Times New Roman"/>
          <w:sz w:val="20"/>
        </w:rPr>
      </w:pPr>
      <w:r>
        <w:rPr>
          <w:rFonts w:ascii="Times New Roman" w:hAnsi="Times New Roman"/>
          <w:sz w:val="20"/>
        </w:rPr>
        <w:t xml:space="preserve">for which we are required, pursuant to Rule </w:t>
      </w:r>
    </w:p>
    <w:p>
      <w:pPr>
        <w:pStyle w:val="TextBody"/>
        <w:bidi w:val="0"/>
        <w:spacing w:before="240" w:after="0"/>
        <w:jc w:val="left"/>
        <w:rPr>
          <w:rFonts w:ascii="Times New Roman" w:hAnsi="Times New Roman"/>
          <w:sz w:val="20"/>
        </w:rPr>
      </w:pPr>
      <w:r>
        <w:rPr>
          <w:rFonts w:ascii="Times New Roman" w:hAnsi="Times New Roman"/>
          <w:sz w:val="20"/>
        </w:rPr>
        <w:t>3-09</w:t>
      </w:r>
    </w:p>
    <w:p>
      <w:pPr>
        <w:pStyle w:val="TextBody"/>
        <w:bidi w:val="0"/>
        <w:spacing w:before="240" w:after="0"/>
        <w:jc w:val="left"/>
        <w:rPr>
          <w:rFonts w:ascii="Times New Roman" w:hAnsi="Times New Roman"/>
          <w:sz w:val="20"/>
        </w:rPr>
      </w:pPr>
      <w:r>
        <w:rPr>
          <w:rFonts w:ascii="Times New Roman" w:hAnsi="Times New Roman"/>
          <w:sz w:val="20"/>
        </w:rPr>
        <w:t xml:space="preserve">of Regulation </w:t>
      </w:r>
    </w:p>
    <w:p>
      <w:pPr>
        <w:pStyle w:val="TextBody"/>
        <w:bidi w:val="0"/>
        <w:spacing w:before="240" w:after="0"/>
        <w:jc w:val="left"/>
        <w:rPr>
          <w:rFonts w:ascii="Times New Roman" w:hAnsi="Times New Roman"/>
          <w:sz w:val="20"/>
        </w:rPr>
      </w:pPr>
      <w:r>
        <w:rPr>
          <w:rFonts w:ascii="Times New Roman" w:hAnsi="Times New Roman"/>
          <w:sz w:val="20"/>
        </w:rPr>
        <w:t>S-X,</w:t>
      </w:r>
    </w:p>
    <w:p>
      <w:pPr>
        <w:pStyle w:val="TextBody"/>
        <w:bidi w:val="0"/>
        <w:spacing w:before="240" w:after="0"/>
        <w:jc w:val="left"/>
        <w:rPr>
          <w:rFonts w:ascii="Times New Roman" w:hAnsi="Times New Roman"/>
          <w:sz w:val="20"/>
        </w:rPr>
      </w:pPr>
      <w:r>
        <w:rPr>
          <w:rFonts w:ascii="Times New Roman" w:hAnsi="Times New Roman"/>
          <w:sz w:val="20"/>
        </w:rPr>
        <w:t xml:space="preserve">to provide separate financial statements as exhibits to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Rule </w:t>
      </w:r>
    </w:p>
    <w:p>
      <w:pPr>
        <w:pStyle w:val="TextBody"/>
        <w:bidi w:val="0"/>
        <w:spacing w:before="240" w:after="0"/>
        <w:jc w:val="left"/>
        <w:rPr>
          <w:rFonts w:ascii="Times New Roman" w:hAnsi="Times New Roman"/>
          <w:sz w:val="20"/>
        </w:rPr>
      </w:pPr>
      <w:r>
        <w:rPr>
          <w:rFonts w:ascii="Times New Roman" w:hAnsi="Times New Roman"/>
          <w:sz w:val="20"/>
        </w:rPr>
        <w:t>3-09(b)(1),</w:t>
      </w:r>
    </w:p>
    <w:p>
      <w:pPr>
        <w:pStyle w:val="TextBody"/>
        <w:bidi w:val="0"/>
        <w:spacing w:before="240" w:after="0"/>
        <w:jc w:val="left"/>
        <w:rPr>
          <w:rFonts w:ascii="Times New Roman" w:hAnsi="Times New Roman"/>
          <w:sz w:val="20"/>
        </w:rPr>
      </w:pPr>
      <w:r>
        <w:rPr>
          <w:rFonts w:ascii="Times New Roman" w:hAnsi="Times New Roman"/>
          <w:sz w:val="20"/>
        </w:rPr>
        <w:t xml:space="preserve">the separate audited and unaudited consolidated financial statements of AKW are being filed as an amendment to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also includes the filing of new Exhibits 31.1, 31.2, 32.1 and 32.2, certifications of our Chief Executive Officer and Chief Financial Officer, pursuant to Rule </w:t>
      </w:r>
    </w:p>
    <w:p>
      <w:pPr>
        <w:pStyle w:val="TextBody"/>
        <w:bidi w:val="0"/>
        <w:spacing w:before="240" w:after="0"/>
        <w:jc w:val="left"/>
        <w:rPr>
          <w:rFonts w:ascii="Times New Roman" w:hAnsi="Times New Roman"/>
          <w:sz w:val="20"/>
        </w:rPr>
      </w:pPr>
      <w:r>
        <w:rPr>
          <w:rFonts w:ascii="Times New Roman" w:hAnsi="Times New Roman"/>
          <w:sz w:val="20"/>
        </w:rPr>
        <w:t>13a-14(a)</w:t>
      </w:r>
    </w:p>
    <w:p>
      <w:pPr>
        <w:pStyle w:val="TextBody"/>
        <w:bidi w:val="0"/>
        <w:spacing w:before="240" w:after="0"/>
        <w:jc w:val="left"/>
        <w:rPr>
          <w:rFonts w:ascii="Times New Roman" w:hAnsi="Times New Roman"/>
          <w:sz w:val="20"/>
        </w:rPr>
      </w:pPr>
      <w:r>
        <w:rPr>
          <w:rFonts w:ascii="Times New Roman" w:hAnsi="Times New Roman"/>
          <w:sz w:val="20"/>
        </w:rPr>
        <w:t xml:space="preserve">and (b) of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 xml:space="preserve">Except as described above, no other changes have been made to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This Amendment does not reflect subsequent events that may have occurred after the original filing date of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or modify or update in any way disclosures made in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except as required to reflect the revisions discussed above. Among other things, forward-looking statements made in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have not been revised to reflect events that occurred or facts that became known to us after filing of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and such forward-looking statements should be read in their historical context. Furthermore, this Amendment should be read in conjunction with the Form </w:t>
      </w:r>
    </w:p>
    <w:p>
      <w:pPr>
        <w:pStyle w:val="TextBody"/>
        <w:bidi w:val="0"/>
        <w:spacing w:before="240" w:after="0"/>
        <w:jc w:val="left"/>
        <w:rPr>
          <w:rFonts w:ascii="Times New Roman" w:hAnsi="Times New Roman"/>
          <w:sz w:val="20"/>
        </w:rPr>
      </w:pPr>
      <w:r>
        <w:rPr>
          <w:rFonts w:ascii="Times New Roman" w:hAnsi="Times New Roman"/>
          <w:sz w:val="20"/>
        </w:rPr>
        <w:t>10-K</w:t>
      </w:r>
    </w:p>
    <w:p>
      <w:pPr>
        <w:pStyle w:val="TextBody"/>
        <w:bidi w:val="0"/>
        <w:spacing w:before="240" w:after="283"/>
        <w:jc w:val="left"/>
        <w:rPr>
          <w:rFonts w:ascii="Times New Roman" w:hAnsi="Times New Roman"/>
          <w:sz w:val="20"/>
        </w:rPr>
      </w:pPr>
      <w:r>
        <w:rPr>
          <w:rFonts w:ascii="Times New Roman" w:hAnsi="Times New Roman"/>
          <w:sz w:val="20"/>
        </w:rPr>
        <w:t xml:space="preserve">and with our subsequent filings with the SEC.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IV </w:t>
      </w:r>
    </w:p>
    <w:p>
      <w:pPr>
        <w:pStyle w:val="TextBody"/>
        <w:bidi w:val="0"/>
        <w:spacing w:before="240" w:after="0"/>
        <w:jc w:val="left"/>
        <w:rPr>
          <w:rFonts w:ascii="Times New Roman" w:hAnsi="Times New Roman"/>
          <w:b/>
          <w:sz w:val="20"/>
        </w:rPr>
      </w:pPr>
      <w:r>
        <w:rPr>
          <w:rFonts w:ascii="Times New Roman" w:hAnsi="Times New Roman"/>
          <w:b/>
          <w:sz w:val="20"/>
        </w:rPr>
        <w:t xml:space="preserve">Item 15. Exhibits and Financial Statement Schedules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are filed as part of this Annual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0"/>
        <w:gridCol w:w="9850"/>
      </w:tblGrid>
      <w:tr>
        <w:trPr/>
        <w:tc>
          <w:tcPr>
            <w:tcW w:w="75" w:type="dxa"/>
            <w:tcBorders/>
            <w:vAlign w:val="center"/>
          </w:tcPr>
          <w:p>
            <w:pPr>
              <w:pStyle w:val="TableContents"/>
              <w:bidi w:val="0"/>
              <w:spacing w:before="0" w:after="283"/>
              <w:jc w:val="left"/>
              <w:rPr/>
            </w:pPr>
            <w:r>
              <w:rPr/>
              <w:t> </w:t>
            </w:r>
          </w:p>
        </w:tc>
        <w:tc>
          <w:tcPr>
            <w:tcW w:w="280" w:type="dxa"/>
            <w:tcBorders/>
            <w:vAlign w:val="center"/>
          </w:tcPr>
          <w:p>
            <w:pPr>
              <w:pStyle w:val="TableContents"/>
              <w:bidi w:val="0"/>
              <w:spacing w:before="0" w:after="283"/>
              <w:jc w:val="left"/>
              <w:rPr/>
            </w:pPr>
            <w:r>
              <w:rPr/>
              <w:t>(1)</w:t>
            </w:r>
          </w:p>
        </w:tc>
        <w:tc>
          <w:tcPr>
            <w:tcW w:w="9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Statements—Refer to Item 8 starting on page 62 of the Registrant’s Annual Report on Form 10-K filed on November 24, 2025. </w:t>
            </w:r>
          </w:p>
        </w:tc>
      </w:tr>
    </w:tbl>
    <w:p>
      <w:pPr>
        <w:pStyle w:val="TextBody"/>
        <w:bidi w:val="0"/>
        <w:spacing w:before="0" w:after="0"/>
        <w:jc w:val="left"/>
        <w:rPr/>
      </w:pPr>
      <w:r>
        <w:rPr/>
        <w:t> </w:t>
      </w:r>
    </w:p>
    <w:tbl>
      <w:tblPr>
        <w:tblW w:w="3610" w:type="dxa"/>
        <w:jc w:val="left"/>
        <w:tblInd w:w="0" w:type="dxa"/>
        <w:tblLayout w:type="fixed"/>
        <w:tblCellMar>
          <w:top w:w="0" w:type="dxa"/>
          <w:left w:w="0" w:type="dxa"/>
          <w:bottom w:w="0" w:type="dxa"/>
          <w:right w:w="0" w:type="dxa"/>
        </w:tblCellMar>
      </w:tblPr>
      <w:tblGrid>
        <w:gridCol w:w="75"/>
        <w:gridCol w:w="290"/>
        <w:gridCol w:w="32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(2)</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 Schedules—None. </w:t>
            </w:r>
          </w:p>
        </w:tc>
      </w:tr>
    </w:tbl>
    <w:p>
      <w:pPr>
        <w:pStyle w:val="TextBody"/>
        <w:bidi w:val="0"/>
        <w:spacing w:before="0" w:after="0"/>
        <w:jc w:val="left"/>
        <w:rPr/>
      </w:pPr>
      <w:r>
        <w:rPr/>
        <w:t> </w:t>
      </w:r>
    </w:p>
    <w:tbl>
      <w:tblPr>
        <w:tblW w:w="1135" w:type="dxa"/>
        <w:jc w:val="left"/>
        <w:tblInd w:w="0" w:type="dxa"/>
        <w:tblLayout w:type="fixed"/>
        <w:tblCellMar>
          <w:top w:w="0" w:type="dxa"/>
          <w:left w:w="0" w:type="dxa"/>
          <w:bottom w:w="0" w:type="dxa"/>
          <w:right w:w="0" w:type="dxa"/>
        </w:tblCellMar>
      </w:tblPr>
      <w:tblGrid>
        <w:gridCol w:w="75"/>
        <w:gridCol w:w="290"/>
        <w:gridCol w:w="7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(3)</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55"/>
        <w:gridCol w:w="120"/>
        <w:gridCol w:w="9630"/>
      </w:tblGrid>
      <w:tr>
        <w:trPr/>
        <w:tc>
          <w:tcPr>
            <w:tcW w:w="4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3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2">
              <w:r>
                <w:rPr>
                  <w:rStyle w:val="InternetLink"/>
                </w:rPr>
                <w:t xml:space="preserve">Articles of Incorporation (Incorporated by reference to Exhibit 99(a) to the Registrant’s Pre-Effective Amendment No. 3 to the Registration Statement on Form N-2/A (File No. 333-140092), filed on April 5, 2007).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3.2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3">
              <w:r>
                <w:rPr>
                  <w:rStyle w:val="InternetLink"/>
                </w:rPr>
                <w:t xml:space="preserve">Articles of Amendment to Articles of Incorporation of the Registrant (Incorporated by reference to Exhibit 3.2 to the Registrant’s Quarterly Report on Form 10-Q (File No. 814-00736), filed on August 7, 2024).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3.3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4">
              <w:r>
                <w:rPr>
                  <w:rStyle w:val="InternetLink"/>
                </w:rPr>
                <w:t xml:space="preserve">Second Amended and Restated Bylaws of the Registrant (Incorporated by reference to Exhibit 3.2 to the Registrant’s Quarterly Report on Form 10-Q (File No. 814-00736), filed on May 11, 2020).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5">
              <w:r>
                <w:rPr>
                  <w:rStyle w:val="InternetLink"/>
                </w:rPr>
                <w:t xml:space="preserve">Form of Share Certificate (Incorporated by reference to Exhibit 99(d)(1) to the Registrant’s Registration Statement on Form N-2 (File No. 333-150033), filed on April 2, 2008).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6">
              <w:r>
                <w:rPr>
                  <w:rStyle w:val="InternetLink"/>
                </w:rPr>
                <w:t xml:space="preserve">Base Indenture, dated as of January 22, 2013, relating to the 6.25% Senior Notes due 2025, between the Registrant and American Stock Transfer &amp; Trust Company, LLC, as trustee (Incorporated by reference to Exhibit 99(d)(8) to the Registrant’s Post-Effective Amendment No.4 to the Registration Statement on Form N-2/A (File No.333-172524), filed on January 22, 2013).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7">
              <w:r>
                <w:rPr>
                  <w:rStyle w:val="InternetLink"/>
                </w:rPr>
                <w:t xml:space="preserve">Fourth Supplemental Indenture, dated as of April 21, 2021, by and between the Company and American Stock Transfer &amp; Trust Company, LLC, as trustee (Incorporated by reference to Exhibit 4.1 to the Registrant’s Form 8-K (File No. 814-00736), filed April 22, 2021).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8">
              <w:r>
                <w:rPr>
                  <w:rStyle w:val="InternetLink"/>
                </w:rPr>
                <w:t xml:space="preserve">Form of 4.50% Notes due 2026 (included as part of Exhibit 4.3).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4.5</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9">
              <w:r>
                <w:rPr>
                  <w:rStyle w:val="InternetLink"/>
                </w:rPr>
                <w:t xml:space="preserve">Fifth Supplemental Indenture, dated as of October 21, 2021, by and between the Company and American Stock Transfer &amp; Trust Company, LLC, as trustee (Incorporated by reference to Exhibit 4.1 to the Registrant’s Form 8-K (File No. 814-00736), filed on October 21, 2021).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4.6</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0">
              <w:r>
                <w:rPr>
                  <w:rStyle w:val="InternetLink"/>
                </w:rPr>
                <w:t xml:space="preserve">Form of 4.00% Notes due 2026 (included as part of Exhibit 4.5).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pPr>
            <w:r>
              <w:rPr/>
              <w:t> </w:t>
            </w:r>
            <w:r>
              <w:rPr>
                <w:rFonts w:ascii="Times New Roman" w:hAnsi="Times New Roman"/>
                <w:sz w:val="20"/>
              </w:rPr>
              <w:t>4.7</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1">
              <w:r>
                <w:rPr>
                  <w:rStyle w:val="InternetLink"/>
                </w:rPr>
                <w:t xml:space="preserve">Description of Securities (Incorporated by reference to Exhibit 4.7 to the Registrant’s Form 10-K (File No. 814-00736), filed November 21, 2019).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2">
              <w:r>
                <w:rPr>
                  <w:rStyle w:val="InternetLink"/>
                </w:rPr>
                <w:t xml:space="preserve">Amended and Restated Administration Agreement, dated as of May 20, 2024, between the Registrant and PennantPark Investment Administration, LLC (Incorporated by reference to Exhibit 10.2 to the Registrant’s Quarterly Report on Form 10-Q (File No. 814-00736), filed on August 7, 2024).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3">
              <w:r>
                <w:rPr>
                  <w:rStyle w:val="InternetLink"/>
                </w:rPr>
                <w:t xml:space="preserve">Dividend Reinvestment Plan (Incorporated by reference to Exhibit 99(e) to the Registrant’s Registration Statement on Form N-2 (File No. 333-150033), filed on April 2, 2008).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4">
              <w:r>
                <w:rPr>
                  <w:rStyle w:val="InternetLink"/>
                </w:rPr>
                <w:t xml:space="preserve">First Omnibus Amendment to Second Amended and Restated Senior Secured Revolving Credit Agreement and Second Amended and Restated Guarantee and Security Agreement, dated as of May 25, 2017, among the Registrant, the lenders party thereto and SunTrust Bank, as administrative agent for the lenders (Incorporated by reference to Exhibit 10.1 to the Registrant’s Quarterly Report on Form 10-Q (File No. 814-00736), filed on August 7, 2017).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5">
              <w:r>
                <w:rPr>
                  <w:rStyle w:val="InternetLink"/>
                </w:rPr>
                <w:t xml:space="preserve">Indemnification Agreement, dated as of November 15, 2016, between PennantPark Investment Corporation and each of the directors and officers listed on Schedule A attached thereto (Incorporated by reference to Exhibit 10.5 to the Registrant’s Annual Report on Form 10-K (File No. 814-00736) filed on November 21, 2016). </w:t>
              </w:r>
            </w:hyperlink>
          </w:p>
        </w:tc>
      </w:tr>
      <w:tr>
        <w:trPr/>
        <w:tc>
          <w:tcPr>
            <w:tcW w:w="455" w:type="dxa"/>
            <w:tcBorders/>
            <w:vAlign w:val="center"/>
          </w:tcPr>
          <w:p>
            <w:pPr>
              <w:pStyle w:val="TableContents"/>
              <w:bidi w:val="0"/>
              <w:spacing w:before="0" w:after="283"/>
              <w:jc w:val="left"/>
              <w:rPr>
                <w:sz w:val="4"/>
                <w:szCs w:val="4"/>
              </w:rPr>
            </w:pPr>
            <w:r>
              <w:rPr>
                <w:sz w:val="4"/>
                <w:szCs w:val="4"/>
              </w:rPr>
            </w:r>
          </w:p>
        </w:tc>
        <w:tc>
          <w:tcPr>
            <w:tcW w:w="9750" w:type="dxa"/>
            <w:gridSpan w:val="2"/>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120" w:type="dxa"/>
            <w:tcBorders/>
            <w:vAlign w:val="center"/>
          </w:tcPr>
          <w:p>
            <w:pPr>
              <w:pStyle w:val="TableContents"/>
              <w:bidi w:val="0"/>
              <w:spacing w:before="0" w:after="283"/>
              <w:jc w:val="left"/>
              <w:rPr/>
            </w:pPr>
            <w:r>
              <w:rPr/>
              <w:t>  </w:t>
            </w:r>
          </w:p>
        </w:tc>
        <w:tc>
          <w:tcPr>
            <w:tcW w:w="9630" w:type="dxa"/>
            <w:tcBorders/>
            <w:vAlign w:val="center"/>
          </w:tcPr>
          <w:p>
            <w:pPr>
              <w:pStyle w:val="TableContents"/>
              <w:bidi w:val="0"/>
              <w:spacing w:before="0" w:after="283"/>
              <w:jc w:val="left"/>
              <w:rPr/>
            </w:pPr>
            <w:hyperlink r:id="rId16">
              <w:r>
                <w:rPr>
                  <w:rStyle w:val="InternetLink"/>
                </w:rPr>
                <w:t xml:space="preserve">Fourth Amended and Restated Investment Advisory Management Agreement, dated as of May 20, 2024, between the Registrant and PennantPark Investment Advisers, LLC (Incorporated by reference to Exhibit 10.5 to the Registrant’s Annual Report on Form 10-K (File No. 814-00736) filed on November 24, 2025).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500"/>
        <w:gridCol w:w="120"/>
        <w:gridCol w:w="9585"/>
      </w:tblGrid>
      <w:tr>
        <w:trPr/>
        <w:tc>
          <w:tcPr>
            <w:tcW w:w="5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85" w:type="dxa"/>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17">
              <w:r>
                <w:rPr>
                  <w:rStyle w:val="InternetLink"/>
                </w:rPr>
                <w:t xml:space="preserve">Second Amendment to Second Amended and Restated Senior Secured Revolving Credit Agreement, dated as of September 4, 2019, by and among PennantPark Investment Corporation, as borrower, the lenders party thereto, SunTrust Bank, as administrative agent and collateral agent, and solely with respect to Section 4.9, PNNT CI (GALLS) Prime Investment Holdings, LLC, PNNT Investment Holdings, LLC, PNNT New Gulf Resources, LLC, PNNT ecoserve, LLC and PNNT Cascade Environmental Holdings, LLC (Incorporated by reference to Exhibit 10.1 to the Registrant’s Current Report on Form 8-K (File No. 814-00736), filed on September 4, 2019).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18">
              <w:r>
                <w:rPr>
                  <w:rStyle w:val="InternetLink"/>
                </w:rPr>
                <w:t xml:space="preserve">Amended and Restated Limited Liability Company Agreement of PennantPark Senior Loan Fund, LLC, dated as of July 31, 2020, by and among PennantPark Investment Corporation, Pantheon Private Debt Program SCSp SICAV – RAIF In Respect Of Its Compartment Pantheon Senior Debt Secondaries II (USD) and Solutio Premium Private Debt I SCSp (Incorporated by reference to Exhibit 10.1 to the Registrant’s Current Report on Form 8-K (File No. 814-00736), filed on August 4, 2020).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10.8</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19">
              <w:r>
                <w:rPr>
                  <w:rStyle w:val="InternetLink"/>
                </w:rPr>
                <w:t xml:space="preserve">First Amendment to the Amended and Restated Limited Liability Company Agreement of PennantPark Senior Loan Fund, LLC, dated as of October 31, 2020, by and among PennantPark Investment Corporation, Pantheon Private Debt Program SCSp SICAV – RAIF In Respect Of Its Compartment Pantheon Senior Debt Secondaries II (USD), Pantheon Private Debt Program SCSp SICAV-RAIF In Respect Of Its Compartment Pantheon Credit Opportunities II (USD), Pantheon Private Debt Program SCSp SICAV-RAIF In Respect Of Its Compartment Tubera Credit 2020 and Solutio Premium Private Debt I SCSp (Incorporated by reference to Exhibit 10.12 to the Registrant’s Annual Report on Form 10-K (File No. 814-00736), filed on November 19, 2020).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10.9</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0">
              <w:r>
                <w:rPr>
                  <w:rStyle w:val="InternetLink"/>
                </w:rPr>
                <w:t xml:space="preserve">Second Amendment to the Amended and Restated Limited Liability Company Agreement of PennantPark Senior Loan Fund, LLC, dated as of October 31, 2020, by and among PennantPark Investment Corporation, Pantheon Private Debt Program SCSp SICAV – RAIF In Respect Of Its Compartment Pantheon Senior Debt Secondaries II (USD), Pantheon Private Debt Program SCSp SICAV-RAIF In Respect Of Its Compartment Pantheon Credit Opportunities II (USD), Pantheon Private Debt Program SCSp SICAV-RAIF In Respect Of Its Compartment Tubera Credit 2020 and Solutio Premium Private Debt I SCSp (Incorporated by reference to Exhibit 10.1 to the Registrant’s Current Report on Form 8-K (File No. 814-00736), filed on September 4, 2024).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10.10</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1">
              <w:r>
                <w:rPr>
                  <w:rStyle w:val="InternetLink"/>
                </w:rPr>
                <w:t xml:space="preserve">Fifth Amendment to Second Amended and Restated Senior Secured Revolving Credit Agreement and Second Amended and Restated Guarantee and Security Agreement, dated as of July 29, 2022, among the Registrant, the lenders party thereto and Truist Bank, as administrative agent for the lenders (Incorporated by reference to Exhibit 10.2 to the Registrant’s Form 10-Q (File No. 814-00736), filed on August 3, 2022).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2">
              <w:r>
                <w:rPr>
                  <w:rStyle w:val="InternetLink"/>
                </w:rPr>
                <w:t xml:space="preserve">Equity Distribution Agreement, dated as of June 4, 2024, by and among PennantPark Investment Corporation, PennantPark Investment Advisers, LLC, PennantPark Investment Administration, LLC and Truist Securities, Inc., as the sales agent (Incorporated by reference to Ex. 1.1 to the Registrant’s Current Report on Form 8-K (File No. 814-00736), filed on June 4, 2024).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3">
              <w:r>
                <w:rPr>
                  <w:rStyle w:val="InternetLink"/>
                </w:rPr>
                <w:t xml:space="preserve">Equity Distribution Agreement, dated as of June 4, 2024 by and among PennantPark Investment Corporation, PennantPark Investment Advisers, LLC, PennantPark Investment Administration, LLC and Keefe, Bruyette &amp; Woods, Inc., as the sales agent (Incorporated by reference to Ex. 1.2 to the Registrant’s Current Report on Form 8-K (File No. 814-00736), filed on June 4, 2024).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10.13</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4">
              <w:r>
                <w:rPr>
                  <w:rStyle w:val="InternetLink"/>
                </w:rPr>
                <w:t xml:space="preserve">Sixth Amendment to Second Amended and Restated Senior Secured Revolving Credit Agreement, dated as of June 25, 2024, by and among PennantPark Investment Corporation and Truist Bank, as administrative agent. (Incorporated by reference to Exhibit 10.5 to the Registrant’s Quarterly Report on Form 10- Q (File No. 814-00736), filed on August 7, 2024).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10.14</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5">
              <w:r>
                <w:rPr>
                  <w:rStyle w:val="InternetLink"/>
                </w:rPr>
                <w:t xml:space="preserve">Notice of Commitment Increase Request, dated as of February 7, 2025, from PennantPark Investment Corporation to Truist Bank, as Administrative Agent (Incorporated by reference to Exhibit 10.1 to the Registrant’s Quarterly Report on Form 10-Q, (File No. 814-00736), filed on February 10, 2025).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14.1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6">
              <w:r>
                <w:rPr>
                  <w:rStyle w:val="InternetLink"/>
                </w:rPr>
                <w:t xml:space="preserve">Joint Code of Ethics of the Registrant (Incorporated by reference to Exhibit 14.1 to the Registrant’s Annual Report on Form 10-K (File No. 814-00736) filed on November 24, 2025).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19.1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7">
              <w:r>
                <w:rPr>
                  <w:rStyle w:val="InternetLink"/>
                </w:rPr>
                <w:t xml:space="preserve">Insider Trading Policy (included in the Joint Code of Ethics of the Registrant) (Incorporated by reference to Exhibit 14.1 to this Annual Report on Form 10-K).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8">
              <w:r>
                <w:rPr>
                  <w:rStyle w:val="InternetLink"/>
                </w:rPr>
                <w:t xml:space="preserve">Subsidiaries of the Registrant (Incorporated by reference to Exhibit 21.1 to the Registrant’s Annual Report on Form 10-K (File No. 814-00736) filed on November 24, 2025).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23.1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29">
              <w:r>
                <w:rPr>
                  <w:rStyle w:val="InternetLink"/>
                </w:rPr>
                <w:t xml:space="preserve">Consent of RSM US LLP (Incorporated by reference to Exhibit 23.1 to the Registrant’s Annual Report on Form 10-K (File No. 814-00736) filed on November 24, 2025).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121742dex311.htm">
              <w:r>
                <w:rPr>
                  <w:rStyle w:val="InternetLink"/>
                </w:rPr>
                <w:t xml:space="preserve">Certification of Chief Executive Officer pursuant to Rule 13a-14 of the Securities Exchange Act of 1934, as amended.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121742dex312.htm">
              <w:r>
                <w:rPr>
                  <w:rStyle w:val="InternetLink"/>
                </w:rPr>
                <w:t xml:space="preserve">Certification of Chief Financial Officer pursuant to Rule 13a-14 of the Securities Exchange Act of 1934, as amended.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121742dex321.htm">
              <w:r>
                <w:rPr>
                  <w:rStyle w:val="InternetLink"/>
                </w:rPr>
                <w:t xml:space="preserve">Certification of Chief Executive Officer pursuant to section 906 of the Sarbanes-Oxley Act of 2002.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w:anchor="d121742dex322.htm">
              <w:r>
                <w:rPr>
                  <w:rStyle w:val="InternetLink"/>
                </w:rPr>
                <w:t xml:space="preserve">Certification of Chief Financial Officer pursuant to section 906 of the Sarbanes-Oxley Act of 2002.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97.1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30">
              <w:r>
                <w:rPr>
                  <w:rStyle w:val="InternetLink"/>
                </w:rPr>
                <w:t xml:space="preserve">Clawback Policy (Incorporated by reference to Exhibit 97.1 to the Registrant’s Annual Report on Form 10-K (File No. 814-00736), filed on December 8, 2023).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99.1</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31">
              <w:r>
                <w:rPr>
                  <w:rStyle w:val="InternetLink"/>
                </w:rPr>
                <w:t xml:space="preserve">Privacy Policy of the Registrant (Incorporated by reference to Exhibit 99.1 to the Registrant’s Annual Report on Form 10-K (File No. 814-00736), filed on December 8, 2023).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99.2</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32">
              <w:r>
                <w:rPr>
                  <w:rStyle w:val="InternetLink"/>
                </w:rPr>
                <w:t xml:space="preserve">Report of RSM US LLP on Senior Securities Table (Incorporated by reference to Exhibit 99.2 to the Registrant’s Annual Report on Form 10-K (File No. 814- 00736) filed on November 24, 2025). </w:t>
              </w:r>
            </w:hyperlink>
          </w:p>
        </w:tc>
      </w:tr>
      <w:tr>
        <w:trPr/>
        <w:tc>
          <w:tcPr>
            <w:tcW w:w="500" w:type="dxa"/>
            <w:tcBorders/>
            <w:vAlign w:val="center"/>
          </w:tcPr>
          <w:p>
            <w:pPr>
              <w:pStyle w:val="TableContents"/>
              <w:bidi w:val="0"/>
              <w:spacing w:before="0" w:after="283"/>
              <w:jc w:val="left"/>
              <w:rPr>
                <w:sz w:val="4"/>
                <w:szCs w:val="4"/>
              </w:rPr>
            </w:pPr>
            <w:r>
              <w:rPr>
                <w:sz w:val="4"/>
                <w:szCs w:val="4"/>
              </w:rPr>
            </w:r>
          </w:p>
        </w:tc>
        <w:tc>
          <w:tcPr>
            <w:tcW w:w="9705"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99.3</w:t>
            </w:r>
          </w:p>
        </w:tc>
        <w:tc>
          <w:tcPr>
            <w:tcW w:w="120" w:type="dxa"/>
            <w:tcBorders/>
            <w:vAlign w:val="center"/>
          </w:tcPr>
          <w:p>
            <w:pPr>
              <w:pStyle w:val="TableContents"/>
              <w:bidi w:val="0"/>
              <w:spacing w:before="0" w:after="283"/>
              <w:jc w:val="left"/>
              <w:rPr/>
            </w:pPr>
            <w:r>
              <w:rPr/>
              <w:t>  </w:t>
            </w:r>
          </w:p>
        </w:tc>
        <w:tc>
          <w:tcPr>
            <w:tcW w:w="9585" w:type="dxa"/>
            <w:tcBorders/>
            <w:vAlign w:val="center"/>
          </w:tcPr>
          <w:p>
            <w:pPr>
              <w:pStyle w:val="TableContents"/>
              <w:bidi w:val="0"/>
              <w:spacing w:before="0" w:after="283"/>
              <w:jc w:val="left"/>
              <w:rPr/>
            </w:pPr>
            <w:hyperlink r:id="rId33">
              <w:r>
                <w:rPr>
                  <w:rStyle w:val="InternetLink"/>
                </w:rPr>
                <w:t xml:space="preserve">Audited Consolidated Financial Statement of PennantPark Senior Loan Fund LLC for the Year Ended September 30, 2025 and 2024 (Incorporated by reference to Exhibit 99.3 to the Registrant’s Annual Report on Form 10-K (File No. 814-00736) filed on November 24, 2025). </w:t>
              </w:r>
            </w:hyperlink>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555"/>
        <w:gridCol w:w="120"/>
        <w:gridCol w:w="9530"/>
      </w:tblGrid>
      <w:tr>
        <w:trPr/>
        <w:tc>
          <w:tcPr>
            <w:tcW w:w="5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30" w:type="dxa"/>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99.4</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hyperlink r:id="rId34">
              <w:r>
                <w:rPr>
                  <w:rStyle w:val="InternetLink"/>
                </w:rPr>
                <w:t xml:space="preserve">Audited Consolidated Financial Statement of PennantPark Senior Loan Fund LLC for the Year Ended September 30, 2024 and 2023 (Incorporated by reference to Exhibit 99.4 to the Registrant’s Annual Report on Form 10-K (File No. 814-00736) filed on November 24, 2025). </w:t>
              </w:r>
            </w:hyperlink>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99.5*</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hyperlink w:anchor="d121742dex995.htm">
              <w:r>
                <w:rPr>
                  <w:rStyle w:val="InternetLink"/>
                </w:rPr>
                <w:t xml:space="preserve">Audited Consolidated Financial Statements of AKW Holdings Limited as of December 31, 2025 and for the year ended December 31, 2025 and Unaudited Consolidated Financial Statements for AKW Holdings Limited as of December 31, 2024 and for each of the years in the two-year period ended December 31, 2024. </w:t>
              </w:r>
            </w:hyperlink>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101.INS*</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Inline XBRL Instance Document</w:t>
            </w:r>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101.SCH*</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Inline XBRL Taxonomy Extension Schema</w:t>
            </w:r>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101.CAL*</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Inline XBRL Extension Calculation Linkbase Document</w:t>
            </w:r>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101.DEF*</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Inline XBRL Taxonomy Extension Definition Linkbase Document</w:t>
            </w:r>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101.LAB*</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Inline XBRL Taxonomy Extension Label Linkbase Document</w:t>
            </w:r>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101.PRE*</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Inline XBRL Taxonomy Extension Presentation Linkbase Document</w:t>
            </w:r>
          </w:p>
        </w:tc>
      </w:tr>
      <w:tr>
        <w:trPr/>
        <w:tc>
          <w:tcPr>
            <w:tcW w:w="555" w:type="dxa"/>
            <w:tcBorders/>
            <w:vAlign w:val="center"/>
          </w:tcPr>
          <w:p>
            <w:pPr>
              <w:pStyle w:val="TableContents"/>
              <w:bidi w:val="0"/>
              <w:spacing w:before="0" w:after="283"/>
              <w:jc w:val="left"/>
              <w:rPr>
                <w:sz w:val="4"/>
                <w:szCs w:val="4"/>
              </w:rPr>
            </w:pPr>
            <w:r>
              <w:rPr>
                <w:sz w:val="4"/>
                <w:szCs w:val="4"/>
              </w:rPr>
            </w:r>
          </w:p>
        </w:tc>
        <w:tc>
          <w:tcPr>
            <w:tcW w:w="9650" w:type="dxa"/>
            <w:gridSpan w:val="2"/>
            <w:tcBorders/>
            <w:vAlign w:val="center"/>
          </w:tcPr>
          <w:p>
            <w:pPr>
              <w:pStyle w:val="TableContents"/>
              <w:bidi w:val="0"/>
              <w:spacing w:before="0" w:after="283"/>
              <w:jc w:val="left"/>
              <w:rPr>
                <w:sz w:val="4"/>
                <w:szCs w:val="4"/>
              </w:rPr>
            </w:pPr>
            <w:r>
              <w:rPr>
                <w:sz w:val="4"/>
                <w:szCs w:val="4"/>
              </w:rPr>
            </w:r>
          </w:p>
        </w:tc>
      </w:tr>
      <w:tr>
        <w:trPr/>
        <w:tc>
          <w:tcPr>
            <w:tcW w:w="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12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lineRule="atLeast" w:line="160" w:before="0" w:after="40"/>
        <w:jc w:val="left"/>
        <w:rPr>
          <w:bdr w:val="single" w:sz="2" w:space="1" w:color="000000"/>
        </w:rPr>
      </w:pPr>
      <w:r>
        <w:rPr>
          <w:bdr w:val="single" w:sz="2" w:space="1" w:color="000000"/>
        </w:rPr>
        <w:t> </w:t>
      </w:r>
    </w:p>
    <w:tbl>
      <w:tblPr>
        <w:tblW w:w="1405" w:type="dxa"/>
        <w:jc w:val="left"/>
        <w:tblInd w:w="0" w:type="dxa"/>
        <w:tblLayout w:type="fixed"/>
        <w:tblCellMar>
          <w:top w:w="0" w:type="dxa"/>
          <w:left w:w="0" w:type="dxa"/>
          <w:bottom w:w="0" w:type="dxa"/>
          <w:right w:w="0" w:type="dxa"/>
        </w:tblCellMar>
      </w:tblPr>
      <w:tblGrid>
        <w:gridCol w:w="155"/>
        <w:gridCol w:w="1250"/>
      </w:tblGrid>
      <w:tr>
        <w:trPr/>
        <w:tc>
          <w:tcPr>
            <w:tcW w:w="155" w:type="dxa"/>
            <w:tcBorders/>
            <w:vAlign w:val="center"/>
          </w:tcPr>
          <w:p>
            <w:pPr>
              <w:pStyle w:val="TableContents"/>
              <w:bidi w:val="0"/>
              <w:spacing w:before="0" w:after="283"/>
              <w:jc w:val="left"/>
              <w:rPr/>
            </w:pPr>
            <w:r>
              <w:rPr/>
              <w:t>*</w:t>
            </w:r>
          </w:p>
        </w:tc>
        <w:tc>
          <w:tcPr>
            <w:tcW w:w="1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13 or 15(d) of the Securities Exchange Act of 1934, the registrant has duly caused this report to be signed on its behalf by the undersigned, thereunto duly authorized on July 1, 2026.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665"/>
        <w:gridCol w:w="60"/>
        <w:gridCol w:w="6560"/>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ARTHUR H. PENN</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b/>
              </w:rPr>
            </w:pPr>
            <w:r>
              <w:rPr>
                <w:b/>
              </w:rPr>
              <w:t>Arthur H. Penn</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center"/>
              <w:rPr>
                <w:b/>
              </w:rPr>
            </w:pPr>
            <w:r>
              <w:rPr>
                <w:b/>
              </w:rPr>
              <w:t>Chief Executive Officer and Chairman of the Board of Directors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spacing w:before="0" w:after="0"/>
        <w:jc w:val="left"/>
        <w:rPr/>
      </w:pPr>
      <w:r>
        <w:rPr/>
        <w:t> </w:t>
      </w:r>
    </w:p>
    <w:tbl>
      <w:tblPr>
        <w:tblW w:w="10200" w:type="dxa"/>
        <w:jc w:val="left"/>
        <w:tblInd w:w="0" w:type="dxa"/>
        <w:tblLayout w:type="fixed"/>
        <w:tblCellMar>
          <w:top w:w="0" w:type="dxa"/>
          <w:left w:w="0" w:type="dxa"/>
          <w:bottom w:w="0" w:type="dxa"/>
          <w:right w:w="0" w:type="dxa"/>
        </w:tblCellMar>
      </w:tblPr>
      <w:tblGrid>
        <w:gridCol w:w="2645"/>
        <w:gridCol w:w="120"/>
        <w:gridCol w:w="6110"/>
        <w:gridCol w:w="120"/>
        <w:gridCol w:w="1205"/>
      </w:tblGrid>
      <w:tr>
        <w:trPr/>
        <w:tc>
          <w:tcPr>
            <w:tcW w:w="26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0" w:type="dxa"/>
            <w:tcBorders/>
            <w:vAlign w:val="center"/>
          </w:tcPr>
          <w:p>
            <w:pPr>
              <w:pStyle w:val="TableContents"/>
              <w:bidi w:val="0"/>
              <w:spacing w:before="0" w:after="283"/>
              <w:jc w:val="left"/>
              <w:rPr/>
            </w:pPr>
            <w:r>
              <w:rPr/>
              <w:t>  </w:t>
            </w:r>
          </w:p>
        </w:tc>
        <w:tc>
          <w:tcPr>
            <w:tcW w:w="61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20" w:type="dxa"/>
            <w:tcBorders/>
            <w:vAlign w:val="center"/>
          </w:tcPr>
          <w:p>
            <w:pPr>
              <w:pStyle w:val="TableContents"/>
              <w:bidi w:val="0"/>
              <w:spacing w:before="0" w:after="283"/>
              <w:jc w:val="left"/>
              <w:rPr/>
            </w:pPr>
            <w:r>
              <w:rPr/>
              <w:t>  </w:t>
            </w:r>
          </w:p>
        </w:tc>
        <w:tc>
          <w:tcPr>
            <w:tcW w:w="12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Chief Executive Officer and Chairman of the Board of Directors</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b/>
              </w:rPr>
            </w:pPr>
            <w:r>
              <w:rPr>
                <w:b/>
              </w:rPr>
              <w:t>Arthur H. Penn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(Principal Executive Officer)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Chief Financial Officer and Treasurer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pPr>
            <w:r>
              <w:rPr/>
              <w:t>Richard T. Allorto,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(Principal Financial and Accounting Officer)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ADAM K. BERNSTEIN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b/>
              </w:rPr>
            </w:pPr>
            <w:r>
              <w:rPr>
                <w:b/>
              </w:rPr>
              <w:t>Adam K. Bernstein</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JEFFREY FLUG</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b/>
              </w:rPr>
            </w:pPr>
            <w:r>
              <w:rPr>
                <w:b/>
              </w:rPr>
              <w:t>Jeffrey Flug</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MARSHALL BROZOST</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b/>
              </w:rPr>
            </w:pPr>
            <w:r>
              <w:rPr>
                <w:b/>
              </w:rPr>
              <w:t>Marshall Brozost</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SAMUEL L. KATZ</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b/>
              </w:rPr>
            </w:pPr>
            <w:r>
              <w:rPr>
                <w:b/>
              </w:rPr>
              <w:t>Samuel L. Katz</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bidi w:val="0"/>
              <w:spacing w:before="0" w:after="283"/>
              <w:jc w:val="left"/>
              <w:rPr>
                <w:sz w:val="4"/>
                <w:szCs w:val="4"/>
              </w:rPr>
            </w:pPr>
            <w:r>
              <w:rPr>
                <w:sz w:val="4"/>
                <w:szCs w:val="4"/>
              </w:rPr>
            </w:r>
          </w:p>
        </w:tc>
        <w:tc>
          <w:tcPr>
            <w:tcW w:w="623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r>
      <w:tr>
        <w:trPr/>
        <w:tc>
          <w:tcPr>
            <w:tcW w:w="264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JOSÉ A. BRIONES,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center"/>
              <w:rPr/>
            </w:pPr>
            <w:r>
              <w:rPr/>
              <w:t>Director</w:t>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center"/>
              <w:rPr/>
            </w:pPr>
            <w:r>
              <w:rPr/>
              <w:t>July 1, 2026</w:t>
            </w:r>
          </w:p>
        </w:tc>
      </w:tr>
      <w:tr>
        <w:trPr/>
        <w:tc>
          <w:tcPr>
            <w:tcW w:w="2645" w:type="dxa"/>
            <w:tcBorders/>
            <w:vAlign w:val="center"/>
          </w:tcPr>
          <w:p>
            <w:pPr>
              <w:pStyle w:val="TableContents"/>
              <w:bidi w:val="0"/>
              <w:spacing w:before="0" w:after="283"/>
              <w:jc w:val="left"/>
              <w:rPr>
                <w:b/>
              </w:rPr>
            </w:pPr>
            <w:r>
              <w:rPr>
                <w:b/>
              </w:rPr>
              <w:t>José A. Briones, Jr.</w:t>
            </w:r>
          </w:p>
        </w:tc>
        <w:tc>
          <w:tcPr>
            <w:tcW w:w="12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2" w:name="d121742dex311.htm"/>
      <w:bookmarkStart w:id="3" w:name="ksd121742dex311"/>
      <w:bookmarkEnd w:id="2"/>
      <w:bookmarkEnd w:id="3"/>
      <w:r>
        <w:rPr>
          <w:rFonts w:ascii="Times New Roman" w:hAnsi="Times New Roman"/>
          <w:b/>
          <w:sz w:val="20"/>
        </w:rPr>
        <w:t xml:space="preserve">EXHIBIT 31.1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SECTION 302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Arthur H. Penn, Chief Executive Officer and Chairman of the Board of Directors of PennantPark Investment Corporation,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10-K/A of PennantPark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July 1,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Arthur H. Penn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bl>
    <w:p>
      <w:pPr>
        <w:pStyle w:val="TextBody"/>
        <w:bidi w:val="0"/>
        <w:spacing w:before="0" w:after="0"/>
        <w:jc w:val="right"/>
        <w:rPr>
          <w:rFonts w:ascii="Times New Roman" w:hAnsi="Times New Roman"/>
          <w:b/>
          <w:sz w:val="20"/>
        </w:rPr>
      </w:pPr>
      <w:bookmarkStart w:id="4" w:name="d121742dex312.htm"/>
      <w:bookmarkStart w:id="5" w:name="ksd121742dex312"/>
      <w:bookmarkEnd w:id="4"/>
      <w:bookmarkEnd w:id="5"/>
      <w:r>
        <w:rPr>
          <w:rFonts w:ascii="Times New Roman" w:hAnsi="Times New Roman"/>
          <w:b/>
          <w:sz w:val="20"/>
        </w:rPr>
        <w:t xml:space="preserve">Exhibit 31.2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PURSUANT TO SECTION 302 </w:t>
      </w:r>
    </w:p>
    <w:p>
      <w:pPr>
        <w:pStyle w:val="TextBody"/>
        <w:bidi w:val="0"/>
        <w:spacing w:before="0" w:after="0"/>
        <w:jc w:val="center"/>
        <w:rPr>
          <w:rFonts w:ascii="Times New Roman" w:hAnsi="Times New Roman"/>
          <w:b/>
          <w:sz w:val="20"/>
        </w:rPr>
      </w:pPr>
      <w:r>
        <w:rPr>
          <w:rFonts w:ascii="Times New Roman" w:hAnsi="Times New Roman"/>
          <w:b/>
          <w:sz w:val="20"/>
        </w:rPr>
        <w:t xml:space="preserve">CHIEF FINANCIAL OFFICER CERTIFICATION </w:t>
      </w:r>
    </w:p>
    <w:p>
      <w:pPr>
        <w:pStyle w:val="TextBody"/>
        <w:bidi w:val="0"/>
        <w:spacing w:before="240" w:after="0"/>
        <w:jc w:val="left"/>
        <w:rPr>
          <w:rFonts w:ascii="Times New Roman" w:hAnsi="Times New Roman"/>
          <w:sz w:val="20"/>
        </w:rPr>
      </w:pPr>
      <w:r>
        <w:rPr>
          <w:rFonts w:ascii="Times New Roman" w:hAnsi="Times New Roman"/>
          <w:sz w:val="20"/>
        </w:rPr>
        <w:t xml:space="preserve">I, Richard T. Allorto, Jr., Chief Financial Officer of PennantPark Investment Corporation, certify that: </w:t>
      </w:r>
    </w:p>
    <w:p>
      <w:pPr>
        <w:pStyle w:val="TextBody"/>
        <w:bidi w:val="0"/>
        <w:spacing w:before="120" w:after="0"/>
        <w:jc w:val="left"/>
        <w:rPr>
          <w:rFonts w:ascii="Times New Roman" w:hAnsi="Times New Roman"/>
          <w:sz w:val="20"/>
        </w:rPr>
      </w:pPr>
      <w:r>
        <w:rPr>
          <w:rFonts w:ascii="Times New Roman" w:hAnsi="Times New Roman"/>
          <w:sz w:val="20"/>
        </w:rPr>
        <w:t xml:space="preserve">1. I have reviewed this Annual Report on Form 10-K/A of PennantPark Investment Corporation; </w:t>
      </w:r>
    </w:p>
    <w:p>
      <w:pPr>
        <w:pStyle w:val="TextBody"/>
        <w:bidi w:val="0"/>
        <w:spacing w:before="120" w:after="0"/>
        <w:jc w:val="left"/>
        <w:rPr>
          <w:rFonts w:ascii="Times New Roman" w:hAnsi="Times New Roman"/>
          <w:sz w:val="20"/>
        </w:rPr>
      </w:pPr>
      <w:r>
        <w:rPr>
          <w:rFonts w:ascii="Times New Roman" w:hAnsi="Times New Roman"/>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0"/>
        <w:jc w:val="left"/>
        <w:rPr>
          <w:rFonts w:ascii="Times New Roman" w:hAnsi="Times New Roman"/>
          <w:sz w:val="20"/>
        </w:rPr>
      </w:pPr>
      <w:r>
        <w:rPr>
          <w:rFonts w:ascii="Times New Roman" w:hAnsi="Times New Roman"/>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0"/>
        <w:jc w:val="left"/>
        <w:rPr>
          <w:rFonts w:ascii="Times New Roman" w:hAnsi="Times New Roman"/>
          <w:sz w:val="20"/>
        </w:rPr>
      </w:pPr>
      <w:r>
        <w:rPr>
          <w:rFonts w:ascii="Times New Roman" w:hAnsi="Times New Roman"/>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0"/>
        <w:jc w:val="left"/>
        <w:rPr>
          <w:rFonts w:ascii="Times New Roman" w:hAnsi="Times New Roman"/>
          <w:sz w:val="20"/>
        </w:rPr>
      </w:pPr>
      <w:r>
        <w:rPr>
          <w:rFonts w:ascii="Times New Roman" w:hAnsi="Times New Roman"/>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 </w:t>
      </w:r>
    </w:p>
    <w:p>
      <w:pPr>
        <w:pStyle w:val="TextBody"/>
        <w:bidi w:val="0"/>
        <w:spacing w:before="120" w:after="0"/>
        <w:jc w:val="left"/>
        <w:rPr>
          <w:rFonts w:ascii="Times New Roman" w:hAnsi="Times New Roman"/>
          <w:sz w:val="20"/>
        </w:rPr>
      </w:pPr>
      <w:r>
        <w:rPr>
          <w:rFonts w:ascii="Times New Roman" w:hAnsi="Times New Roman"/>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 </w:t>
      </w:r>
    </w:p>
    <w:p>
      <w:pPr>
        <w:pStyle w:val="TextBody"/>
        <w:bidi w:val="0"/>
        <w:spacing w:before="120" w:after="0"/>
        <w:jc w:val="left"/>
        <w:rPr>
          <w:rFonts w:ascii="Times New Roman" w:hAnsi="Times New Roman"/>
          <w:sz w:val="20"/>
        </w:rPr>
      </w:pPr>
      <w:r>
        <w:rPr>
          <w:rFonts w:ascii="Times New Roman" w:hAnsi="Times New Roman"/>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0"/>
        <w:jc w:val="left"/>
        <w:rPr>
          <w:rFonts w:ascii="Times New Roman" w:hAnsi="Times New Roman"/>
          <w:sz w:val="20"/>
        </w:rPr>
      </w:pPr>
      <w:r>
        <w:rPr>
          <w:rFonts w:ascii="Times New Roman" w:hAnsi="Times New Roman"/>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0"/>
        <w:jc w:val="left"/>
        <w:rPr>
          <w:rFonts w:ascii="Times New Roman" w:hAnsi="Times New Roman"/>
          <w:sz w:val="20"/>
        </w:rPr>
      </w:pPr>
      <w:r>
        <w:rPr>
          <w:rFonts w:ascii="Times New Roman" w:hAnsi="Times New Roman"/>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0"/>
        <w:jc w:val="left"/>
        <w:rPr>
          <w:rFonts w:ascii="Times New Roman" w:hAnsi="Times New Roman"/>
          <w:sz w:val="20"/>
        </w:rPr>
      </w:pPr>
      <w:r>
        <w:rPr>
          <w:rFonts w:ascii="Times New Roman" w:hAnsi="Times New Roman"/>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0"/>
        <w:jc w:val="left"/>
        <w:rPr>
          <w:rFonts w:ascii="Times New Roman" w:hAnsi="Times New Roman"/>
          <w:sz w:val="20"/>
        </w:rPr>
      </w:pPr>
      <w:r>
        <w:rPr>
          <w:rFonts w:ascii="Times New Roman" w:hAnsi="Times New Roman"/>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Date: July 1, 2026</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Richard T. Allorto, Jr.</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6" w:name="d121742dex321.htm"/>
      <w:bookmarkStart w:id="7" w:name="ksd121742dex321"/>
      <w:bookmarkEnd w:id="6"/>
      <w:bookmarkEnd w:id="7"/>
      <w:r>
        <w:rPr>
          <w:rFonts w:ascii="Times New Roman" w:hAnsi="Times New Roman"/>
          <w:b/>
          <w:sz w:val="20"/>
        </w:rPr>
        <w:t xml:space="preserve">EXHIBIT 32.1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(18 U.S.C. Section 1350)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on Form 10-K/A of PennantPark Investment Corporation for the annual period ended September 30, 2025 as filed with the Securities and Exchange Commission on the date hereof (the “Report”), I, Arthur H. Penn, as Chief Executive Officer of the Registrant hereby certify, to the best of my knowledge that: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Registrant.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5"/>
        <w:gridCol w:w="61"/>
        <w:gridCol w:w="3316"/>
      </w:tblGrid>
      <w:tr>
        <w:trPr/>
        <w:tc>
          <w:tcPr>
            <w:tcW w:w="705"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Arthur H. Penn</w:t>
            </w:r>
          </w:p>
        </w:tc>
      </w:tr>
      <w:tr>
        <w:trPr/>
        <w:tc>
          <w:tcPr>
            <w:tcW w:w="705"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Arthur H. Penn</w:t>
            </w:r>
          </w:p>
        </w:tc>
      </w:tr>
      <w:tr>
        <w:trPr/>
        <w:tc>
          <w:tcPr>
            <w:tcW w:w="705"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Chief Executive Officer</w:t>
            </w:r>
          </w:p>
        </w:tc>
      </w:tr>
      <w:tr>
        <w:trPr/>
        <w:tc>
          <w:tcPr>
            <w:tcW w:w="705" w:type="dxa"/>
            <w:tcBorders/>
          </w:tcPr>
          <w:p>
            <w:pPr>
              <w:pStyle w:val="TableContents"/>
              <w:bidi w:val="0"/>
              <w:spacing w:before="0" w:after="283"/>
              <w:jc w:val="left"/>
              <w:rPr/>
            </w:pPr>
            <w:r>
              <w:rPr/>
              <w:t>Date:</w:t>
            </w:r>
          </w:p>
        </w:tc>
        <w:tc>
          <w:tcPr>
            <w:tcW w:w="61" w:type="dxa"/>
            <w:tcBorders/>
            <w:vAlign w:val="bottom"/>
          </w:tcPr>
          <w:p>
            <w:pPr>
              <w:pStyle w:val="TableContents"/>
              <w:bidi w:val="0"/>
              <w:spacing w:before="0" w:after="283"/>
              <w:jc w:val="left"/>
              <w:rPr/>
            </w:pPr>
            <w:r>
              <w:rPr/>
              <w:t> </w:t>
            </w:r>
          </w:p>
        </w:tc>
        <w:tc>
          <w:tcPr>
            <w:tcW w:w="3316" w:type="dxa"/>
            <w:tcBorders/>
          </w:tcPr>
          <w:p>
            <w:pPr>
              <w:pStyle w:val="TableContents"/>
              <w:bidi w:val="0"/>
              <w:spacing w:before="0" w:after="283"/>
              <w:jc w:val="left"/>
              <w:rPr/>
            </w:pPr>
            <w:r>
              <w:rPr/>
              <w:t>July 1, 2026</w:t>
            </w:r>
          </w:p>
        </w:tc>
      </w:tr>
    </w:tbl>
    <w:p>
      <w:pPr>
        <w:pStyle w:val="TextBody"/>
        <w:bidi w:val="0"/>
        <w:spacing w:before="0" w:after="0"/>
        <w:jc w:val="right"/>
        <w:rPr>
          <w:rFonts w:ascii="Times New Roman" w:hAnsi="Times New Roman"/>
          <w:b/>
          <w:sz w:val="20"/>
        </w:rPr>
      </w:pPr>
      <w:bookmarkStart w:id="8" w:name="d121742dex322.htm"/>
      <w:bookmarkStart w:id="9" w:name="ksd121742dex322"/>
      <w:bookmarkEnd w:id="8"/>
      <w:bookmarkEnd w:id="9"/>
      <w:r>
        <w:rPr>
          <w:rFonts w:ascii="Times New Roman" w:hAnsi="Times New Roman"/>
          <w:b/>
          <w:sz w:val="20"/>
        </w:rPr>
        <w:t xml:space="preserve">EXHIBIT 32.2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CERTIFICATION OF CHIEF FINANCIAL OFFICER </w:t>
      </w:r>
    </w:p>
    <w:p>
      <w:pPr>
        <w:pStyle w:val="TextBody"/>
        <w:bidi w:val="0"/>
        <w:spacing w:before="0" w:after="0"/>
        <w:jc w:val="center"/>
        <w:rPr>
          <w:rFonts w:ascii="Times New Roman" w:hAnsi="Times New Roman"/>
          <w:b/>
          <w:sz w:val="20"/>
        </w:rPr>
      </w:pPr>
      <w:r>
        <w:rPr>
          <w:rFonts w:ascii="Times New Roman" w:hAnsi="Times New Roman"/>
          <w:b/>
          <w:sz w:val="20"/>
        </w:rPr>
        <w:t xml:space="preserve">Pursuant to </w:t>
      </w:r>
    </w:p>
    <w:p>
      <w:pPr>
        <w:pStyle w:val="TextBody"/>
        <w:bidi w:val="0"/>
        <w:spacing w:before="0" w:after="0"/>
        <w:jc w:val="center"/>
        <w:rPr>
          <w:rFonts w:ascii="Times New Roman" w:hAnsi="Times New Roman"/>
          <w:b/>
          <w:sz w:val="20"/>
        </w:rPr>
      </w:pPr>
      <w:r>
        <w:rPr>
          <w:rFonts w:ascii="Times New Roman" w:hAnsi="Times New Roman"/>
          <w:b/>
          <w:sz w:val="20"/>
        </w:rPr>
        <w:t xml:space="preserve">Section 906 of the Sarbanes-Oxley Act of 2002 (18 U.S.C. Section 1350)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Annual Report on Form 10-K/A of PennantPark Investment Corporation for the annual period ended September 30, 2025 as filed with the Securities and Exchange Commission on the date hereof (the “Report”), I, Richard T. Allorto, Jr., as Chief Financial Officer of the Registrant hereby certify, to the best of my knowledge that: </w:t>
      </w:r>
    </w:p>
    <w:p>
      <w:pPr>
        <w:pStyle w:val="TextBody"/>
        <w:bidi w:val="0"/>
        <w:spacing w:before="120" w:after="0"/>
        <w:jc w:val="left"/>
        <w:rPr>
          <w:rFonts w:ascii="Times New Roman" w:hAnsi="Times New Roman"/>
          <w:sz w:val="20"/>
        </w:rPr>
      </w:pPr>
      <w:r>
        <w:rPr>
          <w:rFonts w:ascii="Times New Roman" w:hAnsi="Times New Roman"/>
          <w:sz w:val="20"/>
        </w:rPr>
        <w:t xml:space="preserve">(1) The Report fully complies with the requirements of Section 13(a) or 15(d) of the Securities Exchange Act of 1934; and </w:t>
      </w:r>
    </w:p>
    <w:p>
      <w:pPr>
        <w:pStyle w:val="TextBody"/>
        <w:bidi w:val="0"/>
        <w:spacing w:before="120" w:after="0"/>
        <w:jc w:val="left"/>
        <w:rPr>
          <w:rFonts w:ascii="Times New Roman" w:hAnsi="Times New Roman"/>
          <w:sz w:val="20"/>
        </w:rPr>
      </w:pPr>
      <w:r>
        <w:rPr>
          <w:rFonts w:ascii="Times New Roman" w:hAnsi="Times New Roman"/>
          <w:sz w:val="20"/>
        </w:rPr>
        <w:t xml:space="preserve">(2) The information contained in the Report fairly presents, in all material respects, the financial condition and results of operations of the Registrant.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704"/>
        <w:gridCol w:w="60"/>
        <w:gridCol w:w="3318"/>
      </w:tblGrid>
      <w:tr>
        <w:trPr/>
        <w:tc>
          <w:tcPr>
            <w:tcW w:w="7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Richard T. Allorto, Jr.</w:t>
            </w:r>
          </w:p>
        </w:tc>
      </w:tr>
      <w:tr>
        <w:trPr/>
        <w:tc>
          <w:tcPr>
            <w:tcW w:w="704"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Richard T. Allorto, Jr.</w:t>
            </w:r>
          </w:p>
        </w:tc>
      </w:tr>
      <w:tr>
        <w:trPr/>
        <w:tc>
          <w:tcPr>
            <w:tcW w:w="704"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Chief Financial Officer</w:t>
            </w:r>
          </w:p>
        </w:tc>
      </w:tr>
      <w:tr>
        <w:trPr/>
        <w:tc>
          <w:tcPr>
            <w:tcW w:w="704" w:type="dxa"/>
            <w:tcBorders/>
          </w:tcPr>
          <w:p>
            <w:pPr>
              <w:pStyle w:val="TableContents"/>
              <w:bidi w:val="0"/>
              <w:spacing w:before="0" w:after="283"/>
              <w:jc w:val="left"/>
              <w:rPr/>
            </w:pPr>
            <w:r>
              <w:rPr/>
              <w:t>Date:</w:t>
            </w:r>
          </w:p>
        </w:tc>
        <w:tc>
          <w:tcPr>
            <w:tcW w:w="60" w:type="dxa"/>
            <w:tcBorders/>
            <w:vAlign w:val="bottom"/>
          </w:tcPr>
          <w:p>
            <w:pPr>
              <w:pStyle w:val="TableContents"/>
              <w:bidi w:val="0"/>
              <w:spacing w:before="0" w:after="283"/>
              <w:jc w:val="left"/>
              <w:rPr/>
            </w:pPr>
            <w:r>
              <w:rPr/>
              <w:t> </w:t>
            </w:r>
          </w:p>
        </w:tc>
        <w:tc>
          <w:tcPr>
            <w:tcW w:w="3318" w:type="dxa"/>
            <w:tcBorders/>
          </w:tcPr>
          <w:p>
            <w:pPr>
              <w:pStyle w:val="TableContents"/>
              <w:bidi w:val="0"/>
              <w:spacing w:before="0" w:after="283"/>
              <w:jc w:val="left"/>
              <w:rPr/>
            </w:pPr>
            <w:r>
              <w:rPr/>
              <w:t>July 1, 2026</w:t>
            </w:r>
          </w:p>
        </w:tc>
      </w:tr>
    </w:tbl>
    <w:p>
      <w:pPr>
        <w:pStyle w:val="TextBody"/>
        <w:bidi w:val="0"/>
        <w:spacing w:before="0" w:after="0"/>
        <w:jc w:val="right"/>
        <w:rPr>
          <w:rFonts w:ascii="Times New Roman" w:hAnsi="Times New Roman"/>
          <w:sz w:val="20"/>
        </w:rPr>
      </w:pPr>
      <w:bookmarkStart w:id="10" w:name="d121742dex995.htm"/>
      <w:bookmarkStart w:id="11" w:name="ksd121742dex995"/>
      <w:bookmarkEnd w:id="10"/>
      <w:bookmarkEnd w:id="11"/>
      <w:r>
        <w:rPr>
          <w:rFonts w:ascii="Times New Roman" w:hAnsi="Times New Roman"/>
          <w:sz w:val="20"/>
        </w:rPr>
        <w:t xml:space="preserve">Exhibit 99.5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AKW Holdings Limited </w:t>
      </w:r>
    </w:p>
    <w:p>
      <w:pPr>
        <w:pStyle w:val="TextBody"/>
        <w:bidi w:val="0"/>
        <w:spacing w:before="240" w:after="0"/>
        <w:jc w:val="center"/>
        <w:rPr>
          <w:rFonts w:ascii="Times New Roman" w:hAnsi="Times New Roman"/>
          <w:sz w:val="20"/>
        </w:rPr>
      </w:pPr>
      <w:r>
        <w:rPr>
          <w:rFonts w:ascii="Times New Roman" w:hAnsi="Times New Roman"/>
          <w:sz w:val="20"/>
        </w:rPr>
        <w:t xml:space="preserve">Annual report and financial statements </w:t>
      </w:r>
    </w:p>
    <w:p>
      <w:pPr>
        <w:pStyle w:val="TextBody"/>
        <w:bidi w:val="0"/>
        <w:spacing w:before="240" w:after="0"/>
        <w:jc w:val="center"/>
        <w:rPr>
          <w:rFonts w:ascii="Times New Roman" w:hAnsi="Times New Roman"/>
          <w:sz w:val="20"/>
        </w:rPr>
      </w:pPr>
      <w:r>
        <w:rPr>
          <w:rFonts w:ascii="Times New Roman" w:hAnsi="Times New Roman"/>
          <w:sz w:val="20"/>
        </w:rPr>
        <w:t xml:space="preserve">31 December 2025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55"/>
        <w:gridCol w:w="153"/>
        <w:gridCol w:w="60"/>
        <w:gridCol w:w="575"/>
        <w:gridCol w:w="62"/>
      </w:tblGrid>
      <w:tr>
        <w:trPr/>
        <w:tc>
          <w:tcPr>
            <w:tcW w:w="935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5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35"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Independent Auditor’s Report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Profit and Loss Account and Other Comprehensive Income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Balance Sheet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Statement of Changes in Equity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Consolidated Cash Flow Statement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rHeight w:val="120" w:hRule="atLeast"/>
        </w:trPr>
        <w:tc>
          <w:tcPr>
            <w:tcW w:w="9355" w:type="dxa"/>
            <w:tcBorders/>
            <w:vAlign w:val="center"/>
          </w:tcPr>
          <w:p>
            <w:pPr>
              <w:pStyle w:val="TableContents"/>
              <w:bidi w:val="0"/>
              <w:spacing w:before="0" w:after="283"/>
              <w:jc w:val="left"/>
              <w:rPr>
                <w:sz w:val="4"/>
                <w:szCs w:val="4"/>
              </w:rPr>
            </w:pPr>
            <w:r>
              <w:rPr>
                <w:sz w:val="4"/>
                <w:szCs w:val="4"/>
              </w:rPr>
            </w:r>
          </w:p>
        </w:tc>
        <w:tc>
          <w:tcPr>
            <w:tcW w:w="850" w:type="dxa"/>
            <w:gridSpan w:val="4"/>
            <w:tcBorders/>
            <w:vAlign w:val="center"/>
          </w:tcPr>
          <w:p>
            <w:pPr>
              <w:pStyle w:val="TableContents"/>
              <w:bidi w:val="0"/>
              <w:spacing w:before="0" w:after="283"/>
              <w:jc w:val="left"/>
              <w:rPr>
                <w:sz w:val="4"/>
                <w:szCs w:val="4"/>
              </w:rPr>
            </w:pPr>
            <w:r>
              <w:rPr>
                <w:sz w:val="4"/>
                <w:szCs w:val="4"/>
              </w:rPr>
            </w:r>
          </w:p>
        </w:tc>
      </w:tr>
      <w:tr>
        <w:trPr/>
        <w:tc>
          <w:tcPr>
            <w:tcW w:w="9355" w:type="dxa"/>
            <w:tcBorders/>
          </w:tcPr>
          <w:p>
            <w:pPr>
              <w:pStyle w:val="TableContents"/>
              <w:bidi w:val="0"/>
              <w:spacing w:before="0" w:after="0"/>
              <w:jc w:val="left"/>
              <w:rPr>
                <w:rFonts w:ascii="Times New Roman" w:hAnsi="Times New Roman"/>
                <w:sz w:val="20"/>
              </w:rPr>
            </w:pPr>
            <w:r>
              <w:rPr>
                <w:rFonts w:ascii="Times New Roman" w:hAnsi="Times New Roman"/>
                <w:sz w:val="20"/>
              </w:rPr>
              <w:t>Notes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right"/>
              <w:rPr/>
            </w:pPr>
            <w:r>
              <w:rPr/>
              <w:t>7 - 31</w:t>
            </w:r>
          </w:p>
        </w:tc>
        <w:tc>
          <w:tcPr>
            <w:tcW w:w="62"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291"/>
        <w:gridCol w:w="103"/>
        <w:gridCol w:w="2023"/>
        <w:gridCol w:w="120"/>
        <w:gridCol w:w="2020"/>
        <w:gridCol w:w="120"/>
        <w:gridCol w:w="1301"/>
        <w:gridCol w:w="120"/>
        <w:gridCol w:w="2107"/>
      </w:tblGrid>
      <w:tr>
        <w:trPr/>
        <w:tc>
          <w:tcPr>
            <w:tcW w:w="229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r>
      <w:tr>
        <w:trPr/>
        <w:tc>
          <w:tcPr>
            <w:tcW w:w="2291" w:type="dxa"/>
            <w:tcBorders/>
          </w:tcPr>
          <w:p>
            <w:pPr>
              <w:pStyle w:val="TableContents"/>
              <w:bidi w:val="0"/>
              <w:spacing w:before="0" w:after="283"/>
              <w:jc w:val="left"/>
              <w:rPr/>
            </w:pPr>
            <w:r>
              <w:rPr/>
              <w:drawing>
                <wp:inline distT="0" distB="0" distL="0" distR="0">
                  <wp:extent cx="10191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5"/>
                          <a:stretch>
                            <a:fillRect/>
                          </a:stretch>
                        </pic:blipFill>
                        <pic:spPr bwMode="auto">
                          <a:xfrm>
                            <a:off x="0" y="0"/>
                            <a:ext cx="1019175" cy="466725"/>
                          </a:xfrm>
                          <a:prstGeom prst="rect">
                            <a:avLst/>
                          </a:prstGeom>
                        </pic:spPr>
                      </pic:pic>
                    </a:graphicData>
                  </a:graphic>
                </wp:inline>
              </w:drawing>
            </w:r>
            <w:r>
              <w:rPr/>
              <w:t xml:space="preserve"> </w:t>
            </w:r>
          </w:p>
        </w:tc>
        <w:tc>
          <w:tcPr>
            <w:tcW w:w="103" w:type="dxa"/>
            <w:tcBorders/>
            <w:vAlign w:val="bottom"/>
          </w:tcPr>
          <w:p>
            <w:pPr>
              <w:pStyle w:val="TableContents"/>
              <w:bidi w:val="0"/>
              <w:spacing w:before="0" w:after="283"/>
              <w:jc w:val="left"/>
              <w:rPr/>
            </w:pPr>
            <w:r>
              <w:rPr/>
              <w:t> </w:t>
            </w:r>
          </w:p>
        </w:tc>
        <w:tc>
          <w:tcPr>
            <w:tcW w:w="202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20" w:type="dxa"/>
            <w:tcBorders/>
          </w:tcPr>
          <w:p>
            <w:pPr>
              <w:pStyle w:val="TableContents"/>
              <w:bidi w:val="0"/>
              <w:spacing w:before="0" w:after="0"/>
              <w:jc w:val="left"/>
              <w:rPr>
                <w:rFonts w:ascii="Times New Roman" w:hAnsi="Times New Roman"/>
                <w:b/>
                <w:sz w:val="20"/>
              </w:rPr>
            </w:pPr>
            <w:r>
              <w:rPr>
                <w:rFonts w:ascii="Times New Roman" w:hAnsi="Times New Roman"/>
                <w:b/>
                <w:sz w:val="20"/>
              </w:rPr>
              <w:t>KPMG Audit Limited</w:t>
            </w:r>
          </w:p>
          <w:p>
            <w:pPr>
              <w:pStyle w:val="TableContents"/>
              <w:bidi w:val="0"/>
              <w:spacing w:before="0" w:after="0"/>
              <w:jc w:val="left"/>
              <w:rPr>
                <w:rFonts w:ascii="Times New Roman" w:hAnsi="Times New Roman"/>
                <w:sz w:val="20"/>
              </w:rPr>
            </w:pPr>
            <w:r>
              <w:rPr>
                <w:rFonts w:ascii="Times New Roman" w:hAnsi="Times New Roman"/>
                <w:sz w:val="20"/>
              </w:rPr>
              <w:t>Crown House</w:t>
            </w:r>
          </w:p>
          <w:p>
            <w:pPr>
              <w:pStyle w:val="TableContents"/>
              <w:bidi w:val="0"/>
              <w:spacing w:before="0" w:after="0"/>
              <w:jc w:val="left"/>
              <w:rPr>
                <w:rFonts w:ascii="Times New Roman" w:hAnsi="Times New Roman"/>
                <w:sz w:val="20"/>
              </w:rPr>
            </w:pPr>
            <w:r>
              <w:rPr>
                <w:rFonts w:ascii="Times New Roman" w:hAnsi="Times New Roman"/>
                <w:sz w:val="20"/>
              </w:rPr>
              <w:t>4 Par-la-Ville Road</w:t>
            </w:r>
          </w:p>
          <w:p>
            <w:pPr>
              <w:pStyle w:val="TableContents"/>
              <w:bidi w:val="0"/>
              <w:spacing w:before="0" w:after="0"/>
              <w:jc w:val="left"/>
              <w:rPr>
                <w:rFonts w:ascii="Times New Roman" w:hAnsi="Times New Roman"/>
                <w:sz w:val="20"/>
              </w:rPr>
            </w:pPr>
            <w:r>
              <w:rPr>
                <w:rFonts w:ascii="Times New Roman" w:hAnsi="Times New Roman"/>
                <w:sz w:val="20"/>
              </w:rPr>
              <w:t>Hamilton</w:t>
            </w:r>
          </w:p>
          <w:p>
            <w:pPr>
              <w:pStyle w:val="TableContents"/>
              <w:bidi w:val="0"/>
              <w:spacing w:before="0" w:after="0"/>
              <w:jc w:val="left"/>
              <w:rPr>
                <w:rFonts w:ascii="Times New Roman" w:hAnsi="Times New Roman"/>
                <w:sz w:val="20"/>
              </w:rPr>
            </w:pPr>
            <w:r>
              <w:rPr>
                <w:rFonts w:ascii="Times New Roman" w:hAnsi="Times New Roman"/>
                <w:sz w:val="20"/>
              </w:rPr>
              <w:t>HM 08</w:t>
            </w:r>
          </w:p>
          <w:p>
            <w:pPr>
              <w:pStyle w:val="TableContents"/>
              <w:bidi w:val="0"/>
              <w:spacing w:before="0" w:after="20"/>
              <w:jc w:val="left"/>
              <w:rPr>
                <w:rFonts w:ascii="Times New Roman" w:hAnsi="Times New Roman"/>
                <w:sz w:val="20"/>
              </w:rPr>
            </w:pPr>
            <w:r>
              <w:rPr>
                <w:rFonts w:ascii="Times New Roman" w:hAnsi="Times New Roman"/>
                <w:sz w:val="20"/>
              </w:rPr>
              <w:t>Bermuda</w:t>
            </w:r>
          </w:p>
        </w:tc>
        <w:tc>
          <w:tcPr>
            <w:tcW w:w="120" w:type="dxa"/>
            <w:tcBorders/>
            <w:vAlign w:val="bottom"/>
          </w:tcPr>
          <w:p>
            <w:pPr>
              <w:pStyle w:val="TableContents"/>
              <w:bidi w:val="0"/>
              <w:spacing w:before="0" w:after="283"/>
              <w:jc w:val="left"/>
              <w:rPr/>
            </w:pPr>
            <w:r>
              <w:rPr/>
              <w:t>  </w:t>
            </w:r>
          </w:p>
        </w:tc>
        <w:tc>
          <w:tcPr>
            <w:tcW w:w="1301" w:type="dxa"/>
            <w:tcBorders/>
          </w:tcPr>
          <w:p>
            <w:pPr>
              <w:pStyle w:val="TableContents"/>
              <w:bidi w:val="0"/>
              <w:spacing w:before="0" w:after="0"/>
              <w:jc w:val="right"/>
              <w:rPr>
                <w:rFonts w:ascii="Times New Roman" w:hAnsi="Times New Roman"/>
                <w:sz w:val="20"/>
              </w:rPr>
            </w:pPr>
            <w:r>
              <w:rPr>
                <w:rFonts w:ascii="Times New Roman" w:hAnsi="Times New Roman"/>
                <w:sz w:val="20"/>
              </w:rPr>
              <w:t>Telephone  </w:t>
            </w:r>
          </w:p>
          <w:p>
            <w:pPr>
              <w:pStyle w:val="TableContents"/>
              <w:bidi w:val="0"/>
              <w:spacing w:before="0" w:after="0"/>
              <w:jc w:val="right"/>
              <w:rPr>
                <w:rFonts w:ascii="Times New Roman" w:hAnsi="Times New Roman"/>
                <w:sz w:val="20"/>
              </w:rPr>
            </w:pPr>
            <w:r>
              <w:rPr>
                <w:rFonts w:ascii="Times New Roman" w:hAnsi="Times New Roman"/>
                <w:sz w:val="20"/>
              </w:rPr>
              <w:t>Fax  </w:t>
            </w:r>
          </w:p>
          <w:p>
            <w:pPr>
              <w:pStyle w:val="TableContents"/>
              <w:bidi w:val="0"/>
              <w:spacing w:before="0" w:after="20"/>
              <w:jc w:val="right"/>
              <w:rPr>
                <w:rFonts w:ascii="Times New Roman" w:hAnsi="Times New Roman"/>
                <w:sz w:val="20"/>
              </w:rPr>
            </w:pPr>
            <w:r>
              <w:rPr>
                <w:rFonts w:ascii="Times New Roman" w:hAnsi="Times New Roman"/>
                <w:sz w:val="20"/>
              </w:rPr>
              <w:t>Internet  </w:t>
            </w:r>
          </w:p>
        </w:tc>
        <w:tc>
          <w:tcPr>
            <w:tcW w:w="120" w:type="dxa"/>
            <w:tcBorders/>
            <w:vAlign w:val="bottom"/>
          </w:tcPr>
          <w:p>
            <w:pPr>
              <w:pStyle w:val="TableContents"/>
              <w:bidi w:val="0"/>
              <w:spacing w:before="0" w:after="283"/>
              <w:jc w:val="left"/>
              <w:rPr/>
            </w:pPr>
            <w:r>
              <w:rPr/>
              <w:t>  </w:t>
            </w:r>
          </w:p>
        </w:tc>
        <w:tc>
          <w:tcPr>
            <w:tcW w:w="2107" w:type="dxa"/>
            <w:tcBorders/>
          </w:tcPr>
          <w:p>
            <w:pPr>
              <w:pStyle w:val="TableContents"/>
              <w:bidi w:val="0"/>
              <w:spacing w:before="0" w:after="0"/>
              <w:jc w:val="left"/>
              <w:rPr>
                <w:rFonts w:ascii="Times New Roman" w:hAnsi="Times New Roman"/>
                <w:sz w:val="20"/>
              </w:rPr>
            </w:pPr>
            <w:r>
              <w:rPr>
                <w:rFonts w:ascii="Times New Roman" w:hAnsi="Times New Roman"/>
                <w:sz w:val="20"/>
              </w:rPr>
              <w:t>+1 441 295 5063</w:t>
            </w:r>
          </w:p>
          <w:p>
            <w:pPr>
              <w:pStyle w:val="TableContents"/>
              <w:bidi w:val="0"/>
              <w:spacing w:before="0" w:after="0"/>
              <w:jc w:val="left"/>
              <w:rPr>
                <w:rFonts w:ascii="Times New Roman" w:hAnsi="Times New Roman"/>
                <w:sz w:val="20"/>
              </w:rPr>
            </w:pPr>
            <w:r>
              <w:rPr>
                <w:rFonts w:ascii="Times New Roman" w:hAnsi="Times New Roman"/>
                <w:sz w:val="20"/>
              </w:rPr>
              <w:t>+1 441 295 9132</w:t>
            </w:r>
          </w:p>
          <w:p>
            <w:pPr>
              <w:pStyle w:val="TableContents"/>
              <w:bidi w:val="0"/>
              <w:spacing w:before="0" w:after="20"/>
              <w:jc w:val="left"/>
              <w:rPr>
                <w:rFonts w:ascii="Times New Roman" w:hAnsi="Times New Roman"/>
                <w:sz w:val="20"/>
                <w:u w:val="single"/>
              </w:rPr>
            </w:pPr>
            <w:r>
              <w:rPr>
                <w:rFonts w:ascii="Times New Roman" w:hAnsi="Times New Roman"/>
                <w:sz w:val="20"/>
                <w:u w:val="single"/>
              </w:rPr>
              <w:t>www.kpmg.bm</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INDEPENDENT AUDITORS’ REPORT </w:t>
      </w:r>
    </w:p>
    <w:p>
      <w:pPr>
        <w:pStyle w:val="TextBody"/>
        <w:bidi w:val="0"/>
        <w:spacing w:before="120" w:after="0"/>
        <w:jc w:val="left"/>
        <w:rPr>
          <w:rFonts w:ascii="Times New Roman" w:hAnsi="Times New Roman"/>
          <w:b/>
          <w:sz w:val="20"/>
        </w:rPr>
      </w:pPr>
      <w:r>
        <w:rPr>
          <w:rFonts w:ascii="Times New Roman" w:hAnsi="Times New Roman"/>
          <w:b/>
          <w:sz w:val="20"/>
        </w:rPr>
        <w:t xml:space="preserve">To the Board of Directors of AKW Holdings Limited </w:t>
      </w:r>
    </w:p>
    <w:p>
      <w:pPr>
        <w:pStyle w:val="TextBody"/>
        <w:bidi w:val="0"/>
        <w:spacing w:before="120" w:after="0"/>
        <w:jc w:val="left"/>
        <w:rPr>
          <w:rFonts w:ascii="Times New Roman" w:hAnsi="Times New Roman"/>
          <w:b/>
          <w:sz w:val="20"/>
        </w:rPr>
      </w:pPr>
      <w:r>
        <w:rPr>
          <w:rFonts w:ascii="Times New Roman" w:hAnsi="Times New Roman"/>
          <w:b/>
          <w:sz w:val="20"/>
        </w:rPr>
        <w:t xml:space="preserve">Opinion </w:t>
      </w:r>
    </w:p>
    <w:p>
      <w:pPr>
        <w:pStyle w:val="TextBody"/>
        <w:bidi w:val="0"/>
        <w:spacing w:before="120" w:after="0"/>
        <w:jc w:val="left"/>
        <w:rPr>
          <w:rFonts w:ascii="Times New Roman" w:hAnsi="Times New Roman"/>
          <w:sz w:val="20"/>
        </w:rPr>
      </w:pPr>
      <w:r>
        <w:rPr>
          <w:rFonts w:ascii="Times New Roman" w:hAnsi="Times New Roman"/>
          <w:sz w:val="20"/>
        </w:rPr>
        <w:t xml:space="preserve">We have audited the consolidated financial statements of AKW Holdings Limited and its subsidiaries (the “Company”), which comprise the consolidated balance sheet as of December 31, 2025, the consolidated statement of profit and loss account and other comprehensive income, consolidated statement of changes in equity and the consolidated cash flow statement, for the year then ended, and the related notes to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our opinion, the accompanying consolidated financial statements present fairly, in all material respects, the financial position of the Company as of December 31, 2025, the results of its operations and its cash flows for the year then ended in accordance with U.K. generally accepted accounting principles. </w:t>
      </w:r>
    </w:p>
    <w:p>
      <w:pPr>
        <w:pStyle w:val="TextBody"/>
        <w:bidi w:val="0"/>
        <w:spacing w:before="360" w:after="0"/>
        <w:jc w:val="left"/>
        <w:rPr>
          <w:rFonts w:ascii="Times New Roman" w:hAnsi="Times New Roman"/>
          <w:b/>
          <w:sz w:val="20"/>
        </w:rPr>
      </w:pPr>
      <w:r>
        <w:rPr>
          <w:rFonts w:ascii="Times New Roman" w:hAnsi="Times New Roman"/>
          <w:b/>
          <w:sz w:val="20"/>
        </w:rPr>
        <w:t xml:space="preserve">Basis for opinion </w:t>
      </w:r>
    </w:p>
    <w:p>
      <w:pPr>
        <w:pStyle w:val="TextBody"/>
        <w:bidi w:val="0"/>
        <w:spacing w:before="120" w:after="0"/>
        <w:jc w:val="left"/>
        <w:rPr>
          <w:rFonts w:ascii="Times New Roman" w:hAnsi="Times New Roman"/>
          <w:sz w:val="20"/>
        </w:rPr>
      </w:pPr>
      <w:r>
        <w:rPr>
          <w:rFonts w:ascii="Times New Roman" w:hAnsi="Times New Roman"/>
          <w:sz w:val="20"/>
        </w:rPr>
        <w:t xml:space="preserve">We conducted our audit in accordance with auditing standards generally accepted in the United States of America (“GAAS”). Our responsibilities under those standards are further described in the </w:t>
      </w:r>
      <w:r>
        <w:rPr>
          <w:rFonts w:ascii="Times New Roman" w:hAnsi="Times New Roman"/>
          <w:i/>
          <w:sz w:val="20"/>
        </w:rPr>
        <w:t>Auditors’ responsibilities for the audit of the consolidated financial statements</w:t>
      </w:r>
      <w:r>
        <w:rPr>
          <w:rFonts w:ascii="Times New Roman" w:hAnsi="Times New Roman"/>
          <w:sz w:val="20"/>
        </w:rPr>
        <w:t xml:space="preserve">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audit opinion. </w:t>
      </w:r>
    </w:p>
    <w:p>
      <w:pPr>
        <w:pStyle w:val="TextBody"/>
        <w:bidi w:val="0"/>
        <w:spacing w:before="360" w:after="0"/>
        <w:jc w:val="left"/>
        <w:rPr>
          <w:rFonts w:ascii="Times New Roman" w:hAnsi="Times New Roman"/>
          <w:b/>
          <w:sz w:val="20"/>
        </w:rPr>
      </w:pPr>
      <w:r>
        <w:rPr>
          <w:rFonts w:ascii="Times New Roman" w:hAnsi="Times New Roman"/>
          <w:b/>
          <w:sz w:val="20"/>
        </w:rPr>
        <w:t xml:space="preserve">Emphasis of matter – Reconciliation between UK and US GAAP </w:t>
      </w:r>
    </w:p>
    <w:p>
      <w:pPr>
        <w:pStyle w:val="TextBody"/>
        <w:bidi w:val="0"/>
        <w:spacing w:before="120" w:after="0"/>
        <w:jc w:val="left"/>
        <w:rPr>
          <w:rFonts w:ascii="Times New Roman" w:hAnsi="Times New Roman"/>
          <w:sz w:val="20"/>
        </w:rPr>
      </w:pPr>
      <w:r>
        <w:rPr>
          <w:rFonts w:ascii="Times New Roman" w:hAnsi="Times New Roman"/>
          <w:sz w:val="20"/>
        </w:rPr>
        <w:t xml:space="preserve">Accounting principles generally accepted in the United Kingdom vary in certain significant respects from US generally accepted accounting principles. Information relating to the nature and effect of such differences is presented in Note 26 to the consolidated financial statements. Our opinion is not modified with respect to this matter. </w:t>
      </w:r>
    </w:p>
    <w:p>
      <w:pPr>
        <w:pStyle w:val="TextBody"/>
        <w:bidi w:val="0"/>
        <w:spacing w:before="360" w:after="0"/>
        <w:jc w:val="left"/>
        <w:rPr>
          <w:rFonts w:ascii="Times New Roman" w:hAnsi="Times New Roman"/>
          <w:b/>
          <w:sz w:val="20"/>
        </w:rPr>
      </w:pPr>
      <w:r>
        <w:rPr>
          <w:rFonts w:ascii="Times New Roman" w:hAnsi="Times New Roman"/>
          <w:b/>
          <w:sz w:val="20"/>
        </w:rPr>
        <w:t xml:space="preserve">Other matter – Unaudited prior year comparatives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consolidated balance sheet of the Company as of December 31, 2024, and the related consolidated statement of profit and loss account and other comprehensive income, changes in equity, and consolidated cash statement for the years ended December 31, 2024 and 2023, were not audited, reviewed, or compiled by us and, accordingly, we express no opinion or any other form of assurance on them, and we assume no responsibility for them. </w:t>
      </w:r>
    </w:p>
    <w:p>
      <w:pPr>
        <w:pStyle w:val="TextBody"/>
        <w:bidi w:val="0"/>
        <w:spacing w:before="360" w:after="0"/>
        <w:jc w:val="left"/>
        <w:rPr>
          <w:rFonts w:ascii="Times New Roman" w:hAnsi="Times New Roman"/>
          <w:b/>
          <w:sz w:val="20"/>
        </w:rPr>
      </w:pPr>
      <w:r>
        <w:rPr>
          <w:rFonts w:ascii="Times New Roman" w:hAnsi="Times New Roman"/>
          <w:b/>
          <w:sz w:val="20"/>
        </w:rPr>
        <w:t xml:space="preserve">Responsibilities of management for the consolidated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Management is responsible for the preparation and fair presentation of the consolidated financial statements in accordance with U.S. generally accepted accounting principles, and for the design, implementation, and maintenance of internal control relevant to the preparation and fair presentation of consolidated financial statements that are free from material misstatement, whether due to fraud or error. </w:t>
      </w:r>
    </w:p>
    <w:p>
      <w:pPr>
        <w:pStyle w:val="TextBody"/>
        <w:bidi w:val="0"/>
        <w:spacing w:before="240" w:after="0"/>
        <w:jc w:val="left"/>
        <w:rPr>
          <w:rFonts w:ascii="Times New Roman" w:hAnsi="Times New Roman"/>
          <w:sz w:val="20"/>
        </w:rPr>
      </w:pPr>
      <w:r>
        <w:rPr>
          <w:rFonts w:ascii="Times New Roman" w:hAnsi="Times New Roman"/>
          <w:sz w:val="20"/>
        </w:rPr>
        <w:t xml:space="preserve">In preparing the consolidated financial statements, management is required to evaluate whether there are conditions or events, considered in the aggregate, that raise substantial doubt about the Company’s ability to continue as a going concern for one year after the date that the consolidated financial statements are available to be issued. </w:t>
      </w:r>
    </w:p>
    <w:p>
      <w:pPr>
        <w:pStyle w:val="TextBody"/>
        <w:bidi w:val="0"/>
        <w:spacing w:before="240" w:after="0"/>
        <w:jc w:val="left"/>
        <w:rPr>
          <w:rFonts w:ascii="Times New Roman" w:hAnsi="Times New Roman"/>
          <w:sz w:val="20"/>
        </w:rPr>
      </w:pPr>
      <w:r>
        <w:rPr>
          <w:rFonts w:ascii="Times New Roman" w:hAnsi="Times New Roman"/>
          <w:sz w:val="20"/>
        </w:rPr>
        <w:t xml:space="preserve">© 2026 KPMG Audit Limited, a Bermuda limited liability company and a member firm of the KPMG global organisation of independent member firms affiliated with KPMG International Limited, a private English company limited by guarantee. All rights reserved.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619125" cy="2762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6"/>
                    <a:stretch>
                      <a:fillRect/>
                    </a:stretch>
                  </pic:blipFill>
                  <pic:spPr bwMode="auto">
                    <a:xfrm>
                      <a:off x="0" y="0"/>
                      <a:ext cx="619125" cy="27622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b/>
          <w:sz w:val="20"/>
        </w:rPr>
        <w:t>Auditors’ responsibilities for the audit of the consolidated 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In performing an audit in accordance with GAAS,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Exercise professional judgment and maintain professional skepticism throughout the audit.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and assess the risks of material misstatement of the consolidated financial statements, whether due to fraud or error, and design and perform audit procedures responsive to those risks. Such procedures include examining, on a test basis, evidence regarding the amounts and disclosures in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Evaluate the appropriateness of accounting policies used and the reasonableness of significant accounting estimates made by management, as well as evaluate the overall presentation of the consolidated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Conclude whether, in our judgment, there are conditions or events, considered in the aggregate, that raise substantial doubt about the Company’s ability to continue as a going concern for a reasonable period of time.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are required to communicate with those charged with governance regarding, among other matters, the planned scope and timing of the audit, significant audit findings, and certain internal control related matters that we identified during the audit. </w:t>
      </w:r>
    </w:p>
    <w:p>
      <w:pPr>
        <w:pStyle w:val="TextBody"/>
        <w:bidi w:val="0"/>
        <w:spacing w:before="0" w:after="0"/>
        <w:jc w:val="left"/>
        <w:rPr/>
      </w:pPr>
      <w:r>
        <w:rPr/>
        <w:t> </w:t>
      </w:r>
    </w:p>
    <w:p>
      <w:pPr>
        <w:pStyle w:val="TextBody"/>
        <w:bidi w:val="0"/>
        <w:spacing w:before="0" w:after="0"/>
        <w:jc w:val="left"/>
        <w:rPr/>
      </w:pPr>
      <w:r>
        <w:rPr/>
        <w:drawing>
          <wp:inline distT="0" distB="0" distL="0" distR="0">
            <wp:extent cx="18097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7"/>
                    <a:stretch>
                      <a:fillRect/>
                    </a:stretch>
                  </pic:blipFill>
                  <pic:spPr bwMode="auto">
                    <a:xfrm>
                      <a:off x="0" y="0"/>
                      <a:ext cx="1809750" cy="3810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Chartered Professional Accountants</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Hamilton, Bermuda</w:t>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June 22, 2026</w:t>
            </w:r>
          </w:p>
        </w:tc>
      </w:tr>
    </w:tbl>
    <w:p>
      <w:pPr>
        <w:pStyle w:val="TextBody"/>
        <w:bidi w:val="0"/>
        <w:spacing w:before="240" w:after="0"/>
        <w:jc w:val="left"/>
        <w:rPr>
          <w:rFonts w:ascii="Times New Roman" w:hAnsi="Times New Roman"/>
          <w:sz w:val="20"/>
        </w:rPr>
      </w:pPr>
      <w:r>
        <w:rPr>
          <w:rFonts w:ascii="Times New Roman" w:hAnsi="Times New Roman"/>
          <w:sz w:val="20"/>
        </w:rPr>
        <w:t xml:space="preserve">© 2026 KPMG Audit Limited, a Bermuda limited liability company and a member firm of the KPMG global organisation of independent member firms affiliated with KPMG International Limited, a private English company limited by guarantee. All rights reserved.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Consolidated Profit and Loss Account and Other Comprehensive Income </w:t>
      </w:r>
    </w:p>
    <w:p>
      <w:pPr>
        <w:pStyle w:val="TextBody"/>
        <w:bidi w:val="0"/>
        <w:spacing w:before="0" w:after="0"/>
        <w:jc w:val="left"/>
        <w:rPr>
          <w:rFonts w:ascii="Times New Roman" w:hAnsi="Times New Roman"/>
          <w:b/>
          <w:i/>
          <w:sz w:val="20"/>
        </w:rPr>
      </w:pPr>
      <w:r>
        <w:rPr>
          <w:rFonts w:ascii="Times New Roman" w:hAnsi="Times New Roman"/>
          <w:b/>
          <w:i/>
          <w:sz w:val="20"/>
        </w:rPr>
        <w:t xml:space="preserve">for the year ended 31 December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650"/>
        <w:gridCol w:w="153"/>
        <w:gridCol w:w="105"/>
        <w:gridCol w:w="472"/>
        <w:gridCol w:w="60"/>
        <w:gridCol w:w="153"/>
        <w:gridCol w:w="62"/>
        <w:gridCol w:w="786"/>
        <w:gridCol w:w="155"/>
        <w:gridCol w:w="107"/>
        <w:gridCol w:w="74"/>
        <w:gridCol w:w="966"/>
        <w:gridCol w:w="155"/>
        <w:gridCol w:w="107"/>
        <w:gridCol w:w="74"/>
        <w:gridCol w:w="966"/>
        <w:gridCol w:w="160"/>
      </w:tblGrid>
      <w:tr>
        <w:trPr/>
        <w:tc>
          <w:tcPr>
            <w:tcW w:w="565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6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2023</w:t>
            </w:r>
          </w:p>
        </w:tc>
        <w:tc>
          <w:tcPr>
            <w:tcW w:w="160" w:type="dxa"/>
            <w:tcBorders/>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£’000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£’000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£’000</w:t>
            </w:r>
          </w:p>
        </w:tc>
        <w:tc>
          <w:tcPr>
            <w:tcW w:w="160" w:type="dxa"/>
            <w:tcBorders/>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57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Audited</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40" w:type="dxa"/>
            <w:gridSpan w:val="2"/>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Turnover</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i/>
              </w:rPr>
            </w:pPr>
            <w:r>
              <w:rPr>
                <w:i/>
              </w:rPr>
              <w:t>4</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72,126</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68,194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63,663</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(33,961</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(34,305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(32,100</w:t>
            </w:r>
          </w:p>
        </w:tc>
        <w:tc>
          <w:tcPr>
            <w:tcW w:w="160" w:type="dxa"/>
            <w:tcBorders/>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38,165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33,889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31,563</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Distribution, carriage and duty costs</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(9,062</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(8,863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(7,931</w:t>
            </w:r>
          </w:p>
        </w:tc>
        <w:tc>
          <w:tcPr>
            <w:tcW w:w="160" w:type="dxa"/>
            <w:tcBorders/>
            <w:vAlign w:val="bottom"/>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Administrative expenses</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(18,879</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(18,753</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(18,605</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Goodwill amortisation</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i/>
              </w:rPr>
            </w:pPr>
            <w:r>
              <w:rPr>
                <w:i/>
              </w:rPr>
              <w:t>14</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(1,555</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(1,554</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(1,554</w:t>
            </w:r>
          </w:p>
        </w:tc>
        <w:tc>
          <w:tcPr>
            <w:tcW w:w="160" w:type="dxa"/>
            <w:tcBorders/>
            <w:vAlign w:val="bottom"/>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Amortisation</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i/>
              </w:rPr>
            </w:pPr>
            <w:r>
              <w:rPr>
                <w:i/>
              </w:rPr>
              <w:t>11</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(283</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(159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(113</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i/>
              </w:rPr>
            </w:pPr>
            <w:r>
              <w:rPr>
                <w:i/>
              </w:rPr>
              <w:t>12</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(1,039</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(891</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(447</w:t>
            </w:r>
          </w:p>
        </w:tc>
        <w:tc>
          <w:tcPr>
            <w:tcW w:w="160" w:type="dxa"/>
            <w:tcBorders/>
            <w:vAlign w:val="bottom"/>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administrative expenses</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i/>
              </w:rPr>
            </w:pPr>
            <w:r>
              <w:rPr>
                <w:i/>
              </w:rPr>
              <w:t>5</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(2,086</w:t>
            </w:r>
          </w:p>
        </w:tc>
        <w:tc>
          <w:tcPr>
            <w:tcW w:w="155" w:type="dxa"/>
            <w:tcBorders/>
            <w:shd w:fill="CCEEFF" w:val="clear"/>
            <w:vAlign w:val="bottom"/>
          </w:tcPr>
          <w:p>
            <w:pPr>
              <w:pStyle w:val="TableContents"/>
              <w:bidi w:val="0"/>
              <w:spacing w:before="0" w:after="283"/>
              <w:jc w:val="left"/>
              <w:rPr>
                <w:b/>
              </w:rPr>
            </w:pPr>
            <w:r>
              <w:rPr>
                <w:b/>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(2,137</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(219</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Profit on disposal of fixed assets</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26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(15</w:t>
            </w:r>
          </w:p>
        </w:tc>
        <w:tc>
          <w:tcPr>
            <w:tcW w:w="160" w:type="dxa"/>
            <w:tcBorders/>
            <w:vAlign w:val="bottom"/>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1,109</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1,662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866</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profit</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i/>
              </w:rPr>
            </w:pPr>
            <w:r>
              <w:rPr>
                <w:i/>
              </w:rPr>
              <w:t>5</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6,386</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3,220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3,545</w:t>
            </w:r>
          </w:p>
        </w:tc>
        <w:tc>
          <w:tcPr>
            <w:tcW w:w="160" w:type="dxa"/>
            <w:tcBorders/>
            <w:vAlign w:val="bottom"/>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receivable and similar income</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right"/>
              <w:rPr>
                <w:i/>
              </w:rPr>
            </w:pPr>
            <w:r>
              <w:rPr>
                <w:i/>
              </w:rPr>
              <w:t>8</w:t>
            </w:r>
          </w:p>
        </w:tc>
        <w:tc>
          <w:tcPr>
            <w:tcW w:w="60"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204</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Interest payable and similar charges</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i/>
              </w:rPr>
            </w:pPr>
            <w:r>
              <w:rPr>
                <w:i/>
              </w:rPr>
              <w:t>9</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(5,037</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(5,852</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(4,884</w:t>
            </w:r>
          </w:p>
        </w:tc>
        <w:tc>
          <w:tcPr>
            <w:tcW w:w="160" w:type="dxa"/>
            <w:tcBorders/>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before taxation</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1,553</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(2,632</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(1,339</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on profit /(loss)</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right"/>
              <w:rPr>
                <w:i/>
              </w:rPr>
            </w:pPr>
            <w:r>
              <w:rPr>
                <w:i/>
              </w:rPr>
              <w:t>10</w:t>
            </w:r>
          </w:p>
        </w:tc>
        <w:tc>
          <w:tcPr>
            <w:tcW w:w="60"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(1,182</w:t>
            </w:r>
          </w:p>
        </w:tc>
        <w:tc>
          <w:tcPr>
            <w:tcW w:w="155" w:type="dxa"/>
            <w:tcBorders/>
            <w:vAlign w:val="bottom"/>
          </w:tcPr>
          <w:p>
            <w:pPr>
              <w:pStyle w:val="TableContents"/>
              <w:bidi w:val="0"/>
              <w:spacing w:before="0" w:after="283"/>
              <w:jc w:val="left"/>
              <w:rPr>
                <w:b/>
              </w:rPr>
            </w:pPr>
            <w:r>
              <w:rPr>
                <w:b/>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(903</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(777</w:t>
            </w:r>
          </w:p>
        </w:tc>
        <w:tc>
          <w:tcPr>
            <w:tcW w:w="160" w:type="dxa"/>
            <w:tcBorders/>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(loss) for the financial year after taxation</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371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(3,535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(2,116</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966" w:type="dxa"/>
            <w:tcBorders/>
            <w:vAlign w:val="bottom"/>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r>
      <w:tr>
        <w:trPr/>
        <w:tc>
          <w:tcPr>
            <w:tcW w:w="5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Foreign exchange differences on translation of foreign subsidiary</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6</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comprehensive income/ (loss) for the year net of income tax</w:t>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30</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66" w:type="dxa"/>
            <w:tcBorders/>
            <w:vAlign w:val="bottom"/>
          </w:tcPr>
          <w:p>
            <w:pPr>
              <w:pStyle w:val="TableContents"/>
              <w:bidi w:val="0"/>
              <w:spacing w:before="0" w:after="283"/>
              <w:jc w:val="right"/>
              <w:rPr/>
            </w:pPr>
            <w:r>
              <w:rPr/>
              <w:t>6</w:t>
            </w:r>
          </w:p>
        </w:tc>
        <w:tc>
          <w:tcPr>
            <w:tcW w:w="160" w:type="dxa"/>
            <w:tcBorders/>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66"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650"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comprehensive income/ (loss) for the year</w:t>
            </w:r>
          </w:p>
        </w:tc>
        <w:tc>
          <w:tcPr>
            <w:tcW w:w="153"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5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401</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(3,570</w:t>
            </w:r>
          </w:p>
        </w:tc>
        <w:tc>
          <w:tcPr>
            <w:tcW w:w="155"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66" w:type="dxa"/>
            <w:tcBorders/>
            <w:shd w:fill="CCEEFF" w:val="clear"/>
            <w:vAlign w:val="bottom"/>
          </w:tcPr>
          <w:p>
            <w:pPr>
              <w:pStyle w:val="TableContents"/>
              <w:bidi w:val="0"/>
              <w:spacing w:before="0" w:after="283"/>
              <w:jc w:val="right"/>
              <w:rPr/>
            </w:pPr>
            <w:r>
              <w:rPr/>
              <w:t>(2,110</w:t>
            </w:r>
          </w:p>
        </w:tc>
        <w:tc>
          <w:tcPr>
            <w:tcW w:w="160" w:type="dxa"/>
            <w:tcBorders/>
            <w:shd w:fill="CCEEFF" w:val="clear"/>
            <w:vAlign w:val="bottom"/>
          </w:tcPr>
          <w:p>
            <w:pPr>
              <w:pStyle w:val="TableContents"/>
              <w:bidi w:val="0"/>
              <w:spacing w:before="0" w:after="283"/>
              <w:jc w:val="left"/>
              <w:rPr/>
            </w:pPr>
            <w:r>
              <w:rPr/>
              <w:t>) </w:t>
            </w:r>
          </w:p>
        </w:tc>
      </w:tr>
      <w:tr>
        <w:trPr/>
        <w:tc>
          <w:tcPr>
            <w:tcW w:w="565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66"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was renamed to ‘Other administrative expenses’ from ‘Exceptional costs’ that was used in prior year financial statements.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Directors consider that all the results are derived from continuing activities, except activities detailed in note 6. </w:t>
      </w:r>
    </w:p>
    <w:p>
      <w:pPr>
        <w:pStyle w:val="TextBody"/>
        <w:bidi w:val="0"/>
        <w:spacing w:before="240" w:after="0"/>
        <w:jc w:val="left"/>
        <w:rPr>
          <w:rFonts w:ascii="Times New Roman" w:hAnsi="Times New Roman"/>
          <w:sz w:val="20"/>
        </w:rPr>
      </w:pPr>
      <w:r>
        <w:rPr>
          <w:rFonts w:ascii="Times New Roman" w:hAnsi="Times New Roman"/>
          <w:sz w:val="20"/>
        </w:rPr>
        <w:t xml:space="preserve">The notes on pages 7 to 31 form an integral part of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Consolidated Balance Sheet </w:t>
      </w:r>
    </w:p>
    <w:p>
      <w:pPr>
        <w:pStyle w:val="TextBody"/>
        <w:bidi w:val="0"/>
        <w:spacing w:before="0" w:after="0"/>
        <w:jc w:val="left"/>
        <w:rPr>
          <w:rFonts w:ascii="Times New Roman" w:hAnsi="Times New Roman"/>
          <w:b/>
          <w:i/>
          <w:sz w:val="20"/>
        </w:rPr>
      </w:pPr>
      <w:r>
        <w:rPr>
          <w:rFonts w:ascii="Times New Roman" w:hAnsi="Times New Roman"/>
          <w:b/>
          <w:i/>
          <w:sz w:val="20"/>
        </w:rPr>
        <w:t xml:space="preserve">at 31 December 2025 </w:t>
      </w:r>
    </w:p>
    <w:tbl>
      <w:tblPr>
        <w:tblW w:w="5000" w:type="pct"/>
        <w:jc w:val="center"/>
        <w:tblInd w:w="0" w:type="dxa"/>
        <w:tblLayout w:type="fixed"/>
        <w:tblCellMar>
          <w:top w:w="0" w:type="dxa"/>
          <w:left w:w="0" w:type="dxa"/>
          <w:bottom w:w="0" w:type="dxa"/>
          <w:right w:w="0" w:type="dxa"/>
        </w:tblCellMar>
      </w:tblPr>
      <w:tblGrid>
        <w:gridCol w:w="6627"/>
        <w:gridCol w:w="231"/>
        <w:gridCol w:w="105"/>
        <w:gridCol w:w="461"/>
        <w:gridCol w:w="60"/>
        <w:gridCol w:w="231"/>
        <w:gridCol w:w="62"/>
        <w:gridCol w:w="836"/>
        <w:gridCol w:w="155"/>
        <w:gridCol w:w="189"/>
        <w:gridCol w:w="74"/>
        <w:gridCol w:w="1015"/>
        <w:gridCol w:w="159"/>
      </w:tblGrid>
      <w:tr>
        <w:trPr/>
        <w:tc>
          <w:tcPr>
            <w:tcW w:w="6627"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627"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566" w:type="dxa"/>
            <w:gridSpan w:val="2"/>
            <w:tcBorders/>
            <w:vAlign w:val="bottom"/>
          </w:tcPr>
          <w:p>
            <w:pPr>
              <w:pStyle w:val="TableContents"/>
              <w:bidi w:val="0"/>
              <w:spacing w:before="0" w:after="283"/>
              <w:jc w:val="center"/>
              <w:rPr>
                <w:i/>
              </w:rPr>
            </w:pPr>
            <w:r>
              <w:rPr>
                <w:i/>
              </w:rPr>
              <w:t>Notes</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gridSpan w:val="2"/>
            <w:tcBorders/>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89" w:type="dxa"/>
            <w:gridSpan w:val="2"/>
            <w:tcBorders/>
            <w:vAlign w:val="bottom"/>
          </w:tcPr>
          <w:p>
            <w:pPr>
              <w:pStyle w:val="TableContents"/>
              <w:bidi w:val="0"/>
              <w:spacing w:before="0" w:after="283"/>
              <w:jc w:val="center"/>
              <w:rPr/>
            </w:pPr>
            <w:r>
              <w:rPr/>
              <w:t>2024</w:t>
              <w:br/>
              <w:t>£’000</w:t>
              <w:br/>
              <w:t>Unaudited</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i/>
              </w:rPr>
            </w:pPr>
            <w:r>
              <w:rPr>
                <w:i/>
              </w:rPr>
              <w:t>11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947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664</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Tangible fixed assets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i/>
              </w:rPr>
            </w:pPr>
            <w:r>
              <w:rPr>
                <w:i/>
              </w:rPr>
              <w:t>12</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1,448</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1,761</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i/>
              </w:rPr>
            </w:pPr>
            <w:r>
              <w:rPr>
                <w:i/>
              </w:rPr>
              <w:t>14</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4,167</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5,722</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6,562</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8,147</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i/>
              </w:rPr>
            </w:pPr>
            <w:r>
              <w:rPr>
                <w:i/>
              </w:rPr>
              <w:t>15</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13,844</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17,383</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Debtors</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i/>
              </w:rPr>
            </w:pPr>
            <w:r>
              <w:rPr>
                <w:i/>
              </w:rPr>
              <w:t>16</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11,589</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10,586</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taxation asset</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i/>
              </w:rPr>
            </w:pPr>
            <w:r>
              <w:rPr>
                <w:i/>
              </w:rPr>
              <w:t>10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31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Cash at bank and in hand</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5,235</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4,619</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30,699</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32,623</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6627" w:type="dxa"/>
            <w:tcBorders/>
            <w:vAlign w:val="center"/>
          </w:tcPr>
          <w:p>
            <w:pPr>
              <w:pStyle w:val="TableContents"/>
              <w:bidi w:val="0"/>
              <w:spacing w:before="0" w:after="283"/>
              <w:jc w:val="left"/>
              <w:rPr>
                <w:sz w:val="4"/>
                <w:szCs w:val="4"/>
              </w:rPr>
            </w:pPr>
            <w:r>
              <w:rPr>
                <w:sz w:val="4"/>
                <w:szCs w:val="4"/>
              </w:rPr>
            </w:r>
          </w:p>
        </w:tc>
        <w:tc>
          <w:tcPr>
            <w:tcW w:w="857"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Creditors and Accruals: amounts falling due within one year</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i/>
              </w:rPr>
            </w:pPr>
            <w:r>
              <w:rPr>
                <w:i/>
              </w:rPr>
              <w:t>17</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(17,748</w:t>
            </w:r>
          </w:p>
        </w:tc>
        <w:tc>
          <w:tcPr>
            <w:tcW w:w="155" w:type="dxa"/>
            <w:tcBorders/>
            <w:vAlign w:val="bottom"/>
          </w:tcPr>
          <w:p>
            <w:pPr>
              <w:pStyle w:val="TableContents"/>
              <w:bidi w:val="0"/>
              <w:spacing w:before="0" w:after="283"/>
              <w:jc w:val="left"/>
              <w:rPr>
                <w:b/>
              </w:rPr>
            </w:pPr>
            <w:r>
              <w:rPr>
                <w:b/>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(15,409</w:t>
            </w:r>
          </w:p>
        </w:tc>
        <w:tc>
          <w:tcPr>
            <w:tcW w:w="159" w:type="dxa"/>
            <w:tcBorders/>
            <w:vAlign w:val="bottom"/>
          </w:tcPr>
          <w:p>
            <w:pPr>
              <w:pStyle w:val="TableContents"/>
              <w:bidi w:val="0"/>
              <w:spacing w:before="0" w:after="283"/>
              <w:jc w:val="left"/>
              <w:rPr/>
            </w:pPr>
            <w:r>
              <w:rPr/>
              <w:t>) </w:t>
            </w:r>
          </w:p>
        </w:tc>
      </w:tr>
      <w:tr>
        <w:trPr>
          <w:trHeight w:val="120" w:hRule="atLeast"/>
        </w:trPr>
        <w:tc>
          <w:tcPr>
            <w:tcW w:w="6627" w:type="dxa"/>
            <w:tcBorders/>
            <w:vAlign w:val="center"/>
          </w:tcPr>
          <w:p>
            <w:pPr>
              <w:pStyle w:val="TableContents"/>
              <w:bidi w:val="0"/>
              <w:spacing w:before="0" w:after="283"/>
              <w:jc w:val="left"/>
              <w:rPr>
                <w:sz w:val="4"/>
                <w:szCs w:val="4"/>
              </w:rPr>
            </w:pPr>
            <w:r>
              <w:rPr>
                <w:sz w:val="4"/>
                <w:szCs w:val="4"/>
              </w:rPr>
            </w:r>
          </w:p>
        </w:tc>
        <w:tc>
          <w:tcPr>
            <w:tcW w:w="857"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current assets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12,951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17,214</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6627" w:type="dxa"/>
            <w:tcBorders/>
            <w:vAlign w:val="center"/>
          </w:tcPr>
          <w:p>
            <w:pPr>
              <w:pStyle w:val="TableContents"/>
              <w:bidi w:val="0"/>
              <w:spacing w:before="0" w:after="283"/>
              <w:jc w:val="left"/>
              <w:rPr>
                <w:sz w:val="4"/>
                <w:szCs w:val="4"/>
              </w:rPr>
            </w:pPr>
            <w:r>
              <w:rPr>
                <w:sz w:val="4"/>
                <w:szCs w:val="4"/>
              </w:rPr>
            </w:r>
          </w:p>
        </w:tc>
        <w:tc>
          <w:tcPr>
            <w:tcW w:w="857"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assets less current liabilities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19,513</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25,361</w:t>
            </w:r>
          </w:p>
        </w:tc>
        <w:tc>
          <w:tcPr>
            <w:tcW w:w="159" w:type="dxa"/>
            <w:tcBorders/>
            <w:shd w:fill="CCEEFF" w:val="clear"/>
            <w:vAlign w:val="bottom"/>
          </w:tcPr>
          <w:p>
            <w:pPr>
              <w:pStyle w:val="TableContents"/>
              <w:bidi w:val="0"/>
              <w:spacing w:before="0" w:after="283"/>
              <w:jc w:val="left"/>
              <w:rPr/>
            </w:pPr>
            <w:r>
              <w:rPr/>
              <w:t> </w:t>
            </w:r>
          </w:p>
        </w:tc>
      </w:tr>
      <w:tr>
        <w:trPr>
          <w:trHeight w:val="120" w:hRule="atLeast"/>
        </w:trPr>
        <w:tc>
          <w:tcPr>
            <w:tcW w:w="6627" w:type="dxa"/>
            <w:tcBorders/>
            <w:vAlign w:val="center"/>
          </w:tcPr>
          <w:p>
            <w:pPr>
              <w:pStyle w:val="TableContents"/>
              <w:bidi w:val="0"/>
              <w:spacing w:before="0" w:after="283"/>
              <w:jc w:val="left"/>
              <w:rPr>
                <w:sz w:val="4"/>
                <w:szCs w:val="4"/>
              </w:rPr>
            </w:pPr>
            <w:r>
              <w:rPr>
                <w:sz w:val="4"/>
                <w:szCs w:val="4"/>
              </w:rPr>
            </w:r>
          </w:p>
        </w:tc>
        <w:tc>
          <w:tcPr>
            <w:tcW w:w="857"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c>
          <w:tcPr>
            <w:tcW w:w="1437" w:type="dxa"/>
            <w:gridSpan w:val="4"/>
            <w:tcBorders/>
            <w:vAlign w:val="center"/>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b/>
                <w:sz w:val="20"/>
              </w:rPr>
            </w:pPr>
            <w:r>
              <w:rPr>
                <w:rFonts w:ascii="Times New Roman" w:hAnsi="Times New Roman"/>
                <w:b/>
                <w:sz w:val="20"/>
              </w:rPr>
              <w:t>Creditors: amounts falling due after more than one year</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dilapidation liability</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i/>
              </w:rPr>
            </w:pPr>
            <w:r>
              <w:rPr>
                <w:i/>
              </w:rPr>
              <w:t>18</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(1,212</w:t>
            </w:r>
          </w:p>
        </w:tc>
        <w:tc>
          <w:tcPr>
            <w:tcW w:w="155" w:type="dxa"/>
            <w:tcBorders/>
            <w:shd w:fill="CCEEFF" w:val="clear"/>
            <w:vAlign w:val="bottom"/>
          </w:tcPr>
          <w:p>
            <w:pPr>
              <w:pStyle w:val="TableContents"/>
              <w:bidi w:val="0"/>
              <w:spacing w:before="0" w:after="283"/>
              <w:jc w:val="left"/>
              <w:rPr>
                <w:b/>
              </w:rPr>
            </w:pPr>
            <w:r>
              <w:rPr>
                <w:b/>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(1,521</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Funding - capital</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i/>
              </w:rPr>
            </w:pPr>
            <w:r>
              <w:rPr>
                <w:i/>
              </w:rPr>
              <w:t>21</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(36,500</w:t>
            </w:r>
          </w:p>
        </w:tc>
        <w:tc>
          <w:tcPr>
            <w:tcW w:w="155" w:type="dxa"/>
            <w:tcBorders/>
            <w:vAlign w:val="bottom"/>
          </w:tcPr>
          <w:p>
            <w:pPr>
              <w:pStyle w:val="TableContents"/>
              <w:bidi w:val="0"/>
              <w:spacing w:before="0" w:after="283"/>
              <w:jc w:val="left"/>
              <w:rPr>
                <w:b/>
              </w:rPr>
            </w:pPr>
            <w:r>
              <w:rPr>
                <w:b/>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(42,457</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(37,712</w:t>
            </w:r>
          </w:p>
        </w:tc>
        <w:tc>
          <w:tcPr>
            <w:tcW w:w="155" w:type="dxa"/>
            <w:tcBorders/>
            <w:shd w:fill="CCEEFF" w:val="clear"/>
            <w:vAlign w:val="bottom"/>
          </w:tcPr>
          <w:p>
            <w:pPr>
              <w:pStyle w:val="TableContents"/>
              <w:bidi w:val="0"/>
              <w:spacing w:before="0" w:after="283"/>
              <w:jc w:val="left"/>
              <w:rPr>
                <w:b/>
              </w:rPr>
            </w:pPr>
            <w:r>
              <w:rPr>
                <w:b/>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(43,978</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b/>
                <w:sz w:val="20"/>
              </w:rPr>
            </w:pPr>
            <w:r>
              <w:rPr>
                <w:rFonts w:ascii="Times New Roman" w:hAnsi="Times New Roman"/>
                <w:b/>
                <w:sz w:val="20"/>
              </w:rPr>
              <w:t>Provisions for liabilities</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83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sz w:val="4"/>
                <w:szCs w:val="4"/>
              </w:rPr>
            </w:pPr>
            <w:r>
              <w:rPr>
                <w:sz w:val="4"/>
                <w:szCs w:val="4"/>
              </w:rPr>
            </w:r>
          </w:p>
        </w:tc>
        <w:tc>
          <w:tcPr>
            <w:tcW w:w="1015"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i/>
              </w:rPr>
            </w:pPr>
            <w:r>
              <w:rPr>
                <w:i/>
              </w:rPr>
              <w:t>10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(67</w:t>
            </w:r>
          </w:p>
        </w:tc>
        <w:tc>
          <w:tcPr>
            <w:tcW w:w="155" w:type="dxa"/>
            <w:tcBorders/>
            <w:shd w:fill="CCEEFF" w:val="clear"/>
            <w:vAlign w:val="bottom"/>
          </w:tcPr>
          <w:p>
            <w:pPr>
              <w:pStyle w:val="TableContents"/>
              <w:bidi w:val="0"/>
              <w:spacing w:before="0" w:after="283"/>
              <w:jc w:val="left"/>
              <w:rPr>
                <w:b/>
              </w:rPr>
            </w:pPr>
            <w:r>
              <w:rPr>
                <w:b/>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(50</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net liabilities</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(18,266</w:t>
            </w:r>
          </w:p>
        </w:tc>
        <w:tc>
          <w:tcPr>
            <w:tcW w:w="155" w:type="dxa"/>
            <w:tcBorders/>
            <w:vAlign w:val="bottom"/>
          </w:tcPr>
          <w:p>
            <w:pPr>
              <w:pStyle w:val="TableContents"/>
              <w:bidi w:val="0"/>
              <w:spacing w:before="0" w:after="283"/>
              <w:jc w:val="left"/>
              <w:rPr>
                <w:b/>
              </w:rPr>
            </w:pPr>
            <w:r>
              <w:rPr>
                <w:b/>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(18,667</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Capital and reserves</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sz w:val="4"/>
                <w:szCs w:val="4"/>
              </w:rPr>
            </w:pPr>
            <w:r>
              <w:rPr>
                <w:sz w:val="4"/>
                <w:szCs w:val="4"/>
              </w:rPr>
            </w:r>
          </w:p>
        </w:tc>
        <w:tc>
          <w:tcPr>
            <w:tcW w:w="101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Called up share capital</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61" w:type="dxa"/>
            <w:tcBorders/>
            <w:vAlign w:val="bottom"/>
          </w:tcPr>
          <w:p>
            <w:pPr>
              <w:pStyle w:val="TableContents"/>
              <w:bidi w:val="0"/>
              <w:spacing w:before="0" w:after="283"/>
              <w:jc w:val="right"/>
              <w:rPr>
                <w:i/>
              </w:rPr>
            </w:pPr>
            <w:r>
              <w:rPr>
                <w:i/>
              </w:rPr>
              <w:t>20</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1</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 premium</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61" w:type="dxa"/>
            <w:tcBorders/>
            <w:shd w:fill="CCEEFF" w:val="clear"/>
            <w:vAlign w:val="bottom"/>
          </w:tcPr>
          <w:p>
            <w:pPr>
              <w:pStyle w:val="TableContents"/>
              <w:bidi w:val="0"/>
              <w:spacing w:before="0" w:after="283"/>
              <w:jc w:val="right"/>
              <w:rPr>
                <w:i/>
              </w:rPr>
            </w:pPr>
            <w:r>
              <w:rPr>
                <w:i/>
              </w:rPr>
              <w:t>20</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131</w:t>
            </w:r>
          </w:p>
        </w:tc>
        <w:tc>
          <w:tcPr>
            <w:tcW w:w="155"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131</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sz w:val="20"/>
              </w:rPr>
            </w:pPr>
            <w:r>
              <w:rPr>
                <w:rFonts w:ascii="Times New Roman" w:hAnsi="Times New Roman"/>
                <w:sz w:val="20"/>
              </w:rPr>
              <w:t>Currency reserve</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3</w:t>
            </w:r>
          </w:p>
        </w:tc>
        <w:tc>
          <w:tcPr>
            <w:tcW w:w="155"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(27</w:t>
            </w:r>
          </w:p>
        </w:tc>
        <w:tc>
          <w:tcPr>
            <w:tcW w:w="159" w:type="dxa"/>
            <w:tcBorders/>
            <w:vAlign w:val="bottom"/>
          </w:tcPr>
          <w:p>
            <w:pPr>
              <w:pStyle w:val="TableContents"/>
              <w:bidi w:val="0"/>
              <w:spacing w:before="0" w:after="283"/>
              <w:jc w:val="left"/>
              <w:rPr/>
            </w:pPr>
            <w:r>
              <w:rPr/>
              <w:t>) </w:t>
            </w:r>
          </w:p>
        </w:tc>
      </w:tr>
      <w:tr>
        <w:trPr/>
        <w:tc>
          <w:tcPr>
            <w:tcW w:w="66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Profit and loss account</w:t>
            </w:r>
          </w:p>
        </w:tc>
        <w:tc>
          <w:tcPr>
            <w:tcW w:w="231"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4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b/>
              </w:rPr>
            </w:pPr>
            <w:r>
              <w:rPr>
                <w:b/>
              </w:rPr>
              <w:t>(18,401</w:t>
            </w:r>
          </w:p>
        </w:tc>
        <w:tc>
          <w:tcPr>
            <w:tcW w:w="155" w:type="dxa"/>
            <w:tcBorders/>
            <w:shd w:fill="CCEEFF" w:val="clear"/>
            <w:vAlign w:val="bottom"/>
          </w:tcPr>
          <w:p>
            <w:pPr>
              <w:pStyle w:val="TableContents"/>
              <w:bidi w:val="0"/>
              <w:spacing w:before="0" w:after="283"/>
              <w:jc w:val="left"/>
              <w:rPr>
                <w:b/>
              </w:rPr>
            </w:pPr>
            <w:r>
              <w:rPr>
                <w:b/>
              </w:rPr>
              <w:t>) </w:t>
            </w:r>
          </w:p>
        </w:tc>
        <w:tc>
          <w:tcPr>
            <w:tcW w:w="189"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1015" w:type="dxa"/>
            <w:tcBorders/>
            <w:shd w:fill="CCEEFF" w:val="clear"/>
            <w:vAlign w:val="bottom"/>
          </w:tcPr>
          <w:p>
            <w:pPr>
              <w:pStyle w:val="TableContents"/>
              <w:bidi w:val="0"/>
              <w:spacing w:before="0" w:after="283"/>
              <w:jc w:val="right"/>
              <w:rPr/>
            </w:pPr>
            <w:r>
              <w:rPr/>
              <w:t>(18,772</w:t>
            </w:r>
          </w:p>
        </w:tc>
        <w:tc>
          <w:tcPr>
            <w:tcW w:w="159" w:type="dxa"/>
            <w:tcBorders/>
            <w:shd w:fill="CCEEFF" w:val="clear"/>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83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101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627" w:type="dxa"/>
            <w:tcBorders/>
          </w:tcPr>
          <w:p>
            <w:pPr>
              <w:pStyle w:val="TableContents"/>
              <w:bidi w:val="0"/>
              <w:spacing w:before="0" w:after="0"/>
              <w:jc w:val="left"/>
              <w:rPr>
                <w:rFonts w:ascii="Times New Roman" w:hAnsi="Times New Roman"/>
                <w:b/>
                <w:sz w:val="20"/>
              </w:rPr>
            </w:pPr>
            <w:r>
              <w:rPr>
                <w:rFonts w:ascii="Times New Roman" w:hAnsi="Times New Roman"/>
                <w:b/>
                <w:sz w:val="20"/>
              </w:rPr>
              <w:t>Shareholders’ deficit</w:t>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b/>
              </w:rPr>
            </w:pPr>
            <w:r>
              <w:rPr>
                <w:b/>
              </w:rPr>
              <w:t>(18,266</w:t>
            </w:r>
          </w:p>
        </w:tc>
        <w:tc>
          <w:tcPr>
            <w:tcW w:w="155" w:type="dxa"/>
            <w:tcBorders/>
            <w:vAlign w:val="bottom"/>
          </w:tcPr>
          <w:p>
            <w:pPr>
              <w:pStyle w:val="TableContents"/>
              <w:bidi w:val="0"/>
              <w:spacing w:before="0" w:after="283"/>
              <w:jc w:val="left"/>
              <w:rPr>
                <w:b/>
              </w:rPr>
            </w:pPr>
            <w:r>
              <w:rPr>
                <w:b/>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15" w:type="dxa"/>
            <w:tcBorders/>
            <w:vAlign w:val="bottom"/>
          </w:tcPr>
          <w:p>
            <w:pPr>
              <w:pStyle w:val="TableContents"/>
              <w:bidi w:val="0"/>
              <w:spacing w:before="0" w:after="283"/>
              <w:jc w:val="right"/>
              <w:rPr/>
            </w:pPr>
            <w:r>
              <w:rPr/>
              <w:t>(18,667</w:t>
            </w:r>
          </w:p>
        </w:tc>
        <w:tc>
          <w:tcPr>
            <w:tcW w:w="159" w:type="dxa"/>
            <w:tcBorders/>
            <w:vAlign w:val="bottom"/>
          </w:tcPr>
          <w:p>
            <w:pPr>
              <w:pStyle w:val="TableContents"/>
              <w:bidi w:val="0"/>
              <w:spacing w:before="0" w:after="283"/>
              <w:jc w:val="left"/>
              <w:rPr/>
            </w:pPr>
            <w:r>
              <w:rPr/>
              <w:t>) </w:t>
            </w:r>
          </w:p>
        </w:tc>
      </w:tr>
      <w:tr>
        <w:trPr/>
        <w:tc>
          <w:tcPr>
            <w:tcW w:w="6627"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46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83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101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on pages 7 to 31 form an integral part of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These Consolidated financial statements were approved by the board of directors and authorised for issue on 19 June 2026, and are signed on behalf of the board by: </w:t>
      </w:r>
    </w:p>
    <w:p>
      <w:pPr>
        <w:pStyle w:val="TextBody"/>
        <w:bidi w:val="0"/>
        <w:spacing w:before="0" w:after="0"/>
        <w:jc w:val="left"/>
        <w:rPr/>
      </w:pPr>
      <w:r>
        <w:rPr/>
        <w:t> </w:t>
      </w:r>
    </w:p>
    <w:p>
      <w:pPr>
        <w:pStyle w:val="TextBody"/>
        <w:bidi w:val="0"/>
        <w:spacing w:before="0" w:after="0"/>
        <w:jc w:val="center"/>
        <w:rPr/>
      </w:pPr>
      <w:r>
        <w:rPr/>
        <w:drawing>
          <wp:inline distT="0" distB="0" distL="0" distR="0">
            <wp:extent cx="995680" cy="27114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8"/>
                    <a:stretch>
                      <a:fillRect/>
                    </a:stretch>
                  </pic:blipFill>
                  <pic:spPr bwMode="auto">
                    <a:xfrm>
                      <a:off x="0" y="0"/>
                      <a:ext cx="995680" cy="27114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Consolidated Statement of Changes in Equity </w:t>
      </w:r>
    </w:p>
    <w:p>
      <w:pPr>
        <w:pStyle w:val="TextBody"/>
        <w:bidi w:val="0"/>
        <w:spacing w:before="0" w:after="0"/>
        <w:jc w:val="left"/>
        <w:rPr>
          <w:rFonts w:ascii="Times New Roman" w:hAnsi="Times New Roman"/>
          <w:b/>
          <w:i/>
          <w:sz w:val="20"/>
        </w:rPr>
      </w:pPr>
      <w:r>
        <w:rPr>
          <w:rFonts w:ascii="Times New Roman" w:hAnsi="Times New Roman"/>
          <w:b/>
          <w:i/>
          <w:sz w:val="20"/>
        </w:rPr>
        <w:t xml:space="preserve">for the year ended 31 December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36"/>
        <w:gridCol w:w="252"/>
        <w:gridCol w:w="70"/>
        <w:gridCol w:w="459"/>
        <w:gridCol w:w="60"/>
        <w:gridCol w:w="252"/>
        <w:gridCol w:w="131"/>
        <w:gridCol w:w="873"/>
        <w:gridCol w:w="60"/>
        <w:gridCol w:w="252"/>
        <w:gridCol w:w="153"/>
        <w:gridCol w:w="891"/>
        <w:gridCol w:w="155"/>
        <w:gridCol w:w="204"/>
        <w:gridCol w:w="60"/>
        <w:gridCol w:w="757"/>
        <w:gridCol w:w="155"/>
        <w:gridCol w:w="204"/>
        <w:gridCol w:w="60"/>
        <w:gridCol w:w="758"/>
        <w:gridCol w:w="163"/>
      </w:tblGrid>
      <w:tr>
        <w:trPr/>
        <w:tc>
          <w:tcPr>
            <w:tcW w:w="4236"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236"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529"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Called</w:t>
            </w:r>
          </w:p>
          <w:p>
            <w:pPr>
              <w:pStyle w:val="TableContents"/>
              <w:bidi w:val="0"/>
              <w:spacing w:before="0" w:after="0"/>
              <w:jc w:val="center"/>
              <w:rPr>
                <w:rFonts w:ascii="Times New Roman" w:hAnsi="Times New Roman"/>
                <w:b/>
                <w:sz w:val="16"/>
              </w:rPr>
            </w:pPr>
            <w:r>
              <w:rPr>
                <w:rFonts w:ascii="Times New Roman" w:hAnsi="Times New Roman"/>
                <w:b/>
                <w:sz w:val="16"/>
              </w:rPr>
              <w:t>up</w:t>
            </w:r>
          </w:p>
          <w:p>
            <w:pPr>
              <w:pStyle w:val="TableContents"/>
              <w:bidi w:val="0"/>
              <w:spacing w:before="0" w:after="20"/>
              <w:jc w:val="center"/>
              <w:rPr>
                <w:rFonts w:ascii="Times New Roman" w:hAnsi="Times New Roman"/>
                <w:b/>
                <w:sz w:val="16"/>
              </w:rPr>
            </w:pPr>
            <w:r>
              <w:rPr>
                <w:rFonts w:ascii="Times New Roman" w:hAnsi="Times New Roman"/>
                <w:b/>
                <w:sz w:val="16"/>
              </w:rPr>
              <w:t>share</w:t>
              <w:br/>
              <w:t>capital</w:t>
              <w:br/>
              <w:t>£’000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04" w:type="dxa"/>
            <w:gridSpan w:val="2"/>
            <w:tcBorders/>
            <w:vAlign w:val="bottom"/>
          </w:tcPr>
          <w:p>
            <w:pPr>
              <w:pStyle w:val="TableContents"/>
              <w:bidi w:val="0"/>
              <w:spacing w:before="0" w:after="283"/>
              <w:jc w:val="center"/>
              <w:rPr>
                <w:b/>
              </w:rPr>
            </w:pPr>
            <w:r>
              <w:rPr>
                <w:b/>
              </w:rPr>
              <w:t>Share</w:t>
              <w:br/>
              <w:t>Premium</w:t>
              <w:br/>
              <w:t>£’000</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044" w:type="dxa"/>
            <w:gridSpan w:val="2"/>
            <w:tcBorders/>
            <w:vAlign w:val="bottom"/>
          </w:tcPr>
          <w:p>
            <w:pPr>
              <w:pStyle w:val="TableContents"/>
              <w:bidi w:val="0"/>
              <w:spacing w:before="0" w:after="283"/>
              <w:jc w:val="center"/>
              <w:rPr>
                <w:b/>
              </w:rPr>
            </w:pPr>
            <w:r>
              <w:rPr>
                <w:b/>
              </w:rPr>
              <w:t>Currency</w:t>
              <w:br/>
              <w:t>reserve</w:t>
              <w:br/>
              <w:t>£’000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17"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Profit</w:t>
            </w:r>
          </w:p>
          <w:p>
            <w:pPr>
              <w:pStyle w:val="TableContents"/>
              <w:bidi w:val="0"/>
              <w:spacing w:before="0" w:after="20"/>
              <w:jc w:val="center"/>
              <w:rPr>
                <w:rFonts w:ascii="Times New Roman" w:hAnsi="Times New Roman"/>
                <w:b/>
                <w:sz w:val="16"/>
              </w:rPr>
            </w:pPr>
            <w:r>
              <w:rPr>
                <w:rFonts w:ascii="Times New Roman" w:hAnsi="Times New Roman"/>
                <w:b/>
                <w:sz w:val="16"/>
              </w:rPr>
              <w:t>and loss</w:t>
              <w:br/>
              <w:t>account</w:t>
              <w:br/>
              <w:t>£’000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818" w:type="dxa"/>
            <w:gridSpan w:val="2"/>
            <w:tcBorders/>
            <w:vAlign w:val="bottom"/>
          </w:tcPr>
          <w:p>
            <w:pPr>
              <w:pStyle w:val="TableContents"/>
              <w:bidi w:val="0"/>
              <w:spacing w:before="0" w:after="283"/>
              <w:jc w:val="center"/>
              <w:rPr>
                <w:b/>
              </w:rPr>
            </w:pPr>
            <w:r>
              <w:rPr>
                <w:b/>
              </w:rPr>
              <w:t>Total</w:t>
              <w:br/>
              <w:t>equity</w:t>
              <w:br/>
              <w:t>£’000</w:t>
            </w:r>
          </w:p>
        </w:tc>
        <w:tc>
          <w:tcPr>
            <w:tcW w:w="163" w:type="dxa"/>
            <w:tcBorders/>
            <w:vAlign w:val="bottom"/>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1 January 2023 (Unaudited)</w:t>
            </w:r>
          </w:p>
        </w:tc>
        <w:tc>
          <w:tcPr>
            <w:tcW w:w="25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(13,121</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pPr>
            <w:r>
              <w:rPr/>
              <w:t>(12,987</w:t>
            </w:r>
          </w:p>
        </w:tc>
        <w:tc>
          <w:tcPr>
            <w:tcW w:w="163" w:type="dxa"/>
            <w:tcBorders/>
            <w:shd w:fill="CCEEFF" w:val="clear"/>
            <w:vAlign w:val="bottom"/>
          </w:tcPr>
          <w:p>
            <w:pPr>
              <w:pStyle w:val="TableContents"/>
              <w:bidi w:val="0"/>
              <w:spacing w:before="0" w:after="283"/>
              <w:jc w:val="left"/>
              <w:rPr/>
            </w:pPr>
            <w:r>
              <w:rPr/>
              <w:t>) </w:t>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Profit or loss and other comprehensive income for the year</w:t>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6</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(2,116</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(2,110</w:t>
            </w:r>
          </w:p>
        </w:tc>
        <w:tc>
          <w:tcPr>
            <w:tcW w:w="163"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2023 (Unaudited)</w:t>
            </w:r>
          </w:p>
        </w:tc>
        <w:tc>
          <w:tcPr>
            <w:tcW w:w="25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b/>
              </w:rPr>
            </w:pPr>
            <w:r>
              <w:rPr>
                <w:b/>
              </w:rPr>
              <w:t>131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8</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(15,237</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(15,097</w:t>
            </w:r>
          </w:p>
        </w:tc>
        <w:tc>
          <w:tcPr>
            <w:tcW w:w="163" w:type="dxa"/>
            <w:tcBorders/>
            <w:shd w:fill="CCEEFF" w:val="clear"/>
            <w:vAlign w:val="bottom"/>
          </w:tcPr>
          <w:p>
            <w:pPr>
              <w:pStyle w:val="TableContents"/>
              <w:bidi w:val="0"/>
              <w:spacing w:before="0" w:after="283"/>
              <w:jc w:val="left"/>
              <w:rPr>
                <w:b/>
              </w:rPr>
            </w:pPr>
            <w:r>
              <w:rPr>
                <w:b/>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Profit or loss and other comprehensive income for the year</w:t>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(35</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(3,535</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(3,570</w:t>
            </w:r>
          </w:p>
        </w:tc>
        <w:tc>
          <w:tcPr>
            <w:tcW w:w="163"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 xml:space="preserve">Balance at 31 December 2024 (Unaudited) </w:t>
            </w:r>
          </w:p>
        </w:tc>
        <w:tc>
          <w:tcPr>
            <w:tcW w:w="25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b/>
              </w:rPr>
            </w:pPr>
            <w:r>
              <w:rPr>
                <w:b/>
              </w:rPr>
              <w:t>131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(27</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(18,772</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(18,667</w:t>
            </w:r>
          </w:p>
        </w:tc>
        <w:tc>
          <w:tcPr>
            <w:tcW w:w="163" w:type="dxa"/>
            <w:tcBorders/>
            <w:shd w:fill="CCEEFF" w:val="clear"/>
            <w:vAlign w:val="bottom"/>
          </w:tcPr>
          <w:p>
            <w:pPr>
              <w:pStyle w:val="TableContents"/>
              <w:bidi w:val="0"/>
              <w:spacing w:before="0" w:after="283"/>
              <w:jc w:val="left"/>
              <w:rPr>
                <w:b/>
              </w:rPr>
            </w:pPr>
            <w:r>
              <w:rPr>
                <w:b/>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36" w:type="dxa"/>
            <w:tcBorders/>
          </w:tcPr>
          <w:p>
            <w:pPr>
              <w:pStyle w:val="TableContents"/>
              <w:bidi w:val="0"/>
              <w:spacing w:before="0" w:after="0"/>
              <w:jc w:val="left"/>
              <w:rPr>
                <w:rFonts w:ascii="Times New Roman" w:hAnsi="Times New Roman"/>
                <w:sz w:val="20"/>
              </w:rPr>
            </w:pPr>
            <w:r>
              <w:rPr>
                <w:rFonts w:ascii="Times New Roman" w:hAnsi="Times New Roman"/>
                <w:sz w:val="20"/>
              </w:rPr>
              <w:t>Profit or loss and other comprehensive income for the year</w:t>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1"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371</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8" w:type="dxa"/>
            <w:tcBorders/>
            <w:vAlign w:val="bottom"/>
          </w:tcPr>
          <w:p>
            <w:pPr>
              <w:pStyle w:val="TableContents"/>
              <w:bidi w:val="0"/>
              <w:spacing w:before="0" w:after="283"/>
              <w:jc w:val="right"/>
              <w:rPr/>
            </w:pPr>
            <w:r>
              <w:rPr/>
              <w:t>401</w:t>
            </w:r>
          </w:p>
        </w:tc>
        <w:tc>
          <w:tcPr>
            <w:tcW w:w="163" w:type="dxa"/>
            <w:tcBorders/>
            <w:vAlign w:val="bottom"/>
          </w:tcPr>
          <w:p>
            <w:pPr>
              <w:pStyle w:val="TableContents"/>
              <w:bidi w:val="0"/>
              <w:spacing w:before="0" w:after="283"/>
              <w:jc w:val="left"/>
              <w:rPr/>
            </w:pPr>
            <w:r>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4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single" w:sz="2" w:space="1" w:color="000000"/>
              </w:pBdr>
              <w:bidi w:val="0"/>
              <w:spacing w:before="0" w:after="0"/>
              <w:jc w:val="left"/>
              <w:rPr/>
            </w:pPr>
            <w:r>
              <w:rPr/>
              <w:t> </w:t>
            </w:r>
          </w:p>
        </w:tc>
        <w:tc>
          <w:tcPr>
            <w:tcW w:w="87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8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8"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42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25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873" w:type="dxa"/>
            <w:tcBorders/>
            <w:shd w:fill="CCEEFF" w:val="clear"/>
            <w:vAlign w:val="bottom"/>
          </w:tcPr>
          <w:p>
            <w:pPr>
              <w:pStyle w:val="TableContents"/>
              <w:bidi w:val="0"/>
              <w:spacing w:before="0" w:after="283"/>
              <w:jc w:val="right"/>
              <w:rPr>
                <w:b/>
              </w:rPr>
            </w:pPr>
            <w:r>
              <w:rPr>
                <w:b/>
              </w:rPr>
              <w:t>131</w:t>
            </w:r>
          </w:p>
        </w:tc>
        <w:tc>
          <w:tcPr>
            <w:tcW w:w="60" w:type="dxa"/>
            <w:tcBorders/>
            <w:shd w:fill="CCEEFF" w:val="clear"/>
            <w:vAlign w:val="bottom"/>
          </w:tcPr>
          <w:p>
            <w:pPr>
              <w:pStyle w:val="TableContents"/>
              <w:bidi w:val="0"/>
              <w:spacing w:before="0" w:after="283"/>
              <w:jc w:val="left"/>
              <w:rPr/>
            </w:pPr>
            <w:r>
              <w:rPr/>
              <w:t> </w:t>
            </w:r>
          </w:p>
        </w:tc>
        <w:tc>
          <w:tcPr>
            <w:tcW w:w="252"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1" w:type="dxa"/>
            <w:tcBorders/>
            <w:shd w:fill="CCEEFF" w:val="clear"/>
            <w:vAlign w:val="bottom"/>
          </w:tcPr>
          <w:p>
            <w:pPr>
              <w:pStyle w:val="TableContents"/>
              <w:bidi w:val="0"/>
              <w:spacing w:before="0" w:after="283"/>
              <w:jc w:val="right"/>
              <w:rPr>
                <w:b/>
              </w:rPr>
            </w:pPr>
            <w:r>
              <w:rPr>
                <w:b/>
              </w:rPr>
              <w:t>3</w:t>
            </w:r>
          </w:p>
        </w:tc>
        <w:tc>
          <w:tcPr>
            <w:tcW w:w="155" w:type="dxa"/>
            <w:tcBorders/>
            <w:shd w:fill="CCEEFF" w:val="clear"/>
            <w:vAlign w:val="bottom"/>
          </w:tcPr>
          <w:p>
            <w:pPr>
              <w:pStyle w:val="TableContents"/>
              <w:bidi w:val="0"/>
              <w:spacing w:before="0" w:after="283"/>
              <w:jc w:val="left"/>
              <w:rPr/>
            </w:pPr>
            <w:r>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b/>
              </w:rPr>
            </w:pPr>
            <w:r>
              <w:rPr>
                <w:b/>
              </w:rPr>
              <w:t>(18,401</w:t>
            </w:r>
          </w:p>
        </w:tc>
        <w:tc>
          <w:tcPr>
            <w:tcW w:w="155" w:type="dxa"/>
            <w:tcBorders/>
            <w:shd w:fill="CCEEFF" w:val="clear"/>
            <w:vAlign w:val="bottom"/>
          </w:tcPr>
          <w:p>
            <w:pPr>
              <w:pStyle w:val="TableContents"/>
              <w:bidi w:val="0"/>
              <w:spacing w:before="0" w:after="283"/>
              <w:jc w:val="left"/>
              <w:rPr>
                <w:b/>
              </w:rPr>
            </w:pPr>
            <w:r>
              <w:rPr>
                <w:b/>
              </w:rPr>
              <w:t>) </w:t>
            </w:r>
          </w:p>
        </w:tc>
        <w:tc>
          <w:tcPr>
            <w:tcW w:w="20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8" w:type="dxa"/>
            <w:tcBorders/>
            <w:shd w:fill="CCEEFF" w:val="clear"/>
            <w:vAlign w:val="bottom"/>
          </w:tcPr>
          <w:p>
            <w:pPr>
              <w:pStyle w:val="TableContents"/>
              <w:bidi w:val="0"/>
              <w:spacing w:before="0" w:after="283"/>
              <w:jc w:val="right"/>
              <w:rPr>
                <w:b/>
              </w:rPr>
            </w:pPr>
            <w:r>
              <w:rPr>
                <w:b/>
              </w:rPr>
              <w:t>(18,266</w:t>
            </w:r>
          </w:p>
        </w:tc>
        <w:tc>
          <w:tcPr>
            <w:tcW w:w="163" w:type="dxa"/>
            <w:tcBorders/>
            <w:shd w:fill="CCEEFF" w:val="clear"/>
            <w:vAlign w:val="bottom"/>
          </w:tcPr>
          <w:p>
            <w:pPr>
              <w:pStyle w:val="TableContents"/>
              <w:bidi w:val="0"/>
              <w:spacing w:before="0" w:after="283"/>
              <w:jc w:val="left"/>
              <w:rPr>
                <w:b/>
              </w:rPr>
            </w:pPr>
            <w:r>
              <w:rPr>
                <w:b/>
              </w:rPr>
              <w:t>) </w:t>
            </w:r>
          </w:p>
        </w:tc>
      </w:tr>
      <w:tr>
        <w:trPr/>
        <w:tc>
          <w:tcPr>
            <w:tcW w:w="4236" w:type="dxa"/>
            <w:tcBorders/>
            <w:vAlign w:val="bottom"/>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double" w:sz="6" w:space="1" w:color="000000"/>
              </w:pBdr>
              <w:bidi w:val="0"/>
              <w:spacing w:before="0" w:after="0"/>
              <w:jc w:val="left"/>
              <w:rPr/>
            </w:pPr>
            <w:r>
              <w:rPr/>
              <w:t> </w:t>
            </w:r>
          </w:p>
        </w:tc>
        <w:tc>
          <w:tcPr>
            <w:tcW w:w="4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31" w:type="dxa"/>
            <w:tcBorders/>
            <w:vAlign w:val="bottom"/>
          </w:tcPr>
          <w:p>
            <w:pPr>
              <w:pStyle w:val="TableContents"/>
              <w:pBdr>
                <w:top w:val="double" w:sz="6" w:space="1" w:color="000000"/>
              </w:pBdr>
              <w:bidi w:val="0"/>
              <w:spacing w:before="0" w:after="0"/>
              <w:jc w:val="left"/>
              <w:rPr/>
            </w:pPr>
            <w:r>
              <w:rPr/>
              <w:t> </w:t>
            </w:r>
          </w:p>
        </w:tc>
        <w:tc>
          <w:tcPr>
            <w:tcW w:w="87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8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8"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notes on pages 7 to 31 form an integral part of the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report, the movements for 2025 have been audited, whereas the movements for 2024 and 2023 are unaudited.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Consolidated Cash Flow Statement </w:t>
      </w:r>
    </w:p>
    <w:p>
      <w:pPr>
        <w:pStyle w:val="TextBody"/>
        <w:bidi w:val="0"/>
        <w:spacing w:before="0" w:after="0"/>
        <w:jc w:val="left"/>
        <w:rPr>
          <w:rFonts w:ascii="Times New Roman" w:hAnsi="Times New Roman"/>
          <w:b/>
          <w:i/>
          <w:sz w:val="20"/>
        </w:rPr>
      </w:pPr>
      <w:r>
        <w:rPr>
          <w:rFonts w:ascii="Times New Roman" w:hAnsi="Times New Roman"/>
          <w:b/>
          <w:i/>
          <w:sz w:val="20"/>
        </w:rPr>
        <w:t xml:space="preserve">for year ended 31 December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03"/>
        <w:gridCol w:w="213"/>
        <w:gridCol w:w="90"/>
        <w:gridCol w:w="395"/>
        <w:gridCol w:w="60"/>
        <w:gridCol w:w="213"/>
        <w:gridCol w:w="62"/>
        <w:gridCol w:w="786"/>
        <w:gridCol w:w="155"/>
        <w:gridCol w:w="172"/>
        <w:gridCol w:w="87"/>
        <w:gridCol w:w="946"/>
        <w:gridCol w:w="155"/>
        <w:gridCol w:w="173"/>
        <w:gridCol w:w="87"/>
        <w:gridCol w:w="946"/>
        <w:gridCol w:w="162"/>
      </w:tblGrid>
      <w:tr>
        <w:trPr/>
        <w:tc>
          <w:tcPr>
            <w:tcW w:w="5503"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03"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485" w:type="dxa"/>
            <w:gridSpan w:val="2"/>
            <w:tcBorders/>
            <w:vAlign w:val="bottom"/>
          </w:tcPr>
          <w:p>
            <w:pPr>
              <w:pStyle w:val="TableContents"/>
              <w:bidi w:val="0"/>
              <w:spacing w:before="0" w:after="283"/>
              <w:jc w:val="center"/>
              <w:rPr/>
            </w:pPr>
            <w:r>
              <w:rPr/>
              <w:t>Note</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1033" w:type="dxa"/>
            <w:gridSpan w:val="2"/>
            <w:tcBorders/>
            <w:vAlign w:val="bottom"/>
          </w:tcPr>
          <w:p>
            <w:pPr>
              <w:pStyle w:val="TableContents"/>
              <w:bidi w:val="0"/>
              <w:spacing w:before="0" w:after="283"/>
              <w:jc w:val="center"/>
              <w:rPr/>
            </w:pPr>
            <w:r>
              <w:rPr/>
              <w:t>2024</w:t>
              <w:br/>
              <w:t>£’000</w:t>
              <w:br/>
              <w:t>Unaudited</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033" w:type="dxa"/>
            <w:gridSpan w:val="2"/>
            <w:tcBorders/>
            <w:vAlign w:val="bottom"/>
          </w:tcPr>
          <w:p>
            <w:pPr>
              <w:pStyle w:val="TableContents"/>
              <w:bidi w:val="0"/>
              <w:spacing w:before="0" w:after="283"/>
              <w:jc w:val="center"/>
              <w:rPr/>
            </w:pPr>
            <w:r>
              <w:rPr/>
              <w:t>2023</w:t>
              <w:br/>
              <w:t>£’000</w:t>
              <w:br/>
              <w:t>Unaudited</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Profit/ (loss) before taxation</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1,553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(2,632</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(1,339</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Adjustments for:</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Amortisation of intangible assets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283</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159</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113</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tangible assets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1,039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891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447</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Amortisation of goodwill</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1,555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1,554</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1,554</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(Profit)/ loss on sale of tangible fixed assets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(16</w:t>
            </w:r>
          </w:p>
        </w:tc>
        <w:tc>
          <w:tcPr>
            <w:tcW w:w="155"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15</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Write-off of tangible fixed assets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payable and similar charges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5,037</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5,852</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4,884</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i/>
                <w:sz w:val="20"/>
              </w:rPr>
            </w:pPr>
            <w:r>
              <w:rPr>
                <w:rFonts w:ascii="Times New Roman" w:hAnsi="Times New Roman"/>
                <w:i/>
                <w:sz w:val="20"/>
              </w:rPr>
              <w:t>Change in working capital:</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trade and other debtors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(1,038</w:t>
            </w:r>
          </w:p>
        </w:tc>
        <w:tc>
          <w:tcPr>
            <w:tcW w:w="155"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(1,521</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1,218</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Decrease/ (increase) in stocks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3,539</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(1,190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(692</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(decrease) in trade and other creditors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2,996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2,023</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(1,591</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Tax paid</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(1,556</w:t>
            </w:r>
          </w:p>
        </w:tc>
        <w:tc>
          <w:tcPr>
            <w:tcW w:w="155"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(820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(407</w:t>
            </w:r>
          </w:p>
        </w:tc>
        <w:tc>
          <w:tcPr>
            <w:tcW w:w="162" w:type="dxa"/>
            <w:tcBorders/>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flow from operating activities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13,392</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4,290</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4,205</w:t>
            </w:r>
          </w:p>
        </w:tc>
        <w:tc>
          <w:tcPr>
            <w:tcW w:w="162" w:type="dxa"/>
            <w:tcBorders/>
            <w:shd w:fill="CCEEFF" w:val="clear"/>
            <w:vAlign w:val="bottom"/>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sz w:val="4"/>
                <w:szCs w:val="4"/>
              </w:rPr>
            </w:pPr>
            <w:r>
              <w:rPr>
                <w:sz w:val="4"/>
                <w:szCs w:val="4"/>
              </w:rPr>
            </w:r>
          </w:p>
        </w:tc>
        <w:tc>
          <w:tcPr>
            <w:tcW w:w="78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sz w:val="4"/>
                <w:szCs w:val="4"/>
              </w:rPr>
            </w:pPr>
            <w:r>
              <w:rPr>
                <w:sz w:val="4"/>
                <w:szCs w:val="4"/>
              </w:rPr>
            </w:r>
          </w:p>
        </w:tc>
        <w:tc>
          <w:tcPr>
            <w:tcW w:w="946"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of tangible fixed assets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(608</w:t>
            </w:r>
          </w:p>
        </w:tc>
        <w:tc>
          <w:tcPr>
            <w:tcW w:w="155"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(467</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(633</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Acquisition of other intangible assets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(566</w:t>
            </w:r>
          </w:p>
        </w:tc>
        <w:tc>
          <w:tcPr>
            <w:tcW w:w="155"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(614</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(90</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sale of tangible assets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136</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16</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b/>
                <w:sz w:val="20"/>
              </w:rPr>
            </w:pPr>
            <w:r>
              <w:rPr>
                <w:rFonts w:ascii="Times New Roman" w:hAnsi="Times New Roman"/>
                <w:b/>
                <w:sz w:val="20"/>
              </w:rPr>
              <w:t>Net cash used in investing activities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(1,038</w:t>
            </w:r>
          </w:p>
        </w:tc>
        <w:tc>
          <w:tcPr>
            <w:tcW w:w="155"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(1,024</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(707</w:t>
            </w:r>
          </w:p>
        </w:tc>
        <w:tc>
          <w:tcPr>
            <w:tcW w:w="162" w:type="dxa"/>
            <w:tcBorders/>
            <w:vAlign w:val="bottom"/>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Financing</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sz w:val="4"/>
                <w:szCs w:val="4"/>
              </w:rPr>
            </w:pPr>
            <w:r>
              <w:rPr>
                <w:sz w:val="4"/>
                <w:szCs w:val="4"/>
              </w:rPr>
            </w:r>
          </w:p>
        </w:tc>
        <w:tc>
          <w:tcPr>
            <w:tcW w:w="946"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Interest paid</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(4,781</w:t>
            </w:r>
          </w:p>
        </w:tc>
        <w:tc>
          <w:tcPr>
            <w:tcW w:w="155"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(3,643</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(3,207</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loans and borrowings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pPr>
            <w:r>
              <w:rPr/>
              <w:t> </w:t>
            </w:r>
          </w:p>
        </w:tc>
        <w:tc>
          <w:tcPr>
            <w:tcW w:w="395" w:type="dxa"/>
            <w:tcBorders/>
            <w:shd w:fill="CCEEFF" w:val="clear"/>
            <w:vAlign w:val="bottom"/>
          </w:tcPr>
          <w:p>
            <w:pPr>
              <w:pStyle w:val="TableContents"/>
              <w:bidi w:val="0"/>
              <w:spacing w:before="0" w:after="283"/>
              <w:jc w:val="right"/>
              <w:rPr/>
            </w:pPr>
            <w:r>
              <w:rPr/>
              <w:t>22</w:t>
            </w:r>
          </w:p>
        </w:tc>
        <w:tc>
          <w:tcPr>
            <w:tcW w:w="60"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2,000</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6,000</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2,000</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Loan repayment</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22</w:t>
            </w:r>
          </w:p>
        </w:tc>
        <w:tc>
          <w:tcPr>
            <w:tcW w:w="60" w:type="dxa"/>
            <w:tcBorders/>
            <w:vAlign w:val="bottom"/>
          </w:tcPr>
          <w:p>
            <w:pPr>
              <w:pStyle w:val="TableContents"/>
              <w:bidi w:val="0"/>
              <w:spacing w:before="0" w:after="283"/>
              <w:jc w:val="left"/>
              <w:rPr/>
            </w:pPr>
            <w:r>
              <w:rPr/>
              <w:t> </w:t>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(8,957</w:t>
            </w:r>
          </w:p>
        </w:tc>
        <w:tc>
          <w:tcPr>
            <w:tcW w:w="155" w:type="dxa"/>
            <w:tcBorders/>
            <w:vAlign w:val="bottom"/>
          </w:tcPr>
          <w:p>
            <w:pPr>
              <w:pStyle w:val="TableContents"/>
              <w:bidi w:val="0"/>
              <w:spacing w:before="0" w:after="283"/>
              <w:jc w:val="left"/>
              <w:rPr>
                <w:b/>
              </w:rPr>
            </w:pPr>
            <w:r>
              <w:rPr>
                <w:b/>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(5,500</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(3,200</w:t>
            </w:r>
          </w:p>
        </w:tc>
        <w:tc>
          <w:tcPr>
            <w:tcW w:w="162" w:type="dxa"/>
            <w:tcBorders/>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cash flow used in financing activities</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(11,738</w:t>
            </w:r>
          </w:p>
        </w:tc>
        <w:tc>
          <w:tcPr>
            <w:tcW w:w="155" w:type="dxa"/>
            <w:tcBorders/>
            <w:shd w:fill="CCEEFF" w:val="clear"/>
            <w:vAlign w:val="bottom"/>
          </w:tcPr>
          <w:p>
            <w:pPr>
              <w:pStyle w:val="TableContents"/>
              <w:bidi w:val="0"/>
              <w:spacing w:before="0" w:after="283"/>
              <w:jc w:val="left"/>
              <w:rPr>
                <w:b/>
              </w:rPr>
            </w:pPr>
            <w:r>
              <w:rPr>
                <w:b/>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(3,143</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(4,407</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sz w:val="20"/>
              </w:rPr>
            </w:pPr>
            <w:r>
              <w:rPr>
                <w:rFonts w:ascii="Times New Roman" w:hAnsi="Times New Roman"/>
                <w:sz w:val="20"/>
              </w:rPr>
              <w:t>Net increase/ (decrease) in cash and cash equivalents</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616</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(909</w:t>
            </w:r>
          </w:p>
        </w:tc>
        <w:tc>
          <w:tcPr>
            <w:tcW w:w="162" w:type="dxa"/>
            <w:tcBorders/>
            <w:vAlign w:val="bottom"/>
          </w:tcPr>
          <w:p>
            <w:pPr>
              <w:pStyle w:val="TableContents"/>
              <w:bidi w:val="0"/>
              <w:spacing w:before="0" w:after="283"/>
              <w:jc w:val="left"/>
              <w:rPr/>
            </w:pPr>
            <w:r>
              <w:rPr/>
              <w:t>) </w:t>
            </w:r>
          </w:p>
        </w:tc>
      </w:tr>
      <w:tr>
        <w:trPr/>
        <w:tc>
          <w:tcPr>
            <w:tcW w:w="55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 at 1 January</w:t>
            </w:r>
          </w:p>
        </w:tc>
        <w:tc>
          <w:tcPr>
            <w:tcW w:w="213" w:type="dxa"/>
            <w:tcBorders/>
            <w:shd w:fill="CCEEFF" w:val="clear"/>
            <w:vAlign w:val="bottom"/>
          </w:tcPr>
          <w:p>
            <w:pPr>
              <w:pStyle w:val="TableContents"/>
              <w:bidi w:val="0"/>
              <w:spacing w:before="0" w:after="283"/>
              <w:jc w:val="left"/>
              <w:rPr/>
            </w:pPr>
            <w:r>
              <w:rPr/>
              <w:t>  </w:t>
            </w:r>
          </w:p>
        </w:tc>
        <w:tc>
          <w:tcPr>
            <w:tcW w:w="90" w:type="dxa"/>
            <w:tcBorders/>
            <w:shd w:fill="CCEEFF" w:val="clear"/>
            <w:vAlign w:val="bottom"/>
          </w:tcPr>
          <w:p>
            <w:pPr>
              <w:pStyle w:val="TableContents"/>
              <w:bidi w:val="0"/>
              <w:spacing w:before="0" w:after="283"/>
              <w:jc w:val="left"/>
              <w:rPr>
                <w:sz w:val="4"/>
                <w:szCs w:val="4"/>
              </w:rPr>
            </w:pPr>
            <w:r>
              <w:rPr>
                <w:sz w:val="4"/>
                <w:szCs w:val="4"/>
              </w:rPr>
            </w:r>
          </w:p>
        </w:tc>
        <w:tc>
          <w:tcPr>
            <w:tcW w:w="3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4,619</w:t>
            </w:r>
          </w:p>
        </w:tc>
        <w:tc>
          <w:tcPr>
            <w:tcW w:w="155"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4,496</w:t>
            </w:r>
          </w:p>
        </w:tc>
        <w:tc>
          <w:tcPr>
            <w:tcW w:w="155"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right"/>
              <w:rPr/>
            </w:pPr>
            <w:r>
              <w:rPr/>
              <w:t>5,405</w:t>
            </w:r>
          </w:p>
        </w:tc>
        <w:tc>
          <w:tcPr>
            <w:tcW w:w="162" w:type="dxa"/>
            <w:tcBorders/>
            <w:shd w:fill="CCEEFF" w:val="clear"/>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46"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rHeight w:val="120" w:hRule="atLeast"/>
        </w:trPr>
        <w:tc>
          <w:tcPr>
            <w:tcW w:w="5503" w:type="dxa"/>
            <w:tcBorders/>
            <w:vAlign w:val="center"/>
          </w:tcPr>
          <w:p>
            <w:pPr>
              <w:pStyle w:val="TableContents"/>
              <w:bidi w:val="0"/>
              <w:spacing w:before="0" w:after="283"/>
              <w:jc w:val="left"/>
              <w:rPr>
                <w:sz w:val="4"/>
                <w:szCs w:val="4"/>
              </w:rPr>
            </w:pPr>
            <w:r>
              <w:rPr>
                <w:sz w:val="4"/>
                <w:szCs w:val="4"/>
              </w:rPr>
            </w:r>
          </w:p>
        </w:tc>
        <w:tc>
          <w:tcPr>
            <w:tcW w:w="758" w:type="dxa"/>
            <w:gridSpan w:val="4"/>
            <w:tcBorders/>
            <w:vAlign w:val="center"/>
          </w:tcPr>
          <w:p>
            <w:pPr>
              <w:pStyle w:val="TableContents"/>
              <w:bidi w:val="0"/>
              <w:spacing w:before="0" w:after="283"/>
              <w:jc w:val="left"/>
              <w:rPr>
                <w:sz w:val="4"/>
                <w:szCs w:val="4"/>
              </w:rPr>
            </w:pPr>
            <w:r>
              <w:rPr>
                <w:sz w:val="4"/>
                <w:szCs w:val="4"/>
              </w:rPr>
            </w:r>
          </w:p>
        </w:tc>
        <w:tc>
          <w:tcPr>
            <w:tcW w:w="1216"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8" w:type="dxa"/>
            <w:gridSpan w:val="4"/>
            <w:tcBorders/>
            <w:vAlign w:val="center"/>
          </w:tcPr>
          <w:p>
            <w:pPr>
              <w:pStyle w:val="TableContents"/>
              <w:bidi w:val="0"/>
              <w:spacing w:before="0" w:after="283"/>
              <w:jc w:val="left"/>
              <w:rPr>
                <w:sz w:val="4"/>
                <w:szCs w:val="4"/>
              </w:rPr>
            </w:pPr>
            <w:r>
              <w:rPr>
                <w:sz w:val="4"/>
                <w:szCs w:val="4"/>
              </w:rPr>
            </w:r>
          </w:p>
        </w:tc>
      </w:tr>
      <w:tr>
        <w:trPr/>
        <w:tc>
          <w:tcPr>
            <w:tcW w:w="5503" w:type="dxa"/>
            <w:tcBorders/>
          </w:tcPr>
          <w:p>
            <w:pPr>
              <w:pStyle w:val="TableContents"/>
              <w:bidi w:val="0"/>
              <w:spacing w:before="0" w:after="0"/>
              <w:jc w:val="left"/>
              <w:rPr>
                <w:rFonts w:ascii="Times New Roman" w:hAnsi="Times New Roman"/>
                <w:b/>
                <w:sz w:val="20"/>
              </w:rPr>
            </w:pPr>
            <w:r>
              <w:rPr>
                <w:rFonts w:ascii="Times New Roman" w:hAnsi="Times New Roman"/>
                <w:b/>
                <w:sz w:val="20"/>
              </w:rPr>
              <w:t>Cash and cash equivalents at 31 December</w:t>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5,235</w:t>
            </w:r>
          </w:p>
        </w:tc>
        <w:tc>
          <w:tcPr>
            <w:tcW w:w="155"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4,619</w:t>
            </w:r>
          </w:p>
        </w:tc>
        <w:tc>
          <w:tcPr>
            <w:tcW w:w="155"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right"/>
              <w:rPr/>
            </w:pPr>
            <w:r>
              <w:rPr/>
              <w:t>4,496</w:t>
            </w:r>
          </w:p>
        </w:tc>
        <w:tc>
          <w:tcPr>
            <w:tcW w:w="162" w:type="dxa"/>
            <w:tcBorders/>
            <w:vAlign w:val="bottom"/>
          </w:tcPr>
          <w:p>
            <w:pPr>
              <w:pStyle w:val="TableContents"/>
              <w:bidi w:val="0"/>
              <w:spacing w:before="0" w:after="283"/>
              <w:jc w:val="left"/>
              <w:rPr/>
            </w:pPr>
            <w:r>
              <w:rPr/>
              <w:t> </w:t>
            </w:r>
          </w:p>
        </w:tc>
      </w:tr>
      <w:tr>
        <w:trPr/>
        <w:tc>
          <w:tcPr>
            <w:tcW w:w="5503"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3"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78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46"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notes on pages 7 to 31 form an integral part of the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Reporting entity </w:t>
            </w:r>
          </w:p>
        </w:tc>
      </w:tr>
    </w:tbl>
    <w:p>
      <w:pPr>
        <w:pStyle w:val="TextBody"/>
        <w:bidi w:val="0"/>
        <w:spacing w:before="120" w:after="0"/>
        <w:jc w:val="left"/>
        <w:rPr>
          <w:rFonts w:ascii="Times New Roman" w:hAnsi="Times New Roman"/>
          <w:sz w:val="20"/>
        </w:rPr>
      </w:pPr>
      <w:r>
        <w:rPr>
          <w:rFonts w:ascii="Times New Roman" w:hAnsi="Times New Roman"/>
          <w:sz w:val="20"/>
        </w:rPr>
        <w:t xml:space="preserve">AKW Holdings Limited (the “Company”) is a company limited by shares and incorporated and domiciled in the Isle of Man. </w:t>
      </w:r>
    </w:p>
    <w:p>
      <w:pPr>
        <w:pStyle w:val="TextBody"/>
        <w:bidi w:val="0"/>
        <w:spacing w:before="120" w:after="0"/>
        <w:jc w:val="left"/>
        <w:rPr>
          <w:rFonts w:ascii="Times New Roman" w:hAnsi="Times New Roman"/>
          <w:sz w:val="20"/>
        </w:rPr>
      </w:pPr>
      <w:r>
        <w:rPr>
          <w:rFonts w:ascii="Times New Roman" w:hAnsi="Times New Roman"/>
          <w:sz w:val="20"/>
        </w:rPr>
        <w:t xml:space="preserve">The principal activity of the Company and its subsidiaries (the “Group”) is the design, manufacture and sale of goods for the care market. Manufactured goods are sold to external parties through the Company’s subsidiaries AKW MediCare Limited, a company registered in the United Kingdom, Elfreed Limited, a company registered in the United Kingdom, AKW International SA, a company registered in Belgium and AKW Resource Centre Inc., a company registered in the United States of America (Note 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2</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Basis of accounting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These financial statements were prepared in accordance with Financial Reporting Standard 102 </w:t>
      </w:r>
      <w:r>
        <w:rPr>
          <w:rFonts w:ascii="Times New Roman" w:hAnsi="Times New Roman"/>
          <w:i/>
          <w:sz w:val="20"/>
        </w:rPr>
        <w:t xml:space="preserve">The Financial Reporting Standard </w:t>
      </w:r>
      <w:r>
        <w:rPr>
          <w:rFonts w:ascii="Times New Roman" w:hAnsi="Times New Roman"/>
          <w:sz w:val="20"/>
        </w:rPr>
        <w:t>applicable in the UK and Republic of Ireland (“</w:t>
      </w:r>
      <w:r>
        <w:rPr>
          <w:rFonts w:ascii="Times New Roman" w:hAnsi="Times New Roman"/>
          <w:i/>
          <w:sz w:val="20"/>
        </w:rPr>
        <w:t>FRS 102”</w:t>
      </w:r>
      <w:r>
        <w:rPr>
          <w:rFonts w:ascii="Times New Roman" w:hAnsi="Times New Roman"/>
          <w:sz w:val="20"/>
        </w:rPr>
        <w:t xml:space="preserve">), as applicable to an Isle of Man company. The presentation currency of these financial statements is sterling. All amounts in the financial statements have been rounded to the nearest £1,000. They also incorporate, in note 26, a summary of differences between accounting principles generally accepted in the United Kingdom and the United States of America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Significant accounting policies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accounting policies set out below have, unless otherwise stated, been applied consistently to all periods presented in these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3.1</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Measurement convention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financial statements are prepared under the historical cost convention, modified to include certain items at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3.2</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Going concern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Notwithstanding the fact that the Group has total net liabilities, as a result of its funding structure, it has substantial net current assets and after reviewing the Group’s forecasts and projections, the Directors have a reasonable expectation that the Group has adequate resources to continue as a going concern for a period of at least twelve months from when the financial statements are authorised for issue. These forecasts take into account the Parent Company, PennantPark Investment Corporation, providing further financial and other support to enable the Group to meet its existing and future liabilities. As part of this commitment, the existing loan facility agreement was amended in January 2023 to allow for incremental facilities of £10.25m (refer to note 21). The Group therefore continues to adopt the going concern basis in preparing its consolidated financial statements. PennantPark Investment Corporation has undertaken that it will not require any repayment of the facility should the Group not have sufficient reserves to do so. This undertaking lasts for a period of at least 12 months from the date of signing these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Other risks that the business faces include the impact of foreign currency exchange rate fluctuations and the business continuously monitors this risk. Furthermore, the higher potential costs of conducting cross border trade including tariffs and border delays have been analysed and plans to mitigate these costs have been reviewed by management. After reviewing the Group’s forecasts and projections, the Directors have a reasonable expectation that the Group has adequate resources to continue in operational existence for the foreseeable future. The Group therefore continues to adopt the going concern basis in preparing its consolidated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Significant accounting policies </w:t>
            </w:r>
            <w:r>
              <w:rPr>
                <w:rFonts w:ascii="Times New Roman" w:hAnsi="Times New Roman"/>
                <w:b/>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3.3</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Basis of consolidation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consolidated financial statements include the financial statements of the Company and its subsidiary undertakings made up to 31 December 2025. A subsidiary is an entity that is controlled by the parent. The results of the subsidiary undertakings included in the consolidated profit and loss account from the date that control commences until the date that control ceases. Control is established when the Company has the power to govern the operating and financial policies of an entity so as to obtain benefits from its activities. In assessing control, the group takes into consideration potential voting rights that are currently exercisable.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3.4</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Foreign currency </w:t>
            </w:r>
          </w:p>
        </w:tc>
      </w:tr>
    </w:tbl>
    <w:p>
      <w:pPr>
        <w:pStyle w:val="TextBody"/>
        <w:bidi w:val="0"/>
        <w:spacing w:before="120" w:after="0"/>
        <w:jc w:val="left"/>
        <w:rPr>
          <w:rFonts w:ascii="Times New Roman" w:hAnsi="Times New Roman"/>
          <w:sz w:val="20"/>
        </w:rPr>
      </w:pPr>
      <w:r>
        <w:rPr>
          <w:rFonts w:ascii="Times New Roman" w:hAnsi="Times New Roman"/>
          <w:sz w:val="20"/>
        </w:rPr>
        <w:t xml:space="preserve">Transactions in foreign currencies are translated to the Group’s functional currency at the foreign exchange rate ruling at the date of the transaction. Monetary assets and liabilities denominated in foreign currencies at the balance sheet date are retranslated to the functional currency at the foreign exchange rate ruling at that date. Non-monetary assets and liabilities that are measured in terms of historical cost in a foreign currency are translated using the exchange rate at the date of the transaction. Non-monetary assets and liabilities denominated in foreign currencies that are stated at fair value are retranslated to the functional currency at foreign exchange rates ruling at the dates the fair value was determined. Foreign exchange differences arising on translation are recognised in the profit and loss account. </w:t>
      </w:r>
    </w:p>
    <w:p>
      <w:pPr>
        <w:pStyle w:val="TextBody"/>
        <w:bidi w:val="0"/>
        <w:spacing w:before="120" w:after="0"/>
        <w:jc w:val="left"/>
        <w:rPr>
          <w:rFonts w:ascii="Times New Roman" w:hAnsi="Times New Roman"/>
          <w:sz w:val="20"/>
        </w:rPr>
      </w:pPr>
      <w:r>
        <w:rPr>
          <w:rFonts w:ascii="Times New Roman" w:hAnsi="Times New Roman"/>
          <w:sz w:val="20"/>
        </w:rPr>
        <w:t xml:space="preserve">The assets and liabilities of overseas subsidiaries are translated at closing exchange rates. Profit and loss accounts of such undertakings are consolidated at the average rates of exchange during the year. Gains and losses arising on these translations are taken to reserves through other comprehensive income.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3.5</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Basic financial instruments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Trade and other debtors / creditors </w:t>
      </w:r>
    </w:p>
    <w:p>
      <w:pPr>
        <w:pStyle w:val="TextBody"/>
        <w:bidi w:val="0"/>
        <w:spacing w:before="120" w:after="0"/>
        <w:jc w:val="left"/>
        <w:rPr>
          <w:rFonts w:ascii="Times New Roman" w:hAnsi="Times New Roman"/>
          <w:sz w:val="20"/>
        </w:rPr>
      </w:pPr>
      <w:r>
        <w:rPr>
          <w:rFonts w:ascii="Times New Roman" w:hAnsi="Times New Roman"/>
          <w:sz w:val="20"/>
        </w:rPr>
        <w:t xml:space="preserve">Trade and other debtors are recognised initially at transaction price less attributable transaction costs. Trade and other creditors are recognised initially at transaction price plus attributable transaction costs. Subsequent to initial recognition they are measured at amortised cost, less any impairment losses in the case of trade debtors. </w:t>
      </w:r>
    </w:p>
    <w:p>
      <w:pPr>
        <w:pStyle w:val="TextBody"/>
        <w:bidi w:val="0"/>
        <w:spacing w:before="360" w:after="0"/>
        <w:jc w:val="left"/>
        <w:rPr>
          <w:rFonts w:ascii="Times New Roman" w:hAnsi="Times New Roman"/>
          <w:i/>
          <w:sz w:val="20"/>
        </w:rPr>
      </w:pPr>
      <w:r>
        <w:rPr>
          <w:rFonts w:ascii="Times New Roman" w:hAnsi="Times New Roman"/>
          <w:i/>
          <w:sz w:val="20"/>
        </w:rPr>
        <w:t xml:space="preserve">Investments in subsidiaries </w:t>
      </w:r>
    </w:p>
    <w:p>
      <w:pPr>
        <w:pStyle w:val="TextBody"/>
        <w:bidi w:val="0"/>
        <w:spacing w:before="120" w:after="0"/>
        <w:jc w:val="left"/>
        <w:rPr>
          <w:rFonts w:ascii="Times New Roman" w:hAnsi="Times New Roman"/>
          <w:sz w:val="20"/>
        </w:rPr>
      </w:pPr>
      <w:r>
        <w:rPr>
          <w:rFonts w:ascii="Times New Roman" w:hAnsi="Times New Roman"/>
          <w:sz w:val="20"/>
        </w:rPr>
        <w:t xml:space="preserve">Investments in subsidiaries are carried at cost less any impairment, which is deemed by the Directors to be approximate to fair value. </w:t>
      </w:r>
    </w:p>
    <w:p>
      <w:pPr>
        <w:pStyle w:val="TextBody"/>
        <w:bidi w:val="0"/>
        <w:spacing w:before="360" w:after="0"/>
        <w:jc w:val="left"/>
        <w:rPr>
          <w:rFonts w:ascii="Times New Roman" w:hAnsi="Times New Roman"/>
          <w:i/>
          <w:sz w:val="20"/>
        </w:rPr>
      </w:pPr>
      <w:r>
        <w:rPr>
          <w:rFonts w:ascii="Times New Roman" w:hAnsi="Times New Roman"/>
          <w:i/>
          <w:sz w:val="20"/>
        </w:rPr>
        <w:t xml:space="preserve">Cash and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comprise cash balances and call deposits. Bank overdrafts that are repayable on demand and form an integral part of the Company’s cash management are included as a component of cash and cash equivalents for the purpose only of the cash flow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Significant accounting policies </w:t>
            </w:r>
            <w:r>
              <w:rPr>
                <w:rFonts w:ascii="Times New Roman" w:hAnsi="Times New Roman"/>
                <w:b/>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3.6</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Intangible assets are measured at cost less accumulated amortisation and any accumulated impairment losses. </w:t>
      </w:r>
    </w:p>
    <w:p>
      <w:pPr>
        <w:pStyle w:val="TextBody"/>
        <w:bidi w:val="0"/>
        <w:spacing w:before="240" w:after="0"/>
        <w:jc w:val="left"/>
        <w:rPr>
          <w:rFonts w:ascii="Times New Roman" w:hAnsi="Times New Roman"/>
          <w:i/>
          <w:sz w:val="20"/>
        </w:rPr>
      </w:pPr>
      <w:r>
        <w:rPr>
          <w:rFonts w:ascii="Times New Roman" w:hAnsi="Times New Roman"/>
          <w:i/>
          <w:sz w:val="20"/>
        </w:rPr>
        <w:t xml:space="preserve">Software development </w:t>
      </w:r>
    </w:p>
    <w:p>
      <w:pPr>
        <w:pStyle w:val="TextBody"/>
        <w:bidi w:val="0"/>
        <w:spacing w:before="120" w:after="0"/>
        <w:jc w:val="left"/>
        <w:rPr>
          <w:rFonts w:ascii="Times New Roman" w:hAnsi="Times New Roman"/>
          <w:sz w:val="20"/>
        </w:rPr>
      </w:pPr>
      <w:r>
        <w:rPr>
          <w:rFonts w:ascii="Times New Roman" w:hAnsi="Times New Roman"/>
          <w:sz w:val="20"/>
        </w:rPr>
        <w:t xml:space="preserve">Software development costs are recognised as an intangible asset when all of the following criteria are demonstrated: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technical feasibility of completing the software so that it will be available for use or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intention to complete the software and use or sell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use the software or to sell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How the software will generate probable future economic benefits.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availability of adequate technical, financial and other resources to complete the development and to use or sell the software.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to measure reliably the expenditure attributable to the software during its development.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Amortisation of development costs capitalised is charged so as to allocate the cost of intangibles less their residual values over their estimated useful lives, using the straight-line method. The intangible assets are amortised over the useful economic lives at the rates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Software development costs 33.3% on cost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If there is an indication that there has been a significant change in amortisation rate or residual value of an asset, the amortisation of that asset is revised prospectively to reflect the new expectations. </w:t>
      </w:r>
    </w:p>
    <w:p>
      <w:pPr>
        <w:pStyle w:val="TextBody"/>
        <w:bidi w:val="0"/>
        <w:spacing w:before="360" w:after="0"/>
        <w:jc w:val="left"/>
        <w:rPr>
          <w:rFonts w:ascii="Times New Roman" w:hAnsi="Times New Roman"/>
          <w:i/>
          <w:sz w:val="20"/>
        </w:rPr>
      </w:pPr>
      <w:r>
        <w:rPr>
          <w:rFonts w:ascii="Times New Roman" w:hAnsi="Times New Roman"/>
          <w:i/>
          <w:sz w:val="20"/>
        </w:rPr>
        <w:t xml:space="preserve">Research and development </w:t>
      </w:r>
    </w:p>
    <w:p>
      <w:pPr>
        <w:pStyle w:val="TextBody"/>
        <w:bidi w:val="0"/>
        <w:spacing w:before="120" w:after="0"/>
        <w:jc w:val="left"/>
        <w:rPr>
          <w:rFonts w:ascii="Times New Roman" w:hAnsi="Times New Roman"/>
          <w:sz w:val="20"/>
        </w:rPr>
      </w:pPr>
      <w:r>
        <w:rPr>
          <w:rFonts w:ascii="Times New Roman" w:hAnsi="Times New Roman"/>
          <w:sz w:val="20"/>
        </w:rPr>
        <w:t xml:space="preserve">Expenditure on research activities is recognised in the profit and loss account as an expense as incurred. </w:t>
      </w:r>
    </w:p>
    <w:p>
      <w:pPr>
        <w:pStyle w:val="TextBody"/>
        <w:bidi w:val="0"/>
        <w:spacing w:before="120" w:after="0"/>
        <w:jc w:val="left"/>
        <w:rPr>
          <w:rFonts w:ascii="Times New Roman" w:hAnsi="Times New Roman"/>
          <w:sz w:val="20"/>
        </w:rPr>
      </w:pPr>
      <w:r>
        <w:rPr>
          <w:rFonts w:ascii="Times New Roman" w:hAnsi="Times New Roman"/>
          <w:sz w:val="20"/>
        </w:rPr>
        <w:t xml:space="preserve">Expenditure on development activities may be capitalised if the product or process is technically and commercially feasible and the Company intends and has the technical ability and sufficient resources to complete development, future economic benefits are probable and if the Company can measure reliably the expenditure attributable to the intangible asset during its development. Development activities involve design for, construction or testing of the production of new or substantially improved products or processes. The expenditure capitalised includes the cost of materials and an appropriate proportion of overheads. Other development expenditure is recognised in the profit and loss account as an expense as incurred. Capitalised development expenditure is stated at cost less accumulated amortisation and less accumulated impairment losses. </w:t>
      </w:r>
    </w:p>
    <w:p>
      <w:pPr>
        <w:pStyle w:val="TextBody"/>
        <w:bidi w:val="0"/>
        <w:spacing w:before="360" w:after="0"/>
        <w:jc w:val="left"/>
        <w:rPr>
          <w:rFonts w:ascii="Times New Roman" w:hAnsi="Times New Roman"/>
          <w:i/>
          <w:sz w:val="20"/>
        </w:rPr>
      </w:pPr>
      <w:r>
        <w:rPr>
          <w:rFonts w:ascii="Times New Roman" w:hAnsi="Times New Roman"/>
          <w:i/>
          <w:sz w:val="20"/>
        </w:rPr>
        <w:t xml:space="preserve">Amortisation </w:t>
      </w:r>
    </w:p>
    <w:p>
      <w:pPr>
        <w:pStyle w:val="TextBody"/>
        <w:bidi w:val="0"/>
        <w:spacing w:before="120" w:after="0"/>
        <w:jc w:val="left"/>
        <w:rPr>
          <w:rFonts w:ascii="Times New Roman" w:hAnsi="Times New Roman"/>
          <w:sz w:val="20"/>
        </w:rPr>
      </w:pPr>
      <w:r>
        <w:rPr>
          <w:rFonts w:ascii="Times New Roman" w:hAnsi="Times New Roman"/>
          <w:sz w:val="20"/>
        </w:rPr>
        <w:t xml:space="preserve">Amortisation of development costs capitalised is charged to the profit or loss on a straight-line basis over the estimated useful lives of intangible assets. Intangible assets are amortised from the date they are available for use. The amortisation rates are as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Research and Development   25% on cost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Patents and similar assets    25% on cost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reviews the amortisation period and method when events and circumstances indicate that the useful life may have changed since the last reporting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Significant accounting policies </w:t>
            </w:r>
            <w:r>
              <w:rPr>
                <w:rFonts w:ascii="Times New Roman" w:hAnsi="Times New Roman"/>
                <w:b/>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3.7</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Tangible fixed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Tangible fixed assets are stated at cost less accumulated depreciation and accumulated impairment losses. </w:t>
      </w:r>
    </w:p>
    <w:p>
      <w:pPr>
        <w:pStyle w:val="TextBody"/>
        <w:bidi w:val="0"/>
        <w:spacing w:before="120" w:after="0"/>
        <w:jc w:val="left"/>
        <w:rPr>
          <w:rFonts w:ascii="Times New Roman" w:hAnsi="Times New Roman"/>
          <w:sz w:val="20"/>
        </w:rPr>
      </w:pPr>
      <w:r>
        <w:rPr>
          <w:rFonts w:ascii="Times New Roman" w:hAnsi="Times New Roman"/>
          <w:sz w:val="20"/>
        </w:rPr>
        <w:t xml:space="preserve">Where parts of an item of tangible fixed assets have different useful lives, they are accounted for as separate items of tangible fixed assets, for example land is treated separately from buildings. </w:t>
      </w:r>
    </w:p>
    <w:p>
      <w:pPr>
        <w:pStyle w:val="TextBody"/>
        <w:bidi w:val="0"/>
        <w:spacing w:before="120" w:after="0"/>
        <w:jc w:val="left"/>
        <w:rPr>
          <w:rFonts w:ascii="Times New Roman" w:hAnsi="Times New Roman"/>
          <w:sz w:val="20"/>
        </w:rPr>
      </w:pPr>
      <w:r>
        <w:rPr>
          <w:rFonts w:ascii="Times New Roman" w:hAnsi="Times New Roman"/>
          <w:sz w:val="20"/>
        </w:rPr>
        <w:t xml:space="preserve">The Company assesses at each reporting date whether tangible fixed assets are impaired. </w:t>
      </w:r>
    </w:p>
    <w:p>
      <w:pPr>
        <w:pStyle w:val="TextBody"/>
        <w:bidi w:val="0"/>
        <w:spacing w:before="120" w:after="0"/>
        <w:jc w:val="left"/>
        <w:rPr>
          <w:rFonts w:ascii="Times New Roman" w:hAnsi="Times New Roman"/>
          <w:sz w:val="20"/>
        </w:rPr>
      </w:pPr>
      <w:r>
        <w:rPr>
          <w:rFonts w:ascii="Times New Roman" w:hAnsi="Times New Roman"/>
          <w:sz w:val="20"/>
        </w:rPr>
        <w:t xml:space="preserve">Depreciation is charged to the profit and loss account on a straight-line basis over the estimated useful lives of each part of an item of tangible fixed assets. The estimated depreciation rates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Motor Vehicles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25% straight line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Showroom, fixtures and fittings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20% straight line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Leasehold Property</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over term of the lease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Plant and Machinery</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20% straight line</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0"/>
              <w:jc w:val="left"/>
              <w:rPr>
                <w:rFonts w:ascii="Times New Roman" w:hAnsi="Times New Roman"/>
              </w:rPr>
            </w:pPr>
            <w:r>
              <w:rPr>
                <w:rFonts w:ascii="Times New Roman" w:hAnsi="Times New Roman"/>
              </w:rPr>
              <w:t></w:t>
            </w:r>
          </w:p>
          <w:p>
            <w:pPr>
              <w:pStyle w:val="TableContents"/>
              <w:bidi w:val="0"/>
              <w:spacing w:before="0" w:after="0"/>
              <w:jc w:val="left"/>
              <w:rPr>
                <w:rFonts w:ascii="Times New Roman" w:hAnsi="Times New Roman"/>
              </w:rPr>
            </w:pPr>
            <w:r>
              <w:rPr>
                <w:rFonts w:ascii="Times New Roman" w:hAnsi="Times New Roman"/>
              </w:rPr>
              <w:t>Office Equipment and Computers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left"/>
              <w:rPr/>
            </w:pPr>
            <w:r>
              <w:rPr/>
              <w:t>20-33% straight line</w:t>
            </w:r>
          </w:p>
        </w:tc>
      </w:tr>
    </w:tbl>
    <w:p>
      <w:pPr>
        <w:pStyle w:val="TextBody"/>
        <w:bidi w:val="0"/>
        <w:spacing w:before="120" w:after="0"/>
        <w:jc w:val="left"/>
        <w:rPr>
          <w:rFonts w:ascii="Times New Roman" w:hAnsi="Times New Roman"/>
          <w:sz w:val="20"/>
        </w:rPr>
      </w:pPr>
      <w:r>
        <w:rPr>
          <w:rFonts w:ascii="Times New Roman" w:hAnsi="Times New Roman"/>
          <w:sz w:val="20"/>
        </w:rPr>
        <w:t xml:space="preserve">Depreciation methods, useful lives and residual values are reviewed if there is an indication of a significant change since last annual reporting date in the pattern by which the Company expects to consume an asset’s future economic benefits.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i/>
              </w:rPr>
            </w:pPr>
            <w:r>
              <w:rPr>
                <w:b/>
                <w:i/>
              </w:rPr>
              <w:t>3.8</w:t>
            </w:r>
          </w:p>
        </w:tc>
        <w:tc>
          <w:tcPr>
            <w:tcW w:w="979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Stocks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Stocks are stated at the lower of cost and estimated selling price less costs to complete and sell. Cost is based on the weighted average method and includes expenditure incurred in acquiring the stocks, production or conversion costs and other costs in bringing them to their existing location and condition.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3.9</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Impairment excluding stocks and deferred tax assets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Financial assets (including trade and other debtors) </w:t>
      </w:r>
    </w:p>
    <w:p>
      <w:pPr>
        <w:pStyle w:val="TextBody"/>
        <w:bidi w:val="0"/>
        <w:spacing w:before="120" w:after="0"/>
        <w:jc w:val="left"/>
        <w:rPr>
          <w:rFonts w:ascii="Times New Roman" w:hAnsi="Times New Roman"/>
          <w:sz w:val="20"/>
        </w:rPr>
      </w:pPr>
      <w:r>
        <w:rPr>
          <w:rFonts w:ascii="Times New Roman" w:hAnsi="Times New Roman"/>
          <w:sz w:val="20"/>
        </w:rPr>
        <w:t xml:space="preserve">A financial asset not carried at fair value through profit or loss is assessed at each reporting date to determine whether there is objective evidence that it is impaired. A financial asset is impaired if objective evidence indicates that a loss event has occurred after the initial recognition of the asset, and that the loss event had a negative effect on the estimated future cash flows of that asset that can be estimated reliably. </w:t>
      </w:r>
    </w:p>
    <w:p>
      <w:pPr>
        <w:pStyle w:val="TextBody"/>
        <w:bidi w:val="0"/>
        <w:spacing w:before="120" w:after="0"/>
        <w:jc w:val="left"/>
        <w:rPr>
          <w:rFonts w:ascii="Times New Roman" w:hAnsi="Times New Roman"/>
          <w:sz w:val="20"/>
        </w:rPr>
      </w:pPr>
      <w:r>
        <w:rPr>
          <w:rFonts w:ascii="Times New Roman" w:hAnsi="Times New Roman"/>
          <w:sz w:val="20"/>
        </w:rPr>
        <w:t xml:space="preserve">An impairment loss in respect of a financial asset measured at amortised cost is calculated as the difference between its carrying amount and the present value of the estimated future cash flows discounted at the asset’s original effective interest rate. For financial instruments measured at cost less impairment an impairment is calculated as the difference between its carrying amount and the best estimate of the amount that the Company would receive for the asset if it were to be sold at the reporting date. Interest on the impaired asset continues to be recognised through the unwinding of the discount. Impairment losses are recognised in profit or loss. When a subsequent event causes the amount of impairment loss to decrease, the decrease in impairment loss is reversed through profit or loss.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accounting policies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i/>
              </w:rPr>
            </w:pPr>
            <w:r>
              <w:rPr>
                <w:b/>
                <w:i/>
              </w:rPr>
              <w:t>3.9</w:t>
            </w:r>
          </w:p>
        </w:tc>
        <w:tc>
          <w:tcPr>
            <w:tcW w:w="979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Impairment excluding stocks and deferred tax assets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Non-financial assets </w:t>
      </w:r>
    </w:p>
    <w:p>
      <w:pPr>
        <w:pStyle w:val="TextBody"/>
        <w:bidi w:val="0"/>
        <w:spacing w:before="120" w:after="0"/>
        <w:jc w:val="left"/>
        <w:rPr>
          <w:rFonts w:ascii="Times New Roman" w:hAnsi="Times New Roman"/>
          <w:sz w:val="20"/>
        </w:rPr>
      </w:pPr>
      <w:r>
        <w:rPr>
          <w:rFonts w:ascii="Times New Roman" w:hAnsi="Times New Roman"/>
          <w:sz w:val="20"/>
        </w:rPr>
        <w:t xml:space="preserve">The carrying amounts of the Company’s non-financial assets, other than stocks and deferred tax assets, are reviewed at each reporting date to determine whether there is any indication of impairment. If any such indication exists, then the asset’s recoverable amount is estimated. The recoverable amount of an asset or cash-generating unit is the greater of its value in use and its fair value less costs to sell. In assessing value in use, the estimated future cash flows are discounted to their present value using a pre-tax discount rate that reflects current market assessments of the time value of money and the risks specific to the asset. For the purpose of impairment testing, assets that cannot be tested individually are grouped together into the smallest group of assets that generates cash inflows from continuing use that are largely independent of the cash inflows of other assets or groups of assets (the “cash-generating unit”). </w:t>
      </w:r>
    </w:p>
    <w:p>
      <w:pPr>
        <w:pStyle w:val="TextBody"/>
        <w:bidi w:val="0"/>
        <w:spacing w:before="240" w:after="0"/>
        <w:jc w:val="left"/>
        <w:rPr>
          <w:rFonts w:ascii="Times New Roman" w:hAnsi="Times New Roman"/>
          <w:sz w:val="20"/>
        </w:rPr>
      </w:pPr>
      <w:r>
        <w:rPr>
          <w:rFonts w:ascii="Times New Roman" w:hAnsi="Times New Roman"/>
          <w:sz w:val="20"/>
        </w:rPr>
        <w:t xml:space="preserve">An impairment loss is recognised if the carrying amount of an asset or its CGU exceeds its estimated recoverable amount. Impairment losses are recognised in profit or loss. Impairment losses recognised in respect of CGUs are allocated first to reduce the carrying amount of any goodwill allocated to the units, and then to reduce the carrying amounts of the other assets in the unit (group of units) on a </w:t>
      </w:r>
      <w:r>
        <w:rPr>
          <w:rFonts w:ascii="Times New Roman" w:hAnsi="Times New Roman"/>
          <w:i/>
          <w:sz w:val="20"/>
        </w:rPr>
        <w:t>pro rata</w:t>
      </w:r>
      <w:r>
        <w:rPr>
          <w:rFonts w:ascii="Times New Roman" w:hAnsi="Times New Roman"/>
          <w:sz w:val="20"/>
        </w:rPr>
        <w:t xml:space="preserve"> basis. </w:t>
      </w:r>
    </w:p>
    <w:p>
      <w:pPr>
        <w:pStyle w:val="TextBody"/>
        <w:bidi w:val="0"/>
        <w:spacing w:before="240" w:after="0"/>
        <w:jc w:val="left"/>
        <w:rPr>
          <w:rFonts w:ascii="Times New Roman" w:hAnsi="Times New Roman"/>
          <w:sz w:val="20"/>
        </w:rPr>
      </w:pPr>
      <w:r>
        <w:rPr>
          <w:rFonts w:ascii="Times New Roman" w:hAnsi="Times New Roman"/>
          <w:sz w:val="20"/>
        </w:rPr>
        <w:t xml:space="preserve">An impairment loss is reversed if and only if the reasons for the impairment have ceased to apply. </w:t>
      </w:r>
    </w:p>
    <w:p>
      <w:pPr>
        <w:pStyle w:val="TextBody"/>
        <w:bidi w:val="0"/>
        <w:spacing w:before="240" w:after="0"/>
        <w:jc w:val="left"/>
        <w:rPr>
          <w:rFonts w:ascii="Times New Roman" w:hAnsi="Times New Roman"/>
          <w:sz w:val="20"/>
        </w:rPr>
      </w:pPr>
      <w:r>
        <w:rPr>
          <w:rFonts w:ascii="Times New Roman" w:hAnsi="Times New Roman"/>
          <w:sz w:val="20"/>
        </w:rPr>
        <w:t xml:space="preserve">Impairment losses recognised in prior periods are assessed at each reporting date for any indications that the loss has decreased or no longer exists. An impairment loss is reversed only to the extent that the asset’s carrying amount does not exceed the carrying amount that would have been determined, net of depreciation or amortisation, if no impairment loss had been recognised.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0"/>
        <w:gridCol w:w="9765"/>
      </w:tblGrid>
      <w:tr>
        <w:trPr/>
        <w:tc>
          <w:tcPr>
            <w:tcW w:w="440" w:type="dxa"/>
            <w:tcBorders/>
          </w:tcPr>
          <w:p>
            <w:pPr>
              <w:pStyle w:val="TableContents"/>
              <w:bidi w:val="0"/>
              <w:spacing w:before="0" w:after="283"/>
              <w:jc w:val="left"/>
              <w:rPr>
                <w:b/>
                <w:i/>
              </w:rPr>
            </w:pPr>
            <w:r>
              <w:rPr>
                <w:b/>
                <w:i/>
              </w:rPr>
              <w:t>3.10</w:t>
            </w:r>
          </w:p>
        </w:tc>
        <w:tc>
          <w:tcPr>
            <w:tcW w:w="9765"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Other administrative expenses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Group classifies certain one-off charges or credits that have a material impact on the Group’s financial results as ‘other administrative expenses’. As prescribed by FRS 102, these costs are reflected within the operating results, and are disclosed separately to provide further understanding of the financial performance of the Group.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b/>
                <w:i/>
              </w:rPr>
            </w:pPr>
            <w:r>
              <w:rPr>
                <w:b/>
                <w:i/>
              </w:rPr>
              <w:t>3.11</w:t>
            </w:r>
          </w:p>
        </w:tc>
        <w:tc>
          <w:tcPr>
            <w:tcW w:w="9743"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Employee benefits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Defined contribution plans and other long term employee benefits </w:t>
      </w:r>
    </w:p>
    <w:p>
      <w:pPr>
        <w:pStyle w:val="TextBody"/>
        <w:bidi w:val="0"/>
        <w:spacing w:before="120" w:after="0"/>
        <w:jc w:val="left"/>
        <w:rPr>
          <w:rFonts w:ascii="Times New Roman" w:hAnsi="Times New Roman"/>
          <w:sz w:val="20"/>
        </w:rPr>
      </w:pPr>
      <w:r>
        <w:rPr>
          <w:rFonts w:ascii="Times New Roman" w:hAnsi="Times New Roman"/>
          <w:sz w:val="20"/>
        </w:rPr>
        <w:t xml:space="preserve">A defined contribution plan is a post-employment benefit plan under which the Company pays fixed contributions into a separate entity and will have no legal or constructive obligation to pay further amounts. Obligations for contributions to defined contribution pension plans are recognised as an expense in the profit and loss account in the periods during which services are rendered by employees.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1"/>
        <w:gridCol w:w="9764"/>
      </w:tblGrid>
      <w:tr>
        <w:trPr/>
        <w:tc>
          <w:tcPr>
            <w:tcW w:w="441" w:type="dxa"/>
            <w:tcBorders/>
          </w:tcPr>
          <w:p>
            <w:pPr>
              <w:pStyle w:val="TableContents"/>
              <w:bidi w:val="0"/>
              <w:spacing w:before="0" w:after="283"/>
              <w:jc w:val="left"/>
              <w:rPr>
                <w:b/>
                <w:i/>
              </w:rPr>
            </w:pPr>
            <w:r>
              <w:rPr>
                <w:b/>
                <w:i/>
              </w:rPr>
              <w:t>3.12</w:t>
            </w:r>
          </w:p>
        </w:tc>
        <w:tc>
          <w:tcPr>
            <w:tcW w:w="9764"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Provisions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provision is recognised in the balance sheet when the Company has a present legal or constructive obligation as a result of a past event, that can be reliably measured and it is probable that an outflow of economic benefits will be required to settle the obligation. Provisions are recognised at the best estimate of the amount required to settle the obligation at the reporting date. </w:t>
      </w:r>
    </w:p>
    <w:p>
      <w:pPr>
        <w:pStyle w:val="TextBody"/>
        <w:bidi w:val="0"/>
        <w:spacing w:before="240" w:after="0"/>
        <w:jc w:val="left"/>
        <w:rPr>
          <w:rFonts w:ascii="Times New Roman" w:hAnsi="Times New Roman"/>
          <w:sz w:val="20"/>
        </w:rPr>
      </w:pPr>
      <w:r>
        <w:rPr>
          <w:rFonts w:ascii="Times New Roman" w:hAnsi="Times New Roman"/>
          <w:sz w:val="20"/>
        </w:rPr>
        <w:t xml:space="preserve">Where the Company enters into financial guarantee contracts to guarantee the indebtedness of other companies within its Group, the Company treats the guarantee contract as a contingent liability until such time as it becomes probable that the Company will be required to make a payment under the guarantee.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Significant accounting policies </w:t>
            </w:r>
            <w:r>
              <w:rPr>
                <w:rFonts w:ascii="Times New Roman" w:hAnsi="Times New Roman"/>
                <w:i/>
                <w:sz w:val="20"/>
              </w:rPr>
              <w:t>(continued)</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7"/>
        <w:gridCol w:w="9758"/>
      </w:tblGrid>
      <w:tr>
        <w:trPr/>
        <w:tc>
          <w:tcPr>
            <w:tcW w:w="447" w:type="dxa"/>
            <w:tcBorders/>
          </w:tcPr>
          <w:p>
            <w:pPr>
              <w:pStyle w:val="TableContents"/>
              <w:bidi w:val="0"/>
              <w:spacing w:before="0" w:after="283"/>
              <w:jc w:val="left"/>
              <w:rPr>
                <w:b/>
                <w:i/>
              </w:rPr>
            </w:pPr>
            <w:r>
              <w:rPr>
                <w:b/>
                <w:i/>
              </w:rPr>
              <w:t>3.13</w:t>
            </w:r>
          </w:p>
        </w:tc>
        <w:tc>
          <w:tcPr>
            <w:tcW w:w="9758"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Expenses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Operating leases </w:t>
      </w:r>
    </w:p>
    <w:p>
      <w:pPr>
        <w:pStyle w:val="TextBody"/>
        <w:bidi w:val="0"/>
        <w:spacing w:before="120" w:after="0"/>
        <w:jc w:val="left"/>
        <w:rPr>
          <w:rFonts w:ascii="Times New Roman" w:hAnsi="Times New Roman"/>
          <w:sz w:val="20"/>
        </w:rPr>
      </w:pPr>
      <w:r>
        <w:rPr>
          <w:rFonts w:ascii="Times New Roman" w:hAnsi="Times New Roman"/>
          <w:sz w:val="20"/>
        </w:rPr>
        <w:t xml:space="preserve">Payments (excluding costs for services and insurance) made under operating leases are recognised in the profit and loss account on a straight-line basis over the term of the lease unless the payments to the lessor are structured to increase in line with expected general inflation; in which case the payments related to the structured increases are recognised as incurred. Lease incentives received are recognised in profit and loss over the term of the lease as an integral part of the total lease expense.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b/>
                <w:i/>
              </w:rPr>
            </w:pPr>
            <w:r>
              <w:rPr>
                <w:b/>
                <w:i/>
              </w:rPr>
              <w:t>3.14</w:t>
            </w:r>
          </w:p>
        </w:tc>
        <w:tc>
          <w:tcPr>
            <w:tcW w:w="976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Turnover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Revenue from the sale of goods in the course of ordinary activities is measured at the fair value of the consideration received or receivable, net of returns, trade discounts and volume rebates. Revenue is recognised when persuasive evidence exists, usually in the form of an executed sales agreement, that the significant risks and rewards of ownership have been transferred to the buyer, recovery of the consideration is probable, the associated costs and possible return of goods can be reliably estimated, there is no continuing management involved with the goods, and the amount of revenue can be measured reliably. If it is probable that discounts will be granted and the amount can be measured reliably, then the discount is recognised as a reduction of revenue as the sales are recognised.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b/>
                <w:i/>
              </w:rPr>
            </w:pPr>
            <w:r>
              <w:rPr>
                <w:b/>
                <w:i/>
              </w:rPr>
              <w:t>3.15</w:t>
            </w:r>
          </w:p>
        </w:tc>
        <w:tc>
          <w:tcPr>
            <w:tcW w:w="976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Taxation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Tax on the profit or loss for the year comprises current and deferred tax. Tax is recognised in the profit and loss account except to the extent that it relates to items recognised directly in equity or other comprehensive income, in which case it is recognised directly in equity or other comprehensive income. </w:t>
      </w:r>
    </w:p>
    <w:p>
      <w:pPr>
        <w:pStyle w:val="TextBody"/>
        <w:bidi w:val="0"/>
        <w:spacing w:before="240" w:after="0"/>
        <w:jc w:val="left"/>
        <w:rPr>
          <w:rFonts w:ascii="Times New Roman" w:hAnsi="Times New Roman"/>
          <w:sz w:val="20"/>
        </w:rPr>
      </w:pPr>
      <w:r>
        <w:rPr>
          <w:rFonts w:ascii="Times New Roman" w:hAnsi="Times New Roman"/>
          <w:sz w:val="20"/>
        </w:rPr>
        <w:t xml:space="preserve">Current tax is the expected tax payable or receivable on the taxable income or loss for the year, using tax rates enacted or substantively enacted at the balance sheet date, and any adjustment to tax payable in respect of previous years. </w:t>
      </w:r>
    </w:p>
    <w:p>
      <w:pPr>
        <w:pStyle w:val="TextBody"/>
        <w:bidi w:val="0"/>
        <w:spacing w:before="240" w:after="0"/>
        <w:jc w:val="left"/>
        <w:rPr>
          <w:rFonts w:ascii="Times New Roman" w:hAnsi="Times New Roman"/>
          <w:sz w:val="20"/>
        </w:rPr>
      </w:pPr>
      <w:r>
        <w:rPr>
          <w:rFonts w:ascii="Times New Roman" w:hAnsi="Times New Roman"/>
          <w:sz w:val="20"/>
        </w:rPr>
        <w:t xml:space="preserve">Deferred tax is provided on timing differences which arise from the inclusion of income and expenses in tax assessments in periods different from those in which they are recognised in the financial statements. The following timing differences are not provided for: differences between accumulated depreciation and tax allowances for the cost of a fixed asset if and when all conditions for retaining the tax allowances have been met; and differences relating to investments in subsidiaries, to the extent that it is not probable that they will reverse in the foreseeable future and the reporting entity is able to control the reversal of the timing difference. Deferred tax is not recognised on permanent differences arising because certain types of income or expense are non-taxable or are disallowable for tax or because certain tax charges or allowances are greater or smaller than the corresponding income or expense. </w:t>
      </w:r>
    </w:p>
    <w:p>
      <w:pPr>
        <w:pStyle w:val="TextBody"/>
        <w:bidi w:val="0"/>
        <w:spacing w:before="240" w:after="0"/>
        <w:jc w:val="left"/>
        <w:rPr>
          <w:rFonts w:ascii="Times New Roman" w:hAnsi="Times New Roman"/>
          <w:sz w:val="20"/>
        </w:rPr>
      </w:pPr>
      <w:r>
        <w:rPr>
          <w:rFonts w:ascii="Times New Roman" w:hAnsi="Times New Roman"/>
          <w:sz w:val="20"/>
        </w:rPr>
        <w:t xml:space="preserve">Deferred tax is provided in respect of the additional tax that will be paid or avoided on differences between the amount at which an asset (other than goodwill) or liability is recognised in a business combination and the corresponding amount that can be deducted or assessed for tax. Goodwill is adjusted by the amount of such deferred tax. </w:t>
      </w:r>
    </w:p>
    <w:p>
      <w:pPr>
        <w:pStyle w:val="TextBody"/>
        <w:bidi w:val="0"/>
        <w:spacing w:before="240" w:after="0"/>
        <w:jc w:val="left"/>
        <w:rPr>
          <w:rFonts w:ascii="Times New Roman" w:hAnsi="Times New Roman"/>
          <w:sz w:val="20"/>
        </w:rPr>
      </w:pPr>
      <w:r>
        <w:rPr>
          <w:rFonts w:ascii="Times New Roman" w:hAnsi="Times New Roman"/>
          <w:sz w:val="20"/>
        </w:rPr>
        <w:t xml:space="preserve">Deferred tax is measured at the tax rate that is expected to apply to the reversal of the related difference, using tax rates enacted or substantively enacted at the balance sheet date. </w:t>
      </w:r>
    </w:p>
    <w:p>
      <w:pPr>
        <w:pStyle w:val="TextBody"/>
        <w:bidi w:val="0"/>
        <w:spacing w:before="240" w:after="0"/>
        <w:jc w:val="left"/>
        <w:rPr>
          <w:rFonts w:ascii="Times New Roman" w:hAnsi="Times New Roman"/>
          <w:sz w:val="20"/>
        </w:rPr>
      </w:pPr>
      <w:r>
        <w:rPr>
          <w:rFonts w:ascii="Times New Roman" w:hAnsi="Times New Roman"/>
          <w:sz w:val="20"/>
        </w:rPr>
        <w:t xml:space="preserve">Unrelieved tax losses and other deferred tax assets are recognised only to the extent that is it probable that they will be recovered against the reversal of deferred tax liabilities or other future taxable profits.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b/>
                <w:i/>
              </w:rPr>
            </w:pPr>
            <w:r>
              <w:rPr>
                <w:b/>
                <w:i/>
              </w:rPr>
              <w:t>3.16</w:t>
            </w:r>
          </w:p>
        </w:tc>
        <w:tc>
          <w:tcPr>
            <w:tcW w:w="9743"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Use of estimates and judgements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preparation of consolidated financial statements in conformity with FRS 102 requires management to make judgements, estimates and assumptions that affect the application of policies and reported amounts of assets and liabilities, income and expenses. Actual results may differ from these estimates. </w:t>
      </w:r>
    </w:p>
    <w:p>
      <w:pPr>
        <w:pStyle w:val="TextBody"/>
        <w:bidi w:val="0"/>
        <w:spacing w:before="240" w:after="0"/>
        <w:jc w:val="left"/>
        <w:rPr>
          <w:rFonts w:ascii="Times New Roman" w:hAnsi="Times New Roman"/>
          <w:sz w:val="20"/>
        </w:rPr>
      </w:pPr>
      <w:r>
        <w:rPr>
          <w:rFonts w:ascii="Times New Roman" w:hAnsi="Times New Roman"/>
          <w:sz w:val="20"/>
        </w:rPr>
        <w:t xml:space="preserve">The estimates and underlying assumptions are reviewed on an ongoing basis. Any revisions to accounting estimates are recognised in the period in which the estimate is revised and in any future periods affected.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2"/>
        <w:gridCol w:w="9743"/>
      </w:tblGrid>
      <w:tr>
        <w:trPr/>
        <w:tc>
          <w:tcPr>
            <w:tcW w:w="462" w:type="dxa"/>
            <w:tcBorders/>
          </w:tcPr>
          <w:p>
            <w:pPr>
              <w:pStyle w:val="TableContents"/>
              <w:bidi w:val="0"/>
              <w:spacing w:before="0" w:after="283"/>
              <w:jc w:val="left"/>
              <w:rPr>
                <w:b/>
                <w:i/>
              </w:rPr>
            </w:pPr>
            <w:r>
              <w:rPr>
                <w:b/>
                <w:i/>
              </w:rPr>
              <w:t>3.16</w:t>
            </w:r>
          </w:p>
        </w:tc>
        <w:tc>
          <w:tcPr>
            <w:tcW w:w="9743"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Use of estimates and judgements - continued </w:t>
            </w:r>
          </w:p>
        </w:tc>
      </w:tr>
    </w:tbl>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Goodwill </w:t>
      </w:r>
    </w:p>
    <w:p>
      <w:pPr>
        <w:pStyle w:val="TextBody"/>
        <w:bidi w:val="0"/>
        <w:spacing w:before="120" w:after="0"/>
        <w:jc w:val="left"/>
        <w:rPr>
          <w:rFonts w:ascii="Times New Roman" w:hAnsi="Times New Roman"/>
          <w:sz w:val="20"/>
        </w:rPr>
      </w:pPr>
      <w:r>
        <w:rPr>
          <w:rFonts w:ascii="Times New Roman" w:hAnsi="Times New Roman"/>
          <w:sz w:val="20"/>
        </w:rPr>
        <w:t xml:space="preserve">A key source of estimation uncertainty relates to the evaluation for impairment of the Company’s goodwill, accounted for at cost less accumulated amortisation and any impairment as described in note 3.17 to these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Specific impairments are based on management’s latest estimate of the recoverable amount of the cash generating unit to which goodwill is allocated to, which is determined as the higher of its fair value less costs to sell and its value in use. </w:t>
      </w:r>
    </w:p>
    <w:p>
      <w:pPr>
        <w:pStyle w:val="TextBody"/>
        <w:bidi w:val="0"/>
        <w:spacing w:before="240" w:after="0"/>
        <w:jc w:val="left"/>
        <w:rPr>
          <w:rFonts w:ascii="Times New Roman" w:hAnsi="Times New Roman"/>
          <w:sz w:val="20"/>
        </w:rPr>
      </w:pPr>
      <w:r>
        <w:rPr>
          <w:rFonts w:ascii="Times New Roman" w:hAnsi="Times New Roman"/>
          <w:sz w:val="20"/>
        </w:rPr>
        <w:t xml:space="preserve">In determining the fair value less costs to sell, the Directors have taken the CGU’s average EBITDA performance and applied a multiplier to ascertain a fair value. The multiplier used was derived from analysis of those multipliers attributed to similar types of companies within the external market. </w:t>
      </w:r>
    </w:p>
    <w:p>
      <w:pPr>
        <w:pStyle w:val="TextBody"/>
        <w:bidi w:val="0"/>
        <w:spacing w:before="240" w:after="0"/>
        <w:jc w:val="left"/>
        <w:rPr>
          <w:rFonts w:ascii="Times New Roman" w:hAnsi="Times New Roman"/>
          <w:sz w:val="20"/>
        </w:rPr>
      </w:pPr>
      <w:r>
        <w:rPr>
          <w:rFonts w:ascii="Times New Roman" w:hAnsi="Times New Roman"/>
          <w:sz w:val="20"/>
        </w:rPr>
        <w:t xml:space="preserve">In assessing the CGU’s value in use, the Directors have calculated the present value of future cash flows expected to be derived from the CGU. An appropriate discount factor has been applied to the estimated cash flows to provide a present value. </w:t>
      </w:r>
    </w:p>
    <w:p>
      <w:pPr>
        <w:pStyle w:val="TextBody"/>
        <w:bidi w:val="0"/>
        <w:spacing w:before="240" w:after="0"/>
        <w:jc w:val="left"/>
        <w:rPr>
          <w:rFonts w:ascii="Times New Roman" w:hAnsi="Times New Roman"/>
          <w:sz w:val="20"/>
        </w:rPr>
      </w:pPr>
      <w:r>
        <w:rPr>
          <w:rFonts w:ascii="Times New Roman" w:hAnsi="Times New Roman"/>
          <w:sz w:val="20"/>
        </w:rPr>
        <w:t xml:space="preserve">The key assumptions in estimating the recoverable amount include but are not limited to the discount rate applied, cash flows growth rate and forecasting horizon for cash flow projections. The values assigned to key assumptions represent management assessment of future trends in the relevant industry and have been raised on the historical data from both external and internal sources. </w:t>
      </w:r>
    </w:p>
    <w:p>
      <w:pPr>
        <w:pStyle w:val="TextBody"/>
        <w:bidi w:val="0"/>
        <w:spacing w:before="240" w:after="0"/>
        <w:jc w:val="left"/>
        <w:rPr>
          <w:rFonts w:ascii="Times New Roman" w:hAnsi="Times New Roman"/>
          <w:sz w:val="20"/>
        </w:rPr>
      </w:pPr>
      <w:r>
        <w:rPr>
          <w:rFonts w:ascii="Times New Roman" w:hAnsi="Times New Roman"/>
          <w:sz w:val="20"/>
        </w:rPr>
        <w:t xml:space="preserve">Based on the calculation carried out, the Directors determined that the recoverable amount of the CGU exceeded its carrying value and that therefore no impairment is considered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Stock </w:t>
      </w:r>
    </w:p>
    <w:p>
      <w:pPr>
        <w:pStyle w:val="TextBody"/>
        <w:bidi w:val="0"/>
        <w:spacing w:before="120" w:after="0"/>
        <w:jc w:val="left"/>
        <w:rPr>
          <w:rFonts w:ascii="Times New Roman" w:hAnsi="Times New Roman"/>
          <w:sz w:val="20"/>
        </w:rPr>
      </w:pPr>
      <w:r>
        <w:rPr>
          <w:rFonts w:ascii="Times New Roman" w:hAnsi="Times New Roman"/>
          <w:sz w:val="20"/>
        </w:rPr>
        <w:t xml:space="preserve">The Group designs, manufactures and sells mobility products which are subject to changing consumer demands and fashion trends. As a result, it is necessary to consider the recoverability of the cost of inventory and the associated provisioning required. </w:t>
      </w:r>
    </w:p>
    <w:p>
      <w:pPr>
        <w:pStyle w:val="TextBody"/>
        <w:bidi w:val="0"/>
        <w:spacing w:before="240" w:after="0"/>
        <w:jc w:val="left"/>
        <w:rPr>
          <w:rFonts w:ascii="Times New Roman" w:hAnsi="Times New Roman"/>
          <w:sz w:val="20"/>
        </w:rPr>
      </w:pPr>
      <w:r>
        <w:rPr>
          <w:rFonts w:ascii="Times New Roman" w:hAnsi="Times New Roman"/>
          <w:sz w:val="20"/>
        </w:rPr>
        <w:t xml:space="preserve">When calculating the inventory provision, management considers the nature and condition of the inventory as well as applying assumptions around the anticipated saleability of finished goods and future usage of raw materials. See note 15 for the net carrying amount of the inventory and associated provision. </w:t>
      </w:r>
    </w:p>
    <w:p>
      <w:pPr>
        <w:pStyle w:val="TextBody"/>
        <w:bidi w:val="0"/>
        <w:spacing w:before="360" w:after="0"/>
        <w:jc w:val="left"/>
        <w:rPr>
          <w:rFonts w:ascii="Times New Roman" w:hAnsi="Times New Roman"/>
          <w:b/>
          <w:sz w:val="20"/>
        </w:rPr>
      </w:pPr>
      <w:r>
        <w:rPr>
          <w:rFonts w:ascii="Times New Roman" w:hAnsi="Times New Roman"/>
          <w:b/>
          <w:sz w:val="20"/>
        </w:rPr>
        <w:t xml:space="preserve">Debtors </w:t>
      </w:r>
    </w:p>
    <w:p>
      <w:pPr>
        <w:pStyle w:val="TextBody"/>
        <w:bidi w:val="0"/>
        <w:spacing w:before="120" w:after="0"/>
        <w:jc w:val="left"/>
        <w:rPr>
          <w:rFonts w:ascii="Times New Roman" w:hAnsi="Times New Roman"/>
          <w:sz w:val="20"/>
        </w:rPr>
      </w:pPr>
      <w:r>
        <w:rPr>
          <w:rFonts w:ascii="Times New Roman" w:hAnsi="Times New Roman"/>
          <w:sz w:val="20"/>
        </w:rPr>
        <w:t xml:space="preserve">The Group makes an estimate of the recoverable value of trade and other debtors. When assessing impairment of trade and other debtors, management considers factors including the ageing profile of the debtors and the historical experience. See note 16 for the net carrying amount of the trade debtors and the associated impairment provision </w:t>
      </w:r>
    </w:p>
    <w:p>
      <w:pPr>
        <w:pStyle w:val="TextBody"/>
        <w:bidi w:val="0"/>
        <w:spacing w:before="240" w:after="0"/>
        <w:jc w:val="left"/>
        <w:rPr>
          <w:rFonts w:ascii="Times New Roman" w:hAnsi="Times New Roman"/>
          <w:sz w:val="20"/>
        </w:rPr>
      </w:pPr>
      <w:r>
        <w:rPr>
          <w:rFonts w:ascii="Times New Roman" w:hAnsi="Times New Roman"/>
          <w:sz w:val="20"/>
        </w:rPr>
        <w:t xml:space="preserve">The actual amounts may differ from the assumptions made by the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43"/>
        <w:gridCol w:w="9762"/>
      </w:tblGrid>
      <w:tr>
        <w:trPr/>
        <w:tc>
          <w:tcPr>
            <w:tcW w:w="443" w:type="dxa"/>
            <w:tcBorders/>
          </w:tcPr>
          <w:p>
            <w:pPr>
              <w:pStyle w:val="TableContents"/>
              <w:bidi w:val="0"/>
              <w:spacing w:before="0" w:after="283"/>
              <w:jc w:val="left"/>
              <w:rPr>
                <w:b/>
                <w:i/>
              </w:rPr>
            </w:pPr>
            <w:r>
              <w:rPr>
                <w:b/>
                <w:i/>
              </w:rPr>
              <w:t>3.17</w:t>
            </w:r>
          </w:p>
        </w:tc>
        <w:tc>
          <w:tcPr>
            <w:tcW w:w="976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Goodwill (representing the excess of the fair value of the consideration given over the fair value of the separable net assets acquired) arising on business combinations is capitalised and amortised by equal annual instalments and charged to the profit and loss account over its estimated useful life, being 10 years, in respect of the acquisition of DLP Limited and Elfreed Limited.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3"/>
        <w:gridCol w:w="9742"/>
      </w:tblGrid>
      <w:tr>
        <w:trPr/>
        <w:tc>
          <w:tcPr>
            <w:tcW w:w="463" w:type="dxa"/>
            <w:tcBorders/>
          </w:tcPr>
          <w:p>
            <w:pPr>
              <w:pStyle w:val="TableContents"/>
              <w:bidi w:val="0"/>
              <w:spacing w:before="0" w:after="283"/>
              <w:jc w:val="left"/>
              <w:rPr>
                <w:b/>
                <w:i/>
              </w:rPr>
            </w:pPr>
            <w:r>
              <w:rPr>
                <w:b/>
                <w:i/>
              </w:rPr>
              <w:t>3.18</w:t>
            </w:r>
          </w:p>
        </w:tc>
        <w:tc>
          <w:tcPr>
            <w:tcW w:w="9742"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 xml:space="preserve">Amendments to FRS 102 not yet applied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amendments to FRS 102 have been issued but have not been applied in these financial statements. Their adoption is not expected to have a material effect on the financial statements, unless otherwise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Amendments to Section 20 Leases (effective 1 January 2026). This removes the distinction between operating and finance leases for lessees; with more leases recognised with an asset and liability on-balance sheet. Recognition exemptions permit short-term leases and leases of low-value assets to remain off-balance sheet.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Amendments to Section 23 Revenue from Contracts with Customers (effective 1 January 2026). This introduces a single comprehensive five-step model for revenue recognition for all contracts with customers, based on identifying the distinct goods or services promised to the customer and the amount of consideration to which the entity will be entitled in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Amendments to Section 29 Income Tax (effective 1 January 2026). This introduces guidance on accounting for uncertain tax positions.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4</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Turnover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Turnover is wholly attributable to the principal activity of the Group and £61.1m (2024: £57.5m and 2023: £54.1m) arises within the United Kingdom. Additional group turnover is generated by international operations.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713"/>
        <w:gridCol w:w="256"/>
        <w:gridCol w:w="68"/>
        <w:gridCol w:w="782"/>
        <w:gridCol w:w="60"/>
        <w:gridCol w:w="256"/>
        <w:gridCol w:w="81"/>
        <w:gridCol w:w="947"/>
        <w:gridCol w:w="60"/>
        <w:gridCol w:w="256"/>
        <w:gridCol w:w="80"/>
        <w:gridCol w:w="947"/>
        <w:gridCol w:w="66"/>
      </w:tblGrid>
      <w:tr>
        <w:trPr/>
        <w:tc>
          <w:tcPr>
            <w:tcW w:w="4713"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71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center"/>
              <w:rPr>
                <w:b/>
              </w:rPr>
            </w:pPr>
            <w:r>
              <w:rPr>
                <w:b/>
              </w:rPr>
              <w:t>2025</w:t>
              <w:br/>
              <w:t>£’000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center"/>
              <w:rPr/>
            </w:pPr>
            <w:r>
              <w:rPr/>
              <w:t>2024</w:t>
              <w:br/>
              <w:t>£’000</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7" w:type="dxa"/>
            <w:gridSpan w:val="2"/>
            <w:tcBorders/>
            <w:vAlign w:val="bottom"/>
          </w:tcPr>
          <w:p>
            <w:pPr>
              <w:pStyle w:val="TableContents"/>
              <w:bidi w:val="0"/>
              <w:spacing w:before="0" w:after="283"/>
              <w:jc w:val="center"/>
              <w:rPr/>
            </w:pPr>
            <w:r>
              <w:rPr/>
              <w:t>2023</w:t>
              <w:br/>
              <w:t>£’000</w:t>
            </w:r>
          </w:p>
        </w:tc>
        <w:tc>
          <w:tcPr>
            <w:tcW w:w="66"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50" w:type="dxa"/>
            <w:gridSpan w:val="2"/>
            <w:tcBorders/>
            <w:vAlign w:val="bottom"/>
          </w:tcPr>
          <w:p>
            <w:pPr>
              <w:pStyle w:val="TableContents"/>
              <w:bidi w:val="0"/>
              <w:spacing w:before="0" w:after="283"/>
              <w:jc w:val="center"/>
              <w:rPr>
                <w:b/>
              </w:rPr>
            </w:pPr>
            <w:r>
              <w:rPr>
                <w:b/>
              </w:rPr>
              <w:t>Audited</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1027" w:type="dxa"/>
            <w:gridSpan w:val="2"/>
            <w:tcBorders/>
            <w:vAlign w:val="bottom"/>
          </w:tcPr>
          <w:p>
            <w:pPr>
              <w:pStyle w:val="TableContents"/>
              <w:bidi w:val="0"/>
              <w:spacing w:before="0" w:after="283"/>
              <w:jc w:val="center"/>
              <w:rPr/>
            </w:pPr>
            <w:r>
              <w:rPr/>
              <w:t>Unaudited</w:t>
            </w:r>
          </w:p>
        </w:tc>
        <w:tc>
          <w:tcPr>
            <w:tcW w:w="66"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UK sales</w:t>
            </w:r>
          </w:p>
        </w:tc>
        <w:tc>
          <w:tcPr>
            <w:tcW w:w="2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b/>
              </w:rPr>
            </w:pPr>
            <w:r>
              <w:rPr>
                <w:b/>
              </w:rPr>
              <w:t>61,091</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57,504</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54,128</w:t>
            </w:r>
          </w:p>
        </w:tc>
        <w:tc>
          <w:tcPr>
            <w:tcW w:w="66" w:type="dxa"/>
            <w:tcBorders/>
            <w:shd w:fill="CCEEFF" w:val="clear"/>
            <w:vAlign w:val="bottom"/>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Times New Roman" w:hAnsi="Times New Roman"/>
                <w:sz w:val="20"/>
              </w:rPr>
            </w:pPr>
            <w:r>
              <w:rPr>
                <w:rFonts w:ascii="Times New Roman" w:hAnsi="Times New Roman"/>
                <w:sz w:val="20"/>
              </w:rPr>
              <w:t>France sales</w:t>
            </w:r>
          </w:p>
        </w:tc>
        <w:tc>
          <w:tcPr>
            <w:tcW w:w="2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11,035</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9,694</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8,550</w:t>
            </w:r>
          </w:p>
        </w:tc>
        <w:tc>
          <w:tcPr>
            <w:tcW w:w="66" w:type="dxa"/>
            <w:tcBorders/>
            <w:vAlign w:val="bottom"/>
          </w:tcPr>
          <w:p>
            <w:pPr>
              <w:pStyle w:val="TableContents"/>
              <w:bidi w:val="0"/>
              <w:spacing w:before="0" w:after="283"/>
              <w:jc w:val="left"/>
              <w:rPr/>
            </w:pPr>
            <w:r>
              <w:rPr/>
              <w:t> </w:t>
            </w:r>
          </w:p>
        </w:tc>
      </w:tr>
      <w:tr>
        <w:trPr/>
        <w:tc>
          <w:tcPr>
            <w:tcW w:w="471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USA sales</w:t>
            </w:r>
          </w:p>
        </w:tc>
        <w:tc>
          <w:tcPr>
            <w:tcW w:w="256"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996</w:t>
            </w:r>
          </w:p>
        </w:tc>
        <w:tc>
          <w:tcPr>
            <w:tcW w:w="60"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985</w:t>
            </w:r>
          </w:p>
        </w:tc>
        <w:tc>
          <w:tcPr>
            <w:tcW w:w="66" w:type="dxa"/>
            <w:tcBorders/>
            <w:shd w:fill="CCEEFF" w:val="clear"/>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13"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Group turnover</w:t>
            </w:r>
          </w:p>
        </w:tc>
        <w:tc>
          <w:tcPr>
            <w:tcW w:w="256"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2" w:type="dxa"/>
            <w:tcBorders/>
            <w:vAlign w:val="bottom"/>
          </w:tcPr>
          <w:p>
            <w:pPr>
              <w:pStyle w:val="TableContents"/>
              <w:bidi w:val="0"/>
              <w:spacing w:before="0" w:after="283"/>
              <w:jc w:val="right"/>
              <w:rPr>
                <w:b/>
              </w:rPr>
            </w:pPr>
            <w:r>
              <w:rPr>
                <w:b/>
              </w:rPr>
              <w:t>72,126</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68,194</w:t>
            </w:r>
          </w:p>
        </w:tc>
        <w:tc>
          <w:tcPr>
            <w:tcW w:w="60"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63,663</w:t>
            </w:r>
          </w:p>
        </w:tc>
        <w:tc>
          <w:tcPr>
            <w:tcW w:w="66" w:type="dxa"/>
            <w:tcBorders/>
            <w:vAlign w:val="bottom"/>
          </w:tcPr>
          <w:p>
            <w:pPr>
              <w:pStyle w:val="TableContents"/>
              <w:bidi w:val="0"/>
              <w:spacing w:before="0" w:after="283"/>
              <w:jc w:val="left"/>
              <w:rPr/>
            </w:pPr>
            <w:r>
              <w:rPr/>
              <w:t> </w:t>
            </w:r>
          </w:p>
        </w:tc>
      </w:tr>
      <w:tr>
        <w:trPr/>
        <w:tc>
          <w:tcPr>
            <w:tcW w:w="4713" w:type="dxa"/>
            <w:tcBorders/>
            <w:vAlign w:val="bottom"/>
          </w:tcPr>
          <w:p>
            <w:pPr>
              <w:pStyle w:val="TableContents"/>
              <w:bidi w:val="0"/>
              <w:spacing w:before="0" w:after="283"/>
              <w:jc w:val="left"/>
              <w:rPr>
                <w:sz w:val="4"/>
                <w:szCs w:val="4"/>
              </w:rPr>
            </w:pPr>
            <w:r>
              <w:rPr>
                <w:sz w:val="4"/>
                <w:szCs w:val="4"/>
              </w:rPr>
            </w:r>
          </w:p>
        </w:tc>
        <w:tc>
          <w:tcPr>
            <w:tcW w:w="256"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78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profit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5492"/>
        <w:gridCol w:w="201"/>
        <w:gridCol w:w="60"/>
        <w:gridCol w:w="675"/>
        <w:gridCol w:w="166"/>
        <w:gridCol w:w="141"/>
        <w:gridCol w:w="60"/>
        <w:gridCol w:w="675"/>
        <w:gridCol w:w="166"/>
        <w:gridCol w:w="141"/>
        <w:gridCol w:w="60"/>
        <w:gridCol w:w="564"/>
        <w:gridCol w:w="171"/>
      </w:tblGrid>
      <w:tr>
        <w:trPr/>
        <w:tc>
          <w:tcPr>
            <w:tcW w:w="5492"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5492" w:type="dxa"/>
            <w:tcBorders/>
            <w:vAlign w:val="bottom"/>
          </w:tcPr>
          <w:p>
            <w:pPr>
              <w:pStyle w:val="TableContents"/>
              <w:bidi w:val="0"/>
              <w:spacing w:before="0" w:after="283"/>
              <w:jc w:val="left"/>
              <w:rPr>
                <w:b/>
              </w:rPr>
            </w:pPr>
            <w:r>
              <w:rPr>
                <w:b/>
              </w:rPr>
              <w:t>Group</w:t>
            </w:r>
          </w:p>
        </w:tc>
        <w:tc>
          <w:tcPr>
            <w:tcW w:w="201" w:type="dxa"/>
            <w:tcBorders/>
            <w:vAlign w:val="bottom"/>
          </w:tcPr>
          <w:p>
            <w:pPr>
              <w:pStyle w:val="TableContents"/>
              <w:bidi w:val="0"/>
              <w:spacing w:before="0" w:after="283"/>
              <w:jc w:val="left"/>
              <w:rPr/>
            </w:pPr>
            <w:r>
              <w:rPr/>
              <w:t>  </w:t>
            </w:r>
          </w:p>
        </w:tc>
        <w:tc>
          <w:tcPr>
            <w:tcW w:w="735" w:type="dxa"/>
            <w:gridSpan w:val="2"/>
            <w:tcBorders/>
            <w:vAlign w:val="bottom"/>
          </w:tcPr>
          <w:p>
            <w:pPr>
              <w:pStyle w:val="TableContents"/>
              <w:bidi w:val="0"/>
              <w:spacing w:before="0" w:after="283"/>
              <w:jc w:val="center"/>
              <w:rPr>
                <w:b/>
              </w:rPr>
            </w:pPr>
            <w:r>
              <w:rPr>
                <w:b/>
              </w:rPr>
              <w:t>2025</w:t>
              <w:br/>
              <w:t>£’000</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35" w:type="dxa"/>
            <w:gridSpan w:val="2"/>
            <w:tcBorders/>
            <w:vAlign w:val="bottom"/>
          </w:tcPr>
          <w:p>
            <w:pPr>
              <w:pStyle w:val="TableContents"/>
              <w:bidi w:val="0"/>
              <w:spacing w:before="0" w:after="283"/>
              <w:jc w:val="center"/>
              <w:rPr/>
            </w:pPr>
            <w:r>
              <w:rPr/>
              <w:t>2024</w:t>
              <w:br/>
              <w:t>£’000</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24" w:type="dxa"/>
            <w:gridSpan w:val="2"/>
            <w:tcBorders/>
            <w:vAlign w:val="bottom"/>
          </w:tcPr>
          <w:p>
            <w:pPr>
              <w:pStyle w:val="TableContents"/>
              <w:bidi w:val="0"/>
              <w:spacing w:before="0" w:after="283"/>
              <w:jc w:val="center"/>
              <w:rPr/>
            </w:pPr>
            <w:r>
              <w:rPr/>
              <w:t>2023</w:t>
              <w:br/>
              <w:t>£’000</w:t>
            </w:r>
          </w:p>
        </w:tc>
        <w:tc>
          <w:tcPr>
            <w:tcW w:w="171" w:type="dxa"/>
            <w:tcBorders/>
            <w:vAlign w:val="bottom"/>
          </w:tcPr>
          <w:p>
            <w:pPr>
              <w:pStyle w:val="TableContents"/>
              <w:bidi w:val="0"/>
              <w:spacing w:before="0" w:after="283"/>
              <w:jc w:val="left"/>
              <w:rPr/>
            </w:pPr>
            <w:r>
              <w:rPr/>
              <w:t> </w:t>
            </w:r>
          </w:p>
        </w:tc>
      </w:tr>
      <w:tr>
        <w:trPr/>
        <w:tc>
          <w:tcPr>
            <w:tcW w:w="5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profit includes:</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7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64" w:type="dxa"/>
            <w:tcBorders/>
            <w:shd w:fill="CCEEFF" w:val="clear"/>
            <w:vAlign w:val="bottom"/>
          </w:tcPr>
          <w:p>
            <w:pPr>
              <w:pStyle w:val="TableContents"/>
              <w:bidi w:val="0"/>
              <w:spacing w:before="0" w:after="283"/>
              <w:jc w:val="left"/>
              <w:rPr>
                <w:sz w:val="4"/>
                <w:szCs w:val="4"/>
              </w:rPr>
            </w:pPr>
            <w:r>
              <w:rPr>
                <w:sz w:val="4"/>
                <w:szCs w:val="4"/>
              </w:rPr>
            </w:r>
          </w:p>
        </w:tc>
        <w:tc>
          <w:tcPr>
            <w:tcW w:w="171" w:type="dxa"/>
            <w:tcBorders/>
            <w:shd w:fill="CCEEFF" w:val="clear"/>
            <w:vAlign w:val="bottom"/>
          </w:tcPr>
          <w:p>
            <w:pPr>
              <w:pStyle w:val="TableContents"/>
              <w:bidi w:val="0"/>
              <w:spacing w:before="0" w:after="283"/>
              <w:jc w:val="left"/>
              <w:rPr>
                <w:sz w:val="4"/>
                <w:szCs w:val="4"/>
              </w:rPr>
            </w:pPr>
            <w:r>
              <w:rPr>
                <w:sz w:val="4"/>
                <w:szCs w:val="4"/>
              </w:rPr>
            </w:r>
          </w:p>
        </w:tc>
      </w:tr>
      <w:tr>
        <w:trPr/>
        <w:tc>
          <w:tcPr>
            <w:tcW w:w="5492" w:type="dxa"/>
            <w:tcBorders/>
          </w:tcPr>
          <w:p>
            <w:pPr>
              <w:pStyle w:val="TableContents"/>
              <w:bidi w:val="0"/>
              <w:spacing w:before="0" w:after="0"/>
              <w:jc w:val="left"/>
              <w:rPr>
                <w:rFonts w:ascii="Times New Roman" w:hAnsi="Times New Roman"/>
                <w:sz w:val="20"/>
              </w:rPr>
            </w:pPr>
            <w:r>
              <w:rPr>
                <w:rFonts w:ascii="Times New Roman" w:hAnsi="Times New Roman"/>
                <w:sz w:val="20"/>
              </w:rPr>
              <w:t>Auditor’s remuneration</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208</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146</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132</w:t>
            </w:r>
          </w:p>
        </w:tc>
        <w:tc>
          <w:tcPr>
            <w:tcW w:w="171" w:type="dxa"/>
            <w:tcBorders/>
            <w:vAlign w:val="bottom"/>
          </w:tcPr>
          <w:p>
            <w:pPr>
              <w:pStyle w:val="TableContents"/>
              <w:bidi w:val="0"/>
              <w:spacing w:before="0" w:after="283"/>
              <w:jc w:val="left"/>
              <w:rPr/>
            </w:pPr>
            <w:r>
              <w:rPr/>
              <w:t> </w:t>
            </w:r>
          </w:p>
        </w:tc>
      </w:tr>
      <w:tr>
        <w:trPr/>
        <w:tc>
          <w:tcPr>
            <w:tcW w:w="5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Taxation compliance services</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18</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14</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14</w:t>
            </w:r>
          </w:p>
        </w:tc>
        <w:tc>
          <w:tcPr>
            <w:tcW w:w="171" w:type="dxa"/>
            <w:tcBorders/>
            <w:shd w:fill="CCEEFF" w:val="clear"/>
            <w:vAlign w:val="bottom"/>
          </w:tcPr>
          <w:p>
            <w:pPr>
              <w:pStyle w:val="TableContents"/>
              <w:bidi w:val="0"/>
              <w:spacing w:before="0" w:after="283"/>
              <w:jc w:val="left"/>
              <w:rPr/>
            </w:pPr>
            <w:r>
              <w:rPr/>
              <w:t> </w:t>
            </w:r>
          </w:p>
        </w:tc>
      </w:tr>
      <w:tr>
        <w:trPr/>
        <w:tc>
          <w:tcPr>
            <w:tcW w:w="5492" w:type="dxa"/>
            <w:tcBorders/>
          </w:tcPr>
          <w:p>
            <w:pPr>
              <w:pStyle w:val="TableContents"/>
              <w:bidi w:val="0"/>
              <w:spacing w:before="0" w:after="0"/>
              <w:jc w:val="left"/>
              <w:rPr>
                <w:rFonts w:ascii="Times New Roman" w:hAnsi="Times New Roman"/>
                <w:sz w:val="20"/>
              </w:rPr>
            </w:pPr>
            <w:r>
              <w:rPr>
                <w:rFonts w:ascii="Times New Roman" w:hAnsi="Times New Roman"/>
                <w:sz w:val="20"/>
              </w:rPr>
              <w:t>Profit on disposal of fixed assets</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(16</w:t>
            </w:r>
          </w:p>
        </w:tc>
        <w:tc>
          <w:tcPr>
            <w:tcW w:w="166" w:type="dxa"/>
            <w:tcBorders/>
            <w:vAlign w:val="bottom"/>
          </w:tcPr>
          <w:p>
            <w:pPr>
              <w:pStyle w:val="TableContents"/>
              <w:bidi w:val="0"/>
              <w:spacing w:before="0" w:after="283"/>
              <w:jc w:val="left"/>
              <w:rPr>
                <w:b/>
              </w:rPr>
            </w:pPr>
            <w:r>
              <w:rPr>
                <w:b/>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(26</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15</w:t>
            </w:r>
          </w:p>
        </w:tc>
        <w:tc>
          <w:tcPr>
            <w:tcW w:w="171" w:type="dxa"/>
            <w:tcBorders/>
            <w:vAlign w:val="bottom"/>
          </w:tcPr>
          <w:p>
            <w:pPr>
              <w:pStyle w:val="TableContents"/>
              <w:bidi w:val="0"/>
              <w:spacing w:before="0" w:after="283"/>
              <w:jc w:val="left"/>
              <w:rPr/>
            </w:pPr>
            <w:r>
              <w:rPr/>
              <w:t> </w:t>
            </w:r>
          </w:p>
        </w:tc>
      </w:tr>
      <w:tr>
        <w:trPr/>
        <w:tc>
          <w:tcPr>
            <w:tcW w:w="5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and building – operating lease</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1,200</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1,223</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1,144</w:t>
            </w:r>
          </w:p>
        </w:tc>
        <w:tc>
          <w:tcPr>
            <w:tcW w:w="171" w:type="dxa"/>
            <w:tcBorders/>
            <w:shd w:fill="CCEEFF" w:val="clear"/>
            <w:vAlign w:val="bottom"/>
          </w:tcPr>
          <w:p>
            <w:pPr>
              <w:pStyle w:val="TableContents"/>
              <w:bidi w:val="0"/>
              <w:spacing w:before="0" w:after="283"/>
              <w:jc w:val="left"/>
              <w:rPr/>
            </w:pPr>
            <w:r>
              <w:rPr/>
              <w:t> </w:t>
            </w:r>
          </w:p>
        </w:tc>
      </w:tr>
      <w:tr>
        <w:trPr/>
        <w:tc>
          <w:tcPr>
            <w:tcW w:w="5492" w:type="dxa"/>
            <w:tcBorders/>
          </w:tcPr>
          <w:p>
            <w:pPr>
              <w:pStyle w:val="TableContents"/>
              <w:bidi w:val="0"/>
              <w:spacing w:before="0" w:after="0"/>
              <w:jc w:val="left"/>
              <w:rPr>
                <w:rFonts w:ascii="Times New Roman" w:hAnsi="Times New Roman"/>
                <w:sz w:val="20"/>
              </w:rPr>
            </w:pPr>
            <w:r>
              <w:rPr>
                <w:rFonts w:ascii="Times New Roman" w:hAnsi="Times New Roman"/>
                <w:sz w:val="20"/>
              </w:rPr>
              <w:t>Other – operating lease</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584</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556</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475</w:t>
            </w:r>
          </w:p>
        </w:tc>
        <w:tc>
          <w:tcPr>
            <w:tcW w:w="171" w:type="dxa"/>
            <w:tcBorders/>
            <w:vAlign w:val="bottom"/>
          </w:tcPr>
          <w:p>
            <w:pPr>
              <w:pStyle w:val="TableContents"/>
              <w:bidi w:val="0"/>
              <w:spacing w:before="0" w:after="283"/>
              <w:jc w:val="left"/>
              <w:rPr/>
            </w:pPr>
            <w:r>
              <w:rPr/>
              <w:t> </w:t>
            </w:r>
          </w:p>
        </w:tc>
      </w:tr>
      <w:tr>
        <w:trPr/>
        <w:tc>
          <w:tcPr>
            <w:tcW w:w="5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Bad debts write off and increase in general provision</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32</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18</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94</w:t>
            </w:r>
          </w:p>
        </w:tc>
        <w:tc>
          <w:tcPr>
            <w:tcW w:w="171" w:type="dxa"/>
            <w:tcBorders/>
            <w:shd w:fill="CCEEFF" w:val="clear"/>
            <w:vAlign w:val="bottom"/>
          </w:tcPr>
          <w:p>
            <w:pPr>
              <w:pStyle w:val="TableContents"/>
              <w:bidi w:val="0"/>
              <w:spacing w:before="0" w:after="283"/>
              <w:jc w:val="left"/>
              <w:rPr/>
            </w:pPr>
            <w:r>
              <w:rPr/>
              <w:t> </w:t>
            </w:r>
          </w:p>
        </w:tc>
      </w:tr>
      <w:tr>
        <w:trPr/>
        <w:tc>
          <w:tcPr>
            <w:tcW w:w="5492" w:type="dxa"/>
            <w:tcBorders/>
          </w:tcPr>
          <w:p>
            <w:pPr>
              <w:pStyle w:val="TableContents"/>
              <w:bidi w:val="0"/>
              <w:spacing w:before="0" w:after="0"/>
              <w:jc w:val="left"/>
              <w:rPr>
                <w:rFonts w:ascii="Times New Roman" w:hAnsi="Times New Roman"/>
                <w:sz w:val="20"/>
              </w:rPr>
            </w:pPr>
            <w:r>
              <w:rPr>
                <w:rFonts w:ascii="Times New Roman" w:hAnsi="Times New Roman"/>
                <w:sz w:val="20"/>
              </w:rPr>
              <w:t>*Other administrative expenses</w:t>
            </w:r>
          </w:p>
        </w:tc>
        <w:tc>
          <w:tcPr>
            <w:tcW w:w="20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b/>
              </w:rPr>
            </w:pPr>
            <w:r>
              <w:rPr>
                <w:b/>
              </w:rPr>
              <w:t>2,086</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2,137</w:t>
            </w:r>
          </w:p>
        </w:tc>
        <w:tc>
          <w:tcPr>
            <w:tcW w:w="16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64" w:type="dxa"/>
            <w:tcBorders/>
            <w:vAlign w:val="bottom"/>
          </w:tcPr>
          <w:p>
            <w:pPr>
              <w:pStyle w:val="TableContents"/>
              <w:bidi w:val="0"/>
              <w:spacing w:before="0" w:after="283"/>
              <w:jc w:val="right"/>
              <w:rPr/>
            </w:pPr>
            <w:r>
              <w:rPr/>
              <w:t>219</w:t>
            </w:r>
          </w:p>
        </w:tc>
        <w:tc>
          <w:tcPr>
            <w:tcW w:w="171" w:type="dxa"/>
            <w:tcBorders/>
            <w:vAlign w:val="bottom"/>
          </w:tcPr>
          <w:p>
            <w:pPr>
              <w:pStyle w:val="TableContents"/>
              <w:bidi w:val="0"/>
              <w:spacing w:before="0" w:after="283"/>
              <w:jc w:val="left"/>
              <w:rPr/>
            </w:pPr>
            <w:r>
              <w:rPr/>
              <w:t> </w:t>
            </w:r>
          </w:p>
        </w:tc>
      </w:tr>
      <w:tr>
        <w:trPr/>
        <w:tc>
          <w:tcPr>
            <w:tcW w:w="54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20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b/>
              </w:rPr>
            </w:pPr>
            <w:r>
              <w:rPr>
                <w:b/>
              </w:rPr>
              <w:t>(1,142</w:t>
            </w:r>
          </w:p>
        </w:tc>
        <w:tc>
          <w:tcPr>
            <w:tcW w:w="166" w:type="dxa"/>
            <w:tcBorders/>
            <w:shd w:fill="CCEEFF" w:val="clear"/>
            <w:vAlign w:val="bottom"/>
          </w:tcPr>
          <w:p>
            <w:pPr>
              <w:pStyle w:val="TableContents"/>
              <w:bidi w:val="0"/>
              <w:spacing w:before="0" w:after="283"/>
              <w:jc w:val="left"/>
              <w:rPr>
                <w:b/>
              </w:rPr>
            </w:pPr>
            <w:r>
              <w:rPr>
                <w:b/>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(1,662</w:t>
            </w:r>
          </w:p>
        </w:tc>
        <w:tc>
          <w:tcPr>
            <w:tcW w:w="16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64" w:type="dxa"/>
            <w:tcBorders/>
            <w:shd w:fill="CCEEFF" w:val="clear"/>
            <w:vAlign w:val="bottom"/>
          </w:tcPr>
          <w:p>
            <w:pPr>
              <w:pStyle w:val="TableContents"/>
              <w:bidi w:val="0"/>
              <w:spacing w:before="0" w:after="283"/>
              <w:jc w:val="right"/>
              <w:rPr/>
            </w:pPr>
            <w:r>
              <w:rPr/>
              <w:t>(866</w:t>
            </w:r>
          </w:p>
        </w:tc>
        <w:tc>
          <w:tcPr>
            <w:tcW w:w="1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administrative expenses relates to restructuring costs £1,274,465 (2024: £1,892,990 and 2023: £219,313) and project related advisory costs £811,863 (2024: £243,766 and 2023: nil).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operating income relates to carriage charge reimbursement by AKW Medi-Care Limited &amp; AKW International SA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Discontinued operations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10 July 2024, the Board of Directors resolved to discontinue the operations of AKW Resource Centre Inc. during the year ended 31 December 2024. The decision was made due to deteriorating EBITDA and low stock turnover. During the year, AKW Resource Centre Inc. contributed revenue of £nil (2024: £996,379 and 2023: £984,554) and post-tax profits of £nil (2024: £383,992 and 2023: £202,231).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7</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Directors’ remuneration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93"/>
        <w:gridCol w:w="353"/>
        <w:gridCol w:w="81"/>
        <w:gridCol w:w="764"/>
        <w:gridCol w:w="60"/>
        <w:gridCol w:w="353"/>
        <w:gridCol w:w="137"/>
        <w:gridCol w:w="908"/>
        <w:gridCol w:w="60"/>
        <w:gridCol w:w="353"/>
        <w:gridCol w:w="137"/>
        <w:gridCol w:w="908"/>
        <w:gridCol w:w="65"/>
      </w:tblGrid>
      <w:tr>
        <w:trPr/>
        <w:tc>
          <w:tcPr>
            <w:tcW w:w="4393"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39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2024</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2023</w:t>
            </w:r>
          </w:p>
        </w:tc>
        <w:tc>
          <w:tcPr>
            <w:tcW w:w="65" w:type="dxa"/>
            <w:tcBorders/>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center"/>
              <w:rPr>
                <w:b/>
              </w:rPr>
            </w:pPr>
            <w:r>
              <w:rPr>
                <w:b/>
              </w:rPr>
              <w:t>£’000</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£’000</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£’000</w:t>
            </w:r>
          </w:p>
        </w:tc>
        <w:tc>
          <w:tcPr>
            <w:tcW w:w="65" w:type="dxa"/>
            <w:tcBorders/>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center"/>
              <w:rPr>
                <w:b/>
              </w:rPr>
            </w:pPr>
            <w:r>
              <w:rPr>
                <w:b/>
              </w:rPr>
              <w:t>Audited</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045" w:type="dxa"/>
            <w:gridSpan w:val="2"/>
            <w:tcBorders/>
            <w:vAlign w:val="bottom"/>
          </w:tcPr>
          <w:p>
            <w:pPr>
              <w:pStyle w:val="TableContents"/>
              <w:bidi w:val="0"/>
              <w:spacing w:before="0" w:after="283"/>
              <w:jc w:val="center"/>
              <w:rPr/>
            </w:pPr>
            <w:r>
              <w:rPr/>
              <w:t>Unaudited</w:t>
            </w:r>
          </w:p>
        </w:tc>
        <w:tc>
          <w:tcPr>
            <w:tcW w:w="65" w:type="dxa"/>
            <w:tcBorders/>
            <w:vAlign w:val="bottom"/>
          </w:tcPr>
          <w:p>
            <w:pPr>
              <w:pStyle w:val="TableContents"/>
              <w:bidi w:val="0"/>
              <w:spacing w:before="0" w:after="283"/>
              <w:jc w:val="left"/>
              <w:rPr/>
            </w:pPr>
            <w:r>
              <w:rPr/>
              <w:t> </w:t>
            </w:r>
          </w:p>
        </w:tc>
      </w:tr>
      <w:tr>
        <w:trPr/>
        <w:tc>
          <w:tcPr>
            <w:tcW w:w="439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Directors’ emoluments</w:t>
            </w:r>
          </w:p>
        </w:tc>
        <w:tc>
          <w:tcPr>
            <w:tcW w:w="353"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b/>
              </w:rPr>
            </w:pPr>
            <w:r>
              <w:rPr>
                <w:b/>
              </w:rPr>
              <w:t>1,375</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368</w:t>
            </w:r>
          </w:p>
        </w:tc>
        <w:tc>
          <w:tcPr>
            <w:tcW w:w="60" w:type="dxa"/>
            <w:tcBorders/>
            <w:shd w:fill="CCEEFF" w:val="clear"/>
            <w:vAlign w:val="bottom"/>
          </w:tcPr>
          <w:p>
            <w:pPr>
              <w:pStyle w:val="TableContents"/>
              <w:bidi w:val="0"/>
              <w:spacing w:before="0" w:after="283"/>
              <w:jc w:val="left"/>
              <w:rPr/>
            </w:pPr>
            <w:r>
              <w:rPr/>
              <w:t> </w:t>
            </w:r>
          </w:p>
        </w:tc>
        <w:tc>
          <w:tcPr>
            <w:tcW w:w="353"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08" w:type="dxa"/>
            <w:tcBorders/>
            <w:shd w:fill="CCEEFF" w:val="clear"/>
            <w:vAlign w:val="bottom"/>
          </w:tcPr>
          <w:p>
            <w:pPr>
              <w:pStyle w:val="TableContents"/>
              <w:bidi w:val="0"/>
              <w:spacing w:before="0" w:after="283"/>
              <w:jc w:val="right"/>
              <w:rPr/>
            </w:pPr>
            <w:r>
              <w:rPr/>
              <w:t>444</w:t>
            </w:r>
          </w:p>
        </w:tc>
        <w:tc>
          <w:tcPr>
            <w:tcW w:w="65" w:type="dxa"/>
            <w:tcBorders/>
            <w:shd w:fill="CCEEFF" w:val="clear"/>
            <w:vAlign w:val="bottom"/>
          </w:tcPr>
          <w:p>
            <w:pPr>
              <w:pStyle w:val="TableContents"/>
              <w:bidi w:val="0"/>
              <w:spacing w:before="0" w:after="283"/>
              <w:jc w:val="left"/>
              <w:rPr/>
            </w:pPr>
            <w:r>
              <w:rPr/>
              <w:t> </w:t>
            </w:r>
          </w:p>
        </w:tc>
      </w:tr>
      <w:tr>
        <w:trPr/>
        <w:tc>
          <w:tcPr>
            <w:tcW w:w="4393" w:type="dxa"/>
            <w:tcBorders/>
            <w:vAlign w:val="bottom"/>
          </w:tcPr>
          <w:p>
            <w:pPr>
              <w:pStyle w:val="TableContents"/>
              <w:bidi w:val="0"/>
              <w:spacing w:before="0" w:after="283"/>
              <w:jc w:val="left"/>
              <w:rPr>
                <w:sz w:val="4"/>
                <w:szCs w:val="4"/>
              </w:rPr>
            </w:pPr>
            <w:r>
              <w:rPr>
                <w:sz w:val="4"/>
                <w:szCs w:val="4"/>
              </w:rPr>
            </w:r>
          </w:p>
        </w:tc>
        <w:tc>
          <w:tcPr>
            <w:tcW w:w="353"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90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53"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908"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receivable and similar income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88"/>
        <w:gridCol w:w="401"/>
        <w:gridCol w:w="114"/>
        <w:gridCol w:w="752"/>
        <w:gridCol w:w="60"/>
        <w:gridCol w:w="401"/>
        <w:gridCol w:w="137"/>
        <w:gridCol w:w="879"/>
        <w:gridCol w:w="60"/>
        <w:gridCol w:w="401"/>
        <w:gridCol w:w="137"/>
        <w:gridCol w:w="879"/>
        <w:gridCol w:w="63"/>
      </w:tblGrid>
      <w:tr>
        <w:trPr/>
        <w:tc>
          <w:tcPr>
            <w:tcW w:w="4288"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28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2024</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2023</w:t>
            </w:r>
          </w:p>
        </w:tc>
        <w:tc>
          <w:tcPr>
            <w:tcW w:w="63" w:type="dxa"/>
            <w:tcBorders/>
            <w:vAlign w:val="bottom"/>
          </w:tcPr>
          <w:p>
            <w:pPr>
              <w:pStyle w:val="TableContents"/>
              <w:bidi w:val="0"/>
              <w:spacing w:before="0" w:after="283"/>
              <w:jc w:val="left"/>
              <w:rPr/>
            </w:pPr>
            <w:r>
              <w:rPr/>
              <w:t> </w:t>
            </w:r>
          </w:p>
        </w:tc>
      </w:tr>
      <w:tr>
        <w:trPr/>
        <w:tc>
          <w:tcPr>
            <w:tcW w:w="428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b/>
              </w:rPr>
            </w:pPr>
            <w:r>
              <w:rPr>
                <w:b/>
              </w:rPr>
              <w:t>£’000</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£’000</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£’000</w:t>
            </w:r>
          </w:p>
        </w:tc>
        <w:tc>
          <w:tcPr>
            <w:tcW w:w="63" w:type="dxa"/>
            <w:tcBorders/>
            <w:vAlign w:val="bottom"/>
          </w:tcPr>
          <w:p>
            <w:pPr>
              <w:pStyle w:val="TableContents"/>
              <w:bidi w:val="0"/>
              <w:spacing w:before="0" w:after="283"/>
              <w:jc w:val="left"/>
              <w:rPr/>
            </w:pPr>
            <w:r>
              <w:rPr/>
              <w:t> </w:t>
            </w:r>
          </w:p>
        </w:tc>
      </w:tr>
      <w:tr>
        <w:trPr/>
        <w:tc>
          <w:tcPr>
            <w:tcW w:w="4288"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b/>
              </w:rPr>
            </w:pPr>
            <w:r>
              <w:rPr>
                <w:b/>
              </w:rPr>
              <w:t>Audited</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Unaudited</w:t>
            </w:r>
          </w:p>
        </w:tc>
        <w:tc>
          <w:tcPr>
            <w:tcW w:w="63" w:type="dxa"/>
            <w:tcBorders/>
            <w:vAlign w:val="bottom"/>
          </w:tcPr>
          <w:p>
            <w:pPr>
              <w:pStyle w:val="TableContents"/>
              <w:bidi w:val="0"/>
              <w:spacing w:before="0" w:after="283"/>
              <w:jc w:val="left"/>
              <w:rPr/>
            </w:pPr>
            <w:r>
              <w:rPr/>
              <w:t> </w:t>
            </w:r>
          </w:p>
        </w:tc>
      </w:tr>
      <w:tr>
        <w:trPr/>
        <w:tc>
          <w:tcPr>
            <w:tcW w:w="428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foreign exchange gain</w:t>
            </w:r>
          </w:p>
        </w:tc>
        <w:tc>
          <w:tcPr>
            <w:tcW w:w="4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b/>
              </w:rPr>
            </w:pPr>
            <w:r>
              <w:rPr>
                <w:b/>
              </w:rPr>
              <w:t>171</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288" w:type="dxa"/>
            <w:tcBorders/>
          </w:tcPr>
          <w:p>
            <w:pPr>
              <w:pStyle w:val="TableContents"/>
              <w:bidi w:val="0"/>
              <w:spacing w:before="0" w:after="0"/>
              <w:jc w:val="left"/>
              <w:rPr>
                <w:rFonts w:ascii="Times New Roman" w:hAnsi="Times New Roman"/>
                <w:sz w:val="20"/>
              </w:rPr>
            </w:pPr>
            <w:r>
              <w:rPr>
                <w:rFonts w:ascii="Times New Roman" w:hAnsi="Times New Roman"/>
                <w:sz w:val="20"/>
              </w:rPr>
              <w:t>Bank interest</w:t>
            </w:r>
          </w:p>
        </w:tc>
        <w:tc>
          <w:tcPr>
            <w:tcW w:w="401"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2" w:type="dxa"/>
            <w:tcBorders/>
            <w:vAlign w:val="bottom"/>
          </w:tcPr>
          <w:p>
            <w:pPr>
              <w:pStyle w:val="TableContents"/>
              <w:bidi w:val="0"/>
              <w:spacing w:before="0" w:after="283"/>
              <w:jc w:val="right"/>
              <w:rPr>
                <w:b/>
              </w:rPr>
            </w:pPr>
            <w:r>
              <w:rPr>
                <w:b/>
              </w:rPr>
              <w:t>33</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4288"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288" w:type="dxa"/>
            <w:tcBorders/>
            <w:shd w:fill="CCEEFF" w:val="clear"/>
          </w:tcPr>
          <w:p>
            <w:pPr>
              <w:pStyle w:val="TableContents"/>
              <w:bidi w:val="0"/>
              <w:spacing w:before="0" w:after="283"/>
              <w:jc w:val="left"/>
              <w:rPr>
                <w:sz w:val="4"/>
                <w:szCs w:val="4"/>
              </w:rPr>
            </w:pPr>
            <w:r>
              <w:rPr>
                <w:sz w:val="4"/>
                <w:szCs w:val="4"/>
              </w:rPr>
            </w:r>
          </w:p>
        </w:tc>
        <w:tc>
          <w:tcPr>
            <w:tcW w:w="401"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2" w:type="dxa"/>
            <w:tcBorders/>
            <w:shd w:fill="CCEEFF" w:val="clear"/>
            <w:vAlign w:val="bottom"/>
          </w:tcPr>
          <w:p>
            <w:pPr>
              <w:pStyle w:val="TableContents"/>
              <w:bidi w:val="0"/>
              <w:spacing w:before="0" w:after="283"/>
              <w:jc w:val="right"/>
              <w:rPr>
                <w:b/>
              </w:rPr>
            </w:pPr>
            <w:r>
              <w:rPr>
                <w:b/>
              </w:rPr>
              <w:t>204</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1"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4288" w:type="dxa"/>
            <w:tcBorders/>
            <w:vAlign w:val="bottom"/>
          </w:tcPr>
          <w:p>
            <w:pPr>
              <w:pStyle w:val="TableContents"/>
              <w:bidi w:val="0"/>
              <w:spacing w:before="0" w:after="283"/>
              <w:jc w:val="left"/>
              <w:rPr>
                <w:sz w:val="4"/>
                <w:szCs w:val="4"/>
              </w:rPr>
            </w:pPr>
            <w:r>
              <w:rPr>
                <w:sz w:val="4"/>
                <w:szCs w:val="4"/>
              </w:rPr>
            </w:r>
          </w:p>
        </w:tc>
        <w:tc>
          <w:tcPr>
            <w:tcW w:w="401"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double" w:sz="6" w:space="1" w:color="000000"/>
              </w:pBdr>
              <w:bidi w:val="0"/>
              <w:spacing w:before="0" w:after="0"/>
              <w:jc w:val="left"/>
              <w:rPr/>
            </w:pPr>
            <w:r>
              <w:rPr/>
              <w:t> </w:t>
            </w:r>
          </w:p>
        </w:tc>
        <w:tc>
          <w:tcPr>
            <w:tcW w:w="752"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01"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 payable and similar charges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561"/>
        <w:gridCol w:w="243"/>
        <w:gridCol w:w="72"/>
        <w:gridCol w:w="809"/>
        <w:gridCol w:w="155"/>
        <w:gridCol w:w="194"/>
        <w:gridCol w:w="87"/>
        <w:gridCol w:w="928"/>
        <w:gridCol w:w="155"/>
        <w:gridCol w:w="194"/>
        <w:gridCol w:w="87"/>
        <w:gridCol w:w="928"/>
        <w:gridCol w:w="159"/>
      </w:tblGrid>
      <w:tr>
        <w:trPr/>
        <w:tc>
          <w:tcPr>
            <w:tcW w:w="4561" w:type="dxa"/>
            <w:tcBorders/>
            <w:vAlign w:val="center"/>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56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456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£’000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£’000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£’000</w:t>
            </w:r>
          </w:p>
        </w:tc>
        <w:tc>
          <w:tcPr>
            <w:tcW w:w="159" w:type="dxa"/>
            <w:tcBorders/>
            <w:vAlign w:val="bottom"/>
          </w:tcPr>
          <w:p>
            <w:pPr>
              <w:pStyle w:val="TableContents"/>
              <w:bidi w:val="0"/>
              <w:spacing w:before="0" w:after="283"/>
              <w:jc w:val="left"/>
              <w:rPr/>
            </w:pPr>
            <w:r>
              <w:rPr/>
              <w:t> </w:t>
            </w:r>
          </w:p>
        </w:tc>
      </w:tr>
      <w:tr>
        <w:trPr/>
        <w:tc>
          <w:tcPr>
            <w:tcW w:w="4561"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Audited</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Unaudited</w:t>
            </w:r>
          </w:p>
        </w:tc>
        <w:tc>
          <w:tcPr>
            <w:tcW w:w="159" w:type="dxa"/>
            <w:tcBorders/>
            <w:vAlign w:val="bottom"/>
          </w:tcPr>
          <w:p>
            <w:pPr>
              <w:pStyle w:val="TableContents"/>
              <w:bidi w:val="0"/>
              <w:spacing w:before="0" w:after="283"/>
              <w:jc w:val="left"/>
              <w:rPr/>
            </w:pPr>
            <w:r>
              <w:rPr/>
              <w:t> </w:t>
            </w:r>
          </w:p>
        </w:tc>
      </w:tr>
      <w:tr>
        <w:trPr/>
        <w:tc>
          <w:tcPr>
            <w:tcW w:w="4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RCF interest expense</w:t>
            </w:r>
          </w:p>
        </w:tc>
        <w:tc>
          <w:tcPr>
            <w:tcW w:w="24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(113</w:t>
            </w:r>
          </w:p>
        </w:tc>
        <w:tc>
          <w:tcPr>
            <w:tcW w:w="155" w:type="dxa"/>
            <w:tcBorders/>
            <w:shd w:fill="CCEEFF" w:val="clear"/>
            <w:vAlign w:val="bottom"/>
          </w:tcPr>
          <w:p>
            <w:pPr>
              <w:pStyle w:val="TableContents"/>
              <w:bidi w:val="0"/>
              <w:spacing w:before="0" w:after="283"/>
              <w:jc w:val="left"/>
              <w:rPr>
                <w:b/>
              </w:rPr>
            </w:pPr>
            <w:r>
              <w:rPr>
                <w:b/>
              </w:rPr>
              <w:t>) </w:t>
            </w:r>
          </w:p>
        </w:tc>
        <w:tc>
          <w:tcPr>
            <w:tcW w:w="19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(130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(226</w:t>
            </w:r>
          </w:p>
        </w:tc>
        <w:tc>
          <w:tcPr>
            <w:tcW w:w="159" w:type="dxa"/>
            <w:tcBorders/>
            <w:shd w:fill="CCEEFF" w:val="clear"/>
            <w:vAlign w:val="bottom"/>
          </w:tcPr>
          <w:p>
            <w:pPr>
              <w:pStyle w:val="TableContents"/>
              <w:bidi w:val="0"/>
              <w:spacing w:before="0" w:after="283"/>
              <w:jc w:val="left"/>
              <w:rPr/>
            </w:pPr>
            <w:r>
              <w:rPr/>
              <w:t>) </w:t>
            </w:r>
          </w:p>
        </w:tc>
      </w:tr>
      <w:tr>
        <w:trPr/>
        <w:tc>
          <w:tcPr>
            <w:tcW w:w="4561" w:type="dxa"/>
            <w:tcBorders/>
          </w:tcPr>
          <w:p>
            <w:pPr>
              <w:pStyle w:val="TableContents"/>
              <w:bidi w:val="0"/>
              <w:spacing w:before="0" w:after="0"/>
              <w:jc w:val="left"/>
              <w:rPr>
                <w:rFonts w:ascii="Times New Roman" w:hAnsi="Times New Roman"/>
                <w:sz w:val="20"/>
              </w:rPr>
            </w:pPr>
            <w:r>
              <w:rPr>
                <w:rFonts w:ascii="Times New Roman" w:hAnsi="Times New Roman"/>
                <w:sz w:val="20"/>
              </w:rPr>
              <w:t>PennantPark Loan interest expense</w:t>
            </w:r>
          </w:p>
        </w:tc>
        <w:tc>
          <w:tcPr>
            <w:tcW w:w="24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(4,668</w:t>
            </w:r>
          </w:p>
        </w:tc>
        <w:tc>
          <w:tcPr>
            <w:tcW w:w="155" w:type="dxa"/>
            <w:tcBorders/>
            <w:vAlign w:val="bottom"/>
          </w:tcPr>
          <w:p>
            <w:pPr>
              <w:pStyle w:val="TableContents"/>
              <w:bidi w:val="0"/>
              <w:spacing w:before="0" w:after="283"/>
              <w:jc w:val="left"/>
              <w:rPr>
                <w:b/>
              </w:rPr>
            </w:pPr>
            <w:r>
              <w:rPr>
                <w:b/>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(5,103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(4,658</w:t>
            </w:r>
          </w:p>
        </w:tc>
        <w:tc>
          <w:tcPr>
            <w:tcW w:w="159" w:type="dxa"/>
            <w:tcBorders/>
            <w:vAlign w:val="bottom"/>
          </w:tcPr>
          <w:p>
            <w:pPr>
              <w:pStyle w:val="TableContents"/>
              <w:bidi w:val="0"/>
              <w:spacing w:before="0" w:after="283"/>
              <w:jc w:val="left"/>
              <w:rPr/>
            </w:pPr>
            <w:r>
              <w:rPr/>
              <w:t>) </w:t>
            </w:r>
          </w:p>
        </w:tc>
      </w:tr>
      <w:tr>
        <w:trPr/>
        <w:tc>
          <w:tcPr>
            <w:tcW w:w="45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Dilapidation interest expense</w:t>
            </w:r>
          </w:p>
        </w:tc>
        <w:tc>
          <w:tcPr>
            <w:tcW w:w="24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(248</w:t>
            </w:r>
          </w:p>
        </w:tc>
        <w:tc>
          <w:tcPr>
            <w:tcW w:w="155" w:type="dxa"/>
            <w:tcBorders/>
            <w:shd w:fill="CCEEFF" w:val="clear"/>
            <w:vAlign w:val="bottom"/>
          </w:tcPr>
          <w:p>
            <w:pPr>
              <w:pStyle w:val="TableContents"/>
              <w:bidi w:val="0"/>
              <w:spacing w:before="0" w:after="283"/>
              <w:jc w:val="left"/>
              <w:rPr>
                <w:b/>
              </w:rPr>
            </w:pPr>
            <w:r>
              <w:rPr>
                <w:b/>
              </w:rPr>
              <w:t>) </w:t>
            </w:r>
          </w:p>
        </w:tc>
        <w:tc>
          <w:tcPr>
            <w:tcW w:w="19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(591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4561" w:type="dxa"/>
            <w:tcBorders/>
          </w:tcPr>
          <w:p>
            <w:pPr>
              <w:pStyle w:val="TableContents"/>
              <w:bidi w:val="0"/>
              <w:spacing w:before="0" w:after="0"/>
              <w:jc w:val="left"/>
              <w:rPr>
                <w:rFonts w:ascii="Times New Roman" w:hAnsi="Times New Roman"/>
                <w:sz w:val="20"/>
              </w:rPr>
            </w:pPr>
            <w:r>
              <w:rPr>
                <w:rFonts w:ascii="Times New Roman" w:hAnsi="Times New Roman"/>
                <w:sz w:val="20"/>
              </w:rPr>
              <w:t>Other interest expense</w:t>
            </w:r>
          </w:p>
        </w:tc>
        <w:tc>
          <w:tcPr>
            <w:tcW w:w="243"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09" w:type="dxa"/>
            <w:tcBorders/>
            <w:vAlign w:val="bottom"/>
          </w:tcPr>
          <w:p>
            <w:pPr>
              <w:pStyle w:val="TableContents"/>
              <w:bidi w:val="0"/>
              <w:spacing w:before="0" w:after="283"/>
              <w:jc w:val="right"/>
              <w:rPr>
                <w:b/>
              </w:rPr>
            </w:pPr>
            <w:r>
              <w:rPr>
                <w:b/>
              </w:rPr>
              <w:t>(8</w:t>
            </w:r>
          </w:p>
        </w:tc>
        <w:tc>
          <w:tcPr>
            <w:tcW w:w="155" w:type="dxa"/>
            <w:tcBorders/>
            <w:vAlign w:val="bottom"/>
          </w:tcPr>
          <w:p>
            <w:pPr>
              <w:pStyle w:val="TableContents"/>
              <w:bidi w:val="0"/>
              <w:spacing w:before="0" w:after="283"/>
              <w:jc w:val="left"/>
              <w:rPr>
                <w:b/>
              </w:rPr>
            </w:pPr>
            <w:r>
              <w:rPr>
                <w:b/>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8"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456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single" w:sz="2" w:space="1" w:color="000000"/>
              </w:pBdr>
              <w:bidi w:val="0"/>
              <w:spacing w:before="0" w:after="0"/>
              <w:jc w:val="left"/>
              <w:rPr/>
            </w:pPr>
            <w:r>
              <w:rPr/>
              <w:t> </w:t>
            </w:r>
          </w:p>
        </w:tc>
        <w:tc>
          <w:tcPr>
            <w:tcW w:w="8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561" w:type="dxa"/>
            <w:tcBorders/>
            <w:shd w:fill="CCEEFF" w:val="clear"/>
          </w:tcPr>
          <w:p>
            <w:pPr>
              <w:pStyle w:val="TableContents"/>
              <w:bidi w:val="0"/>
              <w:spacing w:before="0" w:after="283"/>
              <w:jc w:val="left"/>
              <w:rPr>
                <w:sz w:val="4"/>
                <w:szCs w:val="4"/>
              </w:rPr>
            </w:pPr>
            <w:r>
              <w:rPr>
                <w:sz w:val="4"/>
                <w:szCs w:val="4"/>
              </w:rPr>
            </w:r>
          </w:p>
        </w:tc>
        <w:tc>
          <w:tcPr>
            <w:tcW w:w="243"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809" w:type="dxa"/>
            <w:tcBorders/>
            <w:shd w:fill="CCEEFF" w:val="clear"/>
            <w:vAlign w:val="bottom"/>
          </w:tcPr>
          <w:p>
            <w:pPr>
              <w:pStyle w:val="TableContents"/>
              <w:bidi w:val="0"/>
              <w:spacing w:before="0" w:after="283"/>
              <w:jc w:val="right"/>
              <w:rPr>
                <w:b/>
              </w:rPr>
            </w:pPr>
            <w:r>
              <w:rPr>
                <w:b/>
              </w:rPr>
              <w:t>(5,037</w:t>
            </w:r>
          </w:p>
        </w:tc>
        <w:tc>
          <w:tcPr>
            <w:tcW w:w="155" w:type="dxa"/>
            <w:tcBorders/>
            <w:shd w:fill="CCEEFF" w:val="clear"/>
            <w:vAlign w:val="bottom"/>
          </w:tcPr>
          <w:p>
            <w:pPr>
              <w:pStyle w:val="TableContents"/>
              <w:bidi w:val="0"/>
              <w:spacing w:before="0" w:after="283"/>
              <w:jc w:val="left"/>
              <w:rPr>
                <w:b/>
              </w:rPr>
            </w:pPr>
            <w:r>
              <w:rPr>
                <w:b/>
              </w:rPr>
              <w:t>) </w:t>
            </w:r>
          </w:p>
        </w:tc>
        <w:tc>
          <w:tcPr>
            <w:tcW w:w="19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(5,852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8" w:type="dxa"/>
            <w:tcBorders/>
            <w:shd w:fill="CCEEFF" w:val="clear"/>
            <w:vAlign w:val="bottom"/>
          </w:tcPr>
          <w:p>
            <w:pPr>
              <w:pStyle w:val="TableContents"/>
              <w:bidi w:val="0"/>
              <w:spacing w:before="0" w:after="283"/>
              <w:jc w:val="right"/>
              <w:rPr/>
            </w:pPr>
            <w:r>
              <w:rPr/>
              <w:t>(4,884</w:t>
            </w:r>
          </w:p>
        </w:tc>
        <w:tc>
          <w:tcPr>
            <w:tcW w:w="159" w:type="dxa"/>
            <w:tcBorders/>
            <w:shd w:fill="CCEEFF" w:val="clear"/>
            <w:vAlign w:val="bottom"/>
          </w:tcPr>
          <w:p>
            <w:pPr>
              <w:pStyle w:val="TableContents"/>
              <w:bidi w:val="0"/>
              <w:spacing w:before="0" w:after="283"/>
              <w:jc w:val="left"/>
              <w:rPr/>
            </w:pPr>
            <w:r>
              <w:rPr/>
              <w:t>) </w:t>
            </w:r>
          </w:p>
        </w:tc>
      </w:tr>
      <w:tr>
        <w:trPr/>
        <w:tc>
          <w:tcPr>
            <w:tcW w:w="4561" w:type="dxa"/>
            <w:tcBorders/>
            <w:vAlign w:val="bottom"/>
          </w:tcPr>
          <w:p>
            <w:pPr>
              <w:pStyle w:val="TableContents"/>
              <w:bidi w:val="0"/>
              <w:spacing w:before="0" w:after="283"/>
              <w:jc w:val="left"/>
              <w:rPr>
                <w:sz w:val="4"/>
                <w:szCs w:val="4"/>
              </w:rPr>
            </w:pPr>
            <w:r>
              <w:rPr>
                <w:sz w:val="4"/>
                <w:szCs w:val="4"/>
              </w:rPr>
            </w:r>
          </w:p>
        </w:tc>
        <w:tc>
          <w:tcPr>
            <w:tcW w:w="243"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8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10</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Taxation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i/>
              </w:rPr>
            </w:pPr>
            <w:r>
              <w:rPr>
                <w:i/>
              </w:rPr>
              <w:t>a)</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Analysis of tax charge in the year: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267"/>
        <w:gridCol w:w="331"/>
        <w:gridCol w:w="81"/>
        <w:gridCol w:w="766"/>
        <w:gridCol w:w="155"/>
        <w:gridCol w:w="286"/>
        <w:gridCol w:w="115"/>
        <w:gridCol w:w="928"/>
        <w:gridCol w:w="155"/>
        <w:gridCol w:w="286"/>
        <w:gridCol w:w="115"/>
        <w:gridCol w:w="928"/>
        <w:gridCol w:w="159"/>
      </w:tblGrid>
      <w:tr>
        <w:trPr/>
        <w:tc>
          <w:tcPr>
            <w:tcW w:w="4267"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67" w:type="dxa"/>
            <w:tcBorders/>
            <w:vAlign w:val="bottom"/>
          </w:tcPr>
          <w:p>
            <w:pPr>
              <w:pStyle w:val="TableContents"/>
              <w:bidi w:val="0"/>
              <w:spacing w:before="0" w:after="283"/>
              <w:jc w:val="left"/>
              <w:rPr>
                <w:b/>
                <w:i/>
              </w:rPr>
            </w:pPr>
            <w:r>
              <w:rPr>
                <w:b/>
                <w:i/>
              </w:rPr>
              <w:t>Profit and loss account</w:t>
            </w:r>
          </w:p>
        </w:tc>
        <w:tc>
          <w:tcPr>
            <w:tcW w:w="331" w:type="dxa"/>
            <w:tcBorders/>
            <w:vAlign w:val="bottom"/>
          </w:tcPr>
          <w:p>
            <w:pPr>
              <w:pStyle w:val="TableContents"/>
              <w:bidi w:val="0"/>
              <w:spacing w:before="0" w:after="283"/>
              <w:jc w:val="left"/>
              <w:rPr/>
            </w:pPr>
            <w:r>
              <w:rPr/>
              <w:t>  </w:t>
            </w:r>
          </w:p>
        </w:tc>
        <w:tc>
          <w:tcPr>
            <w:tcW w:w="847"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847" w:type="dxa"/>
            <w:gridSpan w:val="2"/>
            <w:tcBorders/>
            <w:vAlign w:val="bottom"/>
          </w:tcPr>
          <w:p>
            <w:pPr>
              <w:pStyle w:val="TableContents"/>
              <w:bidi w:val="0"/>
              <w:spacing w:before="0" w:after="283"/>
              <w:jc w:val="center"/>
              <w:rPr>
                <w:b/>
              </w:rPr>
            </w:pPr>
            <w:r>
              <w:rPr>
                <w:b/>
              </w:rPr>
              <w:t>£’000</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£’000</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£’000</w:t>
            </w:r>
          </w:p>
        </w:tc>
        <w:tc>
          <w:tcPr>
            <w:tcW w:w="159" w:type="dxa"/>
            <w:tcBorders/>
            <w:vAlign w:val="bottom"/>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847" w:type="dxa"/>
            <w:gridSpan w:val="2"/>
            <w:tcBorders/>
            <w:vAlign w:val="bottom"/>
          </w:tcPr>
          <w:p>
            <w:pPr>
              <w:pStyle w:val="TableContents"/>
              <w:bidi w:val="0"/>
              <w:spacing w:before="0" w:after="283"/>
              <w:jc w:val="center"/>
              <w:rPr>
                <w:b/>
              </w:rPr>
            </w:pPr>
            <w:r>
              <w:rPr>
                <w:b/>
              </w:rPr>
              <w:t>Audited</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Unaudited</w:t>
            </w:r>
          </w:p>
        </w:tc>
        <w:tc>
          <w:tcPr>
            <w:tcW w:w="159" w:type="dxa"/>
            <w:tcBorders/>
            <w:vAlign w:val="bottom"/>
          </w:tcPr>
          <w:p>
            <w:pPr>
              <w:pStyle w:val="TableContents"/>
              <w:bidi w:val="0"/>
              <w:spacing w:before="0" w:after="283"/>
              <w:jc w:val="left"/>
              <w:rPr/>
            </w:pPr>
            <w:r>
              <w:rPr/>
              <w:t> </w:t>
            </w:r>
          </w:p>
        </w:tc>
      </w:tr>
      <w:tr>
        <w:trPr/>
        <w:tc>
          <w:tcPr>
            <w:tcW w:w="4267"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UK Corporation tax</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7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928"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4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tax charge on profit for the year</w:t>
            </w:r>
          </w:p>
        </w:tc>
        <w:tc>
          <w:tcPr>
            <w:tcW w:w="331" w:type="dxa"/>
            <w:tcBorders/>
            <w:vAlign w:val="bottom"/>
          </w:tcPr>
          <w:p>
            <w:pPr>
              <w:pStyle w:val="TableContents"/>
              <w:bidi w:val="0"/>
              <w:spacing w:before="0" w:after="283"/>
              <w:jc w:val="left"/>
              <w:rPr/>
            </w:pPr>
            <w:r>
              <w:rPr/>
              <w:t>  </w:t>
            </w:r>
          </w:p>
        </w:tc>
        <w:tc>
          <w:tcPr>
            <w:tcW w:w="81" w:type="dxa"/>
            <w:tcBorders/>
          </w:tcPr>
          <w:p>
            <w:pPr>
              <w:pStyle w:val="TableContents"/>
              <w:bidi w:val="0"/>
              <w:spacing w:before="0" w:after="283"/>
              <w:jc w:val="left"/>
              <w:rPr/>
            </w:pPr>
            <w:r>
              <w:rPr/>
              <w:t> </w:t>
            </w:r>
          </w:p>
        </w:tc>
        <w:tc>
          <w:tcPr>
            <w:tcW w:w="766" w:type="dxa"/>
            <w:tcBorders/>
          </w:tcPr>
          <w:p>
            <w:pPr>
              <w:pStyle w:val="TableContents"/>
              <w:bidi w:val="0"/>
              <w:spacing w:before="0" w:after="283"/>
              <w:jc w:val="right"/>
              <w:rPr>
                <w:b/>
              </w:rPr>
            </w:pPr>
            <w:r>
              <w:rPr>
                <w:b/>
              </w:rPr>
              <w:t>1,097</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787</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658</w:t>
            </w:r>
          </w:p>
        </w:tc>
        <w:tc>
          <w:tcPr>
            <w:tcW w:w="159" w:type="dxa"/>
            <w:tcBorders/>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Foreign tax -AKWI</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64</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48</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64</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tax -ARC</w:t>
            </w:r>
          </w:p>
        </w:tc>
        <w:tc>
          <w:tcPr>
            <w:tcW w:w="331" w:type="dxa"/>
            <w:tcBorders/>
            <w:vAlign w:val="bottom"/>
          </w:tcPr>
          <w:p>
            <w:pPr>
              <w:pStyle w:val="TableContents"/>
              <w:bidi w:val="0"/>
              <w:spacing w:before="0" w:after="283"/>
              <w:jc w:val="left"/>
              <w:rPr/>
            </w:pPr>
            <w:r>
              <w:rPr/>
              <w:t>  </w:t>
            </w:r>
          </w:p>
        </w:tc>
        <w:tc>
          <w:tcPr>
            <w:tcW w:w="81" w:type="dxa"/>
            <w:tcBorders/>
          </w:tcPr>
          <w:p>
            <w:pPr>
              <w:pStyle w:val="TableContents"/>
              <w:bidi w:val="0"/>
              <w:spacing w:before="0" w:after="283"/>
              <w:jc w:val="left"/>
              <w:rPr/>
            </w:pPr>
            <w:r>
              <w:rPr/>
              <w:t> </w:t>
            </w:r>
          </w:p>
        </w:tc>
        <w:tc>
          <w:tcPr>
            <w:tcW w:w="766" w:type="dxa"/>
            <w:tcBorders/>
          </w:tcPr>
          <w:p>
            <w:pPr>
              <w:pStyle w:val="TableContents"/>
              <w:bidi w:val="0"/>
              <w:spacing w:before="0" w:after="283"/>
              <w:jc w:val="right"/>
              <w:rPr/>
            </w:pPr>
            <w:r>
              <w:rPr/>
              <w:t>— </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41</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— </w:t>
            </w:r>
          </w:p>
        </w:tc>
        <w:tc>
          <w:tcPr>
            <w:tcW w:w="159" w:type="dxa"/>
            <w:tcBorders/>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tax charge</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1,161</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876</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722</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Movement in provision for deferred taxation</w:t>
            </w:r>
          </w:p>
        </w:tc>
        <w:tc>
          <w:tcPr>
            <w:tcW w:w="331" w:type="dxa"/>
            <w:tcBorders/>
            <w:vAlign w:val="bottom"/>
          </w:tcPr>
          <w:p>
            <w:pPr>
              <w:pStyle w:val="TableContents"/>
              <w:bidi w:val="0"/>
              <w:spacing w:before="0" w:after="283"/>
              <w:jc w:val="left"/>
              <w:rPr/>
            </w:pPr>
            <w:r>
              <w:rPr/>
              <w:t>  </w:t>
            </w:r>
          </w:p>
        </w:tc>
        <w:tc>
          <w:tcPr>
            <w:tcW w:w="81" w:type="dxa"/>
            <w:tcBorders/>
          </w:tcPr>
          <w:p>
            <w:pPr>
              <w:pStyle w:val="TableContents"/>
              <w:bidi w:val="0"/>
              <w:spacing w:before="0" w:after="283"/>
              <w:jc w:val="left"/>
              <w:rPr/>
            </w:pPr>
            <w:r>
              <w:rPr/>
              <w:t> </w:t>
            </w:r>
          </w:p>
        </w:tc>
        <w:tc>
          <w:tcPr>
            <w:tcW w:w="766" w:type="dxa"/>
            <w:tcBorders/>
          </w:tcPr>
          <w:p>
            <w:pPr>
              <w:pStyle w:val="TableContents"/>
              <w:bidi w:val="0"/>
              <w:spacing w:before="0" w:after="283"/>
              <w:jc w:val="right"/>
              <w:rPr>
                <w:b/>
              </w:rPr>
            </w:pPr>
            <w:r>
              <w:rPr>
                <w:b/>
              </w:rPr>
              <w:t>21</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27</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55</w:t>
            </w:r>
          </w:p>
        </w:tc>
        <w:tc>
          <w:tcPr>
            <w:tcW w:w="159" w:type="dxa"/>
            <w:tcBorders/>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 charge on profit on ordinary activities</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1,182</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903</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777</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67" w:type="dxa"/>
            <w:tcBorders/>
          </w:tcPr>
          <w:p>
            <w:pPr>
              <w:pStyle w:val="TableContents"/>
              <w:bidi w:val="0"/>
              <w:spacing w:before="0" w:after="0"/>
              <w:jc w:val="left"/>
              <w:rPr>
                <w:rFonts w:ascii="Times New Roman" w:hAnsi="Times New Roman"/>
                <w:b/>
                <w:i/>
                <w:sz w:val="20"/>
              </w:rPr>
            </w:pPr>
            <w:r>
              <w:rPr>
                <w:rFonts w:ascii="Times New Roman" w:hAnsi="Times New Roman"/>
                <w:b/>
                <w:i/>
                <w:sz w:val="20"/>
              </w:rPr>
              <w:t>Balance sheet</w:t>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sz w:val="4"/>
                <w:szCs w:val="4"/>
              </w:rPr>
            </w:pPr>
            <w:r>
              <w:rPr>
                <w:sz w:val="4"/>
                <w:szCs w:val="4"/>
              </w:rPr>
            </w:r>
          </w:p>
        </w:tc>
        <w:tc>
          <w:tcPr>
            <w:tcW w:w="7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sz w:val="4"/>
                <w:szCs w:val="4"/>
              </w:rPr>
            </w:pPr>
            <w:r>
              <w:rPr>
                <w:sz w:val="4"/>
                <w:szCs w:val="4"/>
              </w:rPr>
            </w:r>
          </w:p>
        </w:tc>
        <w:tc>
          <w:tcPr>
            <w:tcW w:w="928"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Corporate tax due in less than one year</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(93</w:t>
            </w:r>
          </w:p>
        </w:tc>
        <w:tc>
          <w:tcPr>
            <w:tcW w:w="155" w:type="dxa"/>
            <w:tcBorders/>
            <w:shd w:fill="CCEEFF" w:val="clear"/>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(414</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(304</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240" w:hRule="atLeast"/>
        </w:trPr>
        <w:tc>
          <w:tcPr>
            <w:tcW w:w="4267" w:type="dxa"/>
            <w:tcBorders/>
            <w:vAlign w:val="center"/>
          </w:tcPr>
          <w:p>
            <w:pPr>
              <w:pStyle w:val="TableContents"/>
              <w:bidi w:val="0"/>
              <w:spacing w:before="0" w:after="283"/>
              <w:jc w:val="left"/>
              <w:rPr>
                <w:sz w:val="4"/>
                <w:szCs w:val="4"/>
              </w:rPr>
            </w:pPr>
            <w:r>
              <w:rPr>
                <w:sz w:val="4"/>
                <w:szCs w:val="4"/>
              </w:rPr>
            </w:r>
          </w:p>
        </w:tc>
        <w:tc>
          <w:tcPr>
            <w:tcW w:w="1333" w:type="dxa"/>
            <w:gridSpan w:val="4"/>
            <w:tcBorders/>
            <w:vAlign w:val="center"/>
          </w:tcPr>
          <w:p>
            <w:pPr>
              <w:pStyle w:val="TableContents"/>
              <w:bidi w:val="0"/>
              <w:spacing w:before="0" w:after="283"/>
              <w:jc w:val="left"/>
              <w:rPr>
                <w:sz w:val="4"/>
                <w:szCs w:val="4"/>
              </w:rPr>
            </w:pPr>
            <w:r>
              <w:rPr>
                <w:sz w:val="4"/>
                <w:szCs w:val="4"/>
              </w:rPr>
            </w:r>
          </w:p>
        </w:tc>
        <w:tc>
          <w:tcPr>
            <w:tcW w:w="1484" w:type="dxa"/>
            <w:gridSpan w:val="4"/>
            <w:tcBorders/>
            <w:vAlign w:val="center"/>
          </w:tcPr>
          <w:p>
            <w:pPr>
              <w:pStyle w:val="TableContents"/>
              <w:bidi w:val="0"/>
              <w:spacing w:before="0" w:after="283"/>
              <w:jc w:val="left"/>
              <w:rPr>
                <w:sz w:val="4"/>
                <w:szCs w:val="4"/>
              </w:rPr>
            </w:pPr>
            <w:r>
              <w:rPr>
                <w:sz w:val="4"/>
                <w:szCs w:val="4"/>
              </w:rPr>
            </w:r>
          </w:p>
        </w:tc>
        <w:tc>
          <w:tcPr>
            <w:tcW w:w="1488" w:type="dxa"/>
            <w:gridSpan w:val="4"/>
            <w:tcBorders/>
            <w:vAlign w:val="center"/>
          </w:tcPr>
          <w:p>
            <w:pPr>
              <w:pStyle w:val="TableContents"/>
              <w:bidi w:val="0"/>
              <w:spacing w:before="0" w:after="283"/>
              <w:jc w:val="left"/>
              <w:rPr>
                <w:sz w:val="4"/>
                <w:szCs w:val="4"/>
              </w:rPr>
            </w:pPr>
            <w:r>
              <w:rPr>
                <w:sz w:val="4"/>
                <w:szCs w:val="4"/>
              </w:rPr>
            </w:r>
          </w:p>
        </w:tc>
      </w:tr>
      <w:tr>
        <w:trPr/>
        <w:tc>
          <w:tcPr>
            <w:tcW w:w="4267" w:type="dxa"/>
            <w:tcBorders/>
            <w:vAlign w:val="bottom"/>
          </w:tcPr>
          <w:p>
            <w:pPr>
              <w:pStyle w:val="TableContents"/>
              <w:bidi w:val="0"/>
              <w:spacing w:before="0" w:after="283"/>
              <w:jc w:val="left"/>
              <w:rPr>
                <w:b/>
                <w:i/>
              </w:rPr>
            </w:pPr>
            <w:r>
              <w:rPr>
                <w:b/>
                <w:i/>
              </w:rPr>
              <w:t>Deferred tax</w:t>
            </w:r>
          </w:p>
        </w:tc>
        <w:tc>
          <w:tcPr>
            <w:tcW w:w="331" w:type="dxa"/>
            <w:tcBorders/>
            <w:vAlign w:val="bottom"/>
          </w:tcPr>
          <w:p>
            <w:pPr>
              <w:pStyle w:val="TableContents"/>
              <w:bidi w:val="0"/>
              <w:spacing w:before="0" w:after="283"/>
              <w:jc w:val="left"/>
              <w:rPr/>
            </w:pPr>
            <w:r>
              <w:rPr/>
              <w:t>  </w:t>
            </w:r>
          </w:p>
        </w:tc>
        <w:tc>
          <w:tcPr>
            <w:tcW w:w="847" w:type="dxa"/>
            <w:gridSpan w:val="2"/>
            <w:tcBorders/>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2023</w:t>
            </w:r>
          </w:p>
        </w:tc>
        <w:tc>
          <w:tcPr>
            <w:tcW w:w="159" w:type="dxa"/>
            <w:tcBorders/>
            <w:vAlign w:val="bottom"/>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pPr>
            <w:r>
              <w:rPr/>
              <w:t> </w:t>
            </w:r>
          </w:p>
        </w:tc>
        <w:tc>
          <w:tcPr>
            <w:tcW w:w="331" w:type="dxa"/>
            <w:tcBorders/>
            <w:vAlign w:val="bottom"/>
          </w:tcPr>
          <w:p>
            <w:pPr>
              <w:pStyle w:val="TableContents"/>
              <w:bidi w:val="0"/>
              <w:spacing w:before="0" w:after="283"/>
              <w:jc w:val="left"/>
              <w:rPr/>
            </w:pPr>
            <w:r>
              <w:rPr/>
              <w:t>  </w:t>
            </w:r>
          </w:p>
        </w:tc>
        <w:tc>
          <w:tcPr>
            <w:tcW w:w="847" w:type="dxa"/>
            <w:gridSpan w:val="2"/>
            <w:tcBorders/>
            <w:vAlign w:val="bottom"/>
          </w:tcPr>
          <w:p>
            <w:pPr>
              <w:pStyle w:val="TableContents"/>
              <w:bidi w:val="0"/>
              <w:spacing w:before="0" w:after="283"/>
              <w:jc w:val="center"/>
              <w:rPr>
                <w:b/>
              </w:rPr>
            </w:pPr>
            <w:r>
              <w:rPr>
                <w:b/>
              </w:rPr>
              <w:t>£’000</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£’000</w:t>
            </w:r>
          </w:p>
        </w:tc>
        <w:tc>
          <w:tcPr>
            <w:tcW w:w="155" w:type="dxa"/>
            <w:tcBorders/>
            <w:vAlign w:val="bottom"/>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043" w:type="dxa"/>
            <w:gridSpan w:val="2"/>
            <w:tcBorders/>
            <w:vAlign w:val="bottom"/>
          </w:tcPr>
          <w:p>
            <w:pPr>
              <w:pStyle w:val="TableContents"/>
              <w:bidi w:val="0"/>
              <w:spacing w:before="0" w:after="283"/>
              <w:jc w:val="center"/>
              <w:rPr/>
            </w:pPr>
            <w:r>
              <w:rPr/>
              <w:t>£’000</w:t>
            </w:r>
          </w:p>
        </w:tc>
        <w:tc>
          <w:tcPr>
            <w:tcW w:w="159" w:type="dxa"/>
            <w:tcBorders/>
            <w:vAlign w:val="bottom"/>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Fixed asset timing differences</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(36</w:t>
            </w:r>
          </w:p>
        </w:tc>
        <w:tc>
          <w:tcPr>
            <w:tcW w:w="155" w:type="dxa"/>
            <w:tcBorders/>
            <w:shd w:fill="CCEEFF" w:val="clear"/>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(15</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12</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asset</w:t>
            </w:r>
          </w:p>
        </w:tc>
        <w:tc>
          <w:tcPr>
            <w:tcW w:w="331" w:type="dxa"/>
            <w:tcBorders/>
            <w:vAlign w:val="bottom"/>
          </w:tcPr>
          <w:p>
            <w:pPr>
              <w:pStyle w:val="TableContents"/>
              <w:bidi w:val="0"/>
              <w:spacing w:before="0" w:after="283"/>
              <w:jc w:val="left"/>
              <w:rPr/>
            </w:pPr>
            <w:r>
              <w:rPr/>
              <w:t>  </w:t>
            </w:r>
          </w:p>
        </w:tc>
        <w:tc>
          <w:tcPr>
            <w:tcW w:w="81" w:type="dxa"/>
            <w:tcBorders/>
          </w:tcPr>
          <w:p>
            <w:pPr>
              <w:pStyle w:val="TableContents"/>
              <w:bidi w:val="0"/>
              <w:spacing w:before="0" w:after="283"/>
              <w:jc w:val="left"/>
              <w:rPr/>
            </w:pPr>
            <w:r>
              <w:rPr/>
              <w:t> </w:t>
            </w:r>
          </w:p>
        </w:tc>
        <w:tc>
          <w:tcPr>
            <w:tcW w:w="766" w:type="dxa"/>
            <w:tcBorders/>
          </w:tcPr>
          <w:p>
            <w:pPr>
              <w:pStyle w:val="TableContents"/>
              <w:bidi w:val="0"/>
              <w:spacing w:before="0" w:after="283"/>
              <w:jc w:val="right"/>
              <w:rPr>
                <w:b/>
              </w:rPr>
            </w:pPr>
            <w:r>
              <w:rPr>
                <w:b/>
              </w:rPr>
              <w:t>31</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35</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39</w:t>
            </w:r>
          </w:p>
        </w:tc>
        <w:tc>
          <w:tcPr>
            <w:tcW w:w="159" w:type="dxa"/>
            <w:tcBorders/>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liability</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(67</w:t>
            </w:r>
          </w:p>
        </w:tc>
        <w:tc>
          <w:tcPr>
            <w:tcW w:w="155" w:type="dxa"/>
            <w:tcBorders/>
            <w:shd w:fill="CCEEFF" w:val="clear"/>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(50</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(27</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deferred tax liability</w:t>
            </w:r>
          </w:p>
        </w:tc>
        <w:tc>
          <w:tcPr>
            <w:tcW w:w="331" w:type="dxa"/>
            <w:tcBorders/>
            <w:vAlign w:val="bottom"/>
          </w:tcPr>
          <w:p>
            <w:pPr>
              <w:pStyle w:val="TableContents"/>
              <w:bidi w:val="0"/>
              <w:spacing w:before="0" w:after="283"/>
              <w:jc w:val="left"/>
              <w:rPr/>
            </w:pPr>
            <w:r>
              <w:rPr/>
              <w:t>  </w:t>
            </w:r>
          </w:p>
        </w:tc>
        <w:tc>
          <w:tcPr>
            <w:tcW w:w="81" w:type="dxa"/>
            <w:tcBorders/>
          </w:tcPr>
          <w:p>
            <w:pPr>
              <w:pStyle w:val="TableContents"/>
              <w:bidi w:val="0"/>
              <w:spacing w:before="0" w:after="283"/>
              <w:jc w:val="left"/>
              <w:rPr/>
            </w:pPr>
            <w:r>
              <w:rPr/>
              <w:t> </w:t>
            </w:r>
          </w:p>
        </w:tc>
        <w:tc>
          <w:tcPr>
            <w:tcW w:w="766" w:type="dxa"/>
            <w:tcBorders/>
          </w:tcPr>
          <w:p>
            <w:pPr>
              <w:pStyle w:val="TableContents"/>
              <w:bidi w:val="0"/>
              <w:spacing w:before="0" w:after="283"/>
              <w:jc w:val="right"/>
              <w:rPr>
                <w:b/>
              </w:rPr>
            </w:pPr>
            <w:r>
              <w:rPr>
                <w:b/>
              </w:rPr>
              <w:t>(36</w:t>
            </w:r>
          </w:p>
        </w:tc>
        <w:tc>
          <w:tcPr>
            <w:tcW w:w="155" w:type="dxa"/>
            <w:tcBorders/>
          </w:tcPr>
          <w:p>
            <w:pPr>
              <w:pStyle w:val="TableContents"/>
              <w:bidi w:val="0"/>
              <w:spacing w:before="0" w:after="283"/>
              <w:jc w:val="left"/>
              <w:rPr>
                <w:b/>
              </w:rPr>
            </w:pPr>
            <w:r>
              <w:rPr>
                <w:b/>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(15</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12</w:t>
            </w:r>
          </w:p>
        </w:tc>
        <w:tc>
          <w:tcPr>
            <w:tcW w:w="159" w:type="dxa"/>
            <w:tcBorders/>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(liability) asset at start of year</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(15</w:t>
            </w:r>
          </w:p>
        </w:tc>
        <w:tc>
          <w:tcPr>
            <w:tcW w:w="155" w:type="dxa"/>
            <w:tcBorders/>
            <w:shd w:fill="CCEEFF" w:val="clear"/>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12</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67</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charge in profit and loss account</w:t>
            </w:r>
          </w:p>
        </w:tc>
        <w:tc>
          <w:tcPr>
            <w:tcW w:w="331" w:type="dxa"/>
            <w:tcBorders/>
            <w:vAlign w:val="bottom"/>
          </w:tcPr>
          <w:p>
            <w:pPr>
              <w:pStyle w:val="TableContents"/>
              <w:bidi w:val="0"/>
              <w:spacing w:before="0" w:after="283"/>
              <w:jc w:val="left"/>
              <w:rPr/>
            </w:pPr>
            <w:r>
              <w:rPr/>
              <w:t>  </w:t>
            </w:r>
          </w:p>
        </w:tc>
        <w:tc>
          <w:tcPr>
            <w:tcW w:w="81" w:type="dxa"/>
            <w:tcBorders/>
          </w:tcPr>
          <w:p>
            <w:pPr>
              <w:pStyle w:val="TableContents"/>
              <w:bidi w:val="0"/>
              <w:spacing w:before="0" w:after="283"/>
              <w:jc w:val="left"/>
              <w:rPr/>
            </w:pPr>
            <w:r>
              <w:rPr/>
              <w:t> </w:t>
            </w:r>
          </w:p>
        </w:tc>
        <w:tc>
          <w:tcPr>
            <w:tcW w:w="766" w:type="dxa"/>
            <w:tcBorders/>
          </w:tcPr>
          <w:p>
            <w:pPr>
              <w:pStyle w:val="TableContents"/>
              <w:bidi w:val="0"/>
              <w:spacing w:before="0" w:after="283"/>
              <w:jc w:val="right"/>
              <w:rPr>
                <w:b/>
              </w:rPr>
            </w:pPr>
            <w:r>
              <w:rPr>
                <w:b/>
              </w:rPr>
              <w:t>(21</w:t>
            </w:r>
          </w:p>
        </w:tc>
        <w:tc>
          <w:tcPr>
            <w:tcW w:w="155" w:type="dxa"/>
            <w:tcBorders/>
          </w:tcPr>
          <w:p>
            <w:pPr>
              <w:pStyle w:val="TableContents"/>
              <w:bidi w:val="0"/>
              <w:spacing w:before="0" w:after="283"/>
              <w:jc w:val="left"/>
              <w:rPr>
                <w:b/>
              </w:rPr>
            </w:pPr>
            <w:r>
              <w:rPr>
                <w:b/>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(27</w:t>
            </w:r>
          </w:p>
        </w:tc>
        <w:tc>
          <w:tcPr>
            <w:tcW w:w="155" w:type="dxa"/>
            <w:tcBorders/>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tcPr>
          <w:p>
            <w:pPr>
              <w:pStyle w:val="TableContents"/>
              <w:bidi w:val="0"/>
              <w:spacing w:before="0" w:after="283"/>
              <w:jc w:val="left"/>
              <w:rPr/>
            </w:pPr>
            <w:r>
              <w:rPr/>
              <w:t> </w:t>
            </w:r>
          </w:p>
        </w:tc>
        <w:tc>
          <w:tcPr>
            <w:tcW w:w="928" w:type="dxa"/>
            <w:tcBorders/>
          </w:tcPr>
          <w:p>
            <w:pPr>
              <w:pStyle w:val="TableContents"/>
              <w:bidi w:val="0"/>
              <w:spacing w:before="0" w:after="283"/>
              <w:jc w:val="right"/>
              <w:rPr/>
            </w:pPr>
            <w:r>
              <w:rPr/>
              <w:t>(55</w:t>
            </w:r>
          </w:p>
        </w:tc>
        <w:tc>
          <w:tcPr>
            <w:tcW w:w="159" w:type="dxa"/>
            <w:tcBorders/>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928"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426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tax liability at end of year</w:t>
            </w:r>
          </w:p>
        </w:tc>
        <w:tc>
          <w:tcPr>
            <w:tcW w:w="331" w:type="dxa"/>
            <w:tcBorders/>
            <w:shd w:fill="CCEEFF" w:val="clear"/>
            <w:vAlign w:val="bottom"/>
          </w:tcPr>
          <w:p>
            <w:pPr>
              <w:pStyle w:val="TableContents"/>
              <w:bidi w:val="0"/>
              <w:spacing w:before="0" w:after="283"/>
              <w:jc w:val="left"/>
              <w:rPr/>
            </w:pPr>
            <w:r>
              <w:rPr/>
              <w:t>  </w:t>
            </w:r>
          </w:p>
        </w:tc>
        <w:tc>
          <w:tcPr>
            <w:tcW w:w="81" w:type="dxa"/>
            <w:tcBorders/>
            <w:shd w:fill="CCEEFF" w:val="clear"/>
          </w:tcPr>
          <w:p>
            <w:pPr>
              <w:pStyle w:val="TableContents"/>
              <w:bidi w:val="0"/>
              <w:spacing w:before="0" w:after="283"/>
              <w:jc w:val="left"/>
              <w:rPr/>
            </w:pPr>
            <w:r>
              <w:rPr/>
              <w:t> </w:t>
            </w:r>
          </w:p>
        </w:tc>
        <w:tc>
          <w:tcPr>
            <w:tcW w:w="766" w:type="dxa"/>
            <w:tcBorders/>
            <w:shd w:fill="CCEEFF" w:val="clear"/>
          </w:tcPr>
          <w:p>
            <w:pPr>
              <w:pStyle w:val="TableContents"/>
              <w:bidi w:val="0"/>
              <w:spacing w:before="0" w:after="283"/>
              <w:jc w:val="right"/>
              <w:rPr>
                <w:b/>
              </w:rPr>
            </w:pPr>
            <w:r>
              <w:rPr>
                <w:b/>
              </w:rPr>
              <w:t>(36</w:t>
            </w:r>
          </w:p>
        </w:tc>
        <w:tc>
          <w:tcPr>
            <w:tcW w:w="155" w:type="dxa"/>
            <w:tcBorders/>
            <w:shd w:fill="CCEEFF" w:val="clear"/>
          </w:tcPr>
          <w:p>
            <w:pPr>
              <w:pStyle w:val="TableContents"/>
              <w:bidi w:val="0"/>
              <w:spacing w:before="0" w:after="283"/>
              <w:jc w:val="left"/>
              <w:rPr>
                <w:b/>
              </w:rPr>
            </w:pPr>
            <w:r>
              <w:rPr>
                <w:b/>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(15</w:t>
            </w:r>
          </w:p>
        </w:tc>
        <w:tc>
          <w:tcPr>
            <w:tcW w:w="155" w:type="dxa"/>
            <w:tcBorders/>
            <w:shd w:fill="CCEEFF" w:val="clear"/>
          </w:tcPr>
          <w:p>
            <w:pPr>
              <w:pStyle w:val="TableContents"/>
              <w:bidi w:val="0"/>
              <w:spacing w:before="0" w:after="283"/>
              <w:jc w:val="left"/>
              <w:rPr/>
            </w:pPr>
            <w:r>
              <w:rPr/>
              <w:t>) </w:t>
            </w:r>
          </w:p>
        </w:tc>
        <w:tc>
          <w:tcPr>
            <w:tcW w:w="286" w:type="dxa"/>
            <w:tcBorders/>
            <w:shd w:fill="CCEEFF" w:val="clear"/>
            <w:vAlign w:val="bottom"/>
          </w:tcPr>
          <w:p>
            <w:pPr>
              <w:pStyle w:val="TableContents"/>
              <w:bidi w:val="0"/>
              <w:spacing w:before="0" w:after="283"/>
              <w:jc w:val="left"/>
              <w:rPr/>
            </w:pPr>
            <w:r>
              <w:rPr/>
              <w:t>  </w:t>
            </w:r>
          </w:p>
        </w:tc>
        <w:tc>
          <w:tcPr>
            <w:tcW w:w="115" w:type="dxa"/>
            <w:tcBorders/>
            <w:shd w:fill="CCEEFF" w:val="clear"/>
          </w:tcPr>
          <w:p>
            <w:pPr>
              <w:pStyle w:val="TableContents"/>
              <w:bidi w:val="0"/>
              <w:spacing w:before="0" w:after="283"/>
              <w:jc w:val="left"/>
              <w:rPr/>
            </w:pPr>
            <w:r>
              <w:rPr/>
              <w:t> </w:t>
            </w:r>
          </w:p>
        </w:tc>
        <w:tc>
          <w:tcPr>
            <w:tcW w:w="928" w:type="dxa"/>
            <w:tcBorders/>
            <w:shd w:fill="CCEEFF" w:val="clear"/>
          </w:tcPr>
          <w:p>
            <w:pPr>
              <w:pStyle w:val="TableContents"/>
              <w:bidi w:val="0"/>
              <w:spacing w:before="0" w:after="283"/>
              <w:jc w:val="right"/>
              <w:rPr/>
            </w:pPr>
            <w:r>
              <w:rPr/>
              <w:t>12</w:t>
            </w:r>
          </w:p>
        </w:tc>
        <w:tc>
          <w:tcPr>
            <w:tcW w:w="159" w:type="dxa"/>
            <w:tcBorders/>
            <w:shd w:fill="CCEEFF" w:val="clear"/>
          </w:tcPr>
          <w:p>
            <w:pPr>
              <w:pStyle w:val="TableContents"/>
              <w:bidi w:val="0"/>
              <w:spacing w:before="0" w:after="283"/>
              <w:jc w:val="left"/>
              <w:rPr/>
            </w:pPr>
            <w:r>
              <w:rPr/>
              <w:t> </w:t>
            </w:r>
          </w:p>
        </w:tc>
      </w:tr>
      <w:tr>
        <w:trPr/>
        <w:tc>
          <w:tcPr>
            <w:tcW w:w="4267" w:type="dxa"/>
            <w:tcBorders/>
            <w:vAlign w:val="bottom"/>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6"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928"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accordance with UK Accounting Standards the deferred tax asset has been calculated using the rate of 25% (2024 and 2023: 25%). The Company is not in scope of Pillar Two legislation.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Taxation </w:t>
            </w:r>
            <w:r>
              <w:rPr>
                <w:rFonts w:ascii="Times New Roman" w:hAnsi="Times New Roman"/>
                <w:b/>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b) Analysis of current tax recognised in profit and loss </w:t>
      </w:r>
    </w:p>
    <w:p>
      <w:pPr>
        <w:pStyle w:val="TextBody"/>
        <w:bidi w:val="0"/>
        <w:spacing w:before="120" w:after="0"/>
        <w:jc w:val="left"/>
        <w:rPr>
          <w:rFonts w:ascii="Times New Roman" w:hAnsi="Times New Roman"/>
          <w:sz w:val="20"/>
        </w:rPr>
      </w:pPr>
      <w:r>
        <w:rPr>
          <w:rFonts w:ascii="Times New Roman" w:hAnsi="Times New Roman"/>
          <w:sz w:val="20"/>
        </w:rPr>
        <w:t xml:space="preserve">The Group’s Isle of Man taxable profits are subject to the standard 0% rate of Isle of Man corporate income tax. The taxable profits of the Group’s UK activities are subject to UK corporation tax – the effect of this is explained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407"/>
        <w:gridCol w:w="345"/>
        <w:gridCol w:w="81"/>
        <w:gridCol w:w="767"/>
        <w:gridCol w:w="60"/>
        <w:gridCol w:w="345"/>
        <w:gridCol w:w="137"/>
        <w:gridCol w:w="911"/>
        <w:gridCol w:w="60"/>
        <w:gridCol w:w="345"/>
        <w:gridCol w:w="137"/>
        <w:gridCol w:w="911"/>
        <w:gridCol w:w="66"/>
      </w:tblGrid>
      <w:tr>
        <w:trPr/>
        <w:tc>
          <w:tcPr>
            <w:tcW w:w="4407"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407"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pPr>
            <w:r>
              <w:rPr/>
              <w:t>2024</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pPr>
            <w:r>
              <w:rPr/>
              <w:t>2023</w:t>
            </w:r>
          </w:p>
        </w:tc>
        <w:tc>
          <w:tcPr>
            <w:tcW w:w="66" w:type="dxa"/>
            <w:tcBorders/>
            <w:vAlign w:val="bottom"/>
          </w:tcPr>
          <w:p>
            <w:pPr>
              <w:pStyle w:val="TableContents"/>
              <w:bidi w:val="0"/>
              <w:spacing w:before="0" w:after="283"/>
              <w:jc w:val="left"/>
              <w:rPr/>
            </w:pPr>
            <w:r>
              <w:rPr/>
              <w:t> </w:t>
            </w:r>
          </w:p>
        </w:tc>
      </w:tr>
      <w:tr>
        <w:trPr/>
        <w:tc>
          <w:tcPr>
            <w:tcW w:w="4407"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£’000</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pPr>
            <w:r>
              <w:rPr/>
              <w:t>£’000</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pPr>
            <w:r>
              <w:rPr/>
              <w:t>£’000</w:t>
            </w:r>
          </w:p>
        </w:tc>
        <w:tc>
          <w:tcPr>
            <w:tcW w:w="66" w:type="dxa"/>
            <w:tcBorders/>
            <w:vAlign w:val="bottom"/>
          </w:tcPr>
          <w:p>
            <w:pPr>
              <w:pStyle w:val="TableContents"/>
              <w:bidi w:val="0"/>
              <w:spacing w:before="0" w:after="283"/>
              <w:jc w:val="left"/>
              <w:rPr/>
            </w:pPr>
            <w:r>
              <w:rPr/>
              <w:t> </w:t>
            </w:r>
          </w:p>
        </w:tc>
      </w:tr>
      <w:tr>
        <w:trPr/>
        <w:tc>
          <w:tcPr>
            <w:tcW w:w="4407"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848" w:type="dxa"/>
            <w:gridSpan w:val="2"/>
            <w:tcBorders/>
            <w:vAlign w:val="bottom"/>
          </w:tcPr>
          <w:p>
            <w:pPr>
              <w:pStyle w:val="TableContents"/>
              <w:bidi w:val="0"/>
              <w:spacing w:before="0" w:after="283"/>
              <w:jc w:val="center"/>
              <w:rPr>
                <w:b/>
              </w:rPr>
            </w:pPr>
            <w:r>
              <w:rPr>
                <w:b/>
              </w:rPr>
              <w:t>Audited</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048" w:type="dxa"/>
            <w:gridSpan w:val="2"/>
            <w:tcBorders/>
            <w:vAlign w:val="bottom"/>
          </w:tcPr>
          <w:p>
            <w:pPr>
              <w:pStyle w:val="TableContents"/>
              <w:bidi w:val="0"/>
              <w:spacing w:before="0" w:after="283"/>
              <w:jc w:val="center"/>
              <w:rPr/>
            </w:pPr>
            <w:r>
              <w:rPr/>
              <w:t>Unaudited</w:t>
            </w:r>
          </w:p>
        </w:tc>
        <w:tc>
          <w:tcPr>
            <w:tcW w:w="66" w:type="dxa"/>
            <w:tcBorders/>
            <w:vAlign w:val="bottom"/>
          </w:tcPr>
          <w:p>
            <w:pPr>
              <w:pStyle w:val="TableContents"/>
              <w:bidi w:val="0"/>
              <w:spacing w:before="0" w:after="283"/>
              <w:jc w:val="left"/>
              <w:rPr/>
            </w:pPr>
            <w:r>
              <w:rPr/>
              <w:t> </w:t>
            </w:r>
          </w:p>
        </w:tc>
      </w:tr>
      <w:tr>
        <w:trPr/>
        <w:tc>
          <w:tcPr>
            <w:tcW w:w="44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UK corporation tax at 25% (2024: 25%)</w:t>
            </w:r>
          </w:p>
        </w:tc>
        <w:tc>
          <w:tcPr>
            <w:tcW w:w="34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b/>
              </w:rPr>
            </w:pPr>
            <w:r>
              <w:rPr>
                <w:b/>
              </w:rPr>
              <w:t>1,097</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787</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658</w:t>
            </w:r>
          </w:p>
        </w:tc>
        <w:tc>
          <w:tcPr>
            <w:tcW w:w="66" w:type="dxa"/>
            <w:tcBorders/>
            <w:shd w:fill="CCEEFF" w:val="clear"/>
            <w:vAlign w:val="bottom"/>
          </w:tcPr>
          <w:p>
            <w:pPr>
              <w:pStyle w:val="TableContents"/>
              <w:bidi w:val="0"/>
              <w:spacing w:before="0" w:after="283"/>
              <w:jc w:val="left"/>
              <w:rPr/>
            </w:pPr>
            <w:r>
              <w:rPr/>
              <w:t> </w:t>
            </w:r>
          </w:p>
        </w:tc>
      </w:tr>
      <w:tr>
        <w:trPr/>
        <w:tc>
          <w:tcPr>
            <w:tcW w:w="4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Foreign tax (AKWI) at 25% (2024: 25%)</w:t>
            </w:r>
          </w:p>
        </w:tc>
        <w:tc>
          <w:tcPr>
            <w:tcW w:w="34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64</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48</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64</w:t>
            </w:r>
          </w:p>
        </w:tc>
        <w:tc>
          <w:tcPr>
            <w:tcW w:w="66" w:type="dxa"/>
            <w:tcBorders/>
            <w:vAlign w:val="bottom"/>
          </w:tcPr>
          <w:p>
            <w:pPr>
              <w:pStyle w:val="TableContents"/>
              <w:bidi w:val="0"/>
              <w:spacing w:before="0" w:after="283"/>
              <w:jc w:val="left"/>
              <w:rPr/>
            </w:pPr>
            <w:r>
              <w:rPr/>
              <w:t> </w:t>
            </w:r>
          </w:p>
        </w:tc>
      </w:tr>
      <w:tr>
        <w:trPr/>
        <w:tc>
          <w:tcPr>
            <w:tcW w:w="44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tax (ARC) at 21% (2024: 21%)</w:t>
            </w:r>
          </w:p>
        </w:tc>
        <w:tc>
          <w:tcPr>
            <w:tcW w:w="34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41</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44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Movement in provision for deferred taxation</w:t>
            </w:r>
          </w:p>
        </w:tc>
        <w:tc>
          <w:tcPr>
            <w:tcW w:w="34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b/>
              </w:rPr>
            </w:pPr>
            <w:r>
              <w:rPr>
                <w:b/>
              </w:rPr>
              <w:t>21</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911" w:type="dxa"/>
            <w:tcBorders/>
            <w:vAlign w:val="bottom"/>
          </w:tcPr>
          <w:p>
            <w:pPr>
              <w:pStyle w:val="TableContents"/>
              <w:bidi w:val="0"/>
              <w:spacing w:before="0" w:after="283"/>
              <w:jc w:val="right"/>
              <w:rPr/>
            </w:pPr>
            <w:r>
              <w:rPr/>
              <w:t>55</w:t>
            </w:r>
          </w:p>
        </w:tc>
        <w:tc>
          <w:tcPr>
            <w:tcW w:w="66" w:type="dxa"/>
            <w:tcBorders/>
            <w:vAlign w:val="bottom"/>
          </w:tcPr>
          <w:p>
            <w:pPr>
              <w:pStyle w:val="TableContents"/>
              <w:bidi w:val="0"/>
              <w:spacing w:before="0" w:after="283"/>
              <w:jc w:val="left"/>
              <w:rPr/>
            </w:pPr>
            <w:r>
              <w:rPr/>
              <w:t> </w:t>
            </w:r>
          </w:p>
        </w:tc>
      </w:tr>
      <w:tr>
        <w:trPr/>
        <w:tc>
          <w:tcPr>
            <w:tcW w:w="4407"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911"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4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Total current tax recognised in profit and loss</w:t>
            </w:r>
          </w:p>
        </w:tc>
        <w:tc>
          <w:tcPr>
            <w:tcW w:w="34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b/>
              </w:rPr>
            </w:pPr>
            <w:r>
              <w:rPr>
                <w:b/>
              </w:rPr>
              <w:t>1,182</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903</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911" w:type="dxa"/>
            <w:tcBorders/>
            <w:shd w:fill="CCEEFF" w:val="clear"/>
            <w:vAlign w:val="bottom"/>
          </w:tcPr>
          <w:p>
            <w:pPr>
              <w:pStyle w:val="TableContents"/>
              <w:bidi w:val="0"/>
              <w:spacing w:before="0" w:after="283"/>
              <w:jc w:val="right"/>
              <w:rPr/>
            </w:pPr>
            <w:r>
              <w:rPr/>
              <w:t>777</w:t>
            </w:r>
          </w:p>
        </w:tc>
        <w:tc>
          <w:tcPr>
            <w:tcW w:w="66" w:type="dxa"/>
            <w:tcBorders/>
            <w:shd w:fill="CCEEFF" w:val="clear"/>
            <w:vAlign w:val="bottom"/>
          </w:tcPr>
          <w:p>
            <w:pPr>
              <w:pStyle w:val="TableContents"/>
              <w:bidi w:val="0"/>
              <w:spacing w:before="0" w:after="283"/>
              <w:jc w:val="left"/>
              <w:rPr/>
            </w:pPr>
            <w:r>
              <w:rPr/>
              <w:t> </w:t>
            </w:r>
          </w:p>
        </w:tc>
      </w:tr>
      <w:tr>
        <w:trPr/>
        <w:tc>
          <w:tcPr>
            <w:tcW w:w="4407" w:type="dxa"/>
            <w:tcBorders/>
            <w:vAlign w:val="bottom"/>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double" w:sz="6" w:space="1" w:color="000000"/>
              </w:pBdr>
              <w:bidi w:val="0"/>
              <w:spacing w:before="0" w:after="0"/>
              <w:jc w:val="left"/>
              <w:rPr/>
            </w:pPr>
            <w:r>
              <w:rPr/>
              <w:t> </w:t>
            </w:r>
          </w:p>
        </w:tc>
        <w:tc>
          <w:tcPr>
            <w:tcW w:w="911"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i/>
          <w:sz w:val="20"/>
        </w:rPr>
      </w:pPr>
      <w:r>
        <w:rPr>
          <w:rFonts w:ascii="Times New Roman" w:hAnsi="Times New Roman"/>
          <w:i/>
          <w:sz w:val="20"/>
        </w:rPr>
        <w:t xml:space="preserve">c) Reconciliation of effective tax rate </w:t>
      </w:r>
    </w:p>
    <w:p>
      <w:pPr>
        <w:pStyle w:val="TextBody"/>
        <w:bidi w:val="0"/>
        <w:spacing w:before="120" w:after="0"/>
        <w:jc w:val="left"/>
        <w:rPr>
          <w:rFonts w:ascii="Times New Roman" w:hAnsi="Times New Roman"/>
          <w:sz w:val="20"/>
        </w:rPr>
      </w:pPr>
      <w:r>
        <w:rPr>
          <w:rFonts w:ascii="Times New Roman" w:hAnsi="Times New Roman"/>
          <w:sz w:val="20"/>
        </w:rPr>
        <w:t xml:space="preserve">The Group’s Isle of Man taxable profits are subject to the standard 0% rate of Isle of Man corporate income tax. The taxable profits of the group’s UK activities are subject to UK corporation tax – the effect of this is explained below: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612"/>
        <w:gridCol w:w="245"/>
        <w:gridCol w:w="81"/>
        <w:gridCol w:w="799"/>
        <w:gridCol w:w="60"/>
        <w:gridCol w:w="245"/>
        <w:gridCol w:w="87"/>
        <w:gridCol w:w="923"/>
        <w:gridCol w:w="155"/>
        <w:gridCol w:w="195"/>
        <w:gridCol w:w="87"/>
        <w:gridCol w:w="923"/>
        <w:gridCol w:w="160"/>
      </w:tblGrid>
      <w:tr>
        <w:trPr/>
        <w:tc>
          <w:tcPr>
            <w:tcW w:w="4612"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pPr>
            <w:r>
              <w:rPr/>
              <w:t>2024</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pPr>
            <w:r>
              <w:rPr/>
              <w:t>2023</w:t>
            </w:r>
          </w:p>
        </w:tc>
        <w:tc>
          <w:tcPr>
            <w:tcW w:w="160" w:type="dxa"/>
            <w:tcBorders/>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£’000</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pPr>
            <w:r>
              <w:rPr/>
              <w:t>£’000</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pPr>
            <w:r>
              <w:rPr/>
              <w:t>£’000</w:t>
            </w:r>
          </w:p>
        </w:tc>
        <w:tc>
          <w:tcPr>
            <w:tcW w:w="160" w:type="dxa"/>
            <w:tcBorders/>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Audited</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pPr>
            <w:r>
              <w:rPr/>
              <w:t>Unaudited</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pPr>
            <w:r>
              <w:rPr/>
              <w:t>Unaudited</w:t>
            </w:r>
          </w:p>
        </w:tc>
        <w:tc>
          <w:tcPr>
            <w:tcW w:w="160" w:type="dxa"/>
            <w:tcBorders/>
            <w:vAlign w:val="bottom"/>
          </w:tcPr>
          <w:p>
            <w:pPr>
              <w:pStyle w:val="TableContents"/>
              <w:bidi w:val="0"/>
              <w:spacing w:before="0" w:after="283"/>
              <w:jc w:val="left"/>
              <w:rPr/>
            </w:pPr>
            <w:r>
              <w:rPr/>
              <w:t> </w:t>
            </w:r>
          </w:p>
        </w:tc>
      </w:tr>
      <w:tr>
        <w:trPr/>
        <w:tc>
          <w:tcPr>
            <w:tcW w:w="46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Profit/ (loss) on ordinary activities before tax</w:t>
            </w:r>
          </w:p>
        </w:tc>
        <w:tc>
          <w:tcPr>
            <w:tcW w:w="24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1,553</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(2,632</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(1,339</w:t>
            </w:r>
          </w:p>
        </w:tc>
        <w:tc>
          <w:tcPr>
            <w:tcW w:w="160" w:type="dxa"/>
            <w:tcBorders/>
            <w:shd w:fill="CCEEFF" w:val="clear"/>
            <w:vAlign w:val="bottom"/>
          </w:tcPr>
          <w:p>
            <w:pPr>
              <w:pStyle w:val="TableContents"/>
              <w:bidi w:val="0"/>
              <w:spacing w:before="0" w:after="283"/>
              <w:jc w:val="left"/>
              <w:rPr/>
            </w:pPr>
            <w:r>
              <w:rPr/>
              <w:t>) </w:t>
            </w:r>
          </w:p>
        </w:tc>
      </w:tr>
      <w:tr>
        <w:trPr/>
        <w:tc>
          <w:tcPr>
            <w:tcW w:w="4612" w:type="dxa"/>
            <w:tcBorders/>
          </w:tcPr>
          <w:p>
            <w:pPr>
              <w:pStyle w:val="TableContents"/>
              <w:bidi w:val="0"/>
              <w:spacing w:before="0" w:after="0"/>
              <w:jc w:val="left"/>
              <w:rPr>
                <w:rFonts w:ascii="Times New Roman" w:hAnsi="Times New Roman"/>
                <w:sz w:val="20"/>
              </w:rPr>
            </w:pPr>
            <w:r>
              <w:rPr>
                <w:rFonts w:ascii="Times New Roman" w:hAnsi="Times New Roman"/>
                <w:sz w:val="20"/>
              </w:rPr>
              <w:t>Tax using the Company’s domestic tax rate at 0%</w:t>
            </w:r>
          </w:p>
        </w:tc>
        <w:tc>
          <w:tcPr>
            <w:tcW w:w="24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r>
      <w:tr>
        <w:trPr/>
        <w:tc>
          <w:tcPr>
            <w:tcW w:w="461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Effect of tax rates in foreign jurisdictions</w:t>
            </w:r>
          </w:p>
        </w:tc>
        <w:tc>
          <w:tcPr>
            <w:tcW w:w="245"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99" w:type="dxa"/>
            <w:tcBorders/>
            <w:shd w:fill="CCEEFF" w:val="clear"/>
            <w:vAlign w:val="bottom"/>
          </w:tcPr>
          <w:p>
            <w:pPr>
              <w:pStyle w:val="TableContents"/>
              <w:bidi w:val="0"/>
              <w:spacing w:before="0" w:after="283"/>
              <w:jc w:val="right"/>
              <w:rPr>
                <w:b/>
              </w:rPr>
            </w:pPr>
            <w:r>
              <w:rPr>
                <w:b/>
              </w:rPr>
              <w:t>1,182</w:t>
            </w:r>
          </w:p>
        </w:tc>
        <w:tc>
          <w:tcPr>
            <w:tcW w:w="60" w:type="dxa"/>
            <w:tcBorders/>
            <w:shd w:fill="CCEEFF" w:val="clear"/>
            <w:vAlign w:val="bottom"/>
          </w:tcPr>
          <w:p>
            <w:pPr>
              <w:pStyle w:val="TableContents"/>
              <w:bidi w:val="0"/>
              <w:spacing w:before="0" w:after="283"/>
              <w:jc w:val="left"/>
              <w:rPr/>
            </w:pPr>
            <w:r>
              <w:rPr/>
              <w:t> </w:t>
            </w:r>
          </w:p>
        </w:tc>
        <w:tc>
          <w:tcPr>
            <w:tcW w:w="24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903</w:t>
            </w:r>
          </w:p>
        </w:tc>
        <w:tc>
          <w:tcPr>
            <w:tcW w:w="155" w:type="dxa"/>
            <w:tcBorders/>
            <w:shd w:fill="CCEEFF" w:val="clear"/>
            <w:vAlign w:val="bottom"/>
          </w:tcPr>
          <w:p>
            <w:pPr>
              <w:pStyle w:val="TableContents"/>
              <w:bidi w:val="0"/>
              <w:spacing w:before="0" w:after="283"/>
              <w:jc w:val="left"/>
              <w:rPr/>
            </w:pPr>
            <w:r>
              <w:rPr/>
              <w:t> </w:t>
            </w:r>
          </w:p>
        </w:tc>
        <w:tc>
          <w:tcPr>
            <w:tcW w:w="195" w:type="dxa"/>
            <w:tcBorders/>
            <w:shd w:fill="CCEEFF" w:val="clear"/>
            <w:vAlign w:val="bottom"/>
          </w:tcPr>
          <w:p>
            <w:pPr>
              <w:pStyle w:val="TableContents"/>
              <w:bidi w:val="0"/>
              <w:spacing w:before="0" w:after="283"/>
              <w:jc w:val="left"/>
              <w:rPr/>
            </w:pPr>
            <w:r>
              <w:rPr/>
              <w:t>  </w:t>
            </w:r>
          </w:p>
        </w:tc>
        <w:tc>
          <w:tcPr>
            <w:tcW w:w="87" w:type="dxa"/>
            <w:tcBorders/>
            <w:shd w:fill="CCEEFF" w:val="clear"/>
            <w:vAlign w:val="bottom"/>
          </w:tcPr>
          <w:p>
            <w:pPr>
              <w:pStyle w:val="TableContents"/>
              <w:bidi w:val="0"/>
              <w:spacing w:before="0" w:after="283"/>
              <w:jc w:val="left"/>
              <w:rPr/>
            </w:pPr>
            <w:r>
              <w:rPr/>
              <w:t> </w:t>
            </w:r>
          </w:p>
        </w:tc>
        <w:tc>
          <w:tcPr>
            <w:tcW w:w="923" w:type="dxa"/>
            <w:tcBorders/>
            <w:shd w:fill="CCEEFF" w:val="clear"/>
            <w:vAlign w:val="bottom"/>
          </w:tcPr>
          <w:p>
            <w:pPr>
              <w:pStyle w:val="TableContents"/>
              <w:bidi w:val="0"/>
              <w:spacing w:before="0" w:after="283"/>
              <w:jc w:val="right"/>
              <w:rPr/>
            </w:pPr>
            <w:r>
              <w:rPr/>
              <w:t>777</w:t>
            </w:r>
          </w:p>
        </w:tc>
        <w:tc>
          <w:tcPr>
            <w:tcW w:w="160" w:type="dxa"/>
            <w:tcBorders/>
            <w:shd w:fill="CCEEFF" w:val="clear"/>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9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single" w:sz="2" w:space="1" w:color="000000"/>
              </w:pBdr>
              <w:bidi w:val="0"/>
              <w:spacing w:before="0" w:after="0"/>
              <w:jc w:val="left"/>
              <w:rPr/>
            </w:pPr>
            <w:r>
              <w:rPr/>
              <w:t> </w:t>
            </w:r>
          </w:p>
        </w:tc>
        <w:tc>
          <w:tcPr>
            <w:tcW w:w="92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61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tax charge for the year</w:t>
            </w:r>
          </w:p>
        </w:tc>
        <w:tc>
          <w:tcPr>
            <w:tcW w:w="245"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99" w:type="dxa"/>
            <w:tcBorders/>
            <w:vAlign w:val="bottom"/>
          </w:tcPr>
          <w:p>
            <w:pPr>
              <w:pStyle w:val="TableContents"/>
              <w:bidi w:val="0"/>
              <w:spacing w:before="0" w:after="283"/>
              <w:jc w:val="right"/>
              <w:rPr>
                <w:b/>
              </w:rPr>
            </w:pPr>
            <w:r>
              <w:rPr>
                <w:b/>
              </w:rPr>
              <w:t>1,182</w:t>
            </w:r>
          </w:p>
        </w:tc>
        <w:tc>
          <w:tcPr>
            <w:tcW w:w="60" w:type="dxa"/>
            <w:tcBorders/>
            <w:vAlign w:val="bottom"/>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903</w:t>
            </w:r>
          </w:p>
        </w:tc>
        <w:tc>
          <w:tcPr>
            <w:tcW w:w="155" w:type="dxa"/>
            <w:tcBorders/>
            <w:vAlign w:val="bottom"/>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7"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777</w:t>
            </w:r>
          </w:p>
        </w:tc>
        <w:tc>
          <w:tcPr>
            <w:tcW w:w="160" w:type="dxa"/>
            <w:tcBorders/>
            <w:vAlign w:val="bottom"/>
          </w:tcPr>
          <w:p>
            <w:pPr>
              <w:pStyle w:val="TableContents"/>
              <w:bidi w:val="0"/>
              <w:spacing w:before="0" w:after="283"/>
              <w:jc w:val="left"/>
              <w:rPr/>
            </w:pPr>
            <w:r>
              <w:rPr/>
              <w:t> </w:t>
            </w:r>
          </w:p>
        </w:tc>
      </w:tr>
      <w:tr>
        <w:trPr/>
        <w:tc>
          <w:tcPr>
            <w:tcW w:w="4612" w:type="dxa"/>
            <w:tcBorders/>
            <w:vAlign w:val="bottom"/>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79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5" w:type="dxa"/>
            <w:tcBorders/>
            <w:vAlign w:val="bottom"/>
          </w:tcPr>
          <w:p>
            <w:pPr>
              <w:pStyle w:val="TableContents"/>
              <w:bidi w:val="0"/>
              <w:spacing w:before="0" w:after="283"/>
              <w:jc w:val="left"/>
              <w:rPr/>
            </w:pPr>
            <w:r>
              <w:rPr/>
              <w:t>  </w:t>
            </w:r>
          </w:p>
        </w:tc>
        <w:tc>
          <w:tcPr>
            <w:tcW w:w="87" w:type="dxa"/>
            <w:tcBorders/>
            <w:vAlign w:val="bottom"/>
          </w:tcPr>
          <w:p>
            <w:pPr>
              <w:pStyle w:val="TableContents"/>
              <w:pBdr>
                <w:top w:val="double" w:sz="6" w:space="1" w:color="000000"/>
              </w:pBdr>
              <w:bidi w:val="0"/>
              <w:spacing w:before="0" w:after="0"/>
              <w:jc w:val="left"/>
              <w:rPr/>
            </w:pPr>
            <w:r>
              <w:rPr/>
              <w:t> </w:t>
            </w:r>
          </w:p>
        </w:tc>
        <w:tc>
          <w:tcPr>
            <w:tcW w:w="92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Intangible assets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659"/>
        <w:gridCol w:w="315"/>
        <w:gridCol w:w="103"/>
        <w:gridCol w:w="971"/>
        <w:gridCol w:w="60"/>
        <w:gridCol w:w="315"/>
        <w:gridCol w:w="84"/>
        <w:gridCol w:w="817"/>
        <w:gridCol w:w="60"/>
        <w:gridCol w:w="315"/>
        <w:gridCol w:w="135"/>
        <w:gridCol w:w="1328"/>
        <w:gridCol w:w="155"/>
        <w:gridCol w:w="273"/>
        <w:gridCol w:w="60"/>
        <w:gridCol w:w="573"/>
        <w:gridCol w:w="165"/>
      </w:tblGrid>
      <w:tr>
        <w:trPr/>
        <w:tc>
          <w:tcPr>
            <w:tcW w:w="3659"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59"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074" w:type="dxa"/>
            <w:gridSpan w:val="2"/>
            <w:tcBorders/>
            <w:vAlign w:val="bottom"/>
          </w:tcPr>
          <w:p>
            <w:pPr>
              <w:pStyle w:val="TableContents"/>
              <w:bidi w:val="0"/>
              <w:spacing w:before="0" w:after="283"/>
              <w:jc w:val="center"/>
              <w:rPr>
                <w:b/>
              </w:rPr>
            </w:pPr>
            <w:r>
              <w:rPr>
                <w:b/>
              </w:rPr>
              <w:t>Computer</w:t>
              <w:br/>
              <w:t>software</w:t>
              <w:br/>
              <w:t>£’000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Patents and</w:t>
              <w:br/>
              <w:t>similar</w:t>
              <w:br/>
              <w:t>assets</w:t>
            </w:r>
          </w:p>
          <w:p>
            <w:pPr>
              <w:pStyle w:val="TableContents"/>
              <w:bidi w:val="0"/>
              <w:spacing w:before="0" w:after="20"/>
              <w:jc w:val="center"/>
              <w:rPr>
                <w:rFonts w:ascii="Times New Roman" w:hAnsi="Times New Roman"/>
                <w:b/>
                <w:sz w:val="16"/>
              </w:rPr>
            </w:pPr>
            <w:r>
              <w:rPr>
                <w:rFonts w:ascii="Times New Roman" w:hAnsi="Times New Roman"/>
                <w:b/>
                <w:sz w:val="16"/>
              </w:rPr>
              <w:t>£’000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463" w:type="dxa"/>
            <w:gridSpan w:val="2"/>
            <w:tcBorders/>
            <w:vAlign w:val="bottom"/>
          </w:tcPr>
          <w:p>
            <w:pPr>
              <w:pStyle w:val="TableContents"/>
              <w:bidi w:val="0"/>
              <w:spacing w:before="0" w:after="283"/>
              <w:jc w:val="center"/>
              <w:rPr>
                <w:b/>
              </w:rPr>
            </w:pPr>
            <w:r>
              <w:rPr>
                <w:b/>
              </w:rPr>
              <w:t>Research and</w:t>
              <w:br/>
              <w:t>Development</w:t>
              <w:br/>
              <w:t>£’000</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33" w:type="dxa"/>
            <w:gridSpan w:val="2"/>
            <w:tcBorders/>
            <w:vAlign w:val="bottom"/>
          </w:tcPr>
          <w:p>
            <w:pPr>
              <w:pStyle w:val="TableContents"/>
              <w:bidi w:val="0"/>
              <w:spacing w:before="0" w:after="283"/>
              <w:jc w:val="center"/>
              <w:rPr>
                <w:b/>
              </w:rPr>
            </w:pPr>
            <w:r>
              <w:rPr>
                <w:b/>
              </w:rPr>
              <w:t>Total</w:t>
              <w:br/>
              <w:t>£’000</w:t>
            </w:r>
          </w:p>
        </w:tc>
        <w:tc>
          <w:tcPr>
            <w:tcW w:w="165" w:type="dxa"/>
            <w:tcBorders/>
            <w:vAlign w:val="bottom"/>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13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2025</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2,300</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2,765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1,135</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6,200</w:t>
            </w:r>
          </w:p>
        </w:tc>
        <w:tc>
          <w:tcPr>
            <w:tcW w:w="165" w:type="dxa"/>
            <w:tcBorders/>
            <w:vAlign w:val="bottom"/>
          </w:tcPr>
          <w:p>
            <w:pPr>
              <w:pStyle w:val="TableContents"/>
              <w:bidi w:val="0"/>
              <w:spacing w:before="0" w:after="283"/>
              <w:jc w:val="left"/>
              <w:rPr/>
            </w:pPr>
            <w:r>
              <w:rPr/>
              <w:t> </w:t>
            </w:r>
          </w:p>
        </w:tc>
      </w:tr>
      <w:tr>
        <w:trPr/>
        <w:tc>
          <w:tcPr>
            <w:tcW w:w="36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w:t>
            </w:r>
          </w:p>
        </w:tc>
        <w:tc>
          <w:tcPr>
            <w:tcW w:w="165" w:type="dxa"/>
            <w:tcBorders/>
            <w:shd w:fill="CCEEFF" w:val="clear"/>
            <w:vAlign w:val="bottom"/>
          </w:tcPr>
          <w:p>
            <w:pPr>
              <w:pStyle w:val="TableContents"/>
              <w:bidi w:val="0"/>
              <w:spacing w:before="0" w:after="283"/>
              <w:jc w:val="left"/>
              <w:rPr/>
            </w:pPr>
            <w:r>
              <w:rPr/>
              <w:t> </w:t>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185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327</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566</w:t>
            </w:r>
          </w:p>
        </w:tc>
        <w:tc>
          <w:tcPr>
            <w:tcW w:w="165" w:type="dxa"/>
            <w:tcBorders/>
            <w:vAlign w:val="bottom"/>
          </w:tcPr>
          <w:p>
            <w:pPr>
              <w:pStyle w:val="TableContents"/>
              <w:bidi w:val="0"/>
              <w:spacing w:before="0" w:after="283"/>
              <w:jc w:val="left"/>
              <w:rPr/>
            </w:pPr>
            <w:r>
              <w:rPr/>
              <w:t> </w:t>
            </w:r>
          </w:p>
        </w:tc>
      </w:tr>
      <w:tr>
        <w:trPr/>
        <w:tc>
          <w:tcPr>
            <w:tcW w:w="36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(40</w:t>
            </w:r>
          </w:p>
        </w:tc>
        <w:tc>
          <w:tcPr>
            <w:tcW w:w="165"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6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2,486</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2,819</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1,422</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6,727</w:t>
            </w:r>
          </w:p>
        </w:tc>
        <w:tc>
          <w:tcPr>
            <w:tcW w:w="165"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Amortisation</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13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2025</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2,254</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2,658</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624</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5,536</w:t>
            </w:r>
          </w:p>
        </w:tc>
        <w:tc>
          <w:tcPr>
            <w:tcW w:w="165" w:type="dxa"/>
            <w:tcBorders/>
            <w:vAlign w:val="bottom"/>
          </w:tcPr>
          <w:p>
            <w:pPr>
              <w:pStyle w:val="TableContents"/>
              <w:bidi w:val="0"/>
              <w:spacing w:before="0" w:after="283"/>
              <w:jc w:val="left"/>
              <w:rPr/>
            </w:pPr>
            <w:r>
              <w:rPr/>
              <w:t> </w:t>
            </w:r>
          </w:p>
        </w:tc>
      </w:tr>
      <w:tr>
        <w:trPr/>
        <w:tc>
          <w:tcPr>
            <w:tcW w:w="36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w:t>
            </w:r>
          </w:p>
        </w:tc>
        <w:tc>
          <w:tcPr>
            <w:tcW w:w="165"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Charge for the year</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38</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pPr>
            <w:r>
              <w:rPr/>
              <w:t>55</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pPr>
            <w:r>
              <w:rPr/>
              <w:t>190</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283</w:t>
            </w:r>
          </w:p>
        </w:tc>
        <w:tc>
          <w:tcPr>
            <w:tcW w:w="165" w:type="dxa"/>
            <w:tcBorders/>
            <w:vAlign w:val="bottom"/>
          </w:tcPr>
          <w:p>
            <w:pPr>
              <w:pStyle w:val="TableContents"/>
              <w:bidi w:val="0"/>
              <w:spacing w:before="0" w:after="283"/>
              <w:jc w:val="left"/>
              <w:rPr/>
            </w:pPr>
            <w:r>
              <w:rPr/>
              <w:t> </w:t>
            </w:r>
          </w:p>
        </w:tc>
      </w:tr>
      <w:tr>
        <w:trPr/>
        <w:tc>
          <w:tcPr>
            <w:tcW w:w="365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(40</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(40</w:t>
            </w:r>
          </w:p>
        </w:tc>
        <w:tc>
          <w:tcPr>
            <w:tcW w:w="165"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single" w:sz="2" w:space="1" w:color="000000"/>
              </w:pBdr>
              <w:bidi w:val="0"/>
              <w:spacing w:before="0" w:after="0"/>
              <w:jc w:val="left"/>
              <w:rPr/>
            </w:pPr>
            <w:r>
              <w:rPr/>
              <w:t> </w:t>
            </w:r>
          </w:p>
        </w:tc>
        <w:tc>
          <w:tcPr>
            <w:tcW w:w="81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single" w:sz="2" w:space="1" w:color="000000"/>
              </w:pBdr>
              <w:bidi w:val="0"/>
              <w:spacing w:before="0" w:after="0"/>
              <w:jc w:val="left"/>
              <w:rPr/>
            </w:pPr>
            <w:r>
              <w:rPr/>
              <w:t> </w:t>
            </w:r>
          </w:p>
        </w:tc>
        <w:tc>
          <w:tcPr>
            <w:tcW w:w="132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6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2,293</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2,713</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774</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5,780</w:t>
            </w:r>
          </w:p>
        </w:tc>
        <w:tc>
          <w:tcPr>
            <w:tcW w:w="165"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book value</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sz w:val="4"/>
                <w:szCs w:val="4"/>
              </w:rPr>
            </w:pPr>
            <w:r>
              <w:rPr>
                <w:sz w:val="4"/>
                <w:szCs w:val="4"/>
              </w:rPr>
            </w:r>
          </w:p>
        </w:tc>
        <w:tc>
          <w:tcPr>
            <w:tcW w:w="81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sz w:val="4"/>
                <w:szCs w:val="4"/>
              </w:rPr>
            </w:pPr>
            <w:r>
              <w:rPr>
                <w:sz w:val="4"/>
                <w:szCs w:val="4"/>
              </w:rPr>
            </w:r>
          </w:p>
        </w:tc>
        <w:tc>
          <w:tcPr>
            <w:tcW w:w="132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3"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365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At 31 December 2025 (Audited)</w:t>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b/>
              </w:rPr>
            </w:pPr>
            <w:r>
              <w:rPr>
                <w:b/>
              </w:rPr>
              <w:t>193</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right"/>
              <w:rPr>
                <w:b/>
              </w:rPr>
            </w:pPr>
            <w:r>
              <w:rPr>
                <w:b/>
              </w:rPr>
              <w:t>106</w:t>
            </w:r>
          </w:p>
        </w:tc>
        <w:tc>
          <w:tcPr>
            <w:tcW w:w="60" w:type="dxa"/>
            <w:tcBorders/>
            <w:vAlign w:val="bottom"/>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328" w:type="dxa"/>
            <w:tcBorders/>
            <w:vAlign w:val="bottom"/>
          </w:tcPr>
          <w:p>
            <w:pPr>
              <w:pStyle w:val="TableContents"/>
              <w:bidi w:val="0"/>
              <w:spacing w:before="0" w:after="283"/>
              <w:jc w:val="right"/>
              <w:rPr>
                <w:b/>
              </w:rPr>
            </w:pPr>
            <w:r>
              <w:rPr>
                <w:b/>
              </w:rPr>
              <w:t>648</w:t>
            </w:r>
          </w:p>
        </w:tc>
        <w:tc>
          <w:tcPr>
            <w:tcW w:w="155" w:type="dxa"/>
            <w:tcBorders/>
            <w:vAlign w:val="bottom"/>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b/>
              </w:rPr>
            </w:pPr>
            <w:r>
              <w:rPr>
                <w:b/>
              </w:rPr>
              <w:t>947</w:t>
            </w:r>
          </w:p>
        </w:tc>
        <w:tc>
          <w:tcPr>
            <w:tcW w:w="165" w:type="dxa"/>
            <w:tcBorders/>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36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2025 (Unaudited)</w:t>
            </w:r>
          </w:p>
        </w:tc>
        <w:tc>
          <w:tcPr>
            <w:tcW w:w="315"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84"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right"/>
              <w:rPr/>
            </w:pPr>
            <w:r>
              <w:rPr/>
              <w:t>107</w:t>
            </w:r>
          </w:p>
        </w:tc>
        <w:tc>
          <w:tcPr>
            <w:tcW w:w="60" w:type="dxa"/>
            <w:tcBorders/>
            <w:shd w:fill="CCEEFF" w:val="clear"/>
            <w:vAlign w:val="bottom"/>
          </w:tcPr>
          <w:p>
            <w:pPr>
              <w:pStyle w:val="TableContents"/>
              <w:bidi w:val="0"/>
              <w:spacing w:before="0" w:after="283"/>
              <w:jc w:val="left"/>
              <w:rPr/>
            </w:pPr>
            <w:r>
              <w:rPr/>
              <w:t> </w:t>
            </w:r>
          </w:p>
        </w:tc>
        <w:tc>
          <w:tcPr>
            <w:tcW w:w="31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328" w:type="dxa"/>
            <w:tcBorders/>
            <w:shd w:fill="CCEEFF" w:val="clear"/>
            <w:vAlign w:val="bottom"/>
          </w:tcPr>
          <w:p>
            <w:pPr>
              <w:pStyle w:val="TableContents"/>
              <w:bidi w:val="0"/>
              <w:spacing w:before="0" w:after="283"/>
              <w:jc w:val="right"/>
              <w:rPr/>
            </w:pPr>
            <w:r>
              <w:rPr/>
              <w:t>511</w:t>
            </w:r>
          </w:p>
        </w:tc>
        <w:tc>
          <w:tcPr>
            <w:tcW w:w="155" w:type="dxa"/>
            <w:tcBorders/>
            <w:shd w:fill="CCEEFF" w:val="clear"/>
            <w:vAlign w:val="bottom"/>
          </w:tcPr>
          <w:p>
            <w:pPr>
              <w:pStyle w:val="TableContents"/>
              <w:bidi w:val="0"/>
              <w:spacing w:before="0" w:after="283"/>
              <w:jc w:val="left"/>
              <w:rPr/>
            </w:pPr>
            <w:r>
              <w:rPr/>
              <w:t> </w:t>
            </w:r>
          </w:p>
        </w:tc>
        <w:tc>
          <w:tcPr>
            <w:tcW w:w="2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664</w:t>
            </w:r>
          </w:p>
        </w:tc>
        <w:tc>
          <w:tcPr>
            <w:tcW w:w="165" w:type="dxa"/>
            <w:tcBorders/>
            <w:shd w:fill="CCEEFF" w:val="clear"/>
            <w:vAlign w:val="bottom"/>
          </w:tcPr>
          <w:p>
            <w:pPr>
              <w:pStyle w:val="TableContents"/>
              <w:bidi w:val="0"/>
              <w:spacing w:before="0" w:after="283"/>
              <w:jc w:val="left"/>
              <w:rPr/>
            </w:pPr>
            <w:r>
              <w:rPr/>
              <w:t> </w:t>
            </w:r>
          </w:p>
        </w:tc>
      </w:tr>
      <w:tr>
        <w:trPr/>
        <w:tc>
          <w:tcPr>
            <w:tcW w:w="3659" w:type="dxa"/>
            <w:tcBorders/>
            <w:vAlign w:val="bottom"/>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84" w:type="dxa"/>
            <w:tcBorders/>
            <w:vAlign w:val="bottom"/>
          </w:tcPr>
          <w:p>
            <w:pPr>
              <w:pStyle w:val="TableContents"/>
              <w:pBdr>
                <w:top w:val="double" w:sz="6" w:space="1" w:color="000000"/>
              </w:pBdr>
              <w:bidi w:val="0"/>
              <w:spacing w:before="0" w:after="0"/>
              <w:jc w:val="left"/>
              <w:rPr/>
            </w:pPr>
            <w:r>
              <w:rPr/>
              <w:t> </w:t>
            </w:r>
          </w:p>
        </w:tc>
        <w:tc>
          <w:tcPr>
            <w:tcW w:w="81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15" w:type="dxa"/>
            <w:tcBorders/>
            <w:vAlign w:val="bottom"/>
          </w:tcPr>
          <w:p>
            <w:pPr>
              <w:pStyle w:val="TableContents"/>
              <w:bidi w:val="0"/>
              <w:spacing w:before="0" w:after="283"/>
              <w:jc w:val="left"/>
              <w:rPr/>
            </w:pPr>
            <w:r>
              <w:rPr/>
              <w:t>  </w:t>
            </w:r>
          </w:p>
        </w:tc>
        <w:tc>
          <w:tcPr>
            <w:tcW w:w="135" w:type="dxa"/>
            <w:tcBorders/>
            <w:vAlign w:val="bottom"/>
          </w:tcPr>
          <w:p>
            <w:pPr>
              <w:pStyle w:val="TableContents"/>
              <w:pBdr>
                <w:top w:val="double" w:sz="6" w:space="1" w:color="000000"/>
              </w:pBdr>
              <w:bidi w:val="0"/>
              <w:spacing w:before="0" w:after="0"/>
              <w:jc w:val="left"/>
              <w:rPr/>
            </w:pPr>
            <w:r>
              <w:rPr/>
              <w:t> </w:t>
            </w:r>
          </w:p>
        </w:tc>
        <w:tc>
          <w:tcPr>
            <w:tcW w:w="132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356"/>
        <w:gridCol w:w="292"/>
        <w:gridCol w:w="103"/>
        <w:gridCol w:w="967"/>
        <w:gridCol w:w="155"/>
        <w:gridCol w:w="255"/>
        <w:gridCol w:w="129"/>
        <w:gridCol w:w="1221"/>
        <w:gridCol w:w="60"/>
        <w:gridCol w:w="292"/>
        <w:gridCol w:w="136"/>
        <w:gridCol w:w="1281"/>
        <w:gridCol w:w="60"/>
        <w:gridCol w:w="292"/>
        <w:gridCol w:w="60"/>
        <w:gridCol w:w="570"/>
        <w:gridCol w:w="159"/>
      </w:tblGrid>
      <w:tr>
        <w:trPr/>
        <w:tc>
          <w:tcPr>
            <w:tcW w:w="3356"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356"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070" w:type="dxa"/>
            <w:gridSpan w:val="2"/>
            <w:tcBorders/>
            <w:vAlign w:val="bottom"/>
          </w:tcPr>
          <w:p>
            <w:pPr>
              <w:pStyle w:val="TableContents"/>
              <w:bidi w:val="0"/>
              <w:spacing w:before="0" w:after="283"/>
              <w:jc w:val="center"/>
              <w:rPr>
                <w:b/>
              </w:rPr>
            </w:pPr>
            <w:r>
              <w:rPr>
                <w:b/>
              </w:rPr>
              <w:t>Computer</w:t>
              <w:br/>
              <w:t>software</w:t>
              <w:br/>
              <w:t>£’000</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350" w:type="dxa"/>
            <w:gridSpan w:val="2"/>
            <w:tcBorders/>
            <w:vAlign w:val="bottom"/>
          </w:tcPr>
          <w:p>
            <w:pPr>
              <w:pStyle w:val="TableContents"/>
              <w:bidi w:val="0"/>
              <w:spacing w:before="0" w:after="283"/>
              <w:jc w:val="center"/>
              <w:rPr>
                <w:b/>
              </w:rPr>
            </w:pPr>
            <w:r>
              <w:rPr>
                <w:b/>
              </w:rPr>
              <w:t>Patents and</w:t>
              <w:br/>
              <w:t>similar assets</w:t>
              <w:br/>
              <w:t>£’000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417" w:type="dxa"/>
            <w:gridSpan w:val="2"/>
            <w:tcBorders/>
            <w:vAlign w:val="bottom"/>
          </w:tcPr>
          <w:p>
            <w:pPr>
              <w:pStyle w:val="TableContents"/>
              <w:bidi w:val="0"/>
              <w:spacing w:before="0" w:after="283"/>
              <w:jc w:val="center"/>
              <w:rPr>
                <w:b/>
              </w:rPr>
            </w:pPr>
            <w:r>
              <w:rPr>
                <w:b/>
              </w:rPr>
              <w:t>Research and</w:t>
              <w:br/>
              <w:t>Development</w:t>
              <w:br/>
              <w:t>£’000</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30" w:type="dxa"/>
            <w:gridSpan w:val="2"/>
            <w:tcBorders/>
            <w:vAlign w:val="bottom"/>
          </w:tcPr>
          <w:p>
            <w:pPr>
              <w:pStyle w:val="TableContents"/>
              <w:bidi w:val="0"/>
              <w:spacing w:before="0" w:after="283"/>
              <w:jc w:val="center"/>
              <w:rPr>
                <w:b/>
              </w:rPr>
            </w:pPr>
            <w:r>
              <w:rPr>
                <w:b/>
              </w:rPr>
              <w:t>Total</w:t>
              <w:br/>
              <w:t>£’000</w:t>
            </w:r>
          </w:p>
        </w:tc>
        <w:tc>
          <w:tcPr>
            <w:tcW w:w="159"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2024</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2,250</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2,721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616</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5,587</w:t>
            </w:r>
          </w:p>
        </w:tc>
        <w:tc>
          <w:tcPr>
            <w:tcW w:w="159" w:type="dxa"/>
            <w:tcBorders/>
            <w:vAlign w:val="bottom"/>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w:t>
            </w:r>
          </w:p>
        </w:tc>
        <w:tc>
          <w:tcPr>
            <w:tcW w:w="159"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44</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519</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614</w:t>
            </w:r>
          </w:p>
        </w:tc>
        <w:tc>
          <w:tcPr>
            <w:tcW w:w="159" w:type="dxa"/>
            <w:tcBorders/>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2024 (Unaudited)</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2,300</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2,765</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1,135</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6,200</w:t>
            </w:r>
          </w:p>
        </w:tc>
        <w:tc>
          <w:tcPr>
            <w:tcW w:w="159"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b/>
                <w:sz w:val="20"/>
              </w:rPr>
            </w:pPr>
            <w:r>
              <w:rPr>
                <w:rFonts w:ascii="Times New Roman" w:hAnsi="Times New Roman"/>
                <w:b/>
                <w:sz w:val="20"/>
              </w:rPr>
              <w:t>Amortisation</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sz w:val="4"/>
                <w:szCs w:val="4"/>
              </w:rPr>
            </w:pPr>
            <w:r>
              <w:rPr>
                <w:sz w:val="4"/>
                <w:szCs w:val="4"/>
              </w:rPr>
            </w:r>
          </w:p>
        </w:tc>
        <w:tc>
          <w:tcPr>
            <w:tcW w:w="967"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sz w:val="4"/>
                <w:szCs w:val="4"/>
              </w:rPr>
            </w:pPr>
            <w:r>
              <w:rPr>
                <w:sz w:val="4"/>
                <w:szCs w:val="4"/>
              </w:rPr>
            </w:r>
          </w:p>
        </w:tc>
        <w:tc>
          <w:tcPr>
            <w:tcW w:w="122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sz w:val="4"/>
                <w:szCs w:val="4"/>
              </w:rPr>
            </w:pPr>
            <w:r>
              <w:rPr>
                <w:sz w:val="4"/>
                <w:szCs w:val="4"/>
              </w:rPr>
            </w:r>
          </w:p>
        </w:tc>
        <w:tc>
          <w:tcPr>
            <w:tcW w:w="128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570"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1 January 2024</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2,231</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2,599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548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5,378</w:t>
            </w:r>
          </w:p>
        </w:tc>
        <w:tc>
          <w:tcPr>
            <w:tcW w:w="159" w:type="dxa"/>
            <w:tcBorders/>
            <w:shd w:fill="CCEEFF" w:val="clear"/>
            <w:vAlign w:val="bottom"/>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(1</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(1</w:t>
            </w:r>
          </w:p>
        </w:tc>
        <w:tc>
          <w:tcPr>
            <w:tcW w:w="159" w:type="dxa"/>
            <w:tcBorders/>
            <w:vAlign w:val="bottom"/>
          </w:tcPr>
          <w:p>
            <w:pPr>
              <w:pStyle w:val="TableContents"/>
              <w:bidi w:val="0"/>
              <w:spacing w:before="0" w:after="283"/>
              <w:jc w:val="left"/>
              <w:rPr/>
            </w:pPr>
            <w:r>
              <w:rPr/>
              <w:t>) </w:t>
            </w:r>
          </w:p>
        </w:tc>
      </w:tr>
      <w:tr>
        <w:trPr/>
        <w:tc>
          <w:tcPr>
            <w:tcW w:w="335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Charge for the year</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59</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76</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159</w:t>
            </w:r>
          </w:p>
        </w:tc>
        <w:tc>
          <w:tcPr>
            <w:tcW w:w="159"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single" w:sz="2" w:space="1" w:color="000000"/>
              </w:pBdr>
              <w:bidi w:val="0"/>
              <w:spacing w:before="0" w:after="0"/>
              <w:jc w:val="left"/>
              <w:rPr/>
            </w:pPr>
            <w:r>
              <w:rPr/>
              <w:t> </w:t>
            </w:r>
          </w:p>
        </w:tc>
        <w:tc>
          <w:tcPr>
            <w:tcW w:w="96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single" w:sz="2" w:space="1" w:color="000000"/>
              </w:pBdr>
              <w:bidi w:val="0"/>
              <w:spacing w:before="0" w:after="0"/>
              <w:jc w:val="left"/>
              <w:rPr/>
            </w:pPr>
            <w:r>
              <w:rPr/>
              <w:t> </w:t>
            </w:r>
          </w:p>
        </w:tc>
        <w:tc>
          <w:tcPr>
            <w:tcW w:w="12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single" w:sz="2" w:space="1" w:color="000000"/>
              </w:pBdr>
              <w:bidi w:val="0"/>
              <w:spacing w:before="0" w:after="0"/>
              <w:jc w:val="left"/>
              <w:rPr/>
            </w:pPr>
            <w:r>
              <w:rPr/>
              <w:t> </w:t>
            </w:r>
          </w:p>
        </w:tc>
        <w:tc>
          <w:tcPr>
            <w:tcW w:w="12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56"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2024 (Unaudited)</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2,254</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2,658</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624</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5,536</w:t>
            </w:r>
          </w:p>
        </w:tc>
        <w:tc>
          <w:tcPr>
            <w:tcW w:w="159" w:type="dxa"/>
            <w:tcBorders/>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book value</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sz w:val="4"/>
                <w:szCs w:val="4"/>
              </w:rPr>
            </w:pPr>
            <w:r>
              <w:rPr>
                <w:sz w:val="4"/>
                <w:szCs w:val="4"/>
              </w:rPr>
            </w:r>
          </w:p>
        </w:tc>
        <w:tc>
          <w:tcPr>
            <w:tcW w:w="96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122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sz w:val="4"/>
                <w:szCs w:val="4"/>
              </w:rPr>
            </w:pPr>
            <w:r>
              <w:rPr>
                <w:sz w:val="4"/>
                <w:szCs w:val="4"/>
              </w:rPr>
            </w:r>
          </w:p>
        </w:tc>
        <w:tc>
          <w:tcPr>
            <w:tcW w:w="128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0"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356" w:type="dxa"/>
            <w:tcBorders/>
          </w:tcPr>
          <w:p>
            <w:pPr>
              <w:pStyle w:val="TableContents"/>
              <w:bidi w:val="0"/>
              <w:spacing w:before="0" w:after="0"/>
              <w:jc w:val="left"/>
              <w:rPr>
                <w:rFonts w:ascii="Times New Roman" w:hAnsi="Times New Roman"/>
                <w:b/>
                <w:sz w:val="20"/>
              </w:rPr>
            </w:pPr>
            <w:r>
              <w:rPr>
                <w:rFonts w:ascii="Times New Roman" w:hAnsi="Times New Roman"/>
                <w:b/>
                <w:sz w:val="20"/>
              </w:rPr>
              <w:t>At 31 December 2024 (Unaudited)</w:t>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bidi w:val="0"/>
              <w:spacing w:before="0" w:after="283"/>
              <w:jc w:val="left"/>
              <w:rPr/>
            </w:pPr>
            <w:r>
              <w:rPr/>
              <w:t> </w:t>
            </w:r>
          </w:p>
        </w:tc>
        <w:tc>
          <w:tcPr>
            <w:tcW w:w="967" w:type="dxa"/>
            <w:tcBorders/>
            <w:vAlign w:val="bottom"/>
          </w:tcPr>
          <w:p>
            <w:pPr>
              <w:pStyle w:val="TableContents"/>
              <w:bidi w:val="0"/>
              <w:spacing w:before="0" w:after="283"/>
              <w:jc w:val="right"/>
              <w:rPr/>
            </w:pPr>
            <w:r>
              <w:rPr/>
              <w:t>46</w:t>
            </w:r>
          </w:p>
        </w:tc>
        <w:tc>
          <w:tcPr>
            <w:tcW w:w="15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1221"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281" w:type="dxa"/>
            <w:tcBorders/>
            <w:vAlign w:val="bottom"/>
          </w:tcPr>
          <w:p>
            <w:pPr>
              <w:pStyle w:val="TableContents"/>
              <w:bidi w:val="0"/>
              <w:spacing w:before="0" w:after="283"/>
              <w:jc w:val="right"/>
              <w:rPr/>
            </w:pPr>
            <w:r>
              <w:rPr/>
              <w:t>511</w:t>
            </w:r>
          </w:p>
        </w:tc>
        <w:tc>
          <w:tcPr>
            <w:tcW w:w="60" w:type="dxa"/>
            <w:tcBorders/>
            <w:vAlign w:val="bottom"/>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664</w:t>
            </w:r>
          </w:p>
        </w:tc>
        <w:tc>
          <w:tcPr>
            <w:tcW w:w="159" w:type="dxa"/>
            <w:tcBorders/>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2024 (Unaudited)</w:t>
            </w:r>
          </w:p>
        </w:tc>
        <w:tc>
          <w:tcPr>
            <w:tcW w:w="292" w:type="dxa"/>
            <w:tcBorders/>
            <w:shd w:fill="CCEEFF" w:val="clear"/>
            <w:vAlign w:val="bottom"/>
          </w:tcPr>
          <w:p>
            <w:pPr>
              <w:pStyle w:val="TableContents"/>
              <w:bidi w:val="0"/>
              <w:spacing w:before="0" w:after="283"/>
              <w:jc w:val="left"/>
              <w:rPr/>
            </w:pPr>
            <w:r>
              <w:rPr/>
              <w:t>  </w:t>
            </w:r>
          </w:p>
        </w:tc>
        <w:tc>
          <w:tcPr>
            <w:tcW w:w="103" w:type="dxa"/>
            <w:tcBorders/>
            <w:shd w:fill="CCEEFF" w:val="clear"/>
            <w:vAlign w:val="bottom"/>
          </w:tcPr>
          <w:p>
            <w:pPr>
              <w:pStyle w:val="TableContents"/>
              <w:bidi w:val="0"/>
              <w:spacing w:before="0" w:after="283"/>
              <w:jc w:val="left"/>
              <w:rPr/>
            </w:pPr>
            <w:r>
              <w:rPr/>
              <w:t> </w:t>
            </w:r>
          </w:p>
        </w:tc>
        <w:tc>
          <w:tcPr>
            <w:tcW w:w="967" w:type="dxa"/>
            <w:tcBorders/>
            <w:shd w:fill="CCEEFF" w:val="clear"/>
            <w:vAlign w:val="bottom"/>
          </w:tcPr>
          <w:p>
            <w:pPr>
              <w:pStyle w:val="TableContents"/>
              <w:bidi w:val="0"/>
              <w:spacing w:before="0" w:after="283"/>
              <w:jc w:val="right"/>
              <w:rPr/>
            </w:pPr>
            <w:r>
              <w:rPr/>
              <w:t>19</w:t>
            </w:r>
          </w:p>
        </w:tc>
        <w:tc>
          <w:tcPr>
            <w:tcW w:w="155"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29" w:type="dxa"/>
            <w:tcBorders/>
            <w:shd w:fill="CCEEFF" w:val="clear"/>
            <w:vAlign w:val="bottom"/>
          </w:tcPr>
          <w:p>
            <w:pPr>
              <w:pStyle w:val="TableContents"/>
              <w:bidi w:val="0"/>
              <w:spacing w:before="0" w:after="283"/>
              <w:jc w:val="left"/>
              <w:rPr/>
            </w:pPr>
            <w:r>
              <w:rPr/>
              <w:t> </w:t>
            </w:r>
          </w:p>
        </w:tc>
        <w:tc>
          <w:tcPr>
            <w:tcW w:w="1221" w:type="dxa"/>
            <w:tcBorders/>
            <w:shd w:fill="CCEEFF" w:val="clear"/>
            <w:vAlign w:val="bottom"/>
          </w:tcPr>
          <w:p>
            <w:pPr>
              <w:pStyle w:val="TableContents"/>
              <w:bidi w:val="0"/>
              <w:spacing w:before="0" w:after="283"/>
              <w:jc w:val="right"/>
              <w:rPr/>
            </w:pPr>
            <w:r>
              <w:rPr/>
              <w:t>122</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281" w:type="dxa"/>
            <w:tcBorders/>
            <w:shd w:fill="CCEEFF" w:val="clear"/>
            <w:vAlign w:val="bottom"/>
          </w:tcPr>
          <w:p>
            <w:pPr>
              <w:pStyle w:val="TableContents"/>
              <w:bidi w:val="0"/>
              <w:spacing w:before="0" w:after="283"/>
              <w:jc w:val="right"/>
              <w:rPr/>
            </w:pPr>
            <w:r>
              <w:rPr/>
              <w:t>68</w:t>
            </w:r>
          </w:p>
        </w:tc>
        <w:tc>
          <w:tcPr>
            <w:tcW w:w="60" w:type="dxa"/>
            <w:tcBorders/>
            <w:shd w:fill="CCEEFF" w:val="clear"/>
            <w:vAlign w:val="bottom"/>
          </w:tcPr>
          <w:p>
            <w:pPr>
              <w:pStyle w:val="TableContents"/>
              <w:bidi w:val="0"/>
              <w:spacing w:before="0" w:after="283"/>
              <w:jc w:val="left"/>
              <w:rPr/>
            </w:pPr>
            <w:r>
              <w:rPr/>
              <w:t> </w:t>
            </w:r>
          </w:p>
        </w:tc>
        <w:tc>
          <w:tcPr>
            <w:tcW w:w="29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209</w:t>
            </w:r>
          </w:p>
        </w:tc>
        <w:tc>
          <w:tcPr>
            <w:tcW w:w="159" w:type="dxa"/>
            <w:tcBorders/>
            <w:shd w:fill="CCEEFF" w:val="clear"/>
            <w:vAlign w:val="bottom"/>
          </w:tcPr>
          <w:p>
            <w:pPr>
              <w:pStyle w:val="TableContents"/>
              <w:bidi w:val="0"/>
              <w:spacing w:before="0" w:after="283"/>
              <w:jc w:val="left"/>
              <w:rPr/>
            </w:pPr>
            <w:r>
              <w:rPr/>
              <w:t> </w:t>
            </w:r>
          </w:p>
        </w:tc>
      </w:tr>
      <w:tr>
        <w:trPr/>
        <w:tc>
          <w:tcPr>
            <w:tcW w:w="3356" w:type="dxa"/>
            <w:tcBorders/>
            <w:vAlign w:val="bottom"/>
          </w:tcPr>
          <w:p>
            <w:pPr>
              <w:pStyle w:val="TableContents"/>
              <w:bidi w:val="0"/>
              <w:spacing w:before="0" w:after="283"/>
              <w:jc w:val="left"/>
              <w:rPr>
                <w:sz w:val="4"/>
                <w:szCs w:val="4"/>
              </w:rPr>
            </w:pPr>
            <w:r>
              <w:rPr>
                <w:sz w:val="4"/>
                <w:szCs w:val="4"/>
              </w:rPr>
            </w:r>
          </w:p>
        </w:tc>
        <w:tc>
          <w:tcPr>
            <w:tcW w:w="292" w:type="dxa"/>
            <w:tcBorders/>
            <w:vAlign w:val="bottom"/>
          </w:tcPr>
          <w:p>
            <w:pPr>
              <w:pStyle w:val="TableContents"/>
              <w:bidi w:val="0"/>
              <w:spacing w:before="0" w:after="283"/>
              <w:jc w:val="left"/>
              <w:rPr/>
            </w:pPr>
            <w:r>
              <w:rPr/>
              <w:t>  </w:t>
            </w:r>
          </w:p>
        </w:tc>
        <w:tc>
          <w:tcPr>
            <w:tcW w:w="103" w:type="dxa"/>
            <w:tcBorders/>
            <w:vAlign w:val="bottom"/>
          </w:tcPr>
          <w:p>
            <w:pPr>
              <w:pStyle w:val="TableContents"/>
              <w:pBdr>
                <w:top w:val="double" w:sz="6" w:space="1" w:color="000000"/>
              </w:pBdr>
              <w:bidi w:val="0"/>
              <w:spacing w:before="0" w:after="0"/>
              <w:jc w:val="left"/>
              <w:rPr/>
            </w:pPr>
            <w:r>
              <w:rPr/>
              <w:t> </w:t>
            </w:r>
          </w:p>
        </w:tc>
        <w:tc>
          <w:tcPr>
            <w:tcW w:w="96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29" w:type="dxa"/>
            <w:tcBorders/>
            <w:vAlign w:val="bottom"/>
          </w:tcPr>
          <w:p>
            <w:pPr>
              <w:pStyle w:val="TableContents"/>
              <w:pBdr>
                <w:top w:val="double" w:sz="6" w:space="1" w:color="000000"/>
              </w:pBdr>
              <w:bidi w:val="0"/>
              <w:spacing w:before="0" w:after="0"/>
              <w:jc w:val="left"/>
              <w:rPr/>
            </w:pPr>
            <w:r>
              <w:rPr/>
              <w:t> </w:t>
            </w:r>
          </w:p>
        </w:tc>
        <w:tc>
          <w:tcPr>
            <w:tcW w:w="122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136" w:type="dxa"/>
            <w:tcBorders/>
            <w:vAlign w:val="bottom"/>
          </w:tcPr>
          <w:p>
            <w:pPr>
              <w:pStyle w:val="TableContents"/>
              <w:pBdr>
                <w:top w:val="double" w:sz="6" w:space="1" w:color="000000"/>
              </w:pBdr>
              <w:bidi w:val="0"/>
              <w:spacing w:before="0" w:after="0"/>
              <w:jc w:val="left"/>
              <w:rPr/>
            </w:pPr>
            <w:r>
              <w:rPr/>
              <w:t> </w:t>
            </w:r>
          </w:p>
        </w:tc>
        <w:tc>
          <w:tcPr>
            <w:tcW w:w="128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0"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Tangible fixed assets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931"/>
        <w:gridCol w:w="238"/>
        <w:gridCol w:w="102"/>
        <w:gridCol w:w="993"/>
        <w:gridCol w:w="155"/>
        <w:gridCol w:w="205"/>
        <w:gridCol w:w="115"/>
        <w:gridCol w:w="1104"/>
        <w:gridCol w:w="155"/>
        <w:gridCol w:w="205"/>
        <w:gridCol w:w="83"/>
        <w:gridCol w:w="801"/>
        <w:gridCol w:w="60"/>
        <w:gridCol w:w="237"/>
        <w:gridCol w:w="105"/>
        <w:gridCol w:w="667"/>
        <w:gridCol w:w="60"/>
        <w:gridCol w:w="238"/>
        <w:gridCol w:w="60"/>
        <w:gridCol w:w="713"/>
        <w:gridCol w:w="161"/>
      </w:tblGrid>
      <w:tr>
        <w:trPr/>
        <w:tc>
          <w:tcPr>
            <w:tcW w:w="2931"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31"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095" w:type="dxa"/>
            <w:gridSpan w:val="2"/>
            <w:tcBorders/>
            <w:vAlign w:val="bottom"/>
          </w:tcPr>
          <w:p>
            <w:pPr>
              <w:pStyle w:val="TableContents"/>
              <w:bidi w:val="0"/>
              <w:spacing w:before="0" w:after="283"/>
              <w:jc w:val="center"/>
              <w:rPr>
                <w:b/>
              </w:rPr>
            </w:pPr>
            <w:r>
              <w:rPr>
                <w:b/>
              </w:rPr>
              <w:t>Leasehold</w:t>
              <w:br/>
              <w:t>Property</w:t>
              <w:br/>
              <w:t>£’000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219" w:type="dxa"/>
            <w:gridSpan w:val="2"/>
            <w:tcBorders/>
            <w:vAlign w:val="bottom"/>
          </w:tcPr>
          <w:p>
            <w:pPr>
              <w:pStyle w:val="TableContents"/>
              <w:bidi w:val="0"/>
              <w:spacing w:before="0" w:after="283"/>
              <w:jc w:val="center"/>
              <w:rPr>
                <w:b/>
              </w:rPr>
            </w:pPr>
            <w:r>
              <w:rPr>
                <w:b/>
              </w:rPr>
              <w:t>Showroom,</w:t>
              <w:br/>
              <w:t>plant,</w:t>
              <w:br/>
              <w:t>machinery,</w:t>
              <w:br/>
              <w:t>fixtures,</w:t>
              <w:br/>
              <w:t>and fittings</w:t>
              <w:br/>
              <w:t>£’000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84" w:type="dxa"/>
            <w:gridSpan w:val="2"/>
            <w:tcBorders/>
            <w:vAlign w:val="bottom"/>
          </w:tcPr>
          <w:p>
            <w:pPr>
              <w:pStyle w:val="TableContents"/>
              <w:bidi w:val="0"/>
              <w:spacing w:before="0" w:after="283"/>
              <w:jc w:val="center"/>
              <w:rPr>
                <w:b/>
              </w:rPr>
            </w:pPr>
            <w:r>
              <w:rPr>
                <w:b/>
              </w:rPr>
              <w:t>Motor</w:t>
              <w:br/>
              <w:t>Vehicles</w:t>
              <w:br/>
              <w:t>£’000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772"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Office</w:t>
              <w:br/>
              <w:t>equipment</w:t>
              <w:br/>
              <w:t>and</w:t>
            </w:r>
          </w:p>
          <w:p>
            <w:pPr>
              <w:pStyle w:val="TableContents"/>
              <w:bidi w:val="0"/>
              <w:spacing w:before="0" w:after="20"/>
              <w:jc w:val="center"/>
              <w:rPr>
                <w:rFonts w:ascii="Times New Roman" w:hAnsi="Times New Roman"/>
                <w:b/>
                <w:sz w:val="16"/>
              </w:rPr>
            </w:pPr>
            <w:r>
              <w:rPr>
                <w:rFonts w:ascii="Times New Roman" w:hAnsi="Times New Roman"/>
                <w:b/>
                <w:sz w:val="16"/>
              </w:rPr>
              <w:t>computers</w:t>
              <w:br/>
              <w:t>£’000</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773" w:type="dxa"/>
            <w:gridSpan w:val="2"/>
            <w:tcBorders/>
            <w:vAlign w:val="bottom"/>
          </w:tcPr>
          <w:p>
            <w:pPr>
              <w:pStyle w:val="TableContents"/>
              <w:bidi w:val="0"/>
              <w:spacing w:before="0" w:after="283"/>
              <w:jc w:val="center"/>
              <w:rPr>
                <w:b/>
              </w:rPr>
            </w:pPr>
            <w:r>
              <w:rPr>
                <w:b/>
              </w:rPr>
              <w:t>Total</w:t>
              <w:br/>
              <w:t>£’000</w:t>
            </w:r>
          </w:p>
        </w:tc>
        <w:tc>
          <w:tcPr>
            <w:tcW w:w="161" w:type="dxa"/>
            <w:tcBorders/>
            <w:vAlign w:val="bottom"/>
          </w:tcPr>
          <w:p>
            <w:pPr>
              <w:pStyle w:val="TableContents"/>
              <w:bidi w:val="0"/>
              <w:spacing w:before="0" w:after="283"/>
              <w:jc w:val="left"/>
              <w:rPr/>
            </w:pPr>
            <w:r>
              <w:rPr/>
              <w:t> </w:t>
            </w:r>
          </w:p>
        </w:tc>
      </w:tr>
      <w:tr>
        <w:trPr/>
        <w:tc>
          <w:tcPr>
            <w:tcW w:w="2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31"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2025</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3,299</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8,607</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1,800</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13,808</w:t>
            </w:r>
          </w:p>
        </w:tc>
        <w:tc>
          <w:tcPr>
            <w:tcW w:w="161" w:type="dxa"/>
            <w:tcBorders/>
            <w:vAlign w:val="bottom"/>
          </w:tcPr>
          <w:p>
            <w:pPr>
              <w:pStyle w:val="TableContents"/>
              <w:bidi w:val="0"/>
              <w:spacing w:before="0" w:after="283"/>
              <w:jc w:val="left"/>
              <w:rPr/>
            </w:pPr>
            <w:r>
              <w:rPr/>
              <w:t> </w:t>
            </w:r>
          </w:p>
        </w:tc>
      </w:tr>
      <w:tr>
        <w:trPr/>
        <w:tc>
          <w:tcPr>
            <w:tcW w:w="2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(12</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5</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(5</w:t>
            </w:r>
          </w:p>
        </w:tc>
        <w:tc>
          <w:tcPr>
            <w:tcW w:w="161" w:type="dxa"/>
            <w:tcBorders/>
            <w:shd w:fill="CCEEFF" w:val="clear"/>
            <w:vAlign w:val="bottom"/>
          </w:tcPr>
          <w:p>
            <w:pPr>
              <w:pStyle w:val="TableContents"/>
              <w:bidi w:val="0"/>
              <w:spacing w:before="0" w:after="283"/>
              <w:jc w:val="left"/>
              <w:rPr/>
            </w:pPr>
            <w:r>
              <w:rPr/>
              <w:t>) </w:t>
            </w:r>
          </w:p>
        </w:tc>
      </w:tr>
      <w:tr>
        <w:trPr/>
        <w:tc>
          <w:tcPr>
            <w:tcW w:w="2931" w:type="dxa"/>
            <w:tcBorders/>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475</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127</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852</w:t>
            </w:r>
          </w:p>
        </w:tc>
        <w:tc>
          <w:tcPr>
            <w:tcW w:w="161" w:type="dxa"/>
            <w:tcBorders/>
            <w:vAlign w:val="bottom"/>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(156</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(156</w:t>
            </w:r>
          </w:p>
        </w:tc>
        <w:tc>
          <w:tcPr>
            <w:tcW w:w="161" w:type="dxa"/>
            <w:tcBorders/>
            <w:shd w:fill="CCEEFF" w:val="clear"/>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b/>
              </w:rPr>
            </w:pPr>
            <w:r>
              <w:rPr>
                <w:b/>
              </w:rPr>
              <w:t>3,537</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b/>
              </w:rPr>
            </w:pPr>
            <w:r>
              <w:rPr>
                <w:b/>
              </w:rPr>
              <w:t>8,927</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1,932</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103</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14,499</w:t>
            </w:r>
          </w:p>
        </w:tc>
        <w:tc>
          <w:tcPr>
            <w:tcW w:w="161" w:type="dxa"/>
            <w:tcBorders/>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3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at 1 January 2025</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2,600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7,659</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1,694</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12,047</w:t>
            </w:r>
          </w:p>
        </w:tc>
        <w:tc>
          <w:tcPr>
            <w:tcW w:w="161" w:type="dxa"/>
            <w:tcBorders/>
            <w:vAlign w:val="bottom"/>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(3</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4</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2</w:t>
            </w:r>
          </w:p>
        </w:tc>
        <w:tc>
          <w:tcPr>
            <w:tcW w:w="161" w:type="dxa"/>
            <w:tcBorders/>
            <w:shd w:fill="CCEEFF" w:val="clear"/>
            <w:vAlign w:val="bottom"/>
          </w:tcPr>
          <w:p>
            <w:pPr>
              <w:pStyle w:val="TableContents"/>
              <w:bidi w:val="0"/>
              <w:spacing w:before="0" w:after="283"/>
              <w:jc w:val="left"/>
              <w:rPr/>
            </w:pPr>
            <w:r>
              <w:rPr/>
              <w:t> </w:t>
            </w:r>
          </w:p>
        </w:tc>
      </w:tr>
      <w:tr>
        <w:trPr/>
        <w:tc>
          <w:tcPr>
            <w:tcW w:w="2931" w:type="dxa"/>
            <w:tcBorders/>
          </w:tcPr>
          <w:p>
            <w:pPr>
              <w:pStyle w:val="TableContents"/>
              <w:bidi w:val="0"/>
              <w:spacing w:before="0" w:after="0"/>
              <w:jc w:val="left"/>
              <w:rPr>
                <w:rFonts w:ascii="Times New Roman" w:hAnsi="Times New Roman"/>
                <w:sz w:val="20"/>
              </w:rPr>
            </w:pPr>
            <w:r>
              <w:rPr>
                <w:rFonts w:ascii="Times New Roman" w:hAnsi="Times New Roman"/>
                <w:sz w:val="20"/>
              </w:rPr>
              <w:t>Charge for the year</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pPr>
            <w:r>
              <w:rPr/>
              <w:t>325</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pPr>
            <w:r>
              <w:rPr/>
              <w:t>126</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pPr>
            <w:r>
              <w:rPr/>
              <w:t>7</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1,039</w:t>
            </w:r>
          </w:p>
        </w:tc>
        <w:tc>
          <w:tcPr>
            <w:tcW w:w="161" w:type="dxa"/>
            <w:tcBorders/>
            <w:vAlign w:val="bottom"/>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(37</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(37</w:t>
            </w:r>
          </w:p>
        </w:tc>
        <w:tc>
          <w:tcPr>
            <w:tcW w:w="161" w:type="dxa"/>
            <w:tcBorders/>
            <w:shd w:fill="CCEEFF" w:val="clear"/>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single" w:sz="2" w:space="1" w:color="000000"/>
              </w:pBdr>
              <w:bidi w:val="0"/>
              <w:spacing w:before="0" w:after="0"/>
              <w:jc w:val="left"/>
              <w:rPr/>
            </w:pPr>
            <w:r>
              <w:rPr/>
              <w:t> </w:t>
            </w:r>
          </w:p>
        </w:tc>
        <w:tc>
          <w:tcPr>
            <w:tcW w:w="110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80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66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b/>
              </w:rPr>
            </w:pPr>
            <w:r>
              <w:rPr>
                <w:b/>
              </w:rPr>
              <w:t>3,178</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b/>
              </w:rPr>
            </w:pPr>
            <w:r>
              <w:rPr>
                <w:b/>
              </w:rPr>
              <w:t>7,947</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1,824</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102</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13,051</w:t>
            </w:r>
          </w:p>
        </w:tc>
        <w:tc>
          <w:tcPr>
            <w:tcW w:w="161" w:type="dxa"/>
            <w:tcBorders/>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3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book value</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sz w:val="4"/>
                <w:szCs w:val="4"/>
              </w:rPr>
            </w:pPr>
            <w:r>
              <w:rPr>
                <w:sz w:val="4"/>
                <w:szCs w:val="4"/>
              </w:rPr>
            </w:r>
          </w:p>
        </w:tc>
        <w:tc>
          <w:tcPr>
            <w:tcW w:w="110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80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66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13" w:type="dxa"/>
            <w:tcBorders/>
            <w:shd w:fill="CCEEFF" w:val="clear"/>
            <w:vAlign w:val="bottom"/>
          </w:tcPr>
          <w:p>
            <w:pPr>
              <w:pStyle w:val="TableContents"/>
              <w:bidi w:val="0"/>
              <w:spacing w:before="0" w:after="283"/>
              <w:jc w:val="left"/>
              <w:rPr>
                <w:sz w:val="4"/>
                <w:szCs w:val="4"/>
              </w:rPr>
            </w:pPr>
            <w:r>
              <w:rPr>
                <w:sz w:val="4"/>
                <w:szCs w:val="4"/>
              </w:rPr>
            </w:r>
          </w:p>
        </w:tc>
        <w:tc>
          <w:tcPr>
            <w:tcW w:w="161" w:type="dxa"/>
            <w:tcBorders/>
            <w:shd w:fill="CCEEFF" w:val="clear"/>
            <w:vAlign w:val="bottom"/>
          </w:tcPr>
          <w:p>
            <w:pPr>
              <w:pStyle w:val="TableContents"/>
              <w:bidi w:val="0"/>
              <w:spacing w:before="0" w:after="283"/>
              <w:jc w:val="left"/>
              <w:rPr>
                <w:sz w:val="4"/>
                <w:szCs w:val="4"/>
              </w:rPr>
            </w:pPr>
            <w:r>
              <w:rPr>
                <w:sz w:val="4"/>
                <w:szCs w:val="4"/>
              </w:rPr>
            </w:r>
          </w:p>
        </w:tc>
      </w:tr>
      <w:tr>
        <w:trPr/>
        <w:tc>
          <w:tcPr>
            <w:tcW w:w="293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At 31 December 2025 (Audited)</w:t>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93" w:type="dxa"/>
            <w:tcBorders/>
            <w:vAlign w:val="bottom"/>
          </w:tcPr>
          <w:p>
            <w:pPr>
              <w:pStyle w:val="TableContents"/>
              <w:bidi w:val="0"/>
              <w:spacing w:before="0" w:after="283"/>
              <w:jc w:val="right"/>
              <w:rPr>
                <w:b/>
              </w:rPr>
            </w:pPr>
            <w:r>
              <w:rPr>
                <w:b/>
              </w:rPr>
              <w:t>359</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bidi w:val="0"/>
              <w:spacing w:before="0" w:after="283"/>
              <w:jc w:val="left"/>
              <w:rPr/>
            </w:pPr>
            <w:r>
              <w:rPr/>
              <w:t> </w:t>
            </w:r>
          </w:p>
        </w:tc>
        <w:tc>
          <w:tcPr>
            <w:tcW w:w="1104" w:type="dxa"/>
            <w:tcBorders/>
            <w:vAlign w:val="bottom"/>
          </w:tcPr>
          <w:p>
            <w:pPr>
              <w:pStyle w:val="TableContents"/>
              <w:bidi w:val="0"/>
              <w:spacing w:before="0" w:after="283"/>
              <w:jc w:val="right"/>
              <w:rPr>
                <w:b/>
              </w:rPr>
            </w:pPr>
            <w:r>
              <w:rPr>
                <w:b/>
              </w:rPr>
              <w:t>980</w:t>
            </w:r>
          </w:p>
        </w:tc>
        <w:tc>
          <w:tcPr>
            <w:tcW w:w="15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01" w:type="dxa"/>
            <w:tcBorders/>
            <w:vAlign w:val="bottom"/>
          </w:tcPr>
          <w:p>
            <w:pPr>
              <w:pStyle w:val="TableContents"/>
              <w:bidi w:val="0"/>
              <w:spacing w:before="0" w:after="283"/>
              <w:jc w:val="right"/>
              <w:rPr>
                <w:b/>
              </w:rPr>
            </w:pPr>
            <w:r>
              <w:rPr>
                <w:b/>
              </w:rPr>
              <w:t>108</w:t>
            </w:r>
          </w:p>
        </w:tc>
        <w:tc>
          <w:tcPr>
            <w:tcW w:w="60"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667"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b/>
              </w:rPr>
            </w:pPr>
            <w:r>
              <w:rPr>
                <w:b/>
              </w:rPr>
              <w:t>1,448</w:t>
            </w:r>
          </w:p>
        </w:tc>
        <w:tc>
          <w:tcPr>
            <w:tcW w:w="161" w:type="dxa"/>
            <w:tcBorders/>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29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At 1 January 2025 (Unaudited)</w:t>
            </w:r>
          </w:p>
        </w:tc>
        <w:tc>
          <w:tcPr>
            <w:tcW w:w="238"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93" w:type="dxa"/>
            <w:tcBorders/>
            <w:shd w:fill="CCEEFF" w:val="clear"/>
            <w:vAlign w:val="bottom"/>
          </w:tcPr>
          <w:p>
            <w:pPr>
              <w:pStyle w:val="TableContents"/>
              <w:bidi w:val="0"/>
              <w:spacing w:before="0" w:after="283"/>
              <w:jc w:val="right"/>
              <w:rPr/>
            </w:pPr>
            <w:r>
              <w:rPr/>
              <w:t>699</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15" w:type="dxa"/>
            <w:tcBorders/>
            <w:shd w:fill="CCEEFF" w:val="clear"/>
            <w:vAlign w:val="bottom"/>
          </w:tcPr>
          <w:p>
            <w:pPr>
              <w:pStyle w:val="TableContents"/>
              <w:bidi w:val="0"/>
              <w:spacing w:before="0" w:after="283"/>
              <w:jc w:val="left"/>
              <w:rPr/>
            </w:pPr>
            <w:r>
              <w:rPr/>
              <w:t> </w:t>
            </w:r>
          </w:p>
        </w:tc>
        <w:tc>
          <w:tcPr>
            <w:tcW w:w="1104" w:type="dxa"/>
            <w:tcBorders/>
            <w:shd w:fill="CCEEFF" w:val="clear"/>
            <w:vAlign w:val="bottom"/>
          </w:tcPr>
          <w:p>
            <w:pPr>
              <w:pStyle w:val="TableContents"/>
              <w:bidi w:val="0"/>
              <w:spacing w:before="0" w:after="283"/>
              <w:jc w:val="right"/>
              <w:rPr/>
            </w:pPr>
            <w:r>
              <w:rPr/>
              <w:t>948</w:t>
            </w:r>
          </w:p>
        </w:tc>
        <w:tc>
          <w:tcPr>
            <w:tcW w:w="15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801" w:type="dxa"/>
            <w:tcBorders/>
            <w:shd w:fill="CCEEFF" w:val="clear"/>
            <w:vAlign w:val="bottom"/>
          </w:tcPr>
          <w:p>
            <w:pPr>
              <w:pStyle w:val="TableContents"/>
              <w:bidi w:val="0"/>
              <w:spacing w:before="0" w:after="283"/>
              <w:jc w:val="right"/>
              <w:rPr/>
            </w:pPr>
            <w:r>
              <w:rPr/>
              <w:t>106</w:t>
            </w:r>
          </w:p>
        </w:tc>
        <w:tc>
          <w:tcPr>
            <w:tcW w:w="60"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667" w:type="dxa"/>
            <w:tcBorders/>
            <w:shd w:fill="CCEEFF" w:val="clear"/>
            <w:vAlign w:val="bottom"/>
          </w:tcPr>
          <w:p>
            <w:pPr>
              <w:pStyle w:val="TableContents"/>
              <w:bidi w:val="0"/>
              <w:spacing w:before="0" w:after="283"/>
              <w:jc w:val="right"/>
              <w:rPr/>
            </w:pPr>
            <w:r>
              <w:rPr/>
              <w:t>8</w:t>
            </w:r>
          </w:p>
        </w:tc>
        <w:tc>
          <w:tcPr>
            <w:tcW w:w="60"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1,761</w:t>
            </w:r>
          </w:p>
        </w:tc>
        <w:tc>
          <w:tcPr>
            <w:tcW w:w="161" w:type="dxa"/>
            <w:tcBorders/>
            <w:shd w:fill="CCEEFF" w:val="clear"/>
            <w:vAlign w:val="bottom"/>
          </w:tcPr>
          <w:p>
            <w:pPr>
              <w:pStyle w:val="TableContents"/>
              <w:bidi w:val="0"/>
              <w:spacing w:before="0" w:after="283"/>
              <w:jc w:val="left"/>
              <w:rPr/>
            </w:pPr>
            <w:r>
              <w:rPr/>
              <w:t> </w:t>
            </w:r>
          </w:p>
        </w:tc>
      </w:tr>
      <w:tr>
        <w:trPr/>
        <w:tc>
          <w:tcPr>
            <w:tcW w:w="293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15" w:type="dxa"/>
            <w:tcBorders/>
            <w:vAlign w:val="bottom"/>
          </w:tcPr>
          <w:p>
            <w:pPr>
              <w:pStyle w:val="TableContents"/>
              <w:pBdr>
                <w:top w:val="double" w:sz="6" w:space="1" w:color="000000"/>
              </w:pBdr>
              <w:bidi w:val="0"/>
              <w:spacing w:before="0" w:after="0"/>
              <w:jc w:val="left"/>
              <w:rPr/>
            </w:pPr>
            <w:r>
              <w:rPr/>
              <w:t> </w:t>
            </w:r>
          </w:p>
        </w:tc>
        <w:tc>
          <w:tcPr>
            <w:tcW w:w="110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80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66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02"/>
        <w:gridCol w:w="214"/>
        <w:gridCol w:w="102"/>
        <w:gridCol w:w="961"/>
        <w:gridCol w:w="60"/>
        <w:gridCol w:w="214"/>
        <w:gridCol w:w="125"/>
        <w:gridCol w:w="1188"/>
        <w:gridCol w:w="155"/>
        <w:gridCol w:w="188"/>
        <w:gridCol w:w="83"/>
        <w:gridCol w:w="798"/>
        <w:gridCol w:w="155"/>
        <w:gridCol w:w="188"/>
        <w:gridCol w:w="150"/>
        <w:gridCol w:w="958"/>
        <w:gridCol w:w="155"/>
        <w:gridCol w:w="188"/>
        <w:gridCol w:w="60"/>
        <w:gridCol w:w="681"/>
        <w:gridCol w:w="163"/>
      </w:tblGrid>
      <w:tr>
        <w:trPr/>
        <w:tc>
          <w:tcPr>
            <w:tcW w:w="2602"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602"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063" w:type="dxa"/>
            <w:gridSpan w:val="2"/>
            <w:tcBorders/>
            <w:vAlign w:val="bottom"/>
          </w:tcPr>
          <w:p>
            <w:pPr>
              <w:pStyle w:val="TableContents"/>
              <w:bidi w:val="0"/>
              <w:spacing w:before="0" w:after="283"/>
              <w:jc w:val="center"/>
              <w:rPr>
                <w:b/>
              </w:rPr>
            </w:pPr>
            <w:r>
              <w:rPr>
                <w:b/>
              </w:rPr>
              <w:t>Leasehold</w:t>
              <w:br/>
              <w:t>Property</w:t>
              <w:br/>
              <w:t>£’000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313" w:type="dxa"/>
            <w:gridSpan w:val="2"/>
            <w:tcBorders/>
            <w:vAlign w:val="bottom"/>
          </w:tcPr>
          <w:p>
            <w:pPr>
              <w:pStyle w:val="TableContents"/>
              <w:bidi w:val="0"/>
              <w:spacing w:before="0" w:after="283"/>
              <w:jc w:val="center"/>
              <w:rPr>
                <w:b/>
              </w:rPr>
            </w:pPr>
            <w:r>
              <w:rPr>
                <w:b/>
              </w:rPr>
              <w:t>Showroom,</w:t>
              <w:br/>
              <w:t>plant,</w:t>
              <w:br/>
              <w:t>machinery,</w:t>
              <w:br/>
              <w:t>fixtures, and</w:t>
              <w:br/>
              <w:t>fittings</w:t>
              <w:br/>
              <w:t>£’000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81" w:type="dxa"/>
            <w:gridSpan w:val="2"/>
            <w:tcBorders/>
            <w:vAlign w:val="bottom"/>
          </w:tcPr>
          <w:p>
            <w:pPr>
              <w:pStyle w:val="TableContents"/>
              <w:bidi w:val="0"/>
              <w:spacing w:before="0" w:after="283"/>
              <w:jc w:val="center"/>
              <w:rPr>
                <w:b/>
              </w:rPr>
            </w:pPr>
            <w:r>
              <w:rPr>
                <w:b/>
              </w:rPr>
              <w:t>Motor</w:t>
              <w:br/>
              <w:t>Vehicles</w:t>
              <w:br/>
              <w:t>£’000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08" w:type="dxa"/>
            <w:gridSpan w:val="2"/>
            <w:tcBorders/>
            <w:vAlign w:val="bottom"/>
          </w:tcPr>
          <w:p>
            <w:pPr>
              <w:pStyle w:val="TableContents"/>
              <w:bidi w:val="0"/>
              <w:spacing w:before="0" w:after="283"/>
              <w:jc w:val="center"/>
              <w:rPr>
                <w:b/>
              </w:rPr>
            </w:pPr>
            <w:r>
              <w:rPr>
                <w:b/>
              </w:rPr>
              <w:t>Office</w:t>
              <w:br/>
              <w:t>equipment</w:t>
              <w:br/>
              <w:t>and</w:t>
              <w:br/>
              <w:t>computers</w:t>
              <w:br/>
              <w:t>£’000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741" w:type="dxa"/>
            <w:gridSpan w:val="2"/>
            <w:tcBorders/>
            <w:vAlign w:val="bottom"/>
          </w:tcPr>
          <w:p>
            <w:pPr>
              <w:pStyle w:val="TableContents"/>
              <w:bidi w:val="0"/>
              <w:spacing w:before="0" w:after="283"/>
              <w:jc w:val="center"/>
              <w:rPr>
                <w:b/>
              </w:rPr>
            </w:pPr>
            <w:r>
              <w:rPr>
                <w:b/>
              </w:rPr>
              <w:t>Total</w:t>
              <w:br/>
              <w:t>£’000</w:t>
            </w:r>
          </w:p>
        </w:tc>
        <w:tc>
          <w:tcPr>
            <w:tcW w:w="163" w:type="dxa"/>
            <w:tcBorders/>
            <w:vAlign w:val="bottom"/>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Cost</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Balance at 1 January 2024</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2,366</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8,901</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1,850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162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13,279</w:t>
            </w:r>
          </w:p>
        </w:tc>
        <w:tc>
          <w:tcPr>
            <w:tcW w:w="163"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3</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Additions</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930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365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1,397</w:t>
            </w:r>
          </w:p>
        </w:tc>
        <w:tc>
          <w:tcPr>
            <w:tcW w:w="163"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(661</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(148</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(869</w:t>
            </w:r>
          </w:p>
        </w:tc>
        <w:tc>
          <w:tcPr>
            <w:tcW w:w="163"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2"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2024 (Unaudited)</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3,299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8,607</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1,800</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102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13,808</w:t>
            </w:r>
          </w:p>
        </w:tc>
        <w:tc>
          <w:tcPr>
            <w:tcW w:w="163"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2024</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2,139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8,035</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1,679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11,995</w:t>
            </w:r>
          </w:p>
        </w:tc>
        <w:tc>
          <w:tcPr>
            <w:tcW w:w="163" w:type="dxa"/>
            <w:tcBorders/>
            <w:vAlign w:val="bottom"/>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Translation differences</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2</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(4</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w:t>
            </w:r>
          </w:p>
        </w:tc>
        <w:tc>
          <w:tcPr>
            <w:tcW w:w="163" w:type="dxa"/>
            <w:tcBorders/>
            <w:shd w:fill="CCEEFF" w:val="clear"/>
            <w:vAlign w:val="bottom"/>
          </w:tcPr>
          <w:p>
            <w:pPr>
              <w:pStyle w:val="TableContents"/>
              <w:bidi w:val="0"/>
              <w:spacing w:before="0" w:after="283"/>
              <w:jc w:val="left"/>
              <w:rPr/>
            </w:pPr>
            <w:r>
              <w:rPr/>
              <w:t>) </w:t>
            </w:r>
          </w:p>
        </w:tc>
      </w:tr>
      <w:tr>
        <w:trPr/>
        <w:tc>
          <w:tcPr>
            <w:tcW w:w="2602" w:type="dxa"/>
            <w:tcBorders/>
          </w:tcPr>
          <w:p>
            <w:pPr>
              <w:pStyle w:val="TableContents"/>
              <w:bidi w:val="0"/>
              <w:spacing w:before="0" w:after="0"/>
              <w:jc w:val="left"/>
              <w:rPr>
                <w:rFonts w:ascii="Times New Roman" w:hAnsi="Times New Roman"/>
                <w:sz w:val="20"/>
              </w:rPr>
            </w:pPr>
            <w:r>
              <w:rPr>
                <w:rFonts w:ascii="Times New Roman" w:hAnsi="Times New Roman"/>
                <w:sz w:val="20"/>
              </w:rPr>
              <w:t>Charge for the year</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460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278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144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891</w:t>
            </w:r>
          </w:p>
        </w:tc>
        <w:tc>
          <w:tcPr>
            <w:tcW w:w="163" w:type="dxa"/>
            <w:tcBorders/>
            <w:vAlign w:val="bottom"/>
          </w:tcPr>
          <w:p>
            <w:pPr>
              <w:pStyle w:val="TableContents"/>
              <w:bidi w:val="0"/>
              <w:spacing w:before="0" w:after="283"/>
              <w:jc w:val="left"/>
              <w:rPr/>
            </w:pPr>
            <w:r>
              <w:rPr/>
              <w:t> </w:t>
            </w:r>
          </w:p>
        </w:tc>
      </w:tr>
      <w:tr>
        <w:trPr/>
        <w:tc>
          <w:tcPr>
            <w:tcW w:w="260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Disposals</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1188" w:type="dxa"/>
            <w:tcBorders/>
            <w:shd w:fill="CCEEFF" w:val="clear"/>
            <w:vAlign w:val="bottom"/>
          </w:tcPr>
          <w:p>
            <w:pPr>
              <w:pStyle w:val="TableContents"/>
              <w:bidi w:val="0"/>
              <w:spacing w:before="0" w:after="283"/>
              <w:jc w:val="right"/>
              <w:rPr/>
            </w:pPr>
            <w:r>
              <w:rPr/>
              <w:t>(656</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798"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58"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(838</w:t>
            </w:r>
          </w:p>
        </w:tc>
        <w:tc>
          <w:tcPr>
            <w:tcW w:w="163" w:type="dxa"/>
            <w:tcBorders/>
            <w:shd w:fill="CCEEFF" w:val="clear"/>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11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single" w:sz="2" w:space="1" w:color="000000"/>
              </w:pBdr>
              <w:bidi w:val="0"/>
              <w:spacing w:before="0" w:after="0"/>
              <w:jc w:val="left"/>
              <w:rPr/>
            </w:pPr>
            <w:r>
              <w:rPr/>
              <w:t> </w:t>
            </w:r>
          </w:p>
        </w:tc>
        <w:tc>
          <w:tcPr>
            <w:tcW w:w="7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5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2"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2024 (Unaudited)</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2,600</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7,659</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1,694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94</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12,047</w:t>
            </w:r>
          </w:p>
        </w:tc>
        <w:tc>
          <w:tcPr>
            <w:tcW w:w="163"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260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book value</w:t>
            </w:r>
          </w:p>
        </w:tc>
        <w:tc>
          <w:tcPr>
            <w:tcW w:w="214"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96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4"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18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sz w:val="4"/>
                <w:szCs w:val="4"/>
              </w:rPr>
            </w:pPr>
            <w:r>
              <w:rPr>
                <w:sz w:val="4"/>
                <w:szCs w:val="4"/>
              </w:rPr>
            </w:r>
          </w:p>
        </w:tc>
        <w:tc>
          <w:tcPr>
            <w:tcW w:w="79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95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8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2602" w:type="dxa"/>
            <w:tcBorders/>
          </w:tcPr>
          <w:p>
            <w:pPr>
              <w:pStyle w:val="TableContents"/>
              <w:bidi w:val="0"/>
              <w:spacing w:before="0" w:after="0"/>
              <w:jc w:val="left"/>
              <w:rPr>
                <w:rFonts w:ascii="Times New Roman" w:hAnsi="Times New Roman"/>
                <w:b/>
                <w:sz w:val="20"/>
              </w:rPr>
            </w:pPr>
            <w:r>
              <w:rPr>
                <w:rFonts w:ascii="Times New Roman" w:hAnsi="Times New Roman"/>
                <w:b/>
                <w:sz w:val="20"/>
              </w:rPr>
              <w:t>At 31 December 2024 (Unaudited)</w:t>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699</w:t>
            </w:r>
          </w:p>
        </w:tc>
        <w:tc>
          <w:tcPr>
            <w:tcW w:w="60"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188" w:type="dxa"/>
            <w:tcBorders/>
            <w:vAlign w:val="bottom"/>
          </w:tcPr>
          <w:p>
            <w:pPr>
              <w:pStyle w:val="TableContents"/>
              <w:bidi w:val="0"/>
              <w:spacing w:before="0" w:after="283"/>
              <w:jc w:val="right"/>
              <w:rPr/>
            </w:pPr>
            <w:r>
              <w:rPr/>
              <w:t>948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798" w:type="dxa"/>
            <w:tcBorders/>
            <w:vAlign w:val="bottom"/>
          </w:tcPr>
          <w:p>
            <w:pPr>
              <w:pStyle w:val="TableContents"/>
              <w:bidi w:val="0"/>
              <w:spacing w:before="0" w:after="283"/>
              <w:jc w:val="right"/>
              <w:rPr/>
            </w:pPr>
            <w:r>
              <w:rPr/>
              <w:t>106</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58" w:type="dxa"/>
            <w:tcBorders/>
            <w:vAlign w:val="bottom"/>
          </w:tcPr>
          <w:p>
            <w:pPr>
              <w:pStyle w:val="TableContents"/>
              <w:bidi w:val="0"/>
              <w:spacing w:before="0" w:after="283"/>
              <w:jc w:val="right"/>
              <w:rPr/>
            </w:pPr>
            <w:r>
              <w:rPr/>
              <w:t>8</w:t>
            </w:r>
          </w:p>
        </w:tc>
        <w:tc>
          <w:tcPr>
            <w:tcW w:w="155"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1,761</w:t>
            </w:r>
          </w:p>
        </w:tc>
        <w:tc>
          <w:tcPr>
            <w:tcW w:w="163" w:type="dxa"/>
            <w:tcBorders/>
            <w:vAlign w:val="bottom"/>
          </w:tcPr>
          <w:p>
            <w:pPr>
              <w:pStyle w:val="TableContents"/>
              <w:bidi w:val="0"/>
              <w:spacing w:before="0" w:after="283"/>
              <w:jc w:val="left"/>
              <w:rPr/>
            </w:pPr>
            <w:r>
              <w:rPr/>
              <w:t> </w:t>
            </w:r>
          </w:p>
        </w:tc>
      </w:tr>
      <w:tr>
        <w:trPr/>
        <w:tc>
          <w:tcPr>
            <w:tcW w:w="2602" w:type="dxa"/>
            <w:tcBorders/>
            <w:vAlign w:val="bottom"/>
          </w:tcPr>
          <w:p>
            <w:pPr>
              <w:pStyle w:val="TableContents"/>
              <w:bidi w:val="0"/>
              <w:spacing w:before="0" w:after="283"/>
              <w:jc w:val="left"/>
              <w:rPr>
                <w:sz w:val="4"/>
                <w:szCs w:val="4"/>
              </w:rPr>
            </w:pPr>
            <w:r>
              <w:rPr>
                <w:sz w:val="4"/>
                <w:szCs w:val="4"/>
              </w:rPr>
            </w:r>
          </w:p>
        </w:tc>
        <w:tc>
          <w:tcPr>
            <w:tcW w:w="214"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double" w:sz="6" w:space="1" w:color="000000"/>
              </w:pBdr>
              <w:bidi w:val="0"/>
              <w:spacing w:before="0" w:after="0"/>
              <w:jc w:val="left"/>
              <w:rPr/>
            </w:pPr>
            <w:r>
              <w:rPr/>
              <w:t> </w:t>
            </w:r>
          </w:p>
        </w:tc>
        <w:tc>
          <w:tcPr>
            <w:tcW w:w="118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83" w:type="dxa"/>
            <w:tcBorders/>
            <w:vAlign w:val="bottom"/>
          </w:tcPr>
          <w:p>
            <w:pPr>
              <w:pStyle w:val="TableContents"/>
              <w:pBdr>
                <w:top w:val="double" w:sz="6" w:space="1" w:color="000000"/>
              </w:pBdr>
              <w:bidi w:val="0"/>
              <w:spacing w:before="0" w:after="0"/>
              <w:jc w:val="left"/>
              <w:rPr/>
            </w:pPr>
            <w:r>
              <w:rPr/>
              <w:t> </w:t>
            </w:r>
          </w:p>
        </w:tc>
        <w:tc>
          <w:tcPr>
            <w:tcW w:w="7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95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 xml:space="preserve">Tangible fixed assets </w:t>
            </w:r>
            <w:r>
              <w:rPr>
                <w:rFonts w:ascii="Times New Roman" w:hAnsi="Times New Roman"/>
                <w:b/>
                <w:i/>
                <w:sz w:val="20"/>
              </w:rPr>
              <w:t>-continued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Leasehold land and buildings additions includes dilapidation assets recognized in the year of £244,382 (2024: £929,954) and is related to the dilapidation provisions (note 18).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Investments in subsidiary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25"/>
        <w:gridCol w:w="255"/>
        <w:gridCol w:w="68"/>
        <w:gridCol w:w="812"/>
        <w:gridCol w:w="60"/>
        <w:gridCol w:w="255"/>
        <w:gridCol w:w="89"/>
        <w:gridCol w:w="1028"/>
        <w:gridCol w:w="63"/>
      </w:tblGrid>
      <w:tr>
        <w:trPr/>
        <w:tc>
          <w:tcPr>
            <w:tcW w:w="5125"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25"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283"/>
              <w:jc w:val="center"/>
              <w:rPr>
                <w:b/>
              </w:rPr>
            </w:pPr>
            <w:r>
              <w:rPr>
                <w:b/>
              </w:rPr>
              <w:t>2025</w:t>
              <w:br/>
              <w:t>£’000</w:t>
              <w:br/>
              <w:t>Audited</w:t>
            </w:r>
          </w:p>
        </w:tc>
        <w:tc>
          <w:tcPr>
            <w:tcW w:w="60"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17" w:type="dxa"/>
            <w:gridSpan w:val="2"/>
            <w:tcBorders/>
            <w:vAlign w:val="bottom"/>
          </w:tcPr>
          <w:p>
            <w:pPr>
              <w:pStyle w:val="TableContents"/>
              <w:bidi w:val="0"/>
              <w:spacing w:before="0" w:after="283"/>
              <w:jc w:val="center"/>
              <w:rPr>
                <w:b/>
              </w:rPr>
            </w:pPr>
            <w:r>
              <w:rPr>
                <w:b/>
              </w:rPr>
              <w:t>2024</w:t>
              <w:br/>
              <w:t>£’000</w:t>
              <w:br/>
              <w:t>Unaudited</w:t>
            </w:r>
          </w:p>
        </w:tc>
        <w:tc>
          <w:tcPr>
            <w:tcW w:w="63" w:type="dxa"/>
            <w:tcBorders/>
            <w:vAlign w:val="bottom"/>
          </w:tcPr>
          <w:p>
            <w:pPr>
              <w:pStyle w:val="TableContents"/>
              <w:bidi w:val="0"/>
              <w:spacing w:before="0" w:after="283"/>
              <w:jc w:val="left"/>
              <w:rPr/>
            </w:pPr>
            <w:r>
              <w:rPr/>
              <w:t> </w:t>
            </w:r>
          </w:p>
        </w:tc>
      </w:tr>
      <w:tr>
        <w:trPr/>
        <w:tc>
          <w:tcPr>
            <w:tcW w:w="512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 of ordinary shares in DLP Limited</w:t>
            </w:r>
          </w:p>
        </w:tc>
        <w:tc>
          <w:tcPr>
            <w:tcW w:w="255"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2" w:type="dxa"/>
            <w:tcBorders/>
            <w:shd w:fill="CCEEFF" w:val="clear"/>
            <w:vAlign w:val="bottom"/>
          </w:tcPr>
          <w:p>
            <w:pPr>
              <w:pStyle w:val="TableContents"/>
              <w:bidi w:val="0"/>
              <w:spacing w:before="0" w:after="283"/>
              <w:jc w:val="right"/>
              <w:rPr>
                <w:b/>
              </w:rPr>
            </w:pPr>
            <w:r>
              <w:rPr>
                <w:b/>
              </w:rPr>
              <w:t>25,749</w:t>
            </w:r>
          </w:p>
        </w:tc>
        <w:tc>
          <w:tcPr>
            <w:tcW w:w="60"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25,749</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at 31 December 2025 a list of the subsidiary undertakings are detailed below: </w:t>
      </w:r>
    </w:p>
    <w:p>
      <w:pPr>
        <w:pStyle w:val="TextBody"/>
        <w:bidi w:val="0"/>
        <w:spacing w:before="0" w:after="0"/>
        <w:jc w:val="left"/>
        <w:rPr/>
      </w:pPr>
      <w:r>
        <w:rPr/>
        <w:t> </w:t>
      </w:r>
    </w:p>
    <w:tbl>
      <w:tblPr>
        <w:tblW w:w="13255" w:type="dxa"/>
        <w:jc w:val="center"/>
        <w:tblInd w:w="0" w:type="dxa"/>
        <w:tblLayout w:type="fixed"/>
        <w:tblCellMar>
          <w:top w:w="0" w:type="dxa"/>
          <w:left w:w="0" w:type="dxa"/>
          <w:bottom w:w="0" w:type="dxa"/>
          <w:right w:w="0" w:type="dxa"/>
        </w:tblCellMar>
      </w:tblPr>
      <w:tblGrid>
        <w:gridCol w:w="1070"/>
        <w:gridCol w:w="120"/>
        <w:gridCol w:w="136"/>
        <w:gridCol w:w="694"/>
        <w:gridCol w:w="60"/>
        <w:gridCol w:w="120"/>
        <w:gridCol w:w="137"/>
        <w:gridCol w:w="873"/>
        <w:gridCol w:w="60"/>
        <w:gridCol w:w="120"/>
        <w:gridCol w:w="2405"/>
        <w:gridCol w:w="120"/>
        <w:gridCol w:w="7340"/>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40"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20" w:type="dxa"/>
            <w:gridSpan w:val="6"/>
            <w:tcBorders/>
            <w:vAlign w:val="bottom"/>
          </w:tcPr>
          <w:p>
            <w:pPr>
              <w:pStyle w:val="TableContents"/>
              <w:bidi w:val="0"/>
              <w:spacing w:before="0" w:after="283"/>
              <w:jc w:val="center"/>
              <w:rPr>
                <w:b/>
              </w:rPr>
            </w:pPr>
            <w:r>
              <w:rPr>
                <w:b/>
              </w:rPr>
              <w:t>% of share capital</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center"/>
              <w:rPr>
                <w:b/>
              </w:rPr>
            </w:pPr>
            <w:r>
              <w:rPr>
                <w:b/>
              </w:rPr>
              <w:t>Country of</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center"/>
              <w:rPr>
                <w:b/>
              </w:rPr>
            </w:pPr>
            <w:r>
              <w:rPr>
                <w:b/>
              </w:rPr>
              <w:t>held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center"/>
              <w:rPr>
                <w:b/>
              </w:rPr>
            </w:pPr>
            <w:r>
              <w:rPr>
                <w:b/>
              </w:rPr>
              <w:t>incorporation</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center"/>
              <w:rPr>
                <w:b/>
              </w:rPr>
            </w:pPr>
            <w:r>
              <w:rPr>
                <w:b/>
              </w:rPr>
              <w:t>Principal activity</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30" w:type="dxa"/>
            <w:gridSpan w:val="2"/>
            <w:tcBorders/>
            <w:vAlign w:val="bottom"/>
          </w:tcPr>
          <w:p>
            <w:pPr>
              <w:pStyle w:val="TableContents"/>
              <w:bidi w:val="0"/>
              <w:spacing w:before="0" w:after="283"/>
              <w:jc w:val="center"/>
              <w:rPr>
                <w:b/>
              </w:rPr>
            </w:pPr>
            <w:r>
              <w:rPr>
                <w:b/>
              </w:rPr>
              <w:t>Directly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center"/>
              <w:rPr>
                <w:b/>
              </w:rPr>
            </w:pPr>
            <w:r>
              <w:rPr>
                <w:b/>
              </w:rPr>
              <w:t>Indirectly</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DLP Limited</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Isle of Man</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Design &amp; manufacture of goods for the care market</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AKW Medi-Care Limited</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England &amp; Wales</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Wholesale supply of shower trays and cubicles for the care market</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AKW International SA</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Belgium</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Distribution of shower trays and cubicles for the care market</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AKW Resource Center Inc.</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United States of America</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Dormant and dissolved on 20 June 2025</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Elfreed Limited</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England &amp; Wales</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Manufacture and distribution of shower enclosures and associated equipment</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Contour Showers Limited</w:t>
            </w:r>
          </w:p>
        </w:tc>
        <w:tc>
          <w:tcPr>
            <w:tcW w:w="120"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73"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405" w:type="dxa"/>
            <w:tcBorders/>
            <w:vAlign w:val="bottom"/>
          </w:tcPr>
          <w:p>
            <w:pPr>
              <w:pStyle w:val="TableContents"/>
              <w:bidi w:val="0"/>
              <w:spacing w:before="0" w:after="283"/>
              <w:jc w:val="left"/>
              <w:rPr/>
            </w:pPr>
            <w:r>
              <w:rPr/>
              <w:t>England &amp; Wales</w:t>
            </w:r>
          </w:p>
        </w:tc>
        <w:tc>
          <w:tcPr>
            <w:tcW w:w="120" w:type="dxa"/>
            <w:tcBorders/>
            <w:vAlign w:val="bottom"/>
          </w:tcPr>
          <w:p>
            <w:pPr>
              <w:pStyle w:val="TableContents"/>
              <w:bidi w:val="0"/>
              <w:spacing w:before="0" w:after="283"/>
              <w:jc w:val="left"/>
              <w:rPr/>
            </w:pPr>
            <w:r>
              <w:rPr/>
              <w:t>  </w:t>
            </w:r>
          </w:p>
        </w:tc>
        <w:tc>
          <w:tcPr>
            <w:tcW w:w="7340" w:type="dxa"/>
            <w:tcBorders/>
            <w:vAlign w:val="bottom"/>
          </w:tcPr>
          <w:p>
            <w:pPr>
              <w:pStyle w:val="TableContents"/>
              <w:bidi w:val="0"/>
              <w:spacing w:before="0" w:after="283"/>
              <w:jc w:val="left"/>
              <w:rPr/>
            </w:pPr>
            <w:r>
              <w:rPr/>
              <w:t>Manufacture and distribution of shower enclosures and associated equipment.</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14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Goodwill </w:t>
            </w:r>
          </w:p>
        </w:tc>
      </w:tr>
    </w:tbl>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898"/>
        <w:gridCol w:w="232"/>
        <w:gridCol w:w="60"/>
        <w:gridCol w:w="687"/>
        <w:gridCol w:w="62"/>
      </w:tblGrid>
      <w:tr>
        <w:trPr/>
        <w:tc>
          <w:tcPr>
            <w:tcW w:w="5898"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5898" w:type="dxa"/>
            <w:tcBorders/>
            <w:vAlign w:val="bottom"/>
          </w:tcPr>
          <w:p>
            <w:pPr>
              <w:pStyle w:val="TableContents"/>
              <w:bidi w:val="0"/>
              <w:spacing w:before="0" w:after="283"/>
              <w:jc w:val="left"/>
              <w:rPr>
                <w:b/>
              </w:rPr>
            </w:pPr>
            <w:r>
              <w:rPr>
                <w:b/>
              </w:rPr>
              <w:t>DLP Limited &amp; Elfreed Group acquisition Cost</w:t>
            </w:r>
          </w:p>
        </w:tc>
        <w:tc>
          <w:tcPr>
            <w:tcW w:w="232" w:type="dxa"/>
            <w:tcBorders/>
            <w:vAlign w:val="bottom"/>
          </w:tcPr>
          <w:p>
            <w:pPr>
              <w:pStyle w:val="TableContents"/>
              <w:bidi w:val="0"/>
              <w:spacing w:before="0" w:after="283"/>
              <w:jc w:val="left"/>
              <w:rPr/>
            </w:pPr>
            <w:r>
              <w:rPr/>
              <w:t>  </w:t>
            </w:r>
          </w:p>
        </w:tc>
        <w:tc>
          <w:tcPr>
            <w:tcW w:w="747" w:type="dxa"/>
            <w:gridSpan w:val="2"/>
            <w:tcBorders/>
            <w:vAlign w:val="bottom"/>
          </w:tcPr>
          <w:p>
            <w:pPr>
              <w:pStyle w:val="TableContents"/>
              <w:bidi w:val="0"/>
              <w:spacing w:before="0" w:after="283"/>
              <w:jc w:val="center"/>
              <w:rPr>
                <w:b/>
              </w:rPr>
            </w:pPr>
            <w:r>
              <w:rPr>
                <w:b/>
              </w:rPr>
              <w:t>£’000</w:t>
            </w:r>
          </w:p>
        </w:tc>
        <w:tc>
          <w:tcPr>
            <w:tcW w:w="62" w:type="dxa"/>
            <w:tcBorders/>
            <w:vAlign w:val="bottom"/>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1 January 2024 (Unaudited)</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15,543</w:t>
            </w:r>
          </w:p>
        </w:tc>
        <w:tc>
          <w:tcPr>
            <w:tcW w:w="62" w:type="dxa"/>
            <w:tcBorders/>
            <w:shd w:fill="CCEEFF" w:val="clear"/>
            <w:vAlign w:val="bottom"/>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2025 (Unaudited)</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15,543</w:t>
            </w:r>
          </w:p>
        </w:tc>
        <w:tc>
          <w:tcPr>
            <w:tcW w:w="62" w:type="dxa"/>
            <w:tcBorders/>
            <w:vAlign w:val="bottom"/>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b/>
              </w:rPr>
            </w:pPr>
            <w:r>
              <w:rPr>
                <w:b/>
              </w:rPr>
              <w:t>15,543</w:t>
            </w:r>
          </w:p>
        </w:tc>
        <w:tc>
          <w:tcPr>
            <w:tcW w:w="62" w:type="dxa"/>
            <w:tcBorders/>
            <w:shd w:fill="CCEEFF" w:val="clear"/>
            <w:vAlign w:val="bottom"/>
          </w:tcPr>
          <w:p>
            <w:pPr>
              <w:pStyle w:val="TableContents"/>
              <w:bidi w:val="0"/>
              <w:spacing w:before="0" w:after="283"/>
              <w:jc w:val="left"/>
              <w:rPr/>
            </w:pPr>
            <w:r>
              <w:rPr/>
              <w:t> </w:t>
            </w:r>
          </w:p>
        </w:tc>
      </w:tr>
      <w:tr>
        <w:trPr/>
        <w:tc>
          <w:tcPr>
            <w:tcW w:w="589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b/>
                <w:sz w:val="20"/>
              </w:rPr>
            </w:pPr>
            <w:r>
              <w:rPr>
                <w:rFonts w:ascii="Times New Roman" w:hAnsi="Times New Roman"/>
                <w:b/>
                <w:sz w:val="20"/>
              </w:rPr>
              <w:t>Amortisation</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687"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at 1 January 2024 (Unaudited)</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8,267</w:t>
            </w:r>
          </w:p>
        </w:tc>
        <w:tc>
          <w:tcPr>
            <w:tcW w:w="62" w:type="dxa"/>
            <w:tcBorders/>
            <w:shd w:fill="CCEEFF" w:val="clear"/>
            <w:vAlign w:val="bottom"/>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sz w:val="20"/>
              </w:rPr>
            </w:pPr>
            <w:r>
              <w:rPr>
                <w:rFonts w:ascii="Times New Roman" w:hAnsi="Times New Roman"/>
                <w:sz w:val="20"/>
              </w:rPr>
              <w:t>Balance at 1 January 2025 (Unaudited)</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9,821</w:t>
            </w:r>
          </w:p>
        </w:tc>
        <w:tc>
          <w:tcPr>
            <w:tcW w:w="62" w:type="dxa"/>
            <w:tcBorders/>
            <w:vAlign w:val="bottom"/>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Charge for the year 2025</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1,555</w:t>
            </w:r>
          </w:p>
        </w:tc>
        <w:tc>
          <w:tcPr>
            <w:tcW w:w="62" w:type="dxa"/>
            <w:tcBorders/>
            <w:shd w:fill="CCEEFF" w:val="clear"/>
            <w:vAlign w:val="bottom"/>
          </w:tcPr>
          <w:p>
            <w:pPr>
              <w:pStyle w:val="TableContents"/>
              <w:bidi w:val="0"/>
              <w:spacing w:before="0" w:after="283"/>
              <w:jc w:val="left"/>
              <w:rPr/>
            </w:pPr>
            <w:r>
              <w:rPr/>
              <w:t> </w:t>
            </w:r>
          </w:p>
        </w:tc>
      </w:tr>
      <w:tr>
        <w:trPr/>
        <w:tc>
          <w:tcPr>
            <w:tcW w:w="589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8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898"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at 31 December 2025 (Audited)</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11,376</w:t>
            </w:r>
          </w:p>
        </w:tc>
        <w:tc>
          <w:tcPr>
            <w:tcW w:w="62" w:type="dxa"/>
            <w:tcBorders/>
            <w:vAlign w:val="bottom"/>
          </w:tcPr>
          <w:p>
            <w:pPr>
              <w:pStyle w:val="TableContents"/>
              <w:bidi w:val="0"/>
              <w:spacing w:before="0" w:after="283"/>
              <w:jc w:val="left"/>
              <w:rPr/>
            </w:pPr>
            <w:r>
              <w:rPr/>
              <w:t> </w:t>
            </w:r>
          </w:p>
        </w:tc>
      </w:tr>
      <w:tr>
        <w:trPr/>
        <w:tc>
          <w:tcPr>
            <w:tcW w:w="589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book value</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87"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5898" w:type="dxa"/>
            <w:tcBorders/>
          </w:tcPr>
          <w:p>
            <w:pPr>
              <w:pStyle w:val="TableContents"/>
              <w:bidi w:val="0"/>
              <w:spacing w:before="0" w:after="0"/>
              <w:jc w:val="left"/>
              <w:rPr>
                <w:rFonts w:ascii="Times New Roman" w:hAnsi="Times New Roman"/>
                <w:b/>
                <w:sz w:val="20"/>
              </w:rPr>
            </w:pPr>
            <w:r>
              <w:rPr>
                <w:rFonts w:ascii="Times New Roman" w:hAnsi="Times New Roman"/>
                <w:b/>
                <w:sz w:val="20"/>
              </w:rPr>
              <w:t>At 31 December 2025 (Audited)</w:t>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b/>
              </w:rPr>
            </w:pPr>
            <w:r>
              <w:rPr>
                <w:b/>
              </w:rPr>
              <w:t>4,167</w:t>
            </w:r>
          </w:p>
        </w:tc>
        <w:tc>
          <w:tcPr>
            <w:tcW w:w="62" w:type="dxa"/>
            <w:tcBorders/>
            <w:vAlign w:val="bottom"/>
          </w:tcPr>
          <w:p>
            <w:pPr>
              <w:pStyle w:val="TableContents"/>
              <w:bidi w:val="0"/>
              <w:spacing w:before="0" w:after="283"/>
              <w:jc w:val="left"/>
              <w:rPr/>
            </w:pPr>
            <w:r>
              <w:rPr/>
              <w:t> </w:t>
            </w:r>
          </w:p>
        </w:tc>
      </w:tr>
      <w:tr>
        <w:trPr/>
        <w:tc>
          <w:tcPr>
            <w:tcW w:w="589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58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At 1 January 2025 (Unaudited)</w:t>
            </w:r>
          </w:p>
        </w:tc>
        <w:tc>
          <w:tcPr>
            <w:tcW w:w="23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5,722</w:t>
            </w:r>
          </w:p>
        </w:tc>
        <w:tc>
          <w:tcPr>
            <w:tcW w:w="62" w:type="dxa"/>
            <w:tcBorders/>
            <w:shd w:fill="CCEEFF" w:val="clear"/>
            <w:vAlign w:val="bottom"/>
          </w:tcPr>
          <w:p>
            <w:pPr>
              <w:pStyle w:val="TableContents"/>
              <w:bidi w:val="0"/>
              <w:spacing w:before="0" w:after="283"/>
              <w:jc w:val="left"/>
              <w:rPr/>
            </w:pPr>
            <w:r>
              <w:rPr/>
              <w:t> </w:t>
            </w:r>
          </w:p>
        </w:tc>
      </w:tr>
      <w:tr>
        <w:trPr/>
        <w:tc>
          <w:tcPr>
            <w:tcW w:w="5898"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8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Goodwill arising on the acquisition of DLP Limited and Elfreed Group is being amortised evenly over the Directors’ estimate of its useful life. The useful economic life has been judged to reflect the continued value within and durability of the business. No circumstances have occurred that indicate that the carrying value may not be recoverable.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Stocks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26"/>
        <w:gridCol w:w="247"/>
        <w:gridCol w:w="68"/>
        <w:gridCol w:w="785"/>
        <w:gridCol w:w="156"/>
        <w:gridCol w:w="191"/>
        <w:gridCol w:w="81"/>
        <w:gridCol w:w="940"/>
        <w:gridCol w:w="161"/>
      </w:tblGrid>
      <w:tr>
        <w:trPr/>
        <w:tc>
          <w:tcPr>
            <w:tcW w:w="5126"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126"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853" w:type="dxa"/>
            <w:gridSpan w:val="2"/>
            <w:tcBorders/>
            <w:vAlign w:val="bottom"/>
          </w:tcPr>
          <w:p>
            <w:pPr>
              <w:pStyle w:val="TableContents"/>
              <w:bidi w:val="0"/>
              <w:spacing w:before="0" w:after="283"/>
              <w:jc w:val="center"/>
              <w:rPr>
                <w:b/>
              </w:rPr>
            </w:pPr>
            <w:r>
              <w:rPr>
                <w:b/>
              </w:rPr>
              <w:t>2025</w:t>
              <w:br/>
              <w:t>£’000</w:t>
              <w:br/>
              <w:t>Audited</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021" w:type="dxa"/>
            <w:gridSpan w:val="2"/>
            <w:tcBorders/>
            <w:vAlign w:val="bottom"/>
          </w:tcPr>
          <w:p>
            <w:pPr>
              <w:pStyle w:val="TableContents"/>
              <w:bidi w:val="0"/>
              <w:spacing w:before="0" w:after="283"/>
              <w:jc w:val="center"/>
              <w:rPr/>
            </w:pPr>
            <w:r>
              <w:rPr/>
              <w:t>2024</w:t>
              <w:br/>
              <w:t>£’000</w:t>
              <w:br/>
              <w:t>Unaudited</w:t>
            </w:r>
          </w:p>
        </w:tc>
        <w:tc>
          <w:tcPr>
            <w:tcW w:w="161" w:type="dxa"/>
            <w:tcBorders/>
            <w:vAlign w:val="bottom"/>
          </w:tcPr>
          <w:p>
            <w:pPr>
              <w:pStyle w:val="TableContents"/>
              <w:bidi w:val="0"/>
              <w:spacing w:before="0" w:after="283"/>
              <w:jc w:val="left"/>
              <w:rPr/>
            </w:pPr>
            <w:r>
              <w:rPr/>
              <w:t> </w:t>
            </w:r>
          </w:p>
        </w:tc>
      </w:tr>
      <w:tr>
        <w:trPr/>
        <w:tc>
          <w:tcPr>
            <w:tcW w:w="5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Work in progress</w:t>
            </w:r>
          </w:p>
        </w:tc>
        <w:tc>
          <w:tcPr>
            <w:tcW w:w="24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113</w:t>
            </w:r>
          </w:p>
        </w:tc>
        <w:tc>
          <w:tcPr>
            <w:tcW w:w="156"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113</w:t>
            </w:r>
          </w:p>
        </w:tc>
        <w:tc>
          <w:tcPr>
            <w:tcW w:w="161" w:type="dxa"/>
            <w:tcBorders/>
            <w:shd w:fill="CCEEFF" w:val="clear"/>
            <w:vAlign w:val="bottom"/>
          </w:tcPr>
          <w:p>
            <w:pPr>
              <w:pStyle w:val="TableContents"/>
              <w:bidi w:val="0"/>
              <w:spacing w:before="0" w:after="283"/>
              <w:jc w:val="left"/>
              <w:rPr/>
            </w:pPr>
            <w:r>
              <w:rPr/>
              <w:t> </w:t>
            </w:r>
          </w:p>
        </w:tc>
      </w:tr>
      <w:tr>
        <w:trPr/>
        <w:tc>
          <w:tcPr>
            <w:tcW w:w="5126" w:type="dxa"/>
            <w:tcBorders/>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24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15,201</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18,563</w:t>
            </w:r>
          </w:p>
        </w:tc>
        <w:tc>
          <w:tcPr>
            <w:tcW w:w="161" w:type="dxa"/>
            <w:tcBorders/>
            <w:vAlign w:val="bottom"/>
          </w:tcPr>
          <w:p>
            <w:pPr>
              <w:pStyle w:val="TableContents"/>
              <w:bidi w:val="0"/>
              <w:spacing w:before="0" w:after="283"/>
              <w:jc w:val="left"/>
              <w:rPr/>
            </w:pPr>
            <w:r>
              <w:rPr/>
              <w:t> </w:t>
            </w:r>
          </w:p>
        </w:tc>
      </w:tr>
      <w:tr>
        <w:trPr/>
        <w:tc>
          <w:tcPr>
            <w:tcW w:w="51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 provision</w:t>
            </w:r>
          </w:p>
        </w:tc>
        <w:tc>
          <w:tcPr>
            <w:tcW w:w="24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(1,470</w:t>
            </w:r>
          </w:p>
        </w:tc>
        <w:tc>
          <w:tcPr>
            <w:tcW w:w="156" w:type="dxa"/>
            <w:tcBorders/>
            <w:shd w:fill="CCEEFF" w:val="clear"/>
            <w:vAlign w:val="bottom"/>
          </w:tcPr>
          <w:p>
            <w:pPr>
              <w:pStyle w:val="TableContents"/>
              <w:bidi w:val="0"/>
              <w:spacing w:before="0" w:after="283"/>
              <w:jc w:val="left"/>
              <w:rPr>
                <w:b/>
              </w:rPr>
            </w:pPr>
            <w:r>
              <w:rPr>
                <w:b/>
              </w:rPr>
              <w:t>) </w:t>
            </w:r>
          </w:p>
        </w:tc>
        <w:tc>
          <w:tcPr>
            <w:tcW w:w="19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0" w:type="dxa"/>
            <w:tcBorders/>
            <w:shd w:fill="CCEEFF" w:val="clear"/>
            <w:vAlign w:val="bottom"/>
          </w:tcPr>
          <w:p>
            <w:pPr>
              <w:pStyle w:val="TableContents"/>
              <w:bidi w:val="0"/>
              <w:spacing w:before="0" w:after="283"/>
              <w:jc w:val="right"/>
              <w:rPr/>
            </w:pPr>
            <w:r>
              <w:rPr/>
              <w:t>(1,293</w:t>
            </w:r>
          </w:p>
        </w:tc>
        <w:tc>
          <w:tcPr>
            <w:tcW w:w="161" w:type="dxa"/>
            <w:tcBorders/>
            <w:shd w:fill="CCEEFF" w:val="clear"/>
            <w:vAlign w:val="bottom"/>
          </w:tcPr>
          <w:p>
            <w:pPr>
              <w:pStyle w:val="TableContents"/>
              <w:bidi w:val="0"/>
              <w:spacing w:before="0" w:after="283"/>
              <w:jc w:val="left"/>
              <w:rPr/>
            </w:pPr>
            <w:r>
              <w:rPr/>
              <w:t>) </w:t>
            </w:r>
          </w:p>
        </w:tc>
      </w:tr>
      <w:tr>
        <w:trPr/>
        <w:tc>
          <w:tcPr>
            <w:tcW w:w="5126"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5"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0"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126" w:type="dxa"/>
            <w:tcBorders/>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13,844</w:t>
            </w:r>
          </w:p>
        </w:tc>
        <w:tc>
          <w:tcPr>
            <w:tcW w:w="15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0" w:type="dxa"/>
            <w:tcBorders/>
            <w:vAlign w:val="bottom"/>
          </w:tcPr>
          <w:p>
            <w:pPr>
              <w:pStyle w:val="TableContents"/>
              <w:bidi w:val="0"/>
              <w:spacing w:before="0" w:after="283"/>
              <w:jc w:val="right"/>
              <w:rPr/>
            </w:pPr>
            <w:r>
              <w:rPr/>
              <w:t>17,383</w:t>
            </w:r>
          </w:p>
        </w:tc>
        <w:tc>
          <w:tcPr>
            <w:tcW w:w="161" w:type="dxa"/>
            <w:tcBorders/>
            <w:vAlign w:val="bottom"/>
          </w:tcPr>
          <w:p>
            <w:pPr>
              <w:pStyle w:val="TableContents"/>
              <w:bidi w:val="0"/>
              <w:spacing w:before="0" w:after="283"/>
              <w:jc w:val="left"/>
              <w:rPr/>
            </w:pPr>
            <w:r>
              <w:rPr/>
              <w:t> </w:t>
            </w:r>
          </w:p>
        </w:tc>
      </w:tr>
      <w:tr>
        <w:trPr/>
        <w:tc>
          <w:tcPr>
            <w:tcW w:w="5126"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785" w:type="dxa"/>
            <w:tcBorders/>
            <w:vAlign w:val="bottom"/>
          </w:tcPr>
          <w:p>
            <w:pPr>
              <w:pStyle w:val="TableContents"/>
              <w:pBdr>
                <w:top w:val="double" w:sz="6"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40" w:type="dxa"/>
            <w:tcBorders/>
            <w:vAlign w:val="bottom"/>
          </w:tcPr>
          <w:p>
            <w:pPr>
              <w:pStyle w:val="TableContents"/>
              <w:pBdr>
                <w:top w:val="double" w:sz="6"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Debtors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79"/>
        <w:gridCol w:w="248"/>
        <w:gridCol w:w="68"/>
        <w:gridCol w:w="777"/>
        <w:gridCol w:w="60"/>
        <w:gridCol w:w="248"/>
        <w:gridCol w:w="81"/>
        <w:gridCol w:w="930"/>
        <w:gridCol w:w="64"/>
      </w:tblGrid>
      <w:tr>
        <w:trPr/>
        <w:tc>
          <w:tcPr>
            <w:tcW w:w="5279"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279"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center"/>
              <w:rPr>
                <w:b/>
              </w:rPr>
            </w:pPr>
            <w:r>
              <w:rPr>
                <w:b/>
              </w:rPr>
              <w:t>2025</w:t>
              <w:br/>
              <w:t>£’000</w:t>
              <w:br/>
              <w:t>Audited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011" w:type="dxa"/>
            <w:gridSpan w:val="2"/>
            <w:tcBorders/>
            <w:vAlign w:val="bottom"/>
          </w:tcPr>
          <w:p>
            <w:pPr>
              <w:pStyle w:val="TableContents"/>
              <w:bidi w:val="0"/>
              <w:spacing w:before="0" w:after="283"/>
              <w:jc w:val="center"/>
              <w:rPr/>
            </w:pPr>
            <w:r>
              <w:rPr/>
              <w:t>2024</w:t>
              <w:br/>
              <w:t>£’000</w:t>
              <w:br/>
              <w:t>Unaudited</w:t>
            </w:r>
          </w:p>
        </w:tc>
        <w:tc>
          <w:tcPr>
            <w:tcW w:w="64" w:type="dxa"/>
            <w:tcBorders/>
            <w:vAlign w:val="bottom"/>
          </w:tcPr>
          <w:p>
            <w:pPr>
              <w:pStyle w:val="TableContents"/>
              <w:bidi w:val="0"/>
              <w:spacing w:before="0" w:after="283"/>
              <w:jc w:val="left"/>
              <w:rPr/>
            </w:pPr>
            <w:r>
              <w:rPr/>
              <w:t> </w:t>
            </w:r>
          </w:p>
        </w:tc>
      </w:tr>
      <w:tr>
        <w:trPr/>
        <w:tc>
          <w:tcPr>
            <w:tcW w:w="5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debtors</w:t>
            </w:r>
          </w:p>
        </w:tc>
        <w:tc>
          <w:tcPr>
            <w:tcW w:w="24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9,067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7,930</w:t>
            </w:r>
          </w:p>
        </w:tc>
        <w:tc>
          <w:tcPr>
            <w:tcW w:w="64" w:type="dxa"/>
            <w:tcBorders/>
            <w:shd w:fill="CCEEFF" w:val="clear"/>
            <w:vAlign w:val="bottom"/>
          </w:tcPr>
          <w:p>
            <w:pPr>
              <w:pStyle w:val="TableContents"/>
              <w:bidi w:val="0"/>
              <w:spacing w:before="0" w:after="283"/>
              <w:jc w:val="left"/>
              <w:rPr/>
            </w:pPr>
            <w:r>
              <w:rPr/>
              <w:t> </w:t>
            </w:r>
          </w:p>
        </w:tc>
      </w:tr>
      <w:tr>
        <w:trPr/>
        <w:tc>
          <w:tcPr>
            <w:tcW w:w="5279" w:type="dxa"/>
            <w:tcBorders/>
          </w:tcPr>
          <w:p>
            <w:pPr>
              <w:pStyle w:val="TableContents"/>
              <w:bidi w:val="0"/>
              <w:spacing w:before="0" w:after="0"/>
              <w:jc w:val="left"/>
              <w:rPr>
                <w:rFonts w:ascii="Times New Roman" w:hAnsi="Times New Roman"/>
                <w:sz w:val="20"/>
              </w:rPr>
            </w:pPr>
            <w:r>
              <w:rPr>
                <w:rFonts w:ascii="Times New Roman" w:hAnsi="Times New Roman"/>
                <w:sz w:val="20"/>
              </w:rPr>
              <w:t>Other debtors</w:t>
            </w:r>
          </w:p>
        </w:tc>
        <w:tc>
          <w:tcPr>
            <w:tcW w:w="24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b/>
              </w:rPr>
            </w:pPr>
            <w:r>
              <w:rPr>
                <w:b/>
              </w:rPr>
              <w:t>233</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126</w:t>
            </w:r>
          </w:p>
        </w:tc>
        <w:tc>
          <w:tcPr>
            <w:tcW w:w="64" w:type="dxa"/>
            <w:tcBorders/>
            <w:vAlign w:val="bottom"/>
          </w:tcPr>
          <w:p>
            <w:pPr>
              <w:pStyle w:val="TableContents"/>
              <w:bidi w:val="0"/>
              <w:spacing w:before="0" w:after="283"/>
              <w:jc w:val="left"/>
              <w:rPr/>
            </w:pPr>
            <w:r>
              <w:rPr/>
              <w:t> </w:t>
            </w:r>
          </w:p>
        </w:tc>
      </w:tr>
      <w:tr>
        <w:trPr/>
        <w:tc>
          <w:tcPr>
            <w:tcW w:w="52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taxation – VAT</w:t>
            </w:r>
          </w:p>
        </w:tc>
        <w:tc>
          <w:tcPr>
            <w:tcW w:w="24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1,134</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1,309</w:t>
            </w:r>
          </w:p>
        </w:tc>
        <w:tc>
          <w:tcPr>
            <w:tcW w:w="64" w:type="dxa"/>
            <w:tcBorders/>
            <w:shd w:fill="CCEEFF" w:val="clear"/>
            <w:vAlign w:val="bottom"/>
          </w:tcPr>
          <w:p>
            <w:pPr>
              <w:pStyle w:val="TableContents"/>
              <w:bidi w:val="0"/>
              <w:spacing w:before="0" w:after="283"/>
              <w:jc w:val="left"/>
              <w:rPr/>
            </w:pPr>
            <w:r>
              <w:rPr/>
              <w:t> </w:t>
            </w:r>
          </w:p>
        </w:tc>
      </w:tr>
      <w:tr>
        <w:trPr/>
        <w:tc>
          <w:tcPr>
            <w:tcW w:w="5279"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accrued income</w:t>
            </w:r>
          </w:p>
        </w:tc>
        <w:tc>
          <w:tcPr>
            <w:tcW w:w="24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77" w:type="dxa"/>
            <w:tcBorders/>
            <w:vAlign w:val="bottom"/>
          </w:tcPr>
          <w:p>
            <w:pPr>
              <w:pStyle w:val="TableContents"/>
              <w:bidi w:val="0"/>
              <w:spacing w:before="0" w:after="283"/>
              <w:jc w:val="right"/>
              <w:rPr>
                <w:b/>
              </w:rPr>
            </w:pPr>
            <w:r>
              <w:rPr>
                <w:b/>
              </w:rPr>
              <w:t>1,155</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pPr>
            <w:r>
              <w:rPr/>
              <w:t>1,221</w:t>
            </w:r>
          </w:p>
        </w:tc>
        <w:tc>
          <w:tcPr>
            <w:tcW w:w="64" w:type="dxa"/>
            <w:tcBorders/>
            <w:vAlign w:val="bottom"/>
          </w:tcPr>
          <w:p>
            <w:pPr>
              <w:pStyle w:val="TableContents"/>
              <w:bidi w:val="0"/>
              <w:spacing w:before="0" w:after="283"/>
              <w:jc w:val="left"/>
              <w:rPr/>
            </w:pPr>
            <w:r>
              <w:rPr/>
              <w:t> </w:t>
            </w:r>
          </w:p>
        </w:tc>
      </w:tr>
      <w:tr>
        <w:trPr/>
        <w:tc>
          <w:tcPr>
            <w:tcW w:w="527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7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5279" w:type="dxa"/>
            <w:tcBorders/>
            <w:shd w:fill="CCEEFF" w:val="clear"/>
          </w:tcPr>
          <w:p>
            <w:pPr>
              <w:pStyle w:val="TableContents"/>
              <w:bidi w:val="0"/>
              <w:spacing w:before="0" w:after="283"/>
              <w:jc w:val="left"/>
              <w:rPr>
                <w:sz w:val="4"/>
                <w:szCs w:val="4"/>
              </w:rPr>
            </w:pPr>
            <w:r>
              <w:rPr>
                <w:sz w:val="4"/>
                <w:szCs w:val="4"/>
              </w:rPr>
            </w:r>
          </w:p>
        </w:tc>
        <w:tc>
          <w:tcPr>
            <w:tcW w:w="24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77" w:type="dxa"/>
            <w:tcBorders/>
            <w:shd w:fill="CCEEFF" w:val="clear"/>
            <w:vAlign w:val="bottom"/>
          </w:tcPr>
          <w:p>
            <w:pPr>
              <w:pStyle w:val="TableContents"/>
              <w:bidi w:val="0"/>
              <w:spacing w:before="0" w:after="283"/>
              <w:jc w:val="right"/>
              <w:rPr>
                <w:b/>
              </w:rPr>
            </w:pPr>
            <w:r>
              <w:rPr>
                <w:b/>
              </w:rPr>
              <w:t>11,589</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pPr>
            <w:r>
              <w:rPr/>
              <w:t>10,586</w:t>
            </w:r>
          </w:p>
        </w:tc>
        <w:tc>
          <w:tcPr>
            <w:tcW w:w="64" w:type="dxa"/>
            <w:tcBorders/>
            <w:shd w:fill="CCEEFF" w:val="clear"/>
            <w:vAlign w:val="bottom"/>
          </w:tcPr>
          <w:p>
            <w:pPr>
              <w:pStyle w:val="TableContents"/>
              <w:bidi w:val="0"/>
              <w:spacing w:before="0" w:after="283"/>
              <w:jc w:val="left"/>
              <w:rPr/>
            </w:pPr>
            <w:r>
              <w:rPr/>
              <w:t> </w:t>
            </w:r>
          </w:p>
        </w:tc>
      </w:tr>
      <w:tr>
        <w:trPr/>
        <w:tc>
          <w:tcPr>
            <w:tcW w:w="5279" w:type="dxa"/>
            <w:tcBorders/>
            <w:vAlign w:val="bottom"/>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77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Trade debtors above are stated after provisions for bad debts of £173,361 (2024: £167,719). </w:t>
      </w:r>
    </w:p>
    <w:p>
      <w:pPr>
        <w:pStyle w:val="TextBody"/>
        <w:bidi w:val="0"/>
        <w:spacing w:before="240" w:after="0"/>
        <w:jc w:val="left"/>
        <w:rPr>
          <w:rFonts w:ascii="Times New Roman" w:hAnsi="Times New Roman"/>
          <w:sz w:val="20"/>
        </w:rPr>
      </w:pPr>
      <w:r>
        <w:rPr>
          <w:rFonts w:ascii="Times New Roman" w:hAnsi="Times New Roman"/>
          <w:sz w:val="20"/>
        </w:rPr>
        <w:t xml:space="preserve">The Directors of the Company consider the carrying value of these items approximate to fair value.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17</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Creditors and accruals: amounts falling due within one year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61"/>
        <w:gridCol w:w="191"/>
        <w:gridCol w:w="62"/>
        <w:gridCol w:w="783"/>
        <w:gridCol w:w="155"/>
        <w:gridCol w:w="133"/>
        <w:gridCol w:w="74"/>
        <w:gridCol w:w="937"/>
        <w:gridCol w:w="159"/>
      </w:tblGrid>
      <w:tr>
        <w:trPr/>
        <w:tc>
          <w:tcPr>
            <w:tcW w:w="5261"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261"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45" w:type="dxa"/>
            <w:gridSpan w:val="2"/>
            <w:tcBorders/>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1011" w:type="dxa"/>
            <w:gridSpan w:val="2"/>
            <w:tcBorders/>
            <w:vAlign w:val="bottom"/>
          </w:tcPr>
          <w:p>
            <w:pPr>
              <w:pStyle w:val="TableContents"/>
              <w:bidi w:val="0"/>
              <w:spacing w:before="0" w:after="283"/>
              <w:jc w:val="center"/>
              <w:rPr/>
            </w:pPr>
            <w:r>
              <w:rPr/>
              <w:t>2024</w:t>
              <w:br/>
              <w:t>£’000</w:t>
              <w:br/>
              <w:t>Unaudited</w:t>
            </w:r>
          </w:p>
        </w:tc>
        <w:tc>
          <w:tcPr>
            <w:tcW w:w="159" w:type="dxa"/>
            <w:tcBorders/>
            <w:vAlign w:val="bottom"/>
          </w:tcPr>
          <w:p>
            <w:pPr>
              <w:pStyle w:val="TableContents"/>
              <w:bidi w:val="0"/>
              <w:spacing w:before="0" w:after="283"/>
              <w:jc w:val="left"/>
              <w:rPr/>
            </w:pPr>
            <w:r>
              <w:rPr/>
              <w:t> </w:t>
            </w:r>
          </w:p>
        </w:tc>
      </w:tr>
      <w:tr>
        <w:trPr/>
        <w:tc>
          <w:tcPr>
            <w:tcW w:w="5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creditors</w:t>
            </w:r>
          </w:p>
        </w:tc>
        <w:tc>
          <w:tcPr>
            <w:tcW w:w="19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(4,734</w:t>
            </w:r>
          </w:p>
        </w:tc>
        <w:tc>
          <w:tcPr>
            <w:tcW w:w="155" w:type="dxa"/>
            <w:tcBorders/>
            <w:shd w:fill="CCEEFF" w:val="clear"/>
            <w:vAlign w:val="bottom"/>
          </w:tcPr>
          <w:p>
            <w:pPr>
              <w:pStyle w:val="TableContents"/>
              <w:bidi w:val="0"/>
              <w:spacing w:before="0" w:after="283"/>
              <w:jc w:val="left"/>
              <w:rPr>
                <w:b/>
              </w:rPr>
            </w:pPr>
            <w:r>
              <w:rPr>
                <w:b/>
              </w:rPr>
              <w:t>) </w:t>
            </w:r>
          </w:p>
        </w:tc>
        <w:tc>
          <w:tcPr>
            <w:tcW w:w="13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(3,341</w:t>
            </w:r>
          </w:p>
        </w:tc>
        <w:tc>
          <w:tcPr>
            <w:tcW w:w="159" w:type="dxa"/>
            <w:tcBorders/>
            <w:shd w:fill="CCEEFF" w:val="clear"/>
            <w:vAlign w:val="bottom"/>
          </w:tcPr>
          <w:p>
            <w:pPr>
              <w:pStyle w:val="TableContents"/>
              <w:bidi w:val="0"/>
              <w:spacing w:before="0" w:after="283"/>
              <w:jc w:val="left"/>
              <w:rPr/>
            </w:pPr>
            <w:r>
              <w:rPr/>
              <w:t>) </w:t>
            </w:r>
          </w:p>
        </w:tc>
      </w:tr>
      <w:tr>
        <w:trPr/>
        <w:tc>
          <w:tcPr>
            <w:tcW w:w="5261" w:type="dxa"/>
            <w:tcBorders/>
          </w:tcPr>
          <w:p>
            <w:pPr>
              <w:pStyle w:val="TableContents"/>
              <w:bidi w:val="0"/>
              <w:spacing w:before="0" w:after="0"/>
              <w:jc w:val="left"/>
              <w:rPr>
                <w:rFonts w:ascii="Times New Roman" w:hAnsi="Times New Roman"/>
                <w:sz w:val="20"/>
              </w:rPr>
            </w:pPr>
            <w:r>
              <w:rPr>
                <w:rFonts w:ascii="Times New Roman" w:hAnsi="Times New Roman"/>
                <w:sz w:val="20"/>
              </w:rPr>
              <w:t>Taxation and social security</w:t>
            </w:r>
          </w:p>
        </w:tc>
        <w:tc>
          <w:tcPr>
            <w:tcW w:w="19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(3,116</w:t>
            </w:r>
          </w:p>
        </w:tc>
        <w:tc>
          <w:tcPr>
            <w:tcW w:w="155" w:type="dxa"/>
            <w:tcBorders/>
            <w:vAlign w:val="bottom"/>
          </w:tcPr>
          <w:p>
            <w:pPr>
              <w:pStyle w:val="TableContents"/>
              <w:bidi w:val="0"/>
              <w:spacing w:before="0" w:after="283"/>
              <w:jc w:val="left"/>
              <w:rPr>
                <w:b/>
              </w:rPr>
            </w:pPr>
            <w:r>
              <w:rPr>
                <w:b/>
              </w:rPr>
              <w:t>) </w:t>
            </w:r>
          </w:p>
        </w:tc>
        <w:tc>
          <w:tcPr>
            <w:tcW w:w="13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(3,169</w:t>
            </w:r>
          </w:p>
        </w:tc>
        <w:tc>
          <w:tcPr>
            <w:tcW w:w="159" w:type="dxa"/>
            <w:tcBorders/>
            <w:vAlign w:val="bottom"/>
          </w:tcPr>
          <w:p>
            <w:pPr>
              <w:pStyle w:val="TableContents"/>
              <w:bidi w:val="0"/>
              <w:spacing w:before="0" w:after="283"/>
              <w:jc w:val="left"/>
              <w:rPr/>
            </w:pPr>
            <w:r>
              <w:rPr/>
              <w:t>) </w:t>
            </w:r>
          </w:p>
        </w:tc>
      </w:tr>
      <w:tr>
        <w:trPr/>
        <w:tc>
          <w:tcPr>
            <w:tcW w:w="5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19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(2,000</w:t>
            </w:r>
          </w:p>
        </w:tc>
        <w:tc>
          <w:tcPr>
            <w:tcW w:w="155" w:type="dxa"/>
            <w:tcBorders/>
            <w:shd w:fill="CCEEFF" w:val="clear"/>
            <w:vAlign w:val="bottom"/>
          </w:tcPr>
          <w:p>
            <w:pPr>
              <w:pStyle w:val="TableContents"/>
              <w:bidi w:val="0"/>
              <w:spacing w:before="0" w:after="283"/>
              <w:jc w:val="left"/>
              <w:rPr>
                <w:b/>
              </w:rPr>
            </w:pPr>
            <w:r>
              <w:rPr>
                <w:b/>
              </w:rPr>
              <w:t>) </w:t>
            </w:r>
          </w:p>
        </w:tc>
        <w:tc>
          <w:tcPr>
            <w:tcW w:w="13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(3,000</w:t>
            </w:r>
          </w:p>
        </w:tc>
        <w:tc>
          <w:tcPr>
            <w:tcW w:w="159" w:type="dxa"/>
            <w:tcBorders/>
            <w:shd w:fill="CCEEFF" w:val="clear"/>
            <w:vAlign w:val="bottom"/>
          </w:tcPr>
          <w:p>
            <w:pPr>
              <w:pStyle w:val="TableContents"/>
              <w:bidi w:val="0"/>
              <w:spacing w:before="0" w:after="283"/>
              <w:jc w:val="left"/>
              <w:rPr/>
            </w:pPr>
            <w:r>
              <w:rPr/>
              <w:t>) </w:t>
            </w:r>
          </w:p>
        </w:tc>
      </w:tr>
      <w:tr>
        <w:trPr/>
        <w:tc>
          <w:tcPr>
            <w:tcW w:w="5261" w:type="dxa"/>
            <w:tcBorders/>
          </w:tcPr>
          <w:p>
            <w:pPr>
              <w:pStyle w:val="TableContents"/>
              <w:bidi w:val="0"/>
              <w:spacing w:before="0" w:after="0"/>
              <w:jc w:val="left"/>
              <w:rPr>
                <w:rFonts w:ascii="Times New Roman" w:hAnsi="Times New Roman"/>
                <w:sz w:val="20"/>
              </w:rPr>
            </w:pPr>
            <w:r>
              <w:rPr>
                <w:rFonts w:ascii="Times New Roman" w:hAnsi="Times New Roman"/>
                <w:sz w:val="20"/>
              </w:rPr>
              <w:t>Other creditors</w:t>
            </w:r>
          </w:p>
        </w:tc>
        <w:tc>
          <w:tcPr>
            <w:tcW w:w="19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(1,132</w:t>
            </w:r>
          </w:p>
        </w:tc>
        <w:tc>
          <w:tcPr>
            <w:tcW w:w="155" w:type="dxa"/>
            <w:tcBorders/>
            <w:vAlign w:val="bottom"/>
          </w:tcPr>
          <w:p>
            <w:pPr>
              <w:pStyle w:val="TableContents"/>
              <w:bidi w:val="0"/>
              <w:spacing w:before="0" w:after="283"/>
              <w:jc w:val="left"/>
              <w:rPr>
                <w:b/>
              </w:rPr>
            </w:pPr>
            <w:r>
              <w:rPr>
                <w:b/>
              </w:rPr>
              <w:t>) </w:t>
            </w:r>
          </w:p>
        </w:tc>
        <w:tc>
          <w:tcPr>
            <w:tcW w:w="13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(368</w:t>
            </w:r>
          </w:p>
        </w:tc>
        <w:tc>
          <w:tcPr>
            <w:tcW w:w="159" w:type="dxa"/>
            <w:tcBorders/>
            <w:vAlign w:val="bottom"/>
          </w:tcPr>
          <w:p>
            <w:pPr>
              <w:pStyle w:val="TableContents"/>
              <w:bidi w:val="0"/>
              <w:spacing w:before="0" w:after="283"/>
              <w:jc w:val="left"/>
              <w:rPr/>
            </w:pPr>
            <w:r>
              <w:rPr/>
              <w:t>) </w:t>
            </w:r>
          </w:p>
        </w:tc>
      </w:tr>
      <w:tr>
        <w:trPr/>
        <w:tc>
          <w:tcPr>
            <w:tcW w:w="52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Accruals and deferred income</w:t>
            </w:r>
          </w:p>
        </w:tc>
        <w:tc>
          <w:tcPr>
            <w:tcW w:w="191"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3" w:type="dxa"/>
            <w:tcBorders/>
            <w:shd w:fill="CCEEFF" w:val="clear"/>
            <w:vAlign w:val="bottom"/>
          </w:tcPr>
          <w:p>
            <w:pPr>
              <w:pStyle w:val="TableContents"/>
              <w:bidi w:val="0"/>
              <w:spacing w:before="0" w:after="283"/>
              <w:jc w:val="right"/>
              <w:rPr>
                <w:b/>
              </w:rPr>
            </w:pPr>
            <w:r>
              <w:rPr>
                <w:b/>
              </w:rPr>
              <w:t>(6,766</w:t>
            </w:r>
          </w:p>
        </w:tc>
        <w:tc>
          <w:tcPr>
            <w:tcW w:w="155" w:type="dxa"/>
            <w:tcBorders/>
            <w:shd w:fill="CCEEFF" w:val="clear"/>
            <w:vAlign w:val="bottom"/>
          </w:tcPr>
          <w:p>
            <w:pPr>
              <w:pStyle w:val="TableContents"/>
              <w:bidi w:val="0"/>
              <w:spacing w:before="0" w:after="283"/>
              <w:jc w:val="left"/>
              <w:rPr>
                <w:b/>
              </w:rPr>
            </w:pPr>
            <w:r>
              <w:rPr>
                <w:b/>
              </w:rPr>
              <w:t>) </w:t>
            </w:r>
          </w:p>
        </w:tc>
        <w:tc>
          <w:tcPr>
            <w:tcW w:w="133"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937" w:type="dxa"/>
            <w:tcBorders/>
            <w:shd w:fill="CCEEFF" w:val="clear"/>
            <w:vAlign w:val="bottom"/>
          </w:tcPr>
          <w:p>
            <w:pPr>
              <w:pStyle w:val="TableContents"/>
              <w:bidi w:val="0"/>
              <w:spacing w:before="0" w:after="283"/>
              <w:jc w:val="right"/>
              <w:rPr/>
            </w:pPr>
            <w:r>
              <w:rPr/>
              <w:t>(5,531</w:t>
            </w:r>
          </w:p>
        </w:tc>
        <w:tc>
          <w:tcPr>
            <w:tcW w:w="159" w:type="dxa"/>
            <w:tcBorders/>
            <w:shd w:fill="CCEEFF" w:val="clear"/>
            <w:vAlign w:val="bottom"/>
          </w:tcPr>
          <w:p>
            <w:pPr>
              <w:pStyle w:val="TableContents"/>
              <w:bidi w:val="0"/>
              <w:spacing w:before="0" w:after="283"/>
              <w:jc w:val="left"/>
              <w:rPr/>
            </w:pPr>
            <w:r>
              <w:rPr/>
              <w:t>) </w:t>
            </w:r>
          </w:p>
        </w:tc>
      </w:tr>
      <w:tr>
        <w:trPr/>
        <w:tc>
          <w:tcPr>
            <w:tcW w:w="5261"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937"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261" w:type="dxa"/>
            <w:tcBorders/>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3" w:type="dxa"/>
            <w:tcBorders/>
            <w:vAlign w:val="bottom"/>
          </w:tcPr>
          <w:p>
            <w:pPr>
              <w:pStyle w:val="TableContents"/>
              <w:bidi w:val="0"/>
              <w:spacing w:before="0" w:after="283"/>
              <w:jc w:val="right"/>
              <w:rPr>
                <w:b/>
              </w:rPr>
            </w:pPr>
            <w:r>
              <w:rPr>
                <w:b/>
              </w:rPr>
              <w:t>(17,748</w:t>
            </w:r>
          </w:p>
        </w:tc>
        <w:tc>
          <w:tcPr>
            <w:tcW w:w="155" w:type="dxa"/>
            <w:tcBorders/>
            <w:vAlign w:val="bottom"/>
          </w:tcPr>
          <w:p>
            <w:pPr>
              <w:pStyle w:val="TableContents"/>
              <w:bidi w:val="0"/>
              <w:spacing w:before="0" w:after="283"/>
              <w:jc w:val="left"/>
              <w:rPr>
                <w:b/>
              </w:rPr>
            </w:pPr>
            <w:r>
              <w:rPr>
                <w:b/>
              </w:rPr>
              <w:t>) </w:t>
            </w:r>
          </w:p>
        </w:tc>
        <w:tc>
          <w:tcPr>
            <w:tcW w:w="133"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37" w:type="dxa"/>
            <w:tcBorders/>
            <w:vAlign w:val="bottom"/>
          </w:tcPr>
          <w:p>
            <w:pPr>
              <w:pStyle w:val="TableContents"/>
              <w:bidi w:val="0"/>
              <w:spacing w:before="0" w:after="283"/>
              <w:jc w:val="right"/>
              <w:rPr/>
            </w:pPr>
            <w:r>
              <w:rPr/>
              <w:t>(15,409</w:t>
            </w:r>
          </w:p>
        </w:tc>
        <w:tc>
          <w:tcPr>
            <w:tcW w:w="159" w:type="dxa"/>
            <w:tcBorders/>
            <w:vAlign w:val="bottom"/>
          </w:tcPr>
          <w:p>
            <w:pPr>
              <w:pStyle w:val="TableContents"/>
              <w:bidi w:val="0"/>
              <w:spacing w:before="0" w:after="283"/>
              <w:jc w:val="left"/>
              <w:rPr/>
            </w:pPr>
            <w:r>
              <w:rPr/>
              <w:t>) </w:t>
            </w:r>
          </w:p>
        </w:tc>
      </w:tr>
      <w:tr>
        <w:trPr/>
        <w:tc>
          <w:tcPr>
            <w:tcW w:w="5261" w:type="dxa"/>
            <w:tcBorders/>
            <w:vAlign w:val="bottom"/>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7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double" w:sz="6" w:space="1" w:color="000000"/>
              </w:pBdr>
              <w:bidi w:val="0"/>
              <w:spacing w:before="0" w:after="0"/>
              <w:jc w:val="left"/>
              <w:rPr/>
            </w:pPr>
            <w:r>
              <w:rPr/>
              <w:t> </w:t>
            </w:r>
          </w:p>
        </w:tc>
        <w:tc>
          <w:tcPr>
            <w:tcW w:w="937"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Directors of the Company consider the carrying value of these items approximate to fair value. </w:t>
      </w:r>
    </w:p>
    <w:p>
      <w:pPr>
        <w:pStyle w:val="TextBody"/>
        <w:bidi w:val="0"/>
        <w:spacing w:before="240" w:after="0"/>
        <w:jc w:val="left"/>
        <w:rPr>
          <w:rFonts w:ascii="Times New Roman" w:hAnsi="Times New Roman"/>
          <w:sz w:val="20"/>
        </w:rPr>
      </w:pPr>
      <w:r>
        <w:rPr>
          <w:rFonts w:ascii="Times New Roman" w:hAnsi="Times New Roman"/>
          <w:sz w:val="20"/>
        </w:rPr>
        <w:t xml:space="preserve">The Group has a revolving credit facility from RBSI of £3,700,000 to cover working capital and liquidity commitments. Interest is charged at SONIA plus 3.9% per annum on the drawn-down amount. A commitment fee of 1.56% per annum is charged on the undrawn amount paid quarterly in arrears. AKW Holdings Limited is a guarantor to and subject to a debenture issued in respect of the working capital facility which has been provided to DLP Limited by RBSI plc in the form of a revolving credit facility and standby letter of credit to suppliers. The facility expires on 15 October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18</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Creditors and accruals: amounts falling after more than one year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257"/>
        <w:gridCol w:w="308"/>
        <w:gridCol w:w="72"/>
        <w:gridCol w:w="779"/>
        <w:gridCol w:w="155"/>
        <w:gridCol w:w="253"/>
        <w:gridCol w:w="63"/>
        <w:gridCol w:w="710"/>
        <w:gridCol w:w="158"/>
      </w:tblGrid>
      <w:tr>
        <w:trPr/>
        <w:tc>
          <w:tcPr>
            <w:tcW w:w="5257"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53"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57" w:type="dxa"/>
            <w:tcBorders/>
            <w:vAlign w:val="bottom"/>
          </w:tcPr>
          <w:p>
            <w:pPr>
              <w:pStyle w:val="TableContents"/>
              <w:bidi w:val="0"/>
              <w:spacing w:before="0" w:after="283"/>
              <w:jc w:val="left"/>
              <w:rPr/>
            </w:pPr>
            <w:r>
              <w:rPr/>
              <w:t> </w:t>
            </w:r>
          </w:p>
        </w:tc>
        <w:tc>
          <w:tcPr>
            <w:tcW w:w="308" w:type="dxa"/>
            <w:tcBorders/>
            <w:vAlign w:val="bottom"/>
          </w:tcPr>
          <w:p>
            <w:pPr>
              <w:pStyle w:val="TableContents"/>
              <w:bidi w:val="0"/>
              <w:spacing w:before="0" w:after="283"/>
              <w:jc w:val="left"/>
              <w:rPr/>
            </w:pPr>
            <w:r>
              <w:rPr/>
              <w:t>  </w:t>
            </w:r>
          </w:p>
        </w:tc>
        <w:tc>
          <w:tcPr>
            <w:tcW w:w="851" w:type="dxa"/>
            <w:gridSpan w:val="2"/>
            <w:tcBorders/>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773"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2024</w:t>
            </w:r>
          </w:p>
          <w:p>
            <w:pPr>
              <w:pStyle w:val="TableContents"/>
              <w:bidi w:val="0"/>
              <w:spacing w:before="0" w:after="20"/>
              <w:jc w:val="center"/>
              <w:rPr>
                <w:rFonts w:ascii="Times New Roman" w:hAnsi="Times New Roman"/>
                <w:sz w:val="16"/>
              </w:rPr>
            </w:pPr>
            <w:r>
              <w:rPr>
                <w:rFonts w:ascii="Times New Roman" w:hAnsi="Times New Roman"/>
                <w:sz w:val="16"/>
              </w:rPr>
              <w:t>£000</w:t>
              <w:br/>
              <w:t>Unaudited</w:t>
            </w:r>
          </w:p>
        </w:tc>
        <w:tc>
          <w:tcPr>
            <w:tcW w:w="158" w:type="dxa"/>
            <w:tcBorders/>
            <w:vAlign w:val="bottom"/>
          </w:tcPr>
          <w:p>
            <w:pPr>
              <w:pStyle w:val="TableContents"/>
              <w:bidi w:val="0"/>
              <w:spacing w:before="0" w:after="283"/>
              <w:jc w:val="left"/>
              <w:rPr/>
            </w:pPr>
            <w:r>
              <w:rPr/>
              <w:t> </w:t>
            </w:r>
          </w:p>
        </w:tc>
      </w:tr>
      <w:tr>
        <w:trPr/>
        <w:tc>
          <w:tcPr>
            <w:tcW w:w="525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Dilapidation provisions</w:t>
            </w:r>
          </w:p>
        </w:tc>
        <w:tc>
          <w:tcPr>
            <w:tcW w:w="308"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779" w:type="dxa"/>
            <w:tcBorders/>
            <w:shd w:fill="CCEEFF" w:val="clear"/>
            <w:vAlign w:val="bottom"/>
          </w:tcPr>
          <w:p>
            <w:pPr>
              <w:pStyle w:val="TableContents"/>
              <w:bidi w:val="0"/>
              <w:spacing w:before="0" w:after="283"/>
              <w:jc w:val="right"/>
              <w:rPr>
                <w:b/>
              </w:rPr>
            </w:pPr>
            <w:r>
              <w:rPr>
                <w:b/>
              </w:rPr>
              <w:t>(1,212</w:t>
            </w:r>
          </w:p>
        </w:tc>
        <w:tc>
          <w:tcPr>
            <w:tcW w:w="155" w:type="dxa"/>
            <w:tcBorders/>
            <w:shd w:fill="CCEEFF" w:val="clear"/>
            <w:vAlign w:val="bottom"/>
          </w:tcPr>
          <w:p>
            <w:pPr>
              <w:pStyle w:val="TableContents"/>
              <w:bidi w:val="0"/>
              <w:spacing w:before="0" w:after="283"/>
              <w:jc w:val="left"/>
              <w:rPr>
                <w:b/>
              </w:rPr>
            </w:pPr>
            <w:r>
              <w:rPr>
                <w:b/>
              </w:rPr>
              <w:t>) </w:t>
            </w:r>
          </w:p>
        </w:tc>
        <w:tc>
          <w:tcPr>
            <w:tcW w:w="25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710" w:type="dxa"/>
            <w:tcBorders/>
            <w:shd w:fill="CCEEFF" w:val="clear"/>
            <w:vAlign w:val="bottom"/>
          </w:tcPr>
          <w:p>
            <w:pPr>
              <w:pStyle w:val="TableContents"/>
              <w:bidi w:val="0"/>
              <w:spacing w:before="0" w:after="283"/>
              <w:jc w:val="right"/>
              <w:rPr/>
            </w:pPr>
            <w:r>
              <w:rPr/>
              <w:t>(1,521</w:t>
            </w:r>
          </w:p>
        </w:tc>
        <w:tc>
          <w:tcPr>
            <w:tcW w:w="158" w:type="dxa"/>
            <w:tcBorders/>
            <w:shd w:fill="CCEEFF" w:val="clear"/>
            <w:vAlign w:val="bottom"/>
          </w:tcPr>
          <w:p>
            <w:pPr>
              <w:pStyle w:val="TableContents"/>
              <w:bidi w:val="0"/>
              <w:spacing w:before="0" w:after="283"/>
              <w:jc w:val="left"/>
              <w:rPr/>
            </w:pPr>
            <w:r>
              <w:rPr/>
              <w:t>) </w:t>
            </w:r>
          </w:p>
        </w:tc>
      </w:tr>
      <w:tr>
        <w:trPr/>
        <w:tc>
          <w:tcPr>
            <w:tcW w:w="5257" w:type="dxa"/>
            <w:tcBorders/>
            <w:vAlign w:val="bottom"/>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pPr>
            <w:r>
              <w:rPr/>
              <w:t>  </w:t>
            </w:r>
          </w:p>
        </w:tc>
        <w:tc>
          <w:tcPr>
            <w:tcW w:w="72" w:type="dxa"/>
            <w:tcBorders/>
            <w:vAlign w:val="bottom"/>
          </w:tcPr>
          <w:p>
            <w:pPr>
              <w:pStyle w:val="TableContents"/>
              <w:pBdr>
                <w:top w:val="double" w:sz="6" w:space="1" w:color="000000"/>
              </w:pBdr>
              <w:bidi w:val="0"/>
              <w:spacing w:before="0" w:after="0"/>
              <w:jc w:val="left"/>
              <w:rPr/>
            </w:pPr>
            <w:r>
              <w:rPr/>
              <w:t> </w:t>
            </w:r>
          </w:p>
        </w:tc>
        <w:tc>
          <w:tcPr>
            <w:tcW w:w="7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double" w:sz="6" w:space="1" w:color="000000"/>
              </w:pBdr>
              <w:bidi w:val="0"/>
              <w:spacing w:before="0" w:after="0"/>
              <w:jc w:val="left"/>
              <w:rPr/>
            </w:pPr>
            <w:r>
              <w:rPr/>
              <w:t> </w:t>
            </w:r>
          </w:p>
        </w:tc>
        <w:tc>
          <w:tcPr>
            <w:tcW w:w="710"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Dilapidation provisions are estimated obligations to put back AKW Holdings Group leased buildings at the end of the lease into the same condition as when the leases commenced.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19</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Operating leases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Leases as lessee: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4303"/>
        <w:gridCol w:w="287"/>
        <w:gridCol w:w="99"/>
        <w:gridCol w:w="930"/>
        <w:gridCol w:w="60"/>
        <w:gridCol w:w="287"/>
        <w:gridCol w:w="60"/>
        <w:gridCol w:w="571"/>
        <w:gridCol w:w="60"/>
        <w:gridCol w:w="287"/>
        <w:gridCol w:w="97"/>
        <w:gridCol w:w="919"/>
        <w:gridCol w:w="60"/>
        <w:gridCol w:w="287"/>
        <w:gridCol w:w="97"/>
        <w:gridCol w:w="918"/>
        <w:gridCol w:w="66"/>
      </w:tblGrid>
      <w:tr>
        <w:trPr/>
        <w:tc>
          <w:tcPr>
            <w:tcW w:w="4303"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430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007" w:type="dxa"/>
            <w:gridSpan w:val="6"/>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2378" w:type="dxa"/>
            <w:gridSpan w:val="6"/>
            <w:tcBorders/>
            <w:vAlign w:val="bottom"/>
          </w:tcPr>
          <w:p>
            <w:pPr>
              <w:pStyle w:val="TableContents"/>
              <w:bidi w:val="0"/>
              <w:spacing w:before="0" w:after="283"/>
              <w:jc w:val="center"/>
              <w:rPr/>
            </w:pPr>
            <w:r>
              <w:rPr/>
              <w:t>2024</w:t>
            </w:r>
          </w:p>
        </w:tc>
        <w:tc>
          <w:tcPr>
            <w:tcW w:w="66"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029" w:type="dxa"/>
            <w:gridSpan w:val="2"/>
            <w:tcBorders/>
            <w:vAlign w:val="bottom"/>
          </w:tcPr>
          <w:p>
            <w:pPr>
              <w:pStyle w:val="TableContents"/>
              <w:bidi w:val="0"/>
              <w:spacing w:before="0" w:after="283"/>
              <w:jc w:val="center"/>
              <w:rPr>
                <w:b/>
              </w:rPr>
            </w:pPr>
            <w:r>
              <w:rPr>
                <w:b/>
              </w:rPr>
              <w:t>Land and</w:t>
              <w:br/>
              <w:t>buildings</w:t>
              <w:br/>
              <w:t>£’000</w:t>
              <w:br/>
              <w:t>Audited</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31" w:type="dxa"/>
            <w:gridSpan w:val="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Other</w:t>
              <w:br/>
              <w:t>£’000</w:t>
            </w:r>
          </w:p>
          <w:p>
            <w:pPr>
              <w:pStyle w:val="TableContents"/>
              <w:bidi w:val="0"/>
              <w:spacing w:before="0" w:after="20"/>
              <w:jc w:val="center"/>
              <w:rPr>
                <w:rFonts w:ascii="Times New Roman" w:hAnsi="Times New Roman"/>
                <w:b/>
                <w:sz w:val="16"/>
              </w:rPr>
            </w:pPr>
            <w:r>
              <w:rPr>
                <w:rFonts w:ascii="Times New Roman" w:hAnsi="Times New Roman"/>
                <w:b/>
                <w:sz w:val="16"/>
              </w:rPr>
              <w:t>Audited</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016" w:type="dxa"/>
            <w:gridSpan w:val="2"/>
            <w:tcBorders/>
            <w:vAlign w:val="bottom"/>
          </w:tcPr>
          <w:p>
            <w:pPr>
              <w:pStyle w:val="TableContents"/>
              <w:bidi w:val="0"/>
              <w:spacing w:before="0" w:after="283"/>
              <w:jc w:val="center"/>
              <w:rPr/>
            </w:pPr>
            <w:r>
              <w:rPr/>
              <w:t>Land and</w:t>
              <w:br/>
              <w:t>buildings</w:t>
              <w:br/>
              <w:t>£’000</w:t>
              <w:br/>
              <w:t>Unaudited</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1015" w:type="dxa"/>
            <w:gridSpan w:val="2"/>
            <w:tcBorders/>
            <w:vAlign w:val="bottom"/>
          </w:tcPr>
          <w:p>
            <w:pPr>
              <w:pStyle w:val="TableContents"/>
              <w:bidi w:val="0"/>
              <w:spacing w:before="0" w:after="283"/>
              <w:jc w:val="center"/>
              <w:rPr/>
            </w:pPr>
            <w:r>
              <w:rPr/>
              <w:t>Other</w:t>
              <w:br/>
              <w:t>£’000</w:t>
              <w:br/>
              <w:t>Unaudited</w:t>
            </w:r>
          </w:p>
        </w:tc>
        <w:tc>
          <w:tcPr>
            <w:tcW w:w="66"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Non-cancellable operating lease rentals are payable as follows:</w:t>
            </w:r>
          </w:p>
        </w:tc>
        <w:tc>
          <w:tcPr>
            <w:tcW w:w="28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sz w:val="4"/>
                <w:szCs w:val="4"/>
              </w:rPr>
            </w:pPr>
            <w:r>
              <w:rPr>
                <w:sz w:val="4"/>
                <w:szCs w:val="4"/>
              </w:rPr>
            </w:r>
          </w:p>
        </w:tc>
        <w:tc>
          <w:tcPr>
            <w:tcW w:w="93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57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sz w:val="4"/>
                <w:szCs w:val="4"/>
              </w:rPr>
            </w:pPr>
            <w:r>
              <w:rPr>
                <w:sz w:val="4"/>
                <w:szCs w:val="4"/>
              </w:rPr>
            </w:r>
          </w:p>
        </w:tc>
        <w:tc>
          <w:tcPr>
            <w:tcW w:w="918" w:type="dxa"/>
            <w:tcBorders/>
            <w:shd w:fill="CCEEFF" w:val="clear"/>
            <w:vAlign w:val="bottom"/>
          </w:tcPr>
          <w:p>
            <w:pPr>
              <w:pStyle w:val="TableContents"/>
              <w:bidi w:val="0"/>
              <w:spacing w:before="0" w:after="283"/>
              <w:jc w:val="left"/>
              <w:rPr>
                <w:sz w:val="4"/>
                <w:szCs w:val="4"/>
              </w:rPr>
            </w:pPr>
            <w:r>
              <w:rPr>
                <w:sz w:val="4"/>
                <w:szCs w:val="4"/>
              </w:rPr>
            </w:r>
          </w:p>
        </w:tc>
        <w:tc>
          <w:tcPr>
            <w:tcW w:w="66" w:type="dxa"/>
            <w:tcBorders/>
            <w:shd w:fill="CCEEFF" w:val="clear"/>
            <w:vAlign w:val="bottom"/>
          </w:tcPr>
          <w:p>
            <w:pPr>
              <w:pStyle w:val="TableContents"/>
              <w:bidi w:val="0"/>
              <w:spacing w:before="0" w:after="283"/>
              <w:jc w:val="left"/>
              <w:rPr>
                <w:sz w:val="4"/>
                <w:szCs w:val="4"/>
              </w:rPr>
            </w:pPr>
            <w:r>
              <w:rPr>
                <w:sz w:val="4"/>
                <w:szCs w:val="4"/>
              </w:rPr>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Not later than one year</w:t>
            </w:r>
          </w:p>
        </w:tc>
        <w:tc>
          <w:tcPr>
            <w:tcW w:w="28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b/>
              </w:rPr>
            </w:pPr>
            <w:r>
              <w:rPr>
                <w:b/>
              </w:rPr>
              <w:t>1,086</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b/>
              </w:rPr>
            </w:pPr>
            <w:r>
              <w:rPr>
                <w:b/>
              </w:rPr>
              <w:t>517</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1,179</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461</w:t>
            </w:r>
          </w:p>
        </w:tc>
        <w:tc>
          <w:tcPr>
            <w:tcW w:w="66" w:type="dxa"/>
            <w:tcBorders/>
            <w:vAlign w:val="bottom"/>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Later than one year and not later than five years</w:t>
            </w:r>
          </w:p>
        </w:tc>
        <w:tc>
          <w:tcPr>
            <w:tcW w:w="28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b/>
              </w:rPr>
            </w:pPr>
            <w:r>
              <w:rPr>
                <w:b/>
              </w:rPr>
              <w:t>1,267</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521</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2,092</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657</w:t>
            </w:r>
          </w:p>
        </w:tc>
        <w:tc>
          <w:tcPr>
            <w:tcW w:w="66" w:type="dxa"/>
            <w:tcBorders/>
            <w:shd w:fill="CCEEFF" w:val="clear"/>
            <w:vAlign w:val="bottom"/>
          </w:tcPr>
          <w:p>
            <w:pPr>
              <w:pStyle w:val="TableContents"/>
              <w:bidi w:val="0"/>
              <w:spacing w:before="0" w:after="283"/>
              <w:jc w:val="left"/>
              <w:rPr/>
            </w:pPr>
            <w:r>
              <w:rPr/>
              <w:t> </w:t>
            </w:r>
          </w:p>
        </w:tc>
      </w:tr>
      <w:tr>
        <w:trPr/>
        <w:tc>
          <w:tcPr>
            <w:tcW w:w="4303" w:type="dxa"/>
            <w:tcBorders/>
          </w:tcPr>
          <w:p>
            <w:pPr>
              <w:pStyle w:val="TableContents"/>
              <w:bidi w:val="0"/>
              <w:spacing w:before="0" w:after="0"/>
              <w:jc w:val="left"/>
              <w:rPr>
                <w:rFonts w:ascii="Times New Roman" w:hAnsi="Times New Roman"/>
                <w:sz w:val="20"/>
              </w:rPr>
            </w:pPr>
            <w:r>
              <w:rPr>
                <w:rFonts w:ascii="Times New Roman" w:hAnsi="Times New Roman"/>
                <w:sz w:val="20"/>
              </w:rPr>
              <w:t>Later than five years</w:t>
            </w:r>
          </w:p>
        </w:tc>
        <w:tc>
          <w:tcPr>
            <w:tcW w:w="287"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30" w:type="dxa"/>
            <w:tcBorders/>
            <w:vAlign w:val="bottom"/>
          </w:tcPr>
          <w:p>
            <w:pPr>
              <w:pStyle w:val="TableContents"/>
              <w:bidi w:val="0"/>
              <w:spacing w:before="0" w:after="283"/>
              <w:jc w:val="right"/>
              <w:rPr>
                <w:b/>
              </w:rPr>
            </w:pPr>
            <w:r>
              <w:rPr>
                <w:b/>
              </w:rPr>
              <w:t>1,828</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9" w:type="dxa"/>
            <w:tcBorders/>
            <w:vAlign w:val="bottom"/>
          </w:tcPr>
          <w:p>
            <w:pPr>
              <w:pStyle w:val="TableContents"/>
              <w:bidi w:val="0"/>
              <w:spacing w:before="0" w:after="283"/>
              <w:jc w:val="right"/>
              <w:rPr/>
            </w:pPr>
            <w:r>
              <w:rPr/>
              <w:t>2,084</w:t>
            </w:r>
          </w:p>
        </w:tc>
        <w:tc>
          <w:tcPr>
            <w:tcW w:w="60" w:type="dxa"/>
            <w:tcBorders/>
            <w:vAlign w:val="bottom"/>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18"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single" w:sz="2" w:space="1" w:color="000000"/>
              </w:pBdr>
              <w:bidi w:val="0"/>
              <w:spacing w:before="0" w:after="0"/>
              <w:jc w:val="left"/>
              <w:rPr/>
            </w:pPr>
            <w:r>
              <w:rPr/>
              <w:t> </w:t>
            </w:r>
          </w:p>
        </w:tc>
        <w:tc>
          <w:tcPr>
            <w:tcW w:w="93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57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single" w:sz="2" w:space="1" w:color="000000"/>
              </w:pBdr>
              <w:bidi w:val="0"/>
              <w:spacing w:before="0" w:after="0"/>
              <w:jc w:val="left"/>
              <w:rPr/>
            </w:pPr>
            <w:r>
              <w:rPr/>
              <w:t> </w:t>
            </w:r>
          </w:p>
        </w:tc>
        <w:tc>
          <w:tcPr>
            <w:tcW w:w="918"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303" w:type="dxa"/>
            <w:tcBorders/>
            <w:shd w:fill="CCEEFF" w:val="clear"/>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30" w:type="dxa"/>
            <w:tcBorders/>
            <w:shd w:fill="CCEEFF" w:val="clear"/>
            <w:vAlign w:val="bottom"/>
          </w:tcPr>
          <w:p>
            <w:pPr>
              <w:pStyle w:val="TableContents"/>
              <w:bidi w:val="0"/>
              <w:spacing w:before="0" w:after="283"/>
              <w:jc w:val="right"/>
              <w:rPr>
                <w:b/>
              </w:rPr>
            </w:pPr>
            <w:r>
              <w:rPr>
                <w:b/>
              </w:rPr>
              <w:t>4,181</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71" w:type="dxa"/>
            <w:tcBorders/>
            <w:shd w:fill="CCEEFF" w:val="clear"/>
            <w:vAlign w:val="bottom"/>
          </w:tcPr>
          <w:p>
            <w:pPr>
              <w:pStyle w:val="TableContents"/>
              <w:bidi w:val="0"/>
              <w:spacing w:before="0" w:after="283"/>
              <w:jc w:val="right"/>
              <w:rPr>
                <w:b/>
              </w:rPr>
            </w:pPr>
            <w:r>
              <w:rPr>
                <w:b/>
              </w:rPr>
              <w:t>1,038</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9" w:type="dxa"/>
            <w:tcBorders/>
            <w:shd w:fill="CCEEFF" w:val="clear"/>
            <w:vAlign w:val="bottom"/>
          </w:tcPr>
          <w:p>
            <w:pPr>
              <w:pStyle w:val="TableContents"/>
              <w:bidi w:val="0"/>
              <w:spacing w:before="0" w:after="283"/>
              <w:jc w:val="right"/>
              <w:rPr/>
            </w:pPr>
            <w:r>
              <w:rPr/>
              <w:t>5,355</w:t>
            </w:r>
          </w:p>
        </w:tc>
        <w:tc>
          <w:tcPr>
            <w:tcW w:w="60" w:type="dxa"/>
            <w:tcBorders/>
            <w:shd w:fill="CCEEFF" w:val="clear"/>
            <w:vAlign w:val="bottom"/>
          </w:tcPr>
          <w:p>
            <w:pPr>
              <w:pStyle w:val="TableContents"/>
              <w:bidi w:val="0"/>
              <w:spacing w:before="0" w:after="283"/>
              <w:jc w:val="left"/>
              <w:rPr/>
            </w:pPr>
            <w:r>
              <w:rPr/>
              <w:t> </w:t>
            </w:r>
          </w:p>
        </w:tc>
        <w:tc>
          <w:tcPr>
            <w:tcW w:w="287"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918" w:type="dxa"/>
            <w:tcBorders/>
            <w:shd w:fill="CCEEFF" w:val="clear"/>
            <w:vAlign w:val="bottom"/>
          </w:tcPr>
          <w:p>
            <w:pPr>
              <w:pStyle w:val="TableContents"/>
              <w:bidi w:val="0"/>
              <w:spacing w:before="0" w:after="283"/>
              <w:jc w:val="right"/>
              <w:rPr/>
            </w:pPr>
            <w:r>
              <w:rPr/>
              <w:t>1,118</w:t>
            </w:r>
          </w:p>
        </w:tc>
        <w:tc>
          <w:tcPr>
            <w:tcW w:w="66" w:type="dxa"/>
            <w:tcBorders/>
            <w:shd w:fill="CCEEFF" w:val="clear"/>
            <w:vAlign w:val="bottom"/>
          </w:tcPr>
          <w:p>
            <w:pPr>
              <w:pStyle w:val="TableContents"/>
              <w:bidi w:val="0"/>
              <w:spacing w:before="0" w:after="283"/>
              <w:jc w:val="left"/>
              <w:rPr/>
            </w:pPr>
            <w:r>
              <w:rPr/>
              <w:t> </w:t>
            </w:r>
          </w:p>
        </w:tc>
      </w:tr>
      <w:tr>
        <w:trPr/>
        <w:tc>
          <w:tcPr>
            <w:tcW w:w="4303" w:type="dxa"/>
            <w:tcBorders/>
            <w:vAlign w:val="bottom"/>
          </w:tcPr>
          <w:p>
            <w:pPr>
              <w:pStyle w:val="TableContents"/>
              <w:bidi w:val="0"/>
              <w:spacing w:before="0" w:after="283"/>
              <w:jc w:val="left"/>
              <w:rPr>
                <w:sz w:val="4"/>
                <w:szCs w:val="4"/>
              </w:rPr>
            </w:pPr>
            <w:r>
              <w:rPr>
                <w:sz w:val="4"/>
                <w:szCs w:val="4"/>
              </w:rPr>
            </w:r>
          </w:p>
        </w:tc>
        <w:tc>
          <w:tcPr>
            <w:tcW w:w="287" w:type="dxa"/>
            <w:tcBorders/>
            <w:vAlign w:val="bottom"/>
          </w:tcPr>
          <w:p>
            <w:pPr>
              <w:pStyle w:val="TableContents"/>
              <w:bidi w:val="0"/>
              <w:spacing w:before="0" w:after="283"/>
              <w:jc w:val="left"/>
              <w:rPr/>
            </w:pPr>
            <w:r>
              <w:rPr/>
              <w:t>  </w:t>
            </w:r>
          </w:p>
        </w:tc>
        <w:tc>
          <w:tcPr>
            <w:tcW w:w="99" w:type="dxa"/>
            <w:tcBorders/>
            <w:vAlign w:val="bottom"/>
          </w:tcPr>
          <w:p>
            <w:pPr>
              <w:pStyle w:val="TableContents"/>
              <w:pBdr>
                <w:top w:val="double" w:sz="6" w:space="1" w:color="000000"/>
              </w:pBdr>
              <w:bidi w:val="0"/>
              <w:spacing w:before="0" w:after="0"/>
              <w:jc w:val="left"/>
              <w:rPr/>
            </w:pPr>
            <w:r>
              <w:rPr/>
              <w:t> </w:t>
            </w:r>
          </w:p>
        </w:tc>
        <w:tc>
          <w:tcPr>
            <w:tcW w:w="93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571"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91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87" w:type="dxa"/>
            <w:tcBorders/>
            <w:vAlign w:val="bottom"/>
          </w:tcPr>
          <w:p>
            <w:pPr>
              <w:pStyle w:val="TableContents"/>
              <w:bidi w:val="0"/>
              <w:spacing w:before="0" w:after="283"/>
              <w:jc w:val="left"/>
              <w:rPr/>
            </w:pPr>
            <w:r>
              <w:rPr/>
              <w:t>  </w:t>
            </w:r>
          </w:p>
        </w:tc>
        <w:tc>
          <w:tcPr>
            <w:tcW w:w="97" w:type="dxa"/>
            <w:tcBorders/>
            <w:vAlign w:val="bottom"/>
          </w:tcPr>
          <w:p>
            <w:pPr>
              <w:pStyle w:val="TableContents"/>
              <w:pBdr>
                <w:top w:val="double" w:sz="6" w:space="1" w:color="000000"/>
              </w:pBdr>
              <w:bidi w:val="0"/>
              <w:spacing w:before="0" w:after="0"/>
              <w:jc w:val="left"/>
              <w:rPr/>
            </w:pPr>
            <w:r>
              <w:rPr/>
              <w:t> </w:t>
            </w:r>
          </w:p>
        </w:tc>
        <w:tc>
          <w:tcPr>
            <w:tcW w:w="918"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year ended 31 December 2025 £1,784,912 (2024: £1,779,284 and 2023: £1,619,530) was recognised as an expense in the profit and loss account in respect of operating leases.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20</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Called up share capital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4308"/>
        <w:gridCol w:w="392"/>
        <w:gridCol w:w="114"/>
        <w:gridCol w:w="754"/>
        <w:gridCol w:w="60"/>
        <w:gridCol w:w="392"/>
        <w:gridCol w:w="137"/>
        <w:gridCol w:w="882"/>
        <w:gridCol w:w="60"/>
        <w:gridCol w:w="392"/>
        <w:gridCol w:w="137"/>
        <w:gridCol w:w="882"/>
        <w:gridCol w:w="62"/>
      </w:tblGrid>
      <w:tr>
        <w:trPr/>
        <w:tc>
          <w:tcPr>
            <w:tcW w:w="4308"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283"/>
              <w:jc w:val="center"/>
              <w:rPr>
                <w:b/>
              </w:rPr>
            </w:pPr>
            <w:r>
              <w:rPr>
                <w:b/>
              </w:rPr>
              <w:t>2025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2024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2023</w:t>
            </w:r>
          </w:p>
        </w:tc>
        <w:tc>
          <w:tcPr>
            <w:tcW w:w="62"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283"/>
              <w:jc w:val="center"/>
              <w:rPr>
                <w:b/>
              </w:rPr>
            </w:pPr>
            <w:r>
              <w:rPr>
                <w:b/>
              </w:rPr>
              <w:t>£’000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£’000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£’000</w:t>
            </w:r>
          </w:p>
        </w:tc>
        <w:tc>
          <w:tcPr>
            <w:tcW w:w="62"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283"/>
              <w:jc w:val="center"/>
              <w:rPr>
                <w:b/>
              </w:rPr>
            </w:pPr>
            <w:r>
              <w:rPr>
                <w:b/>
              </w:rPr>
              <w:t>Audited</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Unaudited</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Unaudited</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Authorised:</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1,327.42 divided into 5 classes of share</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950 A shares at £1.00 each (71.6% of the Company)</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25 B shares at £ 1.00 each (1.9% of the Company)</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 C shares at £1.00 each (1.9% of the Company)</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174.42 D shares at £1.00 each (13.1% of the Company)</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153.0 E shares at £1.00 each (11.5% of the Company)</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08" w:type="dxa"/>
            <w:tcBorders/>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Issued, called up and fully paid:</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1,327.42 divided into 5 classes of share</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sz w:val="4"/>
                <w:szCs w:val="4"/>
              </w:rPr>
            </w:pPr>
            <w:r>
              <w:rPr>
                <w:sz w:val="4"/>
                <w:szCs w:val="4"/>
              </w:rPr>
            </w:r>
          </w:p>
        </w:tc>
        <w:tc>
          <w:tcPr>
            <w:tcW w:w="75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950 A shares at £1.00 each (71.6% of the Company)</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25 B shares at £1.00 each (1.9% of the Company)</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25 C shares at £1.00 each (1.9% of the Company)</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174.42 D shares at £1.00 each (13.1% of the Company)</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— </w:t>
            </w:r>
          </w:p>
        </w:tc>
        <w:tc>
          <w:tcPr>
            <w:tcW w:w="62"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153.0 E shares at £1.00 each (11.5% of the Company)</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rHeight w:val="240" w:hRule="atLeast"/>
        </w:trPr>
        <w:tc>
          <w:tcPr>
            <w:tcW w:w="4308" w:type="dxa"/>
            <w:tcBorders/>
            <w:vAlign w:val="center"/>
          </w:tcPr>
          <w:p>
            <w:pPr>
              <w:pStyle w:val="TableContents"/>
              <w:bidi w:val="0"/>
              <w:spacing w:before="0" w:after="283"/>
              <w:jc w:val="left"/>
              <w:rPr>
                <w:sz w:val="4"/>
                <w:szCs w:val="4"/>
              </w:rPr>
            </w:pPr>
            <w:r>
              <w:rPr>
                <w:sz w:val="4"/>
                <w:szCs w:val="4"/>
              </w:rPr>
            </w:r>
          </w:p>
        </w:tc>
        <w:tc>
          <w:tcPr>
            <w:tcW w:w="1320" w:type="dxa"/>
            <w:gridSpan w:val="4"/>
            <w:tcBorders/>
            <w:vAlign w:val="center"/>
          </w:tcPr>
          <w:p>
            <w:pPr>
              <w:pStyle w:val="TableContents"/>
              <w:bidi w:val="0"/>
              <w:spacing w:before="0" w:after="283"/>
              <w:jc w:val="left"/>
              <w:rPr>
                <w:sz w:val="4"/>
                <w:szCs w:val="4"/>
              </w:rPr>
            </w:pPr>
            <w:r>
              <w:rPr>
                <w:sz w:val="4"/>
                <w:szCs w:val="4"/>
              </w:rPr>
            </w:r>
          </w:p>
        </w:tc>
        <w:tc>
          <w:tcPr>
            <w:tcW w:w="1471" w:type="dxa"/>
            <w:gridSpan w:val="4"/>
            <w:tcBorders/>
            <w:vAlign w:val="center"/>
          </w:tcPr>
          <w:p>
            <w:pPr>
              <w:pStyle w:val="TableContents"/>
              <w:bidi w:val="0"/>
              <w:spacing w:before="0" w:after="283"/>
              <w:jc w:val="left"/>
              <w:rPr>
                <w:sz w:val="4"/>
                <w:szCs w:val="4"/>
              </w:rPr>
            </w:pPr>
            <w:r>
              <w:rPr>
                <w:sz w:val="4"/>
                <w:szCs w:val="4"/>
              </w:rPr>
            </w:r>
          </w:p>
        </w:tc>
        <w:tc>
          <w:tcPr>
            <w:tcW w:w="1473" w:type="dxa"/>
            <w:gridSpan w:val="4"/>
            <w:tcBorders/>
            <w:vAlign w:val="center"/>
          </w:tcPr>
          <w:p>
            <w:pPr>
              <w:pStyle w:val="TableContents"/>
              <w:bidi w:val="0"/>
              <w:spacing w:before="0" w:after="283"/>
              <w:jc w:val="left"/>
              <w:rPr>
                <w:sz w:val="4"/>
                <w:szCs w:val="4"/>
              </w:rPr>
            </w:pPr>
            <w:r>
              <w:rPr>
                <w:sz w:val="4"/>
                <w:szCs w:val="4"/>
              </w:rPr>
            </w:r>
          </w:p>
        </w:tc>
      </w:tr>
      <w:tr>
        <w:trPr/>
        <w:tc>
          <w:tcPr>
            <w:tcW w:w="4308"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868" w:type="dxa"/>
            <w:gridSpan w:val="2"/>
            <w:tcBorders/>
            <w:vAlign w:val="bottom"/>
          </w:tcPr>
          <w:p>
            <w:pPr>
              <w:pStyle w:val="TableContents"/>
              <w:bidi w:val="0"/>
              <w:spacing w:before="0" w:after="283"/>
              <w:jc w:val="center"/>
              <w:rPr>
                <w:b/>
              </w:rPr>
            </w:pPr>
            <w:r>
              <w:rPr>
                <w:b/>
              </w:rPr>
              <w:t>2025</w:t>
              <w:br/>
              <w:t>£’000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2024</w:t>
              <w:br/>
              <w:t>£’000</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019" w:type="dxa"/>
            <w:gridSpan w:val="2"/>
            <w:tcBorders/>
            <w:vAlign w:val="bottom"/>
          </w:tcPr>
          <w:p>
            <w:pPr>
              <w:pStyle w:val="TableContents"/>
              <w:bidi w:val="0"/>
              <w:spacing w:before="0" w:after="283"/>
              <w:jc w:val="center"/>
              <w:rPr/>
            </w:pPr>
            <w:r>
              <w:rPr/>
              <w:t>2023</w:t>
              <w:br/>
              <w:t>£’000</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283"/>
              <w:jc w:val="left"/>
              <w:rPr>
                <w:b/>
              </w:rPr>
            </w:pPr>
            <w:r>
              <w:rPr>
                <w:b/>
              </w:rPr>
              <w:t>Share premium:</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sz w:val="4"/>
                <w:szCs w:val="4"/>
              </w:rPr>
            </w:pPr>
            <w:r>
              <w:rPr>
                <w:sz w:val="4"/>
                <w:szCs w:val="4"/>
              </w:rPr>
            </w:r>
          </w:p>
        </w:tc>
        <w:tc>
          <w:tcPr>
            <w:tcW w:w="75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sz w:val="4"/>
                <w:szCs w:val="4"/>
              </w:rPr>
            </w:pPr>
            <w:r>
              <w:rPr>
                <w:sz w:val="4"/>
                <w:szCs w:val="4"/>
              </w:rPr>
            </w:r>
          </w:p>
        </w:tc>
        <w:tc>
          <w:tcPr>
            <w:tcW w:w="882" w:type="dxa"/>
            <w:tcBorders/>
            <w:shd w:fill="CCEEFF" w:val="clear"/>
            <w:vAlign w:val="bottom"/>
          </w:tcPr>
          <w:p>
            <w:pPr>
              <w:pStyle w:val="TableContents"/>
              <w:bidi w:val="0"/>
              <w:spacing w:before="0" w:after="283"/>
              <w:jc w:val="left"/>
              <w:rPr>
                <w:sz w:val="4"/>
                <w:szCs w:val="4"/>
              </w:rPr>
            </w:pPr>
            <w:r>
              <w:rPr>
                <w:sz w:val="4"/>
                <w:szCs w:val="4"/>
              </w:rPr>
            </w:r>
          </w:p>
        </w:tc>
        <w:tc>
          <w:tcPr>
            <w:tcW w:w="62" w:type="dxa"/>
            <w:tcBorders/>
            <w:shd w:fill="CCEEFF" w:val="clear"/>
            <w:vAlign w:val="bottom"/>
          </w:tcPr>
          <w:p>
            <w:pPr>
              <w:pStyle w:val="TableContents"/>
              <w:bidi w:val="0"/>
              <w:spacing w:before="0" w:after="283"/>
              <w:jc w:val="left"/>
              <w:rPr>
                <w:sz w:val="4"/>
                <w:szCs w:val="4"/>
              </w:rPr>
            </w:pPr>
            <w:r>
              <w:rPr>
                <w:sz w:val="4"/>
                <w:szCs w:val="4"/>
              </w:rPr>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£99 paid in excess for A shares</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94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94</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£99 paid in excess for B shares</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£99 paid in excess for C shares</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£99 paid in excess for D shares</w:t>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17</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tcPr>
          <w:p>
            <w:pPr>
              <w:pStyle w:val="TableContents"/>
              <w:bidi w:val="0"/>
              <w:spacing w:before="0" w:after="0"/>
              <w:jc w:val="left"/>
              <w:rPr>
                <w:rFonts w:ascii="Times New Roman" w:hAnsi="Times New Roman"/>
                <w:sz w:val="20"/>
              </w:rPr>
            </w:pPr>
            <w:r>
              <w:rPr>
                <w:rFonts w:ascii="Times New Roman" w:hAnsi="Times New Roman"/>
                <w:sz w:val="20"/>
              </w:rPr>
              <w:t>£99 paid in excess for E shares</w:t>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b/>
              </w:rPr>
            </w:pPr>
            <w:r>
              <w:rPr>
                <w:b/>
              </w:rPr>
              <w:t>15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w:t>
            </w:r>
          </w:p>
        </w:tc>
        <w:tc>
          <w:tcPr>
            <w:tcW w:w="60" w:type="dxa"/>
            <w:tcBorders/>
            <w:vAlign w:val="bottom"/>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308" w:type="dxa"/>
            <w:tcBorders/>
            <w:shd w:fill="CCEEFF" w:val="clear"/>
          </w:tcPr>
          <w:p>
            <w:pPr>
              <w:pStyle w:val="TableContents"/>
              <w:bidi w:val="0"/>
              <w:spacing w:before="0" w:after="283"/>
              <w:jc w:val="left"/>
              <w:rPr>
                <w:sz w:val="4"/>
                <w:szCs w:val="4"/>
              </w:rPr>
            </w:pPr>
            <w:r>
              <w:rPr>
                <w:sz w:val="4"/>
                <w:szCs w:val="4"/>
              </w:rPr>
            </w:r>
          </w:p>
        </w:tc>
        <w:tc>
          <w:tcPr>
            <w:tcW w:w="392"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b/>
              </w:rPr>
            </w:pPr>
            <w:r>
              <w:rPr>
                <w:b/>
              </w:rPr>
              <w:t>131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131</w:t>
            </w:r>
          </w:p>
        </w:tc>
        <w:tc>
          <w:tcPr>
            <w:tcW w:w="60" w:type="dxa"/>
            <w:tcBorders/>
            <w:shd w:fill="CCEEFF" w:val="clear"/>
            <w:vAlign w:val="bottom"/>
          </w:tcPr>
          <w:p>
            <w:pPr>
              <w:pStyle w:val="TableContents"/>
              <w:bidi w:val="0"/>
              <w:spacing w:before="0" w:after="283"/>
              <w:jc w:val="left"/>
              <w:rPr/>
            </w:pPr>
            <w:r>
              <w:rPr/>
              <w:t> </w:t>
            </w:r>
          </w:p>
        </w:tc>
        <w:tc>
          <w:tcPr>
            <w:tcW w:w="392" w:type="dxa"/>
            <w:tcBorders/>
            <w:shd w:fill="CCEEFF" w:val="clear"/>
            <w:vAlign w:val="bottom"/>
          </w:tcPr>
          <w:p>
            <w:pPr>
              <w:pStyle w:val="TableContents"/>
              <w:bidi w:val="0"/>
              <w:spacing w:before="0" w:after="283"/>
              <w:jc w:val="left"/>
              <w:rPr/>
            </w:pPr>
            <w:r>
              <w:rPr/>
              <w:t>  </w:t>
            </w:r>
          </w:p>
        </w:tc>
        <w:tc>
          <w:tcPr>
            <w:tcW w:w="137"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131</w:t>
            </w:r>
          </w:p>
        </w:tc>
        <w:tc>
          <w:tcPr>
            <w:tcW w:w="62" w:type="dxa"/>
            <w:tcBorders/>
            <w:shd w:fill="CCEEFF" w:val="clear"/>
            <w:vAlign w:val="bottom"/>
          </w:tcPr>
          <w:p>
            <w:pPr>
              <w:pStyle w:val="TableContents"/>
              <w:bidi w:val="0"/>
              <w:spacing w:before="0" w:after="283"/>
              <w:jc w:val="left"/>
              <w:rPr/>
            </w:pPr>
            <w:r>
              <w:rPr/>
              <w:t> </w:t>
            </w:r>
          </w:p>
        </w:tc>
      </w:tr>
      <w:tr>
        <w:trPr/>
        <w:tc>
          <w:tcPr>
            <w:tcW w:w="4308" w:type="dxa"/>
            <w:tcBorders/>
            <w:vAlign w:val="bottom"/>
          </w:tcPr>
          <w:p>
            <w:pPr>
              <w:pStyle w:val="TableContents"/>
              <w:bidi w:val="0"/>
              <w:spacing w:before="0" w:after="283"/>
              <w:jc w:val="left"/>
              <w:rPr>
                <w:sz w:val="4"/>
                <w:szCs w:val="4"/>
              </w:rPr>
            </w:pPr>
            <w:r>
              <w:rPr>
                <w:sz w:val="4"/>
                <w:szCs w:val="4"/>
              </w:rPr>
            </w:r>
          </w:p>
        </w:tc>
        <w:tc>
          <w:tcPr>
            <w:tcW w:w="392"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92" w:type="dxa"/>
            <w:tcBorders/>
            <w:vAlign w:val="bottom"/>
          </w:tcPr>
          <w:p>
            <w:pPr>
              <w:pStyle w:val="TableContents"/>
              <w:bidi w:val="0"/>
              <w:spacing w:before="0" w:after="283"/>
              <w:jc w:val="left"/>
              <w:rPr/>
            </w:pPr>
            <w:r>
              <w:rPr/>
              <w:t>  </w:t>
            </w:r>
          </w:p>
        </w:tc>
        <w:tc>
          <w:tcPr>
            <w:tcW w:w="137"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Issued, called up and fully paid shares capital totalled £1,327.42 (2024: £1,327.42) with associated share premium of £131,414.48 (2024: £131,414.48).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21</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Interest-bearing loans and borrowings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note provides information about the contractual terms of the Group’s interest-bearing loans and borrowings, which are measured at amortised cost.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85"/>
        <w:gridCol w:w="140"/>
        <w:gridCol w:w="81"/>
        <w:gridCol w:w="947"/>
        <w:gridCol w:w="155"/>
        <w:gridCol w:w="89"/>
        <w:gridCol w:w="76"/>
        <w:gridCol w:w="849"/>
        <w:gridCol w:w="155"/>
        <w:gridCol w:w="89"/>
        <w:gridCol w:w="62"/>
        <w:gridCol w:w="784"/>
        <w:gridCol w:w="155"/>
        <w:gridCol w:w="89"/>
        <w:gridCol w:w="60"/>
        <w:gridCol w:w="696"/>
        <w:gridCol w:w="60"/>
        <w:gridCol w:w="140"/>
        <w:gridCol w:w="62"/>
        <w:gridCol w:w="693"/>
        <w:gridCol w:w="155"/>
        <w:gridCol w:w="89"/>
        <w:gridCol w:w="81"/>
        <w:gridCol w:w="947"/>
        <w:gridCol w:w="166"/>
      </w:tblGrid>
      <w:tr>
        <w:trPr/>
        <w:tc>
          <w:tcPr>
            <w:tcW w:w="3385"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89"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385" w:type="dxa"/>
            <w:tcBorders/>
            <w:vAlign w:val="bottom"/>
          </w:tcPr>
          <w:p>
            <w:pPr>
              <w:pStyle w:val="TableContents"/>
              <w:bidi w:val="0"/>
              <w:spacing w:before="0" w:after="283"/>
              <w:jc w:val="left"/>
              <w:rPr>
                <w:b/>
              </w:rPr>
            </w:pPr>
            <w:r>
              <w:rPr>
                <w:b/>
              </w:rPr>
              <w:t>Group and Company loan facilities</w:t>
            </w:r>
          </w:p>
        </w:tc>
        <w:tc>
          <w:tcPr>
            <w:tcW w:w="140"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center"/>
              <w:rPr>
                <w:b/>
              </w:rPr>
            </w:pPr>
            <w:r>
              <w:rPr>
                <w:b/>
              </w:rPr>
              <w:t>Principal/</w:t>
              <w:br/>
              <w:t>Capital</w:t>
              <w:br/>
              <w:t>2025</w:t>
              <w:br/>
              <w:t>£’000</w:t>
              <w:br/>
              <w:t>Audited</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925" w:type="dxa"/>
            <w:gridSpan w:val="2"/>
            <w:tcBorders/>
            <w:vAlign w:val="bottom"/>
          </w:tcPr>
          <w:p>
            <w:pPr>
              <w:pStyle w:val="TableContents"/>
              <w:bidi w:val="0"/>
              <w:spacing w:before="0" w:after="283"/>
              <w:jc w:val="center"/>
              <w:rPr>
                <w:b/>
              </w:rPr>
            </w:pPr>
            <w:r>
              <w:rPr>
                <w:b/>
              </w:rPr>
              <w:t>Accrued</w:t>
              <w:br/>
              <w:t>Interest</w:t>
              <w:br/>
              <w:t>2025</w:t>
              <w:br/>
              <w:t>£’000</w:t>
              <w:br/>
              <w:t>Audited</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46" w:type="dxa"/>
            <w:gridSpan w:val="2"/>
            <w:tcBorders/>
            <w:vAlign w:val="bottom"/>
          </w:tcPr>
          <w:p>
            <w:pPr>
              <w:pStyle w:val="TableContents"/>
              <w:bidi w:val="0"/>
              <w:spacing w:before="0" w:after="283"/>
              <w:jc w:val="center"/>
              <w:rPr>
                <w:b/>
              </w:rPr>
            </w:pPr>
            <w:r>
              <w:rPr>
                <w:b/>
              </w:rPr>
              <w:t>Total</w:t>
              <w:br/>
              <w:t>2025</w:t>
              <w:br/>
              <w:t>£’000</w:t>
              <w:br/>
              <w:t>Audited</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Principal/</w:t>
            </w:r>
          </w:p>
          <w:p>
            <w:pPr>
              <w:pStyle w:val="TableContents"/>
              <w:bidi w:val="0"/>
              <w:spacing w:before="0" w:after="0"/>
              <w:jc w:val="center"/>
              <w:rPr>
                <w:rFonts w:ascii="Times New Roman" w:hAnsi="Times New Roman"/>
                <w:sz w:val="16"/>
              </w:rPr>
            </w:pPr>
            <w:r>
              <w:rPr>
                <w:rFonts w:ascii="Times New Roman" w:hAnsi="Times New Roman"/>
                <w:sz w:val="16"/>
              </w:rPr>
              <w:t>Capital</w:t>
            </w:r>
          </w:p>
          <w:p>
            <w:pPr>
              <w:pStyle w:val="TableContents"/>
              <w:bidi w:val="0"/>
              <w:spacing w:before="0" w:after="0"/>
              <w:jc w:val="center"/>
              <w:rPr>
                <w:rFonts w:ascii="Times New Roman" w:hAnsi="Times New Roman"/>
                <w:sz w:val="16"/>
              </w:rPr>
            </w:pPr>
            <w:r>
              <w:rPr>
                <w:rFonts w:ascii="Times New Roman" w:hAnsi="Times New Roman"/>
                <w:sz w:val="16"/>
              </w:rPr>
              <w:t>2024</w:t>
            </w:r>
          </w:p>
          <w:p>
            <w:pPr>
              <w:pStyle w:val="TableContents"/>
              <w:bidi w:val="0"/>
              <w:spacing w:before="0" w:after="20"/>
              <w:jc w:val="center"/>
              <w:rPr>
                <w:rFonts w:ascii="Times New Roman" w:hAnsi="Times New Roman"/>
                <w:sz w:val="16"/>
              </w:rPr>
            </w:pPr>
            <w:r>
              <w:rPr>
                <w:rFonts w:ascii="Times New Roman" w:hAnsi="Times New Roman"/>
                <w:sz w:val="16"/>
              </w:rPr>
              <w:t>£’000</w:t>
              <w:br/>
              <w:t>Unaudited</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55" w:type="dxa"/>
            <w:gridSpan w:val="2"/>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Accrued</w:t>
              <w:br/>
              <w:t>interest</w:t>
              <w:br/>
              <w:t>2024</w:t>
              <w:br/>
              <w:t>£’000</w:t>
            </w:r>
          </w:p>
          <w:p>
            <w:pPr>
              <w:pStyle w:val="TableContents"/>
              <w:bidi w:val="0"/>
              <w:spacing w:before="0" w:after="20"/>
              <w:jc w:val="center"/>
              <w:rPr>
                <w:rFonts w:ascii="Times New Roman" w:hAnsi="Times New Roman"/>
                <w:sz w:val="16"/>
              </w:rPr>
            </w:pPr>
            <w:r>
              <w:rPr>
                <w:rFonts w:ascii="Times New Roman" w:hAnsi="Times New Roman"/>
                <w:sz w:val="16"/>
              </w:rPr>
              <w:t>Unaudited</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28" w:type="dxa"/>
            <w:gridSpan w:val="2"/>
            <w:tcBorders/>
            <w:vAlign w:val="bottom"/>
          </w:tcPr>
          <w:p>
            <w:pPr>
              <w:pStyle w:val="TableContents"/>
              <w:bidi w:val="0"/>
              <w:spacing w:before="0" w:after="283"/>
              <w:jc w:val="center"/>
              <w:rPr/>
            </w:pPr>
            <w:r>
              <w:rPr/>
              <w:t>Total</w:t>
              <w:br/>
              <w:t>2024</w:t>
              <w:br/>
              <w:t>£’000</w:t>
              <w:br/>
              <w:t>Unaudited</w:t>
            </w:r>
          </w:p>
        </w:tc>
        <w:tc>
          <w:tcPr>
            <w:tcW w:w="166"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Senior Facility Agreement 1</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sz w:val="4"/>
                <w:szCs w:val="4"/>
              </w:rPr>
            </w:pPr>
            <w:r>
              <w:rPr>
                <w:sz w:val="4"/>
                <w:szCs w:val="4"/>
              </w:rPr>
            </w:r>
          </w:p>
        </w:tc>
        <w:tc>
          <w:tcPr>
            <w:tcW w:w="849"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7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4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sz w:val="4"/>
                <w:szCs w:val="4"/>
              </w:rPr>
            </w:pPr>
            <w:r>
              <w:rPr>
                <w:sz w:val="4"/>
                <w:szCs w:val="4"/>
              </w:rPr>
            </w:r>
          </w:p>
        </w:tc>
        <w:tc>
          <w:tcPr>
            <w:tcW w:w="69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January</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42,457</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42,457</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40,867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40,867</w:t>
            </w:r>
          </w:p>
        </w:tc>
        <w:tc>
          <w:tcPr>
            <w:tcW w:w="166"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Loan additions</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Capitalised interest</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1,590</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1,590</w:t>
            </w:r>
          </w:p>
        </w:tc>
        <w:tc>
          <w:tcPr>
            <w:tcW w:w="166" w:type="dxa"/>
            <w:tcBorders/>
            <w:vAlign w:val="bottom"/>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interest</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sz w:val="4"/>
                <w:szCs w:val="4"/>
              </w:rPr>
            </w:pPr>
            <w:r>
              <w:rPr>
                <w:sz w:val="4"/>
                <w:szCs w:val="4"/>
              </w:rPr>
            </w:r>
          </w:p>
        </w:tc>
        <w:tc>
          <w:tcPr>
            <w:tcW w:w="947"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8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b/>
              </w:rPr>
            </w:pPr>
            <w:r>
              <w:rPr>
                <w:b/>
              </w:rPr>
              <w:t>4,668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4,668</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3,513</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3,513</w:t>
            </w:r>
          </w:p>
        </w:tc>
        <w:tc>
          <w:tcPr>
            <w:tcW w:w="166"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Repayments</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(5,957</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b/>
              </w:rPr>
            </w:pPr>
            <w:r>
              <w:rPr>
                <w:b/>
              </w:rPr>
              <w:t>(4,668</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(10,625</w:t>
            </w:r>
          </w:p>
        </w:tc>
        <w:tc>
          <w:tcPr>
            <w:tcW w:w="155" w:type="dxa"/>
            <w:tcBorders/>
            <w:vAlign w:val="bottom"/>
          </w:tcPr>
          <w:p>
            <w:pPr>
              <w:pStyle w:val="TableContents"/>
              <w:bidi w:val="0"/>
              <w:spacing w:before="0" w:after="283"/>
              <w:jc w:val="left"/>
              <w:rPr>
                <w:b/>
              </w:rPr>
            </w:pPr>
            <w:r>
              <w:rPr>
                <w:b/>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(3,513</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(3,513</w:t>
            </w:r>
          </w:p>
        </w:tc>
        <w:tc>
          <w:tcPr>
            <w:tcW w:w="166"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b/>
              </w:rPr>
            </w:pPr>
            <w:r>
              <w:rPr>
                <w:b/>
              </w:rPr>
              <w:t>36,500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36,500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42,457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42,457</w:t>
            </w:r>
          </w:p>
        </w:tc>
        <w:tc>
          <w:tcPr>
            <w:tcW w:w="166" w:type="dxa"/>
            <w:tcBorders/>
            <w:shd w:fill="CCEEFF" w:val="clear"/>
            <w:vAlign w:val="bottom"/>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Due within one year</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due within one year</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— </w:t>
            </w:r>
          </w:p>
        </w:tc>
        <w:tc>
          <w:tcPr>
            <w:tcW w:w="166" w:type="dxa"/>
            <w:tcBorders/>
            <w:shd w:fill="CCEEFF" w:val="clear"/>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sz w:val="20"/>
              </w:rPr>
            </w:pPr>
            <w:r>
              <w:rPr>
                <w:rFonts w:ascii="Times New Roman" w:hAnsi="Times New Roman"/>
                <w:sz w:val="20"/>
              </w:rPr>
              <w:t>Due after one year</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36,500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36,500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42,457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42,457</w:t>
            </w:r>
          </w:p>
        </w:tc>
        <w:tc>
          <w:tcPr>
            <w:tcW w:w="166"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due after one year</w:t>
            </w:r>
          </w:p>
        </w:tc>
        <w:tc>
          <w:tcPr>
            <w:tcW w:w="14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b/>
              </w:rPr>
            </w:pPr>
            <w:r>
              <w:rPr>
                <w:b/>
              </w:rPr>
              <w:t>36,500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4" w:type="dxa"/>
            <w:tcBorders/>
            <w:shd w:fill="CCEEFF" w:val="clear"/>
            <w:vAlign w:val="bottom"/>
          </w:tcPr>
          <w:p>
            <w:pPr>
              <w:pStyle w:val="TableContents"/>
              <w:bidi w:val="0"/>
              <w:spacing w:before="0" w:after="283"/>
              <w:jc w:val="right"/>
              <w:rPr>
                <w:b/>
              </w:rPr>
            </w:pPr>
            <w:r>
              <w:rPr>
                <w:b/>
              </w:rPr>
              <w:t>36,500</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96" w:type="dxa"/>
            <w:tcBorders/>
            <w:shd w:fill="CCEEFF" w:val="clear"/>
            <w:vAlign w:val="bottom"/>
          </w:tcPr>
          <w:p>
            <w:pPr>
              <w:pStyle w:val="TableContents"/>
              <w:bidi w:val="0"/>
              <w:spacing w:before="0" w:after="283"/>
              <w:jc w:val="right"/>
              <w:rPr/>
            </w:pPr>
            <w:r>
              <w:rPr/>
              <w:t>42,457</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693"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947" w:type="dxa"/>
            <w:tcBorders/>
            <w:shd w:fill="CCEEFF" w:val="clear"/>
            <w:vAlign w:val="bottom"/>
          </w:tcPr>
          <w:p>
            <w:pPr>
              <w:pStyle w:val="TableContents"/>
              <w:bidi w:val="0"/>
              <w:spacing w:before="0" w:after="283"/>
              <w:jc w:val="right"/>
              <w:rPr/>
            </w:pPr>
            <w:r>
              <w:rPr/>
              <w:t>42,457</w:t>
            </w:r>
          </w:p>
        </w:tc>
        <w:tc>
          <w:tcPr>
            <w:tcW w:w="166" w:type="dxa"/>
            <w:tcBorders/>
            <w:shd w:fill="CCEEFF" w:val="clear"/>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single" w:sz="2" w:space="1" w:color="000000"/>
              </w:pBdr>
              <w:bidi w:val="0"/>
              <w:spacing w:before="0" w:after="0"/>
              <w:jc w:val="left"/>
              <w:rPr/>
            </w:pPr>
            <w:r>
              <w:rPr/>
              <w:t> </w:t>
            </w:r>
          </w:p>
        </w:tc>
        <w:tc>
          <w:tcPr>
            <w:tcW w:w="84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9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69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947"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3385"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at 31 December</w:t>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b/>
              </w:rPr>
            </w:pPr>
            <w:r>
              <w:rPr>
                <w:b/>
              </w:rPr>
              <w:t>36,500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84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4" w:type="dxa"/>
            <w:tcBorders/>
            <w:vAlign w:val="bottom"/>
          </w:tcPr>
          <w:p>
            <w:pPr>
              <w:pStyle w:val="TableContents"/>
              <w:bidi w:val="0"/>
              <w:spacing w:before="0" w:after="283"/>
              <w:jc w:val="right"/>
              <w:rPr>
                <w:b/>
              </w:rPr>
            </w:pPr>
            <w:r>
              <w:rPr>
                <w:b/>
              </w:rPr>
              <w:t>36,500</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6" w:type="dxa"/>
            <w:tcBorders/>
            <w:vAlign w:val="bottom"/>
          </w:tcPr>
          <w:p>
            <w:pPr>
              <w:pStyle w:val="TableContents"/>
              <w:bidi w:val="0"/>
              <w:spacing w:before="0" w:after="283"/>
              <w:jc w:val="right"/>
              <w:rPr/>
            </w:pPr>
            <w:r>
              <w:rPr/>
              <w:t>42,457</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69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947" w:type="dxa"/>
            <w:tcBorders/>
            <w:vAlign w:val="bottom"/>
          </w:tcPr>
          <w:p>
            <w:pPr>
              <w:pStyle w:val="TableContents"/>
              <w:bidi w:val="0"/>
              <w:spacing w:before="0" w:after="283"/>
              <w:jc w:val="right"/>
              <w:rPr/>
            </w:pPr>
            <w:r>
              <w:rPr/>
              <w:t>42,457</w:t>
            </w:r>
          </w:p>
        </w:tc>
        <w:tc>
          <w:tcPr>
            <w:tcW w:w="166" w:type="dxa"/>
            <w:tcBorders/>
            <w:vAlign w:val="bottom"/>
          </w:tcPr>
          <w:p>
            <w:pPr>
              <w:pStyle w:val="TableContents"/>
              <w:bidi w:val="0"/>
              <w:spacing w:before="0" w:after="283"/>
              <w:jc w:val="left"/>
              <w:rPr/>
            </w:pPr>
            <w:r>
              <w:rPr/>
              <w:t> </w:t>
            </w:r>
          </w:p>
        </w:tc>
      </w:tr>
      <w:tr>
        <w:trPr/>
        <w:tc>
          <w:tcPr>
            <w:tcW w:w="3385"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76" w:type="dxa"/>
            <w:tcBorders/>
            <w:vAlign w:val="bottom"/>
          </w:tcPr>
          <w:p>
            <w:pPr>
              <w:pStyle w:val="TableContents"/>
              <w:pBdr>
                <w:top w:val="double" w:sz="6" w:space="1" w:color="000000"/>
              </w:pBdr>
              <w:bidi w:val="0"/>
              <w:spacing w:before="0" w:after="0"/>
              <w:jc w:val="left"/>
              <w:rPr/>
            </w:pPr>
            <w:r>
              <w:rPr/>
              <w:t> </w:t>
            </w:r>
          </w:p>
        </w:tc>
        <w:tc>
          <w:tcPr>
            <w:tcW w:w="84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7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69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double" w:sz="6" w:space="1" w:color="000000"/>
              </w:pBdr>
              <w:bidi w:val="0"/>
              <w:spacing w:before="0" w:after="0"/>
              <w:jc w:val="left"/>
              <w:rPr/>
            </w:pPr>
            <w:r>
              <w:rPr/>
              <w:t> </w:t>
            </w:r>
          </w:p>
        </w:tc>
        <w:tc>
          <w:tcPr>
            <w:tcW w:w="69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double" w:sz="6" w:space="1" w:color="000000"/>
              </w:pBdr>
              <w:bidi w:val="0"/>
              <w:spacing w:before="0" w:after="0"/>
              <w:jc w:val="left"/>
              <w:rPr/>
            </w:pPr>
            <w:r>
              <w:rPr/>
              <w:t> </w:t>
            </w:r>
          </w:p>
        </w:tc>
        <w:tc>
          <w:tcPr>
            <w:tcW w:w="947"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PennantPark Investment Corporation extended a sterling term loan facility of £28m to the Company on 15 March 2018. The funds were made available for the purpose of applying them towards the purchase price of DLP Limited and providing cash to support the business. On the same date, the Company, along with DLP Limited, entered into a debenture agreement with Pennant Park Investment Corporation. The Debenture provides fixed and floating charges over the assets of the Company. Subsequently, on 3 April 2018, AKW Medi-Care Limited became bound by the terms of the facilities agreement as an additional guarantor. Pennant Park Investment Corporation has subsequently amended the loan facility agreement allowing for additional funds to be borrowed. As of December 2025, the Company had drawn £8,500,000 of the incremental facilities with a further £12,000,000 remaining undrawn. </w:t>
      </w:r>
    </w:p>
    <w:p>
      <w:pPr>
        <w:pStyle w:val="TextBody"/>
        <w:bidi w:val="0"/>
        <w:spacing w:before="240" w:after="0"/>
        <w:jc w:val="left"/>
        <w:rPr>
          <w:rFonts w:ascii="Times New Roman" w:hAnsi="Times New Roman"/>
          <w:sz w:val="20"/>
        </w:rPr>
      </w:pPr>
      <w:r>
        <w:rPr>
          <w:rFonts w:ascii="Times New Roman" w:hAnsi="Times New Roman"/>
          <w:sz w:val="20"/>
        </w:rPr>
        <w:t xml:space="preserve">The rate of interest on the loan is the aggregate of the applicable margin and SONIA. The Company pays interest on the loan on the last day of each interest period. Applicable margin % p.a. is applied at 5.75% from (and including) the utilisation date to the date falling on the first anniversary of the utilisation date (the ‘first margin date’ being 15 March 2019), 6.00% from (and including) the first margin date to the date falling on the second anniversary of the utilisation date (the ‘second margin date’ being 15 March 2020), 6.50% from (and including) the second margin date to the date falling on the third anniversary of the utilisation date (the ‘third margin date’ being 15 March 2021) and 7.00% from (and including) the third margin date and thereafter. </w:t>
      </w:r>
    </w:p>
    <w:p>
      <w:pPr>
        <w:pStyle w:val="TextBody"/>
        <w:bidi w:val="0"/>
        <w:spacing w:before="240" w:after="0"/>
        <w:jc w:val="left"/>
        <w:rPr>
          <w:rFonts w:ascii="Times New Roman" w:hAnsi="Times New Roman"/>
          <w:sz w:val="20"/>
        </w:rPr>
      </w:pPr>
      <w:r>
        <w:rPr>
          <w:rFonts w:ascii="Times New Roman" w:hAnsi="Times New Roman"/>
          <w:sz w:val="20"/>
        </w:rPr>
        <w:t xml:space="preserve">At any time from 30 September 2023, the Company may elect that the rate of interest in relation to any loan be capitalised rather than paid in cash at the end of the relevant Interest Period applicable to such loan provided that such election is made by delivery of a written notice to the lender (the “PIK notice”) no later than three business days (in respect of a Term Rate Loan) or three RFR Banking days (in respect of a Compounded Rate Loan) prior to the end of the date of the relevant Interest Period (the “PIK election”). During the period to 31 December 2025 £nil (2024: £1,590,193) of interest was elected to be capitalised in this way. </w:t>
      </w:r>
    </w:p>
    <w:p>
      <w:pPr>
        <w:pStyle w:val="TextBody"/>
        <w:bidi w:val="0"/>
        <w:spacing w:before="240" w:after="0"/>
        <w:jc w:val="left"/>
        <w:rPr>
          <w:rFonts w:ascii="Times New Roman" w:hAnsi="Times New Roman"/>
          <w:sz w:val="20"/>
        </w:rPr>
      </w:pPr>
      <w:r>
        <w:rPr>
          <w:rFonts w:ascii="Times New Roman" w:hAnsi="Times New Roman"/>
          <w:sz w:val="20"/>
        </w:rPr>
        <w:t xml:space="preserve">On 26 January 2023 an amendment was made to the facility agreement allowing for all the outstanding amounts to be repaid on the ninth anniversary of the utilisation date being 15 March 2027. Repayment by instalments would not be required on any anniversary date prior to the ninth anniversary of the utilization date. </w:t>
      </w:r>
    </w:p>
    <w:p>
      <w:pPr>
        <w:pStyle w:val="TextBody"/>
        <w:bidi w:val="0"/>
        <w:spacing w:before="240" w:after="0"/>
        <w:jc w:val="left"/>
        <w:rPr>
          <w:rFonts w:ascii="Times New Roman" w:hAnsi="Times New Roman"/>
          <w:sz w:val="20"/>
        </w:rPr>
      </w:pPr>
      <w:r>
        <w:rPr>
          <w:rFonts w:ascii="Times New Roman" w:hAnsi="Times New Roman"/>
          <w:sz w:val="20"/>
        </w:rPr>
        <w:t xml:space="preserve">PennantPark Investment Corporation has undertaken that it will not require any repayment of the facility should the Group not have sufficient reserves to do so. This undertaking lasts for a period of at least 12 months from the date of signing these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Directors believe that the likelihood of the above guarantees being called upon against the Company is remote.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22</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Analysis of changes in net debt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97"/>
        <w:gridCol w:w="166"/>
        <w:gridCol w:w="60"/>
        <w:gridCol w:w="765"/>
        <w:gridCol w:w="155"/>
        <w:gridCol w:w="112"/>
        <w:gridCol w:w="74"/>
        <w:gridCol w:w="481"/>
        <w:gridCol w:w="60"/>
        <w:gridCol w:w="166"/>
        <w:gridCol w:w="100"/>
        <w:gridCol w:w="1127"/>
        <w:gridCol w:w="155"/>
        <w:gridCol w:w="112"/>
        <w:gridCol w:w="107"/>
        <w:gridCol w:w="1021"/>
        <w:gridCol w:w="60"/>
        <w:gridCol w:w="166"/>
        <w:gridCol w:w="59"/>
        <w:gridCol w:w="561"/>
        <w:gridCol w:w="60"/>
        <w:gridCol w:w="166"/>
        <w:gridCol w:w="60"/>
        <w:gridCol w:w="657"/>
        <w:gridCol w:w="155"/>
        <w:gridCol w:w="112"/>
        <w:gridCol w:w="60"/>
        <w:gridCol w:w="765"/>
        <w:gridCol w:w="166"/>
      </w:tblGrid>
      <w:tr>
        <w:trPr/>
        <w:tc>
          <w:tcPr>
            <w:tcW w:w="2497"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97"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At 1</w:t>
              <w:br/>
              <w:t>January</w:t>
              <w:br/>
              <w:t>2025</w:t>
            </w:r>
          </w:p>
          <w:p>
            <w:pPr>
              <w:pStyle w:val="TableContents"/>
              <w:bidi w:val="0"/>
              <w:spacing w:before="0" w:after="20"/>
              <w:jc w:val="right"/>
              <w:rPr>
                <w:rFonts w:ascii="Times New Roman" w:hAnsi="Times New Roman"/>
                <w:b/>
                <w:sz w:val="16"/>
              </w:rPr>
            </w:pPr>
            <w:r>
              <w:rPr>
                <w:rFonts w:ascii="Times New Roman" w:hAnsi="Times New Roman"/>
                <w:b/>
                <w:sz w:val="16"/>
              </w:rPr>
              <w:t>£000</w:t>
              <w:br/>
              <w:t>Unaudited</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555" w:type="dxa"/>
            <w:gridSpan w:val="2"/>
            <w:tcBorders/>
            <w:vAlign w:val="bottom"/>
          </w:tcPr>
          <w:p>
            <w:pPr>
              <w:pStyle w:val="TableContents"/>
              <w:bidi w:val="0"/>
              <w:spacing w:before="0" w:after="283"/>
              <w:jc w:val="right"/>
              <w:rPr>
                <w:b/>
              </w:rPr>
            </w:pPr>
            <w:r>
              <w:rPr>
                <w:b/>
              </w:rPr>
              <w:t>Cash</w:t>
              <w:br/>
              <w:t>flows</w:t>
              <w:br/>
              <w:t>£000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227" w:type="dxa"/>
            <w:gridSpan w:val="2"/>
            <w:tcBorders/>
            <w:vAlign w:val="bottom"/>
          </w:tcPr>
          <w:p>
            <w:pPr>
              <w:pStyle w:val="TableContents"/>
              <w:bidi w:val="0"/>
              <w:spacing w:before="0" w:after="283"/>
              <w:jc w:val="right"/>
              <w:rPr>
                <w:b/>
              </w:rPr>
            </w:pPr>
            <w:r>
              <w:rPr>
                <w:b/>
              </w:rPr>
              <w:t>Capitalised</w:t>
              <w:br/>
              <w:t>interest/Loan</w:t>
              <w:br/>
              <w:t>addition</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128" w:type="dxa"/>
            <w:gridSpan w:val="2"/>
            <w:tcBorders/>
            <w:vAlign w:val="bottom"/>
          </w:tcPr>
          <w:p>
            <w:pPr>
              <w:pStyle w:val="TableContents"/>
              <w:bidi w:val="0"/>
              <w:spacing w:before="0" w:after="283"/>
              <w:jc w:val="right"/>
              <w:rPr>
                <w:b/>
              </w:rPr>
            </w:pPr>
            <w:r>
              <w:rPr>
                <w:b/>
              </w:rPr>
              <w:t>Loan</w:t>
              <w:br/>
              <w:t>repayment</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20" w:type="dxa"/>
            <w:gridSpan w:val="2"/>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Interest</w:t>
            </w:r>
          </w:p>
          <w:p>
            <w:pPr>
              <w:pStyle w:val="TableContents"/>
              <w:bidi w:val="0"/>
              <w:spacing w:before="0" w:after="0"/>
              <w:jc w:val="right"/>
              <w:rPr>
                <w:rFonts w:ascii="Times New Roman" w:hAnsi="Times New Roman"/>
                <w:b/>
                <w:sz w:val="16"/>
              </w:rPr>
            </w:pPr>
            <w:r>
              <w:rPr>
                <w:rFonts w:ascii="Times New Roman" w:hAnsi="Times New Roman"/>
                <w:b/>
                <w:sz w:val="16"/>
              </w:rPr>
              <w:t>paid</w:t>
            </w:r>
          </w:p>
          <w:p>
            <w:pPr>
              <w:pStyle w:val="TableContents"/>
              <w:bidi w:val="0"/>
              <w:spacing w:before="0" w:after="20"/>
              <w:jc w:val="right"/>
              <w:rPr>
                <w:rFonts w:ascii="Times New Roman" w:hAnsi="Times New Roman"/>
                <w:b/>
                <w:sz w:val="16"/>
              </w:rPr>
            </w:pPr>
            <w:r>
              <w:rPr>
                <w:rFonts w:ascii="Times New Roman" w:hAnsi="Times New Roman"/>
                <w:b/>
                <w:sz w:val="16"/>
              </w:rPr>
              <w:t>£000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17" w:type="dxa"/>
            <w:gridSpan w:val="2"/>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Interest</w:t>
            </w:r>
          </w:p>
          <w:p>
            <w:pPr>
              <w:pStyle w:val="TableContents"/>
              <w:bidi w:val="0"/>
              <w:spacing w:before="0" w:after="0"/>
              <w:jc w:val="right"/>
              <w:rPr>
                <w:rFonts w:ascii="Times New Roman" w:hAnsi="Times New Roman"/>
                <w:b/>
                <w:sz w:val="16"/>
              </w:rPr>
            </w:pPr>
            <w:r>
              <w:rPr>
                <w:rFonts w:ascii="Times New Roman" w:hAnsi="Times New Roman"/>
                <w:b/>
                <w:sz w:val="16"/>
              </w:rPr>
              <w:t>accrued</w:t>
            </w:r>
          </w:p>
          <w:p>
            <w:pPr>
              <w:pStyle w:val="TableContents"/>
              <w:bidi w:val="0"/>
              <w:spacing w:before="0" w:after="20"/>
              <w:jc w:val="right"/>
              <w:rPr>
                <w:rFonts w:ascii="Times New Roman" w:hAnsi="Times New Roman"/>
                <w:b/>
                <w:sz w:val="16"/>
              </w:rPr>
            </w:pPr>
            <w:r>
              <w:rPr>
                <w:rFonts w:ascii="Times New Roman" w:hAnsi="Times New Roman"/>
                <w:b/>
                <w:sz w:val="16"/>
              </w:rPr>
              <w:t>£000</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825" w:type="dxa"/>
            <w:gridSpan w:val="2"/>
            <w:tcBorders/>
            <w:vAlign w:val="bottom"/>
          </w:tcPr>
          <w:p>
            <w:pPr>
              <w:pStyle w:val="TableContents"/>
              <w:bidi w:val="0"/>
              <w:spacing w:before="0" w:after="0"/>
              <w:jc w:val="right"/>
              <w:rPr>
                <w:rFonts w:ascii="Times New Roman" w:hAnsi="Times New Roman"/>
                <w:b/>
                <w:sz w:val="16"/>
              </w:rPr>
            </w:pPr>
            <w:r>
              <w:rPr>
                <w:rFonts w:ascii="Times New Roman" w:hAnsi="Times New Roman"/>
                <w:b/>
                <w:sz w:val="16"/>
              </w:rPr>
              <w:t>At 31</w:t>
              <w:br/>
              <w:t>December</w:t>
              <w:br/>
              <w:t>2025</w:t>
            </w:r>
          </w:p>
          <w:p>
            <w:pPr>
              <w:pStyle w:val="TableContents"/>
              <w:bidi w:val="0"/>
              <w:spacing w:before="0" w:after="20"/>
              <w:jc w:val="right"/>
              <w:rPr>
                <w:rFonts w:ascii="Times New Roman" w:hAnsi="Times New Roman"/>
                <w:b/>
                <w:sz w:val="16"/>
              </w:rPr>
            </w:pPr>
            <w:r>
              <w:rPr>
                <w:rFonts w:ascii="Times New Roman" w:hAnsi="Times New Roman"/>
                <w:b/>
                <w:sz w:val="16"/>
              </w:rPr>
              <w:t>£000</w:t>
              <w:br/>
              <w:t>Audited</w:t>
            </w:r>
          </w:p>
        </w:tc>
        <w:tc>
          <w:tcPr>
            <w:tcW w:w="166" w:type="dxa"/>
            <w:tcBorders/>
            <w:vAlign w:val="bottom"/>
          </w:tcPr>
          <w:p>
            <w:pPr>
              <w:pStyle w:val="TableContents"/>
              <w:bidi w:val="0"/>
              <w:spacing w:before="0" w:after="283"/>
              <w:jc w:val="left"/>
              <w:rPr/>
            </w:pPr>
            <w:r>
              <w:rPr/>
              <w:t> </w:t>
            </w:r>
          </w:p>
        </w:tc>
      </w:tr>
      <w:tr>
        <w:trPr/>
        <w:tc>
          <w:tcPr>
            <w:tcW w:w="2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4,619</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616</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5,235</w:t>
            </w:r>
          </w:p>
        </w:tc>
        <w:tc>
          <w:tcPr>
            <w:tcW w:w="166" w:type="dxa"/>
            <w:tcBorders/>
            <w:shd w:fill="CCEEFF" w:val="clear"/>
            <w:vAlign w:val="bottom"/>
          </w:tcPr>
          <w:p>
            <w:pPr>
              <w:pStyle w:val="TableContents"/>
              <w:bidi w:val="0"/>
              <w:spacing w:before="0" w:after="283"/>
              <w:jc w:val="left"/>
              <w:rPr/>
            </w:pPr>
            <w:r>
              <w:rPr/>
              <w:t> </w:t>
            </w:r>
          </w:p>
        </w:tc>
      </w:tr>
      <w:tr>
        <w:trPr/>
        <w:tc>
          <w:tcPr>
            <w:tcW w:w="2497"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(3,000</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pPr>
            <w:r>
              <w:rPr/>
              <w:t>(2,000</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pPr>
            <w:r>
              <w:rPr/>
              <w:t>113</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pPr>
            <w:r>
              <w:rPr/>
              <w:t>(2,000</w:t>
            </w:r>
          </w:p>
        </w:tc>
        <w:tc>
          <w:tcPr>
            <w:tcW w:w="166" w:type="dxa"/>
            <w:tcBorders/>
            <w:vAlign w:val="bottom"/>
          </w:tcPr>
          <w:p>
            <w:pPr>
              <w:pStyle w:val="TableContents"/>
              <w:bidi w:val="0"/>
              <w:spacing w:before="0" w:after="283"/>
              <w:jc w:val="left"/>
              <w:rPr/>
            </w:pPr>
            <w:r>
              <w:rPr/>
              <w:t>) </w:t>
            </w:r>
          </w:p>
        </w:tc>
      </w:tr>
      <w:tr>
        <w:trPr/>
        <w:tc>
          <w:tcPr>
            <w:tcW w:w="24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PennantPark loan facility</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(42,457</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48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00" w:type="dxa"/>
            <w:tcBorders/>
            <w:shd w:fill="CCEEFF" w:val="clear"/>
            <w:vAlign w:val="bottom"/>
          </w:tcPr>
          <w:p>
            <w:pPr>
              <w:pStyle w:val="TableContents"/>
              <w:bidi w:val="0"/>
              <w:spacing w:before="0" w:after="283"/>
              <w:jc w:val="left"/>
              <w:rPr/>
            </w:pPr>
            <w:r>
              <w:rPr/>
              <w:t> </w:t>
            </w:r>
          </w:p>
        </w:tc>
        <w:tc>
          <w:tcPr>
            <w:tcW w:w="1127"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021" w:type="dxa"/>
            <w:tcBorders/>
            <w:shd w:fill="CCEEFF" w:val="clear"/>
            <w:vAlign w:val="bottom"/>
          </w:tcPr>
          <w:p>
            <w:pPr>
              <w:pStyle w:val="TableContents"/>
              <w:bidi w:val="0"/>
              <w:spacing w:before="0" w:after="283"/>
              <w:jc w:val="right"/>
              <w:rPr/>
            </w:pPr>
            <w:r>
              <w:rPr/>
              <w:t>5,957</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561" w:type="dxa"/>
            <w:tcBorders/>
            <w:shd w:fill="CCEEFF" w:val="clear"/>
            <w:vAlign w:val="bottom"/>
          </w:tcPr>
          <w:p>
            <w:pPr>
              <w:pStyle w:val="TableContents"/>
              <w:bidi w:val="0"/>
              <w:spacing w:before="0" w:after="283"/>
              <w:jc w:val="right"/>
              <w:rPr/>
            </w:pPr>
            <w:r>
              <w:rPr/>
              <w:t>4,668</w:t>
            </w:r>
          </w:p>
        </w:tc>
        <w:tc>
          <w:tcPr>
            <w:tcW w:w="60"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57" w:type="dxa"/>
            <w:tcBorders/>
            <w:shd w:fill="CCEEFF" w:val="clear"/>
            <w:vAlign w:val="bottom"/>
          </w:tcPr>
          <w:p>
            <w:pPr>
              <w:pStyle w:val="TableContents"/>
              <w:bidi w:val="0"/>
              <w:spacing w:before="0" w:after="283"/>
              <w:jc w:val="right"/>
              <w:rPr/>
            </w:pPr>
            <w:r>
              <w:rPr/>
              <w:t>(4,668</w:t>
            </w:r>
          </w:p>
        </w:tc>
        <w:tc>
          <w:tcPr>
            <w:tcW w:w="15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65" w:type="dxa"/>
            <w:tcBorders/>
            <w:shd w:fill="CCEEFF" w:val="clear"/>
            <w:vAlign w:val="bottom"/>
          </w:tcPr>
          <w:p>
            <w:pPr>
              <w:pStyle w:val="TableContents"/>
              <w:bidi w:val="0"/>
              <w:spacing w:before="0" w:after="283"/>
              <w:jc w:val="right"/>
              <w:rPr/>
            </w:pPr>
            <w:r>
              <w:rPr/>
              <w:t>(36,500</w:t>
            </w:r>
          </w:p>
        </w:tc>
        <w:tc>
          <w:tcPr>
            <w:tcW w:w="166" w:type="dxa"/>
            <w:tcBorders/>
            <w:shd w:fill="CCEEFF" w:val="clear"/>
            <w:vAlign w:val="bottom"/>
          </w:tcPr>
          <w:p>
            <w:pPr>
              <w:pStyle w:val="TableContents"/>
              <w:bidi w:val="0"/>
              <w:spacing w:before="0" w:after="283"/>
              <w:jc w:val="left"/>
              <w:rPr/>
            </w:pPr>
            <w:r>
              <w:rPr/>
              <w:t>) </w:t>
            </w:r>
          </w:p>
        </w:tc>
      </w:tr>
      <w:tr>
        <w:trPr/>
        <w:tc>
          <w:tcPr>
            <w:tcW w:w="2497"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4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1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497" w:type="dxa"/>
            <w:tcBorders/>
          </w:tcPr>
          <w:p>
            <w:pPr>
              <w:pStyle w:val="TableContents"/>
              <w:bidi w:val="0"/>
              <w:spacing w:before="0" w:after="0"/>
              <w:jc w:val="left"/>
              <w:rPr>
                <w:rFonts w:ascii="Times New Roman" w:hAnsi="Times New Roman"/>
                <w:b/>
                <w:sz w:val="20"/>
              </w:rPr>
            </w:pPr>
            <w:r>
              <w:rPr>
                <w:rFonts w:ascii="Times New Roman" w:hAnsi="Times New Roman"/>
                <w:b/>
                <w:sz w:val="20"/>
              </w:rPr>
              <w:t>Net debt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b/>
              </w:rPr>
            </w:pPr>
            <w:r>
              <w:rPr>
                <w:b/>
              </w:rPr>
              <w:t>(40,838</w:t>
            </w:r>
          </w:p>
        </w:tc>
        <w:tc>
          <w:tcPr>
            <w:tcW w:w="155" w:type="dxa"/>
            <w:tcBorders/>
            <w:vAlign w:val="bottom"/>
          </w:tcPr>
          <w:p>
            <w:pPr>
              <w:pStyle w:val="TableContents"/>
              <w:bidi w:val="0"/>
              <w:spacing w:before="0" w:after="283"/>
              <w:jc w:val="left"/>
              <w:rPr>
                <w:b/>
              </w:rPr>
            </w:pPr>
            <w:r>
              <w:rPr>
                <w:b/>
              </w:rPr>
              <w:t>) </w:t>
            </w:r>
          </w:p>
        </w:tc>
        <w:tc>
          <w:tcPr>
            <w:tcW w:w="112"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b/>
              </w:rPr>
            </w:pPr>
            <w:r>
              <w:rPr>
                <w:b/>
              </w:rPr>
              <w:t>616</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 w:type="dxa"/>
            <w:tcBorders/>
            <w:vAlign w:val="bottom"/>
          </w:tcPr>
          <w:p>
            <w:pPr>
              <w:pStyle w:val="TableContents"/>
              <w:bidi w:val="0"/>
              <w:spacing w:before="0" w:after="283"/>
              <w:jc w:val="left"/>
              <w:rPr/>
            </w:pPr>
            <w:r>
              <w:rPr/>
              <w:t> </w:t>
            </w:r>
          </w:p>
        </w:tc>
        <w:tc>
          <w:tcPr>
            <w:tcW w:w="1127" w:type="dxa"/>
            <w:tcBorders/>
            <w:vAlign w:val="bottom"/>
          </w:tcPr>
          <w:p>
            <w:pPr>
              <w:pStyle w:val="TableContents"/>
              <w:bidi w:val="0"/>
              <w:spacing w:before="0" w:after="283"/>
              <w:jc w:val="right"/>
              <w:rPr>
                <w:b/>
              </w:rPr>
            </w:pPr>
            <w:r>
              <w:rPr>
                <w:b/>
              </w:rPr>
              <w:t>(2,000</w:t>
            </w:r>
          </w:p>
        </w:tc>
        <w:tc>
          <w:tcPr>
            <w:tcW w:w="155" w:type="dxa"/>
            <w:tcBorders/>
            <w:vAlign w:val="bottom"/>
          </w:tcPr>
          <w:p>
            <w:pPr>
              <w:pStyle w:val="TableContents"/>
              <w:bidi w:val="0"/>
              <w:spacing w:before="0" w:after="283"/>
              <w:jc w:val="left"/>
              <w:rPr>
                <w:b/>
              </w:rPr>
            </w:pPr>
            <w:r>
              <w:rPr>
                <w:b/>
              </w:rPr>
              <w:t>) </w:t>
            </w:r>
          </w:p>
        </w:tc>
        <w:tc>
          <w:tcPr>
            <w:tcW w:w="112"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021" w:type="dxa"/>
            <w:tcBorders/>
            <w:vAlign w:val="bottom"/>
          </w:tcPr>
          <w:p>
            <w:pPr>
              <w:pStyle w:val="TableContents"/>
              <w:bidi w:val="0"/>
              <w:spacing w:before="0" w:after="283"/>
              <w:jc w:val="right"/>
              <w:rPr>
                <w:b/>
              </w:rPr>
            </w:pPr>
            <w:r>
              <w:rPr>
                <w:b/>
              </w:rPr>
              <w:t>8,957</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561" w:type="dxa"/>
            <w:tcBorders/>
            <w:vAlign w:val="bottom"/>
          </w:tcPr>
          <w:p>
            <w:pPr>
              <w:pStyle w:val="TableContents"/>
              <w:bidi w:val="0"/>
              <w:spacing w:before="0" w:after="283"/>
              <w:jc w:val="right"/>
              <w:rPr>
                <w:b/>
              </w:rPr>
            </w:pPr>
            <w:r>
              <w:rPr>
                <w:b/>
              </w:rPr>
              <w:t>4,781</w:t>
            </w:r>
          </w:p>
        </w:tc>
        <w:tc>
          <w:tcPr>
            <w:tcW w:w="60"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7" w:type="dxa"/>
            <w:tcBorders/>
            <w:vAlign w:val="bottom"/>
          </w:tcPr>
          <w:p>
            <w:pPr>
              <w:pStyle w:val="TableContents"/>
              <w:bidi w:val="0"/>
              <w:spacing w:before="0" w:after="283"/>
              <w:jc w:val="right"/>
              <w:rPr>
                <w:b/>
              </w:rPr>
            </w:pPr>
            <w:r>
              <w:rPr>
                <w:b/>
              </w:rPr>
              <w:t>(4,781</w:t>
            </w:r>
          </w:p>
        </w:tc>
        <w:tc>
          <w:tcPr>
            <w:tcW w:w="155" w:type="dxa"/>
            <w:tcBorders/>
            <w:vAlign w:val="bottom"/>
          </w:tcPr>
          <w:p>
            <w:pPr>
              <w:pStyle w:val="TableContents"/>
              <w:bidi w:val="0"/>
              <w:spacing w:before="0" w:after="283"/>
              <w:jc w:val="left"/>
              <w:rPr>
                <w:b/>
              </w:rPr>
            </w:pPr>
            <w:r>
              <w:rPr>
                <w:b/>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65" w:type="dxa"/>
            <w:tcBorders/>
            <w:vAlign w:val="bottom"/>
          </w:tcPr>
          <w:p>
            <w:pPr>
              <w:pStyle w:val="TableContents"/>
              <w:bidi w:val="0"/>
              <w:spacing w:before="0" w:after="283"/>
              <w:jc w:val="right"/>
              <w:rPr>
                <w:b/>
              </w:rPr>
            </w:pPr>
            <w:r>
              <w:rPr>
                <w:b/>
              </w:rPr>
              <w:t>(33,265</w:t>
            </w:r>
          </w:p>
        </w:tc>
        <w:tc>
          <w:tcPr>
            <w:tcW w:w="166" w:type="dxa"/>
            <w:tcBorders/>
            <w:vAlign w:val="bottom"/>
          </w:tcPr>
          <w:p>
            <w:pPr>
              <w:pStyle w:val="TableContents"/>
              <w:bidi w:val="0"/>
              <w:spacing w:before="0" w:after="283"/>
              <w:jc w:val="left"/>
              <w:rPr>
                <w:b/>
              </w:rPr>
            </w:pPr>
            <w:r>
              <w:rPr>
                <w:b/>
              </w:rPr>
              <w:t>) </w:t>
            </w:r>
          </w:p>
        </w:tc>
      </w:tr>
      <w:tr>
        <w:trPr/>
        <w:tc>
          <w:tcPr>
            <w:tcW w:w="2497"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74" w:type="dxa"/>
            <w:tcBorders/>
            <w:vAlign w:val="bottom"/>
          </w:tcPr>
          <w:p>
            <w:pPr>
              <w:pStyle w:val="TableContents"/>
              <w:pBdr>
                <w:top w:val="single" w:sz="2" w:space="1" w:color="000000"/>
              </w:pBdr>
              <w:bidi w:val="0"/>
              <w:spacing w:before="0" w:after="0"/>
              <w:jc w:val="left"/>
              <w:rPr/>
            </w:pPr>
            <w:r>
              <w:rPr/>
              <w:t> </w:t>
            </w:r>
          </w:p>
        </w:tc>
        <w:tc>
          <w:tcPr>
            <w:tcW w:w="48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00" w:type="dxa"/>
            <w:tcBorders/>
            <w:vAlign w:val="bottom"/>
          </w:tcPr>
          <w:p>
            <w:pPr>
              <w:pStyle w:val="TableContents"/>
              <w:pBdr>
                <w:top w:val="single" w:sz="2" w:space="1" w:color="000000"/>
              </w:pBdr>
              <w:bidi w:val="0"/>
              <w:spacing w:before="0" w:after="0"/>
              <w:jc w:val="left"/>
              <w:rPr/>
            </w:pPr>
            <w:r>
              <w:rPr/>
              <w:t> </w:t>
            </w:r>
          </w:p>
        </w:tc>
        <w:tc>
          <w:tcPr>
            <w:tcW w:w="112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07" w:type="dxa"/>
            <w:tcBorders/>
            <w:vAlign w:val="bottom"/>
          </w:tcPr>
          <w:p>
            <w:pPr>
              <w:pStyle w:val="TableContents"/>
              <w:pBdr>
                <w:top w:val="single" w:sz="2" w:space="1" w:color="000000"/>
              </w:pBdr>
              <w:bidi w:val="0"/>
              <w:spacing w:before="0" w:after="0"/>
              <w:jc w:val="left"/>
              <w:rPr/>
            </w:pPr>
            <w:r>
              <w:rPr/>
              <w:t> </w:t>
            </w:r>
          </w:p>
        </w:tc>
        <w:tc>
          <w:tcPr>
            <w:tcW w:w="102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56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65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6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23</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Related parties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Related party transactions and balances </w:t>
      </w:r>
    </w:p>
    <w:p>
      <w:pPr>
        <w:pStyle w:val="TextBody"/>
        <w:bidi w:val="0"/>
        <w:spacing w:before="120" w:after="0"/>
        <w:jc w:val="left"/>
        <w:rPr>
          <w:rFonts w:ascii="Times New Roman" w:hAnsi="Times New Roman"/>
          <w:sz w:val="20"/>
        </w:rPr>
      </w:pPr>
      <w:r>
        <w:rPr>
          <w:rFonts w:ascii="Times New Roman" w:hAnsi="Times New Roman"/>
          <w:sz w:val="20"/>
        </w:rPr>
        <w:t xml:space="preserve">Loan facilities provided by Pennant Park Investment Corporation are disclosed in note 21. </w:t>
      </w:r>
    </w:p>
    <w:p>
      <w:pPr>
        <w:pStyle w:val="TextBody"/>
        <w:bidi w:val="0"/>
        <w:spacing w:before="240" w:after="0"/>
        <w:jc w:val="left"/>
        <w:rPr>
          <w:rFonts w:ascii="Times New Roman" w:hAnsi="Times New Roman"/>
          <w:sz w:val="20"/>
        </w:rPr>
      </w:pPr>
      <w:r>
        <w:rPr>
          <w:rFonts w:ascii="Times New Roman" w:hAnsi="Times New Roman"/>
          <w:sz w:val="20"/>
        </w:rPr>
        <w:t xml:space="preserve">At 31 December 2025 the Company owed DLP Limited (Subsidiary Company) £16,478,307 (2024: 5,485,282) in respect of costs and recharges. </w:t>
      </w:r>
    </w:p>
    <w:p>
      <w:pPr>
        <w:pStyle w:val="TextBody"/>
        <w:bidi w:val="0"/>
        <w:spacing w:before="240" w:after="0"/>
        <w:jc w:val="left"/>
        <w:rPr>
          <w:rFonts w:ascii="Times New Roman" w:hAnsi="Times New Roman"/>
          <w:sz w:val="20"/>
        </w:rPr>
      </w:pPr>
      <w:r>
        <w:rPr>
          <w:rFonts w:ascii="Times New Roman" w:hAnsi="Times New Roman"/>
          <w:sz w:val="20"/>
        </w:rPr>
        <w:t xml:space="preserve">During the year, DLP Limited recharged to the Company costs of £10,993,025 (2024: £3,989,814 and 2023: £ 3,187,525).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24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Ultimate parent company and parent company of larger group </w:t>
            </w:r>
          </w:p>
        </w:tc>
      </w:tr>
    </w:tbl>
    <w:p>
      <w:pPr>
        <w:pStyle w:val="TextBody"/>
        <w:bidi w:val="0"/>
        <w:spacing w:before="120" w:after="0"/>
        <w:jc w:val="left"/>
        <w:rPr>
          <w:rFonts w:ascii="Times New Roman" w:hAnsi="Times New Roman"/>
          <w:sz w:val="20"/>
        </w:rPr>
      </w:pPr>
      <w:r>
        <w:rPr>
          <w:rFonts w:ascii="Times New Roman" w:hAnsi="Times New Roman"/>
          <w:sz w:val="20"/>
        </w:rPr>
        <w:t xml:space="preserve">AKW Holdings Limited is owned by PennantPark Investment Corporation who is the ultimate controlling party. </w:t>
      </w:r>
    </w:p>
    <w:p>
      <w:pPr>
        <w:pStyle w:val="TextBody"/>
        <w:bidi w:val="0"/>
        <w:spacing w:before="240" w:after="0"/>
        <w:jc w:val="left"/>
        <w:rPr>
          <w:rFonts w:ascii="Times New Roman" w:hAnsi="Times New Roman"/>
          <w:sz w:val="20"/>
        </w:rPr>
      </w:pPr>
      <w:r>
        <w:rPr>
          <w:rFonts w:ascii="Times New Roman" w:hAnsi="Times New Roman"/>
          <w:sz w:val="20"/>
        </w:rPr>
        <w:t xml:space="preserve">The largest group in which the results of the Company and its group are consolidated is that headed by AKW Holdings Limited, a company registered in the Isle of Man. The smallest group in which they are consolidated is that headed by AKW Holdings Limited, a company registered in the Isle of Man. The consolidated financial statements of these groups are not available to the public.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25</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Subsequent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performed a review of events subsequent to the balance sheet date through the date the financial statements were issued and determined that there were no such events requiring recognition or disclosure in the financial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b/>
              </w:rPr>
            </w:pPr>
            <w:r>
              <w:rPr>
                <w:b/>
              </w:rPr>
              <w:t>26</w:t>
            </w:r>
          </w:p>
        </w:tc>
        <w:tc>
          <w:tcPr>
            <w:tcW w:w="9798"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Reconciliation between U.K. GAAP including Financial Reporting Standards 102 and U.S. GAAP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Basis of preparation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consolidated financial statements have been prepared in accordance with FRS 102 which differs in certain respects from the United States generally accepted accounting principles (“U.S. GAAP”). Such differences relate primarily to the recognition, measurement and presentation of certain assets, liabilities, income and expenses and the rules and regulations of the U.S. Securities and Exchange Commission (“SEC”). </w:t>
      </w:r>
    </w:p>
    <w:p>
      <w:pPr>
        <w:pStyle w:val="TextBody"/>
        <w:bidi w:val="0"/>
        <w:spacing w:before="360" w:after="0"/>
        <w:jc w:val="left"/>
        <w:rPr>
          <w:rFonts w:ascii="Times New Roman" w:hAnsi="Times New Roman"/>
          <w:b/>
          <w:sz w:val="20"/>
        </w:rPr>
      </w:pPr>
      <w:r>
        <w:rPr>
          <w:rFonts w:ascii="Times New Roman" w:hAnsi="Times New Roman"/>
          <w:b/>
          <w:sz w:val="20"/>
        </w:rPr>
        <w:t xml:space="preserve">Reconciliation to US GAAP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present a reconciliation of the company’s consolidated statement of financial position and consolidated profit or loss from U.K. GAAP (FRS 102) to U.S. GAAP for the periods presented, together with a description of the significant U.S. GAAP adjustments. The reconciliation and related explanations are intended to enable an investor to understand the impact of the material differences between U.K. GAAP and U.S.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Consolidated balance sheet as of 31 December 2025 and 31 December 2024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selected captions in the consolidated balance sheet from U.K. GAAP (FRS 102) to U.S. GAAP as of 31 December 2025 and 31 December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38"/>
        <w:gridCol w:w="237"/>
        <w:gridCol w:w="62"/>
        <w:gridCol w:w="786"/>
        <w:gridCol w:w="156"/>
        <w:gridCol w:w="185"/>
        <w:gridCol w:w="80"/>
        <w:gridCol w:w="1051"/>
        <w:gridCol w:w="160"/>
      </w:tblGrid>
      <w:tr>
        <w:trPr/>
        <w:tc>
          <w:tcPr>
            <w:tcW w:w="5038" w:type="dxa"/>
            <w:tcBorders/>
            <w:vAlign w:val="center"/>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038"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  </w:t>
            </w:r>
          </w:p>
        </w:tc>
        <w:tc>
          <w:tcPr>
            <w:tcW w:w="84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131" w:type="dxa"/>
            <w:gridSpan w:val="2"/>
            <w:tcBorders>
              <w:bottom w:val="single" w:sz="8" w:space="0" w:color="000000"/>
            </w:tcBorders>
            <w:tcMar>
              <w:bottom w:w="28" w:type="dxa"/>
            </w:tcMar>
            <w:vAlign w:val="bottom"/>
          </w:tcPr>
          <w:p>
            <w:pPr>
              <w:pStyle w:val="TableContents"/>
              <w:bidi w:val="0"/>
              <w:spacing w:before="0" w:after="283"/>
              <w:jc w:val="right"/>
              <w:rPr/>
            </w:pPr>
            <w:r>
              <w:rPr>
                <w:b/>
              </w:rPr>
              <w:t>2024</w:t>
            </w:r>
            <w:r>
              <w:rPr/>
              <w:br/>
            </w:r>
            <w:r>
              <w:rPr>
                <w:b/>
              </w:rPr>
              <w:t>£’000</w:t>
              <w:br/>
              <w:t>Unaudited</w:t>
            </w:r>
          </w:p>
        </w:tc>
        <w:tc>
          <w:tcPr>
            <w:tcW w:w="160" w:type="dxa"/>
            <w:tcBorders/>
            <w:vAlign w:val="bottom"/>
          </w:tcPr>
          <w:p>
            <w:pPr>
              <w:pStyle w:val="TableContents"/>
              <w:bidi w:val="0"/>
              <w:spacing w:before="0" w:after="283"/>
              <w:jc w:val="left"/>
              <w:rPr/>
            </w:pPr>
            <w:r>
              <w:rPr/>
              <w:t> </w:t>
            </w:r>
          </w:p>
        </w:tc>
      </w:tr>
      <w:tr>
        <w:trPr/>
        <w:tc>
          <w:tcPr>
            <w:tcW w:w="5038"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 under U.K.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6,562</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8,147</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intangible assets (c)</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(324</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(334</w:t>
            </w:r>
          </w:p>
        </w:tc>
        <w:tc>
          <w:tcPr>
            <w:tcW w:w="160" w:type="dxa"/>
            <w:tcBorders/>
            <w:vAlign w:val="bottom"/>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goodwill (a)</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11,376</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9,821</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tangible fixed assets (d) / (e)</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(199</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(699</w:t>
            </w:r>
          </w:p>
        </w:tc>
        <w:tc>
          <w:tcPr>
            <w:tcW w:w="160" w:type="dxa"/>
            <w:tcBorders/>
            <w:vAlign w:val="bottom"/>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operating lease right of use asset (b)</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3,767</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5,152</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Assets under U.S. GAAP</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21,182</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22,087</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assets under U.K.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30,699</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32,623</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deferred taxation asset from current to non-current (d)</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(31</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(35</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Current assets under U.S.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30,668</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32,588</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assets under U.S. GAAP</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51,850</w:t>
            </w:r>
          </w:p>
        </w:tc>
        <w:tc>
          <w:tcPr>
            <w:tcW w:w="156"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54,675</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 under U.K.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(17,748</w:t>
            </w:r>
          </w:p>
        </w:tc>
        <w:tc>
          <w:tcPr>
            <w:tcW w:w="156"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(15,409</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current portion of operating lease liability (b)</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(1,208</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(1,257</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Current Liabilities under U.S.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(18,956</w:t>
            </w:r>
          </w:p>
        </w:tc>
        <w:tc>
          <w:tcPr>
            <w:tcW w:w="156"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(16,666</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 under U.K. GAAP</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(37,779</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(44,028</w:t>
            </w:r>
          </w:p>
        </w:tc>
        <w:tc>
          <w:tcPr>
            <w:tcW w:w="160" w:type="dxa"/>
            <w:tcBorders/>
            <w:vAlign w:val="bottom"/>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long-term portion of operating lease liability (b)</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(2,126</w:t>
            </w:r>
          </w:p>
        </w:tc>
        <w:tc>
          <w:tcPr>
            <w:tcW w:w="156"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(3,104</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provisions for liabilities - Deferred tax liability (d)</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(74</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40</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 under U.S.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(39,979</w:t>
            </w:r>
          </w:p>
        </w:tc>
        <w:tc>
          <w:tcPr>
            <w:tcW w:w="156" w:type="dxa"/>
            <w:tcBorders/>
            <w:shd w:fill="CCEEFF" w:val="clear"/>
            <w:vAlign w:val="bottom"/>
          </w:tcPr>
          <w:p>
            <w:pPr>
              <w:pStyle w:val="TableContents"/>
              <w:bidi w:val="0"/>
              <w:spacing w:before="0" w:after="283"/>
              <w:jc w:val="left"/>
              <w:rPr>
                <w:b/>
              </w:rPr>
            </w:pPr>
            <w:r>
              <w:rPr>
                <w:b/>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(47,092</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under U.S. GAAP</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(58,935</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(63,758</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 under U.K.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18,266</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18,667</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sz w:val="20"/>
              </w:rPr>
            </w:pPr>
            <w:r>
              <w:rPr>
                <w:rFonts w:ascii="Times New Roman" w:hAnsi="Times New Roman"/>
                <w:sz w:val="20"/>
              </w:rPr>
              <w:t>Adjustments in Profit and loss account and currency reserve</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(11,181</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(9,584</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Shareholders’ deficit under U.S. GAAP</w:t>
            </w:r>
          </w:p>
        </w:tc>
        <w:tc>
          <w:tcPr>
            <w:tcW w:w="237"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6" w:type="dxa"/>
            <w:tcBorders/>
            <w:shd w:fill="CCEEFF" w:val="clear"/>
            <w:vAlign w:val="bottom"/>
          </w:tcPr>
          <w:p>
            <w:pPr>
              <w:pStyle w:val="TableContents"/>
              <w:bidi w:val="0"/>
              <w:spacing w:before="0" w:after="283"/>
              <w:jc w:val="right"/>
              <w:rPr>
                <w:b/>
              </w:rPr>
            </w:pPr>
            <w:r>
              <w:rPr>
                <w:b/>
              </w:rPr>
              <w:t>7,085</w:t>
            </w:r>
          </w:p>
        </w:tc>
        <w:tc>
          <w:tcPr>
            <w:tcW w:w="156"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9,083</w:t>
            </w:r>
          </w:p>
        </w:tc>
        <w:tc>
          <w:tcPr>
            <w:tcW w:w="160" w:type="dxa"/>
            <w:tcBorders/>
            <w:shd w:fill="CCEEFF" w:val="clear"/>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5038"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liabilities and equity under U.S. GAAP</w:t>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6" w:type="dxa"/>
            <w:tcBorders/>
            <w:vAlign w:val="bottom"/>
          </w:tcPr>
          <w:p>
            <w:pPr>
              <w:pStyle w:val="TableContents"/>
              <w:bidi w:val="0"/>
              <w:spacing w:before="0" w:after="283"/>
              <w:jc w:val="right"/>
              <w:rPr>
                <w:b/>
              </w:rPr>
            </w:pPr>
            <w:r>
              <w:rPr>
                <w:b/>
              </w:rPr>
              <w:t>(51,850</w:t>
            </w:r>
          </w:p>
        </w:tc>
        <w:tc>
          <w:tcPr>
            <w:tcW w:w="156" w:type="dxa"/>
            <w:tcBorders/>
            <w:vAlign w:val="bottom"/>
          </w:tcPr>
          <w:p>
            <w:pPr>
              <w:pStyle w:val="TableContents"/>
              <w:bidi w:val="0"/>
              <w:spacing w:before="0" w:after="283"/>
              <w:jc w:val="left"/>
              <w:rPr>
                <w:b/>
              </w:rPr>
            </w:pPr>
            <w:r>
              <w:rPr>
                <w:b/>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(54,675</w:t>
            </w:r>
          </w:p>
        </w:tc>
        <w:tc>
          <w:tcPr>
            <w:tcW w:w="160" w:type="dxa"/>
            <w:tcBorders/>
            <w:vAlign w:val="bottom"/>
          </w:tcPr>
          <w:p>
            <w:pPr>
              <w:pStyle w:val="TableContents"/>
              <w:bidi w:val="0"/>
              <w:spacing w:before="0" w:after="283"/>
              <w:jc w:val="left"/>
              <w:rPr/>
            </w:pPr>
            <w:r>
              <w:rPr/>
              <w:t>) </w:t>
            </w:r>
          </w:p>
        </w:tc>
      </w:tr>
      <w:tr>
        <w:trPr/>
        <w:tc>
          <w:tcPr>
            <w:tcW w:w="5038" w:type="dxa"/>
            <w:tcBorders/>
            <w:vAlign w:val="bottom"/>
          </w:tcPr>
          <w:p>
            <w:pPr>
              <w:pStyle w:val="TableContents"/>
              <w:bidi w:val="0"/>
              <w:spacing w:before="0" w:after="283"/>
              <w:jc w:val="left"/>
              <w:rPr>
                <w:sz w:val="4"/>
                <w:szCs w:val="4"/>
              </w:rPr>
            </w:pPr>
            <w:r>
              <w:rPr>
                <w:sz w:val="4"/>
                <w:szCs w:val="4"/>
              </w:rPr>
            </w:r>
          </w:p>
        </w:tc>
        <w:tc>
          <w:tcPr>
            <w:tcW w:w="237"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6" w:type="dxa"/>
            <w:tcBorders/>
            <w:vAlign w:val="bottom"/>
          </w:tcPr>
          <w:p>
            <w:pPr>
              <w:pStyle w:val="TableContents"/>
              <w:pBdr>
                <w:top w:val="single" w:sz="2" w:space="1" w:color="000000"/>
              </w:pBdr>
              <w:bidi w:val="0"/>
              <w:spacing w:before="0" w:after="0"/>
              <w:jc w:val="left"/>
              <w:rPr/>
            </w:pPr>
            <w:r>
              <w:rPr/>
              <w:t> </w:t>
            </w:r>
          </w:p>
        </w:tc>
        <w:tc>
          <w:tcPr>
            <w:tcW w:w="156"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80"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i/>
          <w:sz w:val="20"/>
        </w:rPr>
      </w:pPr>
      <w:r>
        <w:rPr>
          <w:rFonts w:ascii="Times New Roman" w:hAnsi="Times New Roman"/>
          <w:b/>
          <w:i/>
          <w:sz w:val="20"/>
        </w:rPr>
        <w:t xml:space="preserve">Consolidated income statement for the years ended 31 December 2025 and 31 December 2024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selected captions in the consolidated income statement from U.K. GAAP (FRS 102) to U.S. GAAP as of 31 December 2025 and 31 December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01"/>
        <w:gridCol w:w="242"/>
        <w:gridCol w:w="68"/>
        <w:gridCol w:w="787"/>
        <w:gridCol w:w="155"/>
        <w:gridCol w:w="191"/>
        <w:gridCol w:w="89"/>
        <w:gridCol w:w="1064"/>
        <w:gridCol w:w="158"/>
      </w:tblGrid>
      <w:tr>
        <w:trPr/>
        <w:tc>
          <w:tcPr>
            <w:tcW w:w="5001" w:type="dxa"/>
            <w:tcBorders/>
            <w:vAlign w:val="center"/>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1"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01" w:type="dxa"/>
            <w:tcBorders/>
            <w:vAlign w:val="bottom"/>
          </w:tcPr>
          <w:p>
            <w:pPr>
              <w:pStyle w:val="TableContents"/>
              <w:bidi w:val="0"/>
              <w:spacing w:before="0" w:after="283"/>
              <w:jc w:val="left"/>
              <w:rPr/>
            </w:pPr>
            <w:r>
              <w:rPr/>
              <w:t> </w:t>
            </w:r>
          </w:p>
        </w:tc>
        <w:tc>
          <w:tcPr>
            <w:tcW w:w="242" w:type="dxa"/>
            <w:tcBorders/>
            <w:vAlign w:val="bottom"/>
          </w:tcPr>
          <w:p>
            <w:pPr>
              <w:pStyle w:val="TableContents"/>
              <w:bidi w:val="0"/>
              <w:spacing w:before="0" w:after="283"/>
              <w:jc w:val="left"/>
              <w:rPr/>
            </w:pPr>
            <w:r>
              <w:rPr/>
              <w:t>  </w:t>
            </w:r>
          </w:p>
        </w:tc>
        <w:tc>
          <w:tcPr>
            <w:tcW w:w="85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£’000</w:t>
              <w:br/>
              <w:t>Unaudited</w:t>
            </w:r>
          </w:p>
        </w:tc>
        <w:tc>
          <w:tcPr>
            <w:tcW w:w="158"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Gross profit under U.K. GAAP and U.S. GAAP</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38,165</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b/>
              </w:rPr>
            </w:pPr>
            <w:r>
              <w:rPr>
                <w:b/>
              </w:rPr>
              <w:t>33,889</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profit under U.K. GAAP</w:t>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6,386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3,220</w:t>
            </w:r>
          </w:p>
        </w:tc>
        <w:tc>
          <w:tcPr>
            <w:tcW w:w="158"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administrative expenses (c)</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(97</w:t>
            </w:r>
          </w:p>
        </w:tc>
        <w:tc>
          <w:tcPr>
            <w:tcW w:w="155" w:type="dxa"/>
            <w:tcBorders/>
            <w:shd w:fill="CCEEFF" w:val="clear"/>
            <w:vAlign w:val="bottom"/>
          </w:tcPr>
          <w:p>
            <w:pPr>
              <w:pStyle w:val="TableContents"/>
              <w:bidi w:val="0"/>
              <w:spacing w:before="0" w:after="283"/>
              <w:jc w:val="left"/>
              <w:rPr>
                <w:b/>
              </w:rPr>
            </w:pPr>
            <w:r>
              <w:rPr>
                <w:b/>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(380</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goodwill amortisation (a)</w:t>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1,555</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1,554</w:t>
            </w:r>
          </w:p>
        </w:tc>
        <w:tc>
          <w:tcPr>
            <w:tcW w:w="158" w:type="dxa"/>
            <w:tcBorders/>
            <w:vAlign w:val="bottom"/>
          </w:tcPr>
          <w:p>
            <w:pPr>
              <w:pStyle w:val="TableContents"/>
              <w:bidi w:val="0"/>
              <w:spacing w:before="0" w:after="283"/>
              <w:jc w:val="left"/>
              <w:rPr/>
            </w:pPr>
            <w:r>
              <w:rPr/>
              <w:t> </w:t>
            </w:r>
          </w:p>
        </w:tc>
      </w:tr>
      <w:tr>
        <w:trPr/>
        <w:tc>
          <w:tcPr>
            <w:tcW w:w="500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 for amortisation (c)</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107</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47</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Adjustment for depreciation (e)</w:t>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(92</w:t>
            </w:r>
          </w:p>
        </w:tc>
        <w:tc>
          <w:tcPr>
            <w:tcW w:w="155" w:type="dxa"/>
            <w:tcBorders/>
            <w:vAlign w:val="bottom"/>
          </w:tcPr>
          <w:p>
            <w:pPr>
              <w:pStyle w:val="TableContents"/>
              <w:bidi w:val="0"/>
              <w:spacing w:before="0" w:after="283"/>
              <w:jc w:val="left"/>
              <w:rPr>
                <w:b/>
              </w:rPr>
            </w:pPr>
            <w:r>
              <w:rPr>
                <w:b/>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profit under U.S. GAAP</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7,859</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4,441</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Interest receivable and similar charges under U.K. GAAP and U.S. GAAP</w:t>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204</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50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payable and similar charges under U.K. GAAP and U.S. GAAP</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(5,037</w:t>
            </w:r>
          </w:p>
        </w:tc>
        <w:tc>
          <w:tcPr>
            <w:tcW w:w="155" w:type="dxa"/>
            <w:tcBorders/>
            <w:shd w:fill="CCEEFF" w:val="clear"/>
            <w:vAlign w:val="bottom"/>
          </w:tcPr>
          <w:p>
            <w:pPr>
              <w:pStyle w:val="TableContents"/>
              <w:bidi w:val="0"/>
              <w:spacing w:before="0" w:after="283"/>
              <w:jc w:val="left"/>
              <w:rPr>
                <w:b/>
              </w:rPr>
            </w:pPr>
            <w:r>
              <w:rPr>
                <w:b/>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(5,852</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1"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 (Loss) before taxation under U.S. GAAP</w:t>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3,026</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(1,411</w:t>
            </w:r>
          </w:p>
        </w:tc>
        <w:tc>
          <w:tcPr>
            <w:tcW w:w="158" w:type="dxa"/>
            <w:tcBorders/>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Tax on loss under U.K. GAAP</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(1,182</w:t>
            </w:r>
          </w:p>
        </w:tc>
        <w:tc>
          <w:tcPr>
            <w:tcW w:w="155" w:type="dxa"/>
            <w:tcBorders/>
            <w:shd w:fill="CCEEFF" w:val="clear"/>
            <w:vAlign w:val="bottom"/>
          </w:tcPr>
          <w:p>
            <w:pPr>
              <w:pStyle w:val="TableContents"/>
              <w:bidi w:val="0"/>
              <w:spacing w:before="0" w:after="283"/>
              <w:jc w:val="left"/>
              <w:rPr>
                <w:b/>
              </w:rPr>
            </w:pPr>
            <w:r>
              <w:rPr>
                <w:b/>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(903</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Adjustment for income taxes (d)</w:t>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787" w:type="dxa"/>
            <w:tcBorders/>
            <w:vAlign w:val="bottom"/>
          </w:tcPr>
          <w:p>
            <w:pPr>
              <w:pStyle w:val="TableContents"/>
              <w:bidi w:val="0"/>
              <w:spacing w:before="0" w:after="283"/>
              <w:jc w:val="right"/>
              <w:rPr>
                <w:b/>
              </w:rPr>
            </w:pPr>
            <w:r>
              <w:rPr>
                <w:b/>
              </w:rPr>
              <w:t>131</w:t>
            </w:r>
          </w:p>
        </w:tc>
        <w:tc>
          <w:tcPr>
            <w:tcW w:w="155"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64" w:type="dxa"/>
            <w:tcBorders/>
            <w:vAlign w:val="bottom"/>
          </w:tcPr>
          <w:p>
            <w:pPr>
              <w:pStyle w:val="TableContents"/>
              <w:bidi w:val="0"/>
              <w:spacing w:before="0" w:after="283"/>
              <w:jc w:val="right"/>
              <w:rPr/>
            </w:pPr>
            <w:r>
              <w:rPr/>
              <w:t>3</w:t>
            </w:r>
          </w:p>
        </w:tc>
        <w:tc>
          <w:tcPr>
            <w:tcW w:w="158" w:type="dxa"/>
            <w:tcBorders/>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5001"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Profit / (Loss) for the financial year after taxation under U.S. GAAP</w:t>
            </w:r>
          </w:p>
        </w:tc>
        <w:tc>
          <w:tcPr>
            <w:tcW w:w="242"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787" w:type="dxa"/>
            <w:tcBorders/>
            <w:shd w:fill="CCEEFF" w:val="clear"/>
            <w:vAlign w:val="bottom"/>
          </w:tcPr>
          <w:p>
            <w:pPr>
              <w:pStyle w:val="TableContents"/>
              <w:bidi w:val="0"/>
              <w:spacing w:before="0" w:after="283"/>
              <w:jc w:val="right"/>
              <w:rPr>
                <w:b/>
              </w:rPr>
            </w:pPr>
            <w:r>
              <w:rPr>
                <w:b/>
              </w:rPr>
              <w:t>1,975</w:t>
            </w:r>
          </w:p>
        </w:tc>
        <w:tc>
          <w:tcPr>
            <w:tcW w:w="155" w:type="dxa"/>
            <w:tcBorders/>
            <w:shd w:fill="CCEEFF" w:val="clear"/>
            <w:vAlign w:val="bottom"/>
          </w:tcPr>
          <w:p>
            <w:pPr>
              <w:pStyle w:val="TableContents"/>
              <w:bidi w:val="0"/>
              <w:spacing w:before="0" w:after="283"/>
              <w:jc w:val="left"/>
              <w:rPr/>
            </w:pPr>
            <w:r>
              <w:rPr/>
              <w:t> </w:t>
            </w:r>
          </w:p>
        </w:tc>
        <w:tc>
          <w:tcPr>
            <w:tcW w:w="191"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64" w:type="dxa"/>
            <w:tcBorders/>
            <w:shd w:fill="CCEEFF" w:val="clear"/>
            <w:vAlign w:val="bottom"/>
          </w:tcPr>
          <w:p>
            <w:pPr>
              <w:pStyle w:val="TableContents"/>
              <w:bidi w:val="0"/>
              <w:spacing w:before="0" w:after="283"/>
              <w:jc w:val="right"/>
              <w:rPr/>
            </w:pPr>
            <w:r>
              <w:rPr/>
              <w:t>(2,311</w:t>
            </w:r>
          </w:p>
        </w:tc>
        <w:tc>
          <w:tcPr>
            <w:tcW w:w="158" w:type="dxa"/>
            <w:tcBorders/>
            <w:shd w:fill="CCEEFF" w:val="clear"/>
            <w:vAlign w:val="bottom"/>
          </w:tcPr>
          <w:p>
            <w:pPr>
              <w:pStyle w:val="TableContents"/>
              <w:bidi w:val="0"/>
              <w:spacing w:before="0" w:after="283"/>
              <w:jc w:val="left"/>
              <w:rPr/>
            </w:pPr>
            <w:r>
              <w:rPr/>
              <w:t>) </w:t>
            </w:r>
          </w:p>
        </w:tc>
      </w:tr>
      <w:tr>
        <w:trPr/>
        <w:tc>
          <w:tcPr>
            <w:tcW w:w="5001" w:type="dxa"/>
            <w:tcBorders/>
            <w:vAlign w:val="bottom"/>
          </w:tcPr>
          <w:p>
            <w:pPr>
              <w:pStyle w:val="TableContents"/>
              <w:bidi w:val="0"/>
              <w:spacing w:before="0" w:after="283"/>
              <w:jc w:val="left"/>
              <w:rPr>
                <w:sz w:val="4"/>
                <w:szCs w:val="4"/>
              </w:rPr>
            </w:pPr>
            <w:r>
              <w:rPr>
                <w:sz w:val="4"/>
                <w:szCs w:val="4"/>
              </w:rPr>
            </w:r>
          </w:p>
        </w:tc>
        <w:tc>
          <w:tcPr>
            <w:tcW w:w="242"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78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c>
          <w:tcPr>
            <w:tcW w:w="89" w:type="dxa"/>
            <w:tcBorders/>
            <w:vAlign w:val="bottom"/>
          </w:tcPr>
          <w:p>
            <w:pPr>
              <w:pStyle w:val="TableContents"/>
              <w:pBdr>
                <w:top w:val="single" w:sz="2" w:space="1" w:color="000000"/>
              </w:pBdr>
              <w:bidi w:val="0"/>
              <w:spacing w:before="0" w:after="0"/>
              <w:jc w:val="left"/>
              <w:rPr/>
            </w:pPr>
            <w:r>
              <w:rPr/>
              <w:t> </w:t>
            </w:r>
          </w:p>
        </w:tc>
        <w:tc>
          <w:tcPr>
            <w:tcW w:w="106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i/>
          <w:sz w:val="20"/>
        </w:rPr>
      </w:pPr>
      <w:r>
        <w:rPr>
          <w:rFonts w:ascii="Times New Roman" w:hAnsi="Times New Roman"/>
          <w:b/>
          <w:i/>
          <w:sz w:val="20"/>
        </w:rPr>
        <w:t xml:space="preserve">Consolidated cash flow statement for the years ended 31 December 2025 and 31 December 2024 </w:t>
      </w:r>
    </w:p>
    <w:p>
      <w:pPr>
        <w:pStyle w:val="TextBody"/>
        <w:bidi w:val="0"/>
        <w:spacing w:before="120" w:after="0"/>
        <w:jc w:val="left"/>
        <w:rPr>
          <w:rFonts w:ascii="Times New Roman" w:hAnsi="Times New Roman"/>
          <w:sz w:val="20"/>
        </w:rPr>
      </w:pPr>
      <w:r>
        <w:rPr>
          <w:rFonts w:ascii="Times New Roman" w:hAnsi="Times New Roman"/>
          <w:sz w:val="20"/>
        </w:rPr>
        <w:t xml:space="preserve">A reconciliation of selected captions in the consolidated cash flow statement from U.K. GAAP (FRS 102) to U.S. </w:t>
      </w:r>
    </w:p>
    <w:p>
      <w:pPr>
        <w:pStyle w:val="TextBody"/>
        <w:bidi w:val="0"/>
        <w:spacing w:before="0" w:after="0"/>
        <w:jc w:val="left"/>
        <w:rPr>
          <w:rFonts w:ascii="Times New Roman" w:hAnsi="Times New Roman"/>
          <w:sz w:val="20"/>
        </w:rPr>
      </w:pPr>
      <w:r>
        <w:rPr>
          <w:rFonts w:ascii="Times New Roman" w:hAnsi="Times New Roman"/>
          <w:sz w:val="20"/>
        </w:rPr>
        <w:t xml:space="preserve">GAAP as of 31 December 2025 and 31 December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6"/>
        <w:gridCol w:w="288"/>
        <w:gridCol w:w="62"/>
        <w:gridCol w:w="788"/>
        <w:gridCol w:w="155"/>
        <w:gridCol w:w="239"/>
        <w:gridCol w:w="94"/>
        <w:gridCol w:w="1055"/>
        <w:gridCol w:w="158"/>
      </w:tblGrid>
      <w:tr>
        <w:trPr/>
        <w:tc>
          <w:tcPr>
            <w:tcW w:w="4916"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916"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11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£’000</w:t>
              <w:br/>
              <w:t>Unaudited</w:t>
            </w:r>
          </w:p>
        </w:tc>
        <w:tc>
          <w:tcPr>
            <w:tcW w:w="158" w:type="dxa"/>
            <w:tcBorders/>
            <w:vAlign w:val="bottom"/>
          </w:tcPr>
          <w:p>
            <w:pPr>
              <w:pStyle w:val="TableContents"/>
              <w:bidi w:val="0"/>
              <w:spacing w:before="0" w:after="283"/>
              <w:jc w:val="left"/>
              <w:rPr/>
            </w:pPr>
            <w:r>
              <w:rPr/>
              <w:t> </w:t>
            </w:r>
          </w:p>
        </w:tc>
      </w:tr>
      <w:tr>
        <w:trPr/>
        <w:tc>
          <w:tcPr>
            <w:tcW w:w="49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 under U.K. GAAP</w:t>
            </w:r>
          </w:p>
        </w:tc>
        <w:tc>
          <w:tcPr>
            <w:tcW w:w="28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b/>
              </w:rPr>
            </w:pPr>
            <w:r>
              <w:rPr>
                <w:b/>
              </w:rPr>
              <w:t>13,392</w:t>
            </w:r>
          </w:p>
        </w:tc>
        <w:tc>
          <w:tcPr>
            <w:tcW w:w="155"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4,290</w:t>
            </w:r>
          </w:p>
        </w:tc>
        <w:tc>
          <w:tcPr>
            <w:tcW w:w="158" w:type="dxa"/>
            <w:tcBorders/>
            <w:shd w:fill="CCEEFF" w:val="clear"/>
            <w:vAlign w:val="bottom"/>
          </w:tcPr>
          <w:p>
            <w:pPr>
              <w:pStyle w:val="TableContents"/>
              <w:bidi w:val="0"/>
              <w:spacing w:before="0" w:after="283"/>
              <w:jc w:val="left"/>
              <w:rPr/>
            </w:pPr>
            <w:r>
              <w:rPr/>
              <w:t> </w:t>
            </w:r>
          </w:p>
        </w:tc>
      </w:tr>
      <w:tr>
        <w:trPr/>
        <w:tc>
          <w:tcPr>
            <w:tcW w:w="4916"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interest paid from financing activities (f)</w:t>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b/>
              </w:rPr>
            </w:pPr>
            <w:r>
              <w:rPr>
                <w:b/>
              </w:rPr>
              <w:t>(4,781</w:t>
            </w:r>
          </w:p>
        </w:tc>
        <w:tc>
          <w:tcPr>
            <w:tcW w:w="155" w:type="dxa"/>
            <w:tcBorders/>
            <w:vAlign w:val="bottom"/>
          </w:tcPr>
          <w:p>
            <w:pPr>
              <w:pStyle w:val="TableContents"/>
              <w:bidi w:val="0"/>
              <w:spacing w:before="0" w:after="283"/>
              <w:jc w:val="left"/>
              <w:rPr>
                <w:b/>
              </w:rPr>
            </w:pPr>
            <w:r>
              <w:rPr>
                <w:b/>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(3,643</w:t>
            </w:r>
          </w:p>
        </w:tc>
        <w:tc>
          <w:tcPr>
            <w:tcW w:w="158" w:type="dxa"/>
            <w:tcBorders/>
            <w:vAlign w:val="bottom"/>
          </w:tcPr>
          <w:p>
            <w:pPr>
              <w:pStyle w:val="TableContents"/>
              <w:bidi w:val="0"/>
              <w:spacing w:before="0" w:after="283"/>
              <w:jc w:val="left"/>
              <w:rPr/>
            </w:pPr>
            <w:r>
              <w:rPr/>
              <w:t>) </w:t>
            </w:r>
          </w:p>
        </w:tc>
      </w:tr>
      <w:tr>
        <w:trPr/>
        <w:tc>
          <w:tcPr>
            <w:tcW w:w="491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 under U.S. GAAP</w:t>
            </w:r>
          </w:p>
        </w:tc>
        <w:tc>
          <w:tcPr>
            <w:tcW w:w="28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b/>
              </w:rPr>
            </w:pPr>
            <w:r>
              <w:rPr>
                <w:b/>
              </w:rPr>
              <w:t>8,611</w:t>
            </w:r>
          </w:p>
        </w:tc>
        <w:tc>
          <w:tcPr>
            <w:tcW w:w="155" w:type="dxa"/>
            <w:tcBorders/>
            <w:shd w:fill="CCEEFF" w:val="clear"/>
            <w:vAlign w:val="bottom"/>
          </w:tcPr>
          <w:p>
            <w:pPr>
              <w:pStyle w:val="TableContents"/>
              <w:bidi w:val="0"/>
              <w:spacing w:before="0" w:after="283"/>
              <w:jc w:val="left"/>
              <w:rPr/>
            </w:pPr>
            <w:r>
              <w:rPr/>
              <w:t> </w:t>
            </w:r>
          </w:p>
        </w:tc>
        <w:tc>
          <w:tcPr>
            <w:tcW w:w="23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647</w:t>
            </w:r>
          </w:p>
        </w:tc>
        <w:tc>
          <w:tcPr>
            <w:tcW w:w="158" w:type="dxa"/>
            <w:tcBorders/>
            <w:shd w:fill="CCEEFF" w:val="clear"/>
            <w:vAlign w:val="bottom"/>
          </w:tcPr>
          <w:p>
            <w:pPr>
              <w:pStyle w:val="TableContents"/>
              <w:bidi w:val="0"/>
              <w:spacing w:before="0" w:after="283"/>
              <w:jc w:val="left"/>
              <w:rPr/>
            </w:pPr>
            <w:r>
              <w:rPr/>
              <w:t> </w:t>
            </w:r>
          </w:p>
        </w:tc>
      </w:tr>
      <w:tr>
        <w:trPr/>
        <w:tc>
          <w:tcPr>
            <w:tcW w:w="491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1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 under U.K. GAAP and U.S. GAAP</w:t>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b/>
              </w:rPr>
            </w:pPr>
            <w:r>
              <w:rPr>
                <w:b/>
              </w:rPr>
              <w:t>(1,038</w:t>
            </w:r>
          </w:p>
        </w:tc>
        <w:tc>
          <w:tcPr>
            <w:tcW w:w="155" w:type="dxa"/>
            <w:tcBorders/>
            <w:vAlign w:val="bottom"/>
          </w:tcPr>
          <w:p>
            <w:pPr>
              <w:pStyle w:val="TableContents"/>
              <w:bidi w:val="0"/>
              <w:spacing w:before="0" w:after="283"/>
              <w:jc w:val="left"/>
              <w:rPr>
                <w:b/>
              </w:rPr>
            </w:pPr>
            <w:r>
              <w:rPr>
                <w:b/>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(1,024</w:t>
            </w:r>
          </w:p>
        </w:tc>
        <w:tc>
          <w:tcPr>
            <w:tcW w:w="158" w:type="dxa"/>
            <w:tcBorders/>
            <w:vAlign w:val="bottom"/>
          </w:tcPr>
          <w:p>
            <w:pPr>
              <w:pStyle w:val="TableContents"/>
              <w:bidi w:val="0"/>
              <w:spacing w:before="0" w:after="283"/>
              <w:jc w:val="left"/>
              <w:rPr/>
            </w:pPr>
            <w:r>
              <w:rPr/>
              <w:t>) </w:t>
            </w:r>
          </w:p>
        </w:tc>
      </w:tr>
      <w:tr>
        <w:trPr/>
        <w:tc>
          <w:tcPr>
            <w:tcW w:w="491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 under U.K. GAAP</w:t>
            </w:r>
          </w:p>
        </w:tc>
        <w:tc>
          <w:tcPr>
            <w:tcW w:w="28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b/>
              </w:rPr>
            </w:pPr>
            <w:r>
              <w:rPr>
                <w:b/>
              </w:rPr>
              <w:t>(11,738</w:t>
            </w:r>
          </w:p>
        </w:tc>
        <w:tc>
          <w:tcPr>
            <w:tcW w:w="155" w:type="dxa"/>
            <w:tcBorders/>
            <w:shd w:fill="CCEEFF" w:val="clear"/>
            <w:vAlign w:val="bottom"/>
          </w:tcPr>
          <w:p>
            <w:pPr>
              <w:pStyle w:val="TableContents"/>
              <w:bidi w:val="0"/>
              <w:spacing w:before="0" w:after="283"/>
              <w:jc w:val="left"/>
              <w:rPr>
                <w:b/>
              </w:rPr>
            </w:pPr>
            <w:r>
              <w:rPr>
                <w:b/>
              </w:rPr>
              <w:t>) </w:t>
            </w:r>
          </w:p>
        </w:tc>
        <w:tc>
          <w:tcPr>
            <w:tcW w:w="23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(3,143</w:t>
            </w:r>
          </w:p>
        </w:tc>
        <w:tc>
          <w:tcPr>
            <w:tcW w:w="158" w:type="dxa"/>
            <w:tcBorders/>
            <w:shd w:fill="CCEEFF" w:val="clear"/>
            <w:vAlign w:val="bottom"/>
          </w:tcPr>
          <w:p>
            <w:pPr>
              <w:pStyle w:val="TableContents"/>
              <w:bidi w:val="0"/>
              <w:spacing w:before="0" w:after="283"/>
              <w:jc w:val="left"/>
              <w:rPr/>
            </w:pPr>
            <w:r>
              <w:rPr/>
              <w:t>) </w:t>
            </w:r>
          </w:p>
        </w:tc>
      </w:tr>
      <w:tr>
        <w:trPr/>
        <w:tc>
          <w:tcPr>
            <w:tcW w:w="4916" w:type="dxa"/>
            <w:tcBorders/>
          </w:tcPr>
          <w:p>
            <w:pPr>
              <w:pStyle w:val="TableContents"/>
              <w:bidi w:val="0"/>
              <w:spacing w:before="0" w:after="0"/>
              <w:jc w:val="left"/>
              <w:rPr>
                <w:rFonts w:ascii="Times New Roman" w:hAnsi="Times New Roman"/>
                <w:sz w:val="20"/>
              </w:rPr>
            </w:pPr>
            <w:r>
              <w:rPr>
                <w:rFonts w:ascii="Times New Roman" w:hAnsi="Times New Roman"/>
                <w:sz w:val="20"/>
              </w:rPr>
              <w:t>Reclassification of interest paid to operating activities (f)</w:t>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b/>
              </w:rPr>
            </w:pPr>
            <w:r>
              <w:rPr>
                <w:b/>
              </w:rPr>
              <w:t>4,781</w:t>
            </w:r>
          </w:p>
        </w:tc>
        <w:tc>
          <w:tcPr>
            <w:tcW w:w="15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3,643</w:t>
            </w:r>
          </w:p>
        </w:tc>
        <w:tc>
          <w:tcPr>
            <w:tcW w:w="158" w:type="dxa"/>
            <w:tcBorders/>
            <w:vAlign w:val="bottom"/>
          </w:tcPr>
          <w:p>
            <w:pPr>
              <w:pStyle w:val="TableContents"/>
              <w:bidi w:val="0"/>
              <w:spacing w:before="0" w:after="283"/>
              <w:jc w:val="left"/>
              <w:rPr/>
            </w:pPr>
            <w:r>
              <w:rPr/>
              <w:t> </w:t>
            </w:r>
          </w:p>
        </w:tc>
      </w:tr>
      <w:tr>
        <w:trPr/>
        <w:tc>
          <w:tcPr>
            <w:tcW w:w="491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1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 under U.S. GAAP</w:t>
            </w:r>
          </w:p>
        </w:tc>
        <w:tc>
          <w:tcPr>
            <w:tcW w:w="28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788" w:type="dxa"/>
            <w:tcBorders/>
            <w:shd w:fill="CCEEFF" w:val="clear"/>
            <w:vAlign w:val="bottom"/>
          </w:tcPr>
          <w:p>
            <w:pPr>
              <w:pStyle w:val="TableContents"/>
              <w:bidi w:val="0"/>
              <w:spacing w:before="0" w:after="283"/>
              <w:jc w:val="right"/>
              <w:rPr>
                <w:b/>
              </w:rPr>
            </w:pPr>
            <w:r>
              <w:rPr>
                <w:b/>
              </w:rPr>
              <w:t>(6,957</w:t>
            </w:r>
          </w:p>
        </w:tc>
        <w:tc>
          <w:tcPr>
            <w:tcW w:w="155" w:type="dxa"/>
            <w:tcBorders/>
            <w:shd w:fill="CCEEFF" w:val="clear"/>
            <w:vAlign w:val="bottom"/>
          </w:tcPr>
          <w:p>
            <w:pPr>
              <w:pStyle w:val="TableContents"/>
              <w:bidi w:val="0"/>
              <w:spacing w:before="0" w:after="283"/>
              <w:jc w:val="left"/>
              <w:rPr>
                <w:b/>
              </w:rPr>
            </w:pPr>
            <w:r>
              <w:rPr>
                <w:b/>
              </w:rPr>
              <w:t>) </w:t>
            </w:r>
          </w:p>
        </w:tc>
        <w:tc>
          <w:tcPr>
            <w:tcW w:w="239"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500</w:t>
            </w:r>
          </w:p>
        </w:tc>
        <w:tc>
          <w:tcPr>
            <w:tcW w:w="158" w:type="dxa"/>
            <w:tcBorders/>
            <w:shd w:fill="CCEEFF" w:val="clear"/>
            <w:vAlign w:val="bottom"/>
          </w:tcPr>
          <w:p>
            <w:pPr>
              <w:pStyle w:val="TableContents"/>
              <w:bidi w:val="0"/>
              <w:spacing w:before="0" w:after="283"/>
              <w:jc w:val="left"/>
              <w:rPr/>
            </w:pPr>
            <w:r>
              <w:rPr/>
              <w:t> </w:t>
            </w:r>
          </w:p>
        </w:tc>
      </w:tr>
      <w:tr>
        <w:trPr/>
        <w:tc>
          <w:tcPr>
            <w:tcW w:w="491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491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increase in cash and cash equivalents under U.K. GAAP and U.S. GAAP</w:t>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788" w:type="dxa"/>
            <w:tcBorders/>
            <w:vAlign w:val="bottom"/>
          </w:tcPr>
          <w:p>
            <w:pPr>
              <w:pStyle w:val="TableContents"/>
              <w:bidi w:val="0"/>
              <w:spacing w:before="0" w:after="283"/>
              <w:jc w:val="right"/>
              <w:rPr>
                <w:b/>
              </w:rPr>
            </w:pPr>
            <w:r>
              <w:rPr>
                <w:b/>
              </w:rPr>
              <w:t>616</w:t>
            </w:r>
          </w:p>
        </w:tc>
        <w:tc>
          <w:tcPr>
            <w:tcW w:w="155" w:type="dxa"/>
            <w:tcBorders/>
            <w:vAlign w:val="bottom"/>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123</w:t>
            </w:r>
          </w:p>
        </w:tc>
        <w:tc>
          <w:tcPr>
            <w:tcW w:w="158" w:type="dxa"/>
            <w:tcBorders/>
            <w:vAlign w:val="bottom"/>
          </w:tcPr>
          <w:p>
            <w:pPr>
              <w:pStyle w:val="TableContents"/>
              <w:bidi w:val="0"/>
              <w:spacing w:before="0" w:after="283"/>
              <w:jc w:val="left"/>
              <w:rPr/>
            </w:pPr>
            <w:r>
              <w:rPr/>
              <w:t> </w:t>
            </w:r>
          </w:p>
        </w:tc>
      </w:tr>
      <w:tr>
        <w:trPr/>
        <w:tc>
          <w:tcPr>
            <w:tcW w:w="4916" w:type="dxa"/>
            <w:tcBorders/>
            <w:vAlign w:val="bottom"/>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62" w:type="dxa"/>
            <w:tcBorders/>
            <w:vAlign w:val="bottom"/>
          </w:tcPr>
          <w:p>
            <w:pPr>
              <w:pStyle w:val="TableContents"/>
              <w:pBdr>
                <w:top w:val="single" w:sz="2" w:space="1" w:color="000000"/>
              </w:pBdr>
              <w:bidi w:val="0"/>
              <w:spacing w:before="0" w:after="0"/>
              <w:jc w:val="left"/>
              <w:rPr/>
            </w:pPr>
            <w:r>
              <w:rPr/>
              <w:t> </w:t>
            </w:r>
          </w:p>
        </w:tc>
        <w:tc>
          <w:tcPr>
            <w:tcW w:w="78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39"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55"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Summary of differences between U.K. GAAP and U.S.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(a)</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Goodwill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U.K. GAAP, goodwill is amortized over 10 years, whereas under U.S. GAAP (ASC 350), goodwill is not amortized and is tested for impairment at least annually and when events or changes in circumstances indicate the asset might be impaired. Accordingly, the company reversed the goodwill amortization recognized under U.K. GAAP, including £1,555 thousand in 2025 and £1,554 thousand in 2024. Cumulative amortization was also reversed through retained earnings, amounting to £8,267 thousand as of January 1, 2024, and £9,821 thousand as of January 1, 2025. These adjustments are noncash in nature and had no impact on cash flows. </w:t>
      </w:r>
    </w:p>
    <w:p>
      <w:pPr>
        <w:pStyle w:val="TextBody"/>
        <w:bidi w:val="0"/>
        <w:spacing w:before="120" w:after="0"/>
        <w:jc w:val="left"/>
        <w:rPr>
          <w:rFonts w:ascii="Times New Roman" w:hAnsi="Times New Roman"/>
          <w:sz w:val="20"/>
        </w:rPr>
      </w:pPr>
      <w:r>
        <w:rPr>
          <w:rFonts w:ascii="Times New Roman" w:hAnsi="Times New Roman"/>
          <w:sz w:val="20"/>
        </w:rPr>
        <w:t xml:space="preserve">No additional impairment losses was recognized on goodwill or other non-financial assets for the periods presented and based on management’s assessment performed in accordance with U.S. GAAP, no goodwill impairment was identified for the periods presented.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indicates the reconciliation of goodwill from U.K. GAAP (FRS 102) to U.S. GAAP as of 31 December 2025 and 31 December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143"/>
        <w:gridCol w:w="248"/>
        <w:gridCol w:w="68"/>
        <w:gridCol w:w="810"/>
        <w:gridCol w:w="60"/>
        <w:gridCol w:w="248"/>
        <w:gridCol w:w="89"/>
        <w:gridCol w:w="1026"/>
        <w:gridCol w:w="63"/>
      </w:tblGrid>
      <w:tr>
        <w:trPr/>
        <w:tc>
          <w:tcPr>
            <w:tcW w:w="5143"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143"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7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£’000</w:t>
              <w:br/>
              <w:t>Unaudited</w:t>
            </w:r>
          </w:p>
        </w:tc>
        <w:tc>
          <w:tcPr>
            <w:tcW w:w="63" w:type="dxa"/>
            <w:tcBorders/>
            <w:vAlign w:val="bottom"/>
          </w:tcPr>
          <w:p>
            <w:pPr>
              <w:pStyle w:val="TableContents"/>
              <w:bidi w:val="0"/>
              <w:spacing w:before="0" w:after="283"/>
              <w:jc w:val="left"/>
              <w:rPr/>
            </w:pPr>
            <w:r>
              <w:rPr/>
              <w:t> </w:t>
            </w:r>
          </w:p>
        </w:tc>
      </w:tr>
      <w:tr>
        <w:trPr/>
        <w:tc>
          <w:tcPr>
            <w:tcW w:w="5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Goodwill under UK GAAP at end of year:</w:t>
            </w:r>
          </w:p>
        </w:tc>
        <w:tc>
          <w:tcPr>
            <w:tcW w:w="24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4,167</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5,722</w:t>
            </w:r>
          </w:p>
        </w:tc>
        <w:tc>
          <w:tcPr>
            <w:tcW w:w="63" w:type="dxa"/>
            <w:tcBorders/>
            <w:shd w:fill="CCEEFF" w:val="clear"/>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Cumulative reversal of amortization at beginning of year</w:t>
            </w:r>
          </w:p>
        </w:tc>
        <w:tc>
          <w:tcPr>
            <w:tcW w:w="24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b/>
              </w:rPr>
            </w:pPr>
            <w:r>
              <w:rPr>
                <w:b/>
              </w:rPr>
              <w:t>9,821</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8,267</w:t>
            </w:r>
          </w:p>
        </w:tc>
        <w:tc>
          <w:tcPr>
            <w:tcW w:w="63" w:type="dxa"/>
            <w:tcBorders/>
            <w:vAlign w:val="bottom"/>
          </w:tcPr>
          <w:p>
            <w:pPr>
              <w:pStyle w:val="TableContents"/>
              <w:bidi w:val="0"/>
              <w:spacing w:before="0" w:after="283"/>
              <w:jc w:val="left"/>
              <w:rPr/>
            </w:pPr>
            <w:r>
              <w:rPr/>
              <w:t> </w:t>
            </w:r>
          </w:p>
        </w:tc>
      </w:tr>
      <w:tr>
        <w:trPr/>
        <w:tc>
          <w:tcPr>
            <w:tcW w:w="5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Reversal of current-year U.K. GAAP goodwill amortization</w:t>
            </w:r>
          </w:p>
        </w:tc>
        <w:tc>
          <w:tcPr>
            <w:tcW w:w="24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1,555</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1,554</w:t>
            </w:r>
          </w:p>
        </w:tc>
        <w:tc>
          <w:tcPr>
            <w:tcW w:w="63" w:type="dxa"/>
            <w:tcBorders/>
            <w:shd w:fill="CCEEFF" w:val="clear"/>
            <w:vAlign w:val="bottom"/>
          </w:tcPr>
          <w:p>
            <w:pPr>
              <w:pStyle w:val="TableContents"/>
              <w:bidi w:val="0"/>
              <w:spacing w:before="0" w:after="283"/>
              <w:jc w:val="left"/>
              <w:rPr/>
            </w:pPr>
            <w:r>
              <w:rPr/>
              <w:t> </w:t>
            </w:r>
          </w:p>
        </w:tc>
      </w:tr>
      <w:tr>
        <w:trPr/>
        <w:tc>
          <w:tcPr>
            <w:tcW w:w="51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Impairment of goodwill under U.S. GAAP</w:t>
            </w:r>
          </w:p>
        </w:tc>
        <w:tc>
          <w:tcPr>
            <w:tcW w:w="248"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81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48" w:type="dxa"/>
            <w:tcBorders/>
            <w:vAlign w:val="bottom"/>
          </w:tcPr>
          <w:p>
            <w:pPr>
              <w:pStyle w:val="TableContents"/>
              <w:bidi w:val="0"/>
              <w:spacing w:before="0" w:after="283"/>
              <w:jc w:val="left"/>
              <w:rPr/>
            </w:pPr>
            <w:r>
              <w:rPr/>
              <w:t>  </w:t>
            </w:r>
          </w:p>
        </w:tc>
        <w:tc>
          <w:tcPr>
            <w:tcW w:w="8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51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Goodwill under U.S. GAAP at end of year</w:t>
            </w:r>
          </w:p>
        </w:tc>
        <w:tc>
          <w:tcPr>
            <w:tcW w:w="248"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810" w:type="dxa"/>
            <w:tcBorders/>
            <w:shd w:fill="CCEEFF" w:val="clear"/>
            <w:vAlign w:val="bottom"/>
          </w:tcPr>
          <w:p>
            <w:pPr>
              <w:pStyle w:val="TableContents"/>
              <w:bidi w:val="0"/>
              <w:spacing w:before="0" w:after="283"/>
              <w:jc w:val="right"/>
              <w:rPr>
                <w:b/>
              </w:rPr>
            </w:pPr>
            <w:r>
              <w:rPr>
                <w:b/>
              </w:rPr>
              <w:t>15,543</w:t>
            </w:r>
          </w:p>
        </w:tc>
        <w:tc>
          <w:tcPr>
            <w:tcW w:w="60" w:type="dxa"/>
            <w:tcBorders/>
            <w:shd w:fill="CCEEFF" w:val="clear"/>
            <w:vAlign w:val="bottom"/>
          </w:tcPr>
          <w:p>
            <w:pPr>
              <w:pStyle w:val="TableContents"/>
              <w:bidi w:val="0"/>
              <w:spacing w:before="0" w:after="283"/>
              <w:jc w:val="left"/>
              <w:rPr/>
            </w:pPr>
            <w:r>
              <w:rPr/>
              <w:t> </w:t>
            </w:r>
          </w:p>
        </w:tc>
        <w:tc>
          <w:tcPr>
            <w:tcW w:w="248" w:type="dxa"/>
            <w:tcBorders/>
            <w:shd w:fill="CCEEFF" w:val="clear"/>
            <w:vAlign w:val="bottom"/>
          </w:tcPr>
          <w:p>
            <w:pPr>
              <w:pStyle w:val="TableContents"/>
              <w:bidi w:val="0"/>
              <w:spacing w:before="0" w:after="283"/>
              <w:jc w:val="left"/>
              <w:rPr/>
            </w:pPr>
            <w:r>
              <w:rPr/>
              <w:t>  </w:t>
            </w:r>
          </w:p>
        </w:tc>
        <w:tc>
          <w:tcPr>
            <w:tcW w:w="8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15,543</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(b)</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Leases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U.K. GAAP, leases are treated as operating leases, with lease payments recognized as operating expense on a straight-line basis over the lease term. Under U.S. GAAP (ASC 842), operating leases require recognition of a right-of-use asset and a corresponding lease liability, with the liability measured at the present value of future lease payments and the asset based on that liability, adjusted for items such as prepayments, accruals, and lease incentives. </w:t>
      </w:r>
    </w:p>
    <w:p>
      <w:pPr>
        <w:pStyle w:val="TextBody"/>
        <w:bidi w:val="0"/>
        <w:spacing w:before="120" w:after="0"/>
        <w:jc w:val="left"/>
        <w:rPr>
          <w:rFonts w:ascii="Times New Roman" w:hAnsi="Times New Roman"/>
          <w:sz w:val="20"/>
        </w:rPr>
      </w:pPr>
      <w:r>
        <w:rPr>
          <w:rFonts w:ascii="Times New Roman" w:hAnsi="Times New Roman"/>
          <w:sz w:val="20"/>
        </w:rPr>
        <w:t xml:space="preserve">The company applies its incremental borrowing rate, determined by reference to the relevant lease term, to discount future lease payments where the interest rate implicit in the lease is not readily determinable. Accordingly, U.S. GAAP conversion adjustments have been recorded to recognize ROU assets and lease liabilities for operating leases. For operating leases, ASC 842 generally results in a single lease cost recognized on a straight-line basis; accordingly, the primary impact of the U.S. GAAP adjustment is on the consolidated balance sheet presentation rather than total lease expense. </w:t>
      </w:r>
    </w:p>
    <w:p>
      <w:pPr>
        <w:pStyle w:val="TextBody"/>
        <w:bidi w:val="0"/>
        <w:spacing w:before="120" w:after="0"/>
        <w:jc w:val="left"/>
        <w:rPr>
          <w:rFonts w:ascii="Times New Roman" w:hAnsi="Times New Roman"/>
          <w:sz w:val="20"/>
        </w:rPr>
      </w:pPr>
      <w:r>
        <w:rPr>
          <w:rFonts w:ascii="Times New Roman" w:hAnsi="Times New Roman"/>
          <w:sz w:val="20"/>
        </w:rPr>
        <w:t xml:space="preserve">Under ASC 842, the weighted-average remaining lease term and discount rate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512"/>
        <w:gridCol w:w="384"/>
        <w:gridCol w:w="81"/>
        <w:gridCol w:w="785"/>
        <w:gridCol w:w="320"/>
        <w:gridCol w:w="289"/>
        <w:gridCol w:w="132"/>
        <w:gridCol w:w="974"/>
        <w:gridCol w:w="278"/>
      </w:tblGrid>
      <w:tr>
        <w:trPr/>
        <w:tc>
          <w:tcPr>
            <w:tcW w:w="4512" w:type="dxa"/>
            <w:tcBorders/>
            <w:vAlign w:val="center"/>
          </w:tcPr>
          <w:p>
            <w:pPr>
              <w:pStyle w:val="TableContents"/>
              <w:bidi w:val="0"/>
              <w:spacing w:before="0" w:after="283"/>
              <w:jc w:val="left"/>
              <w:rPr>
                <w:sz w:val="4"/>
                <w:szCs w:val="4"/>
              </w:rPr>
            </w:pPr>
            <w:r>
              <w:rPr>
                <w:sz w:val="4"/>
                <w:szCs w:val="4"/>
              </w:rPr>
            </w:r>
          </w:p>
        </w:tc>
        <w:tc>
          <w:tcPr>
            <w:tcW w:w="38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4512" w:type="dxa"/>
            <w:tcBorders/>
            <w:vAlign w:val="bottom"/>
          </w:tcPr>
          <w:p>
            <w:pPr>
              <w:pStyle w:val="TableContents"/>
              <w:bidi w:val="0"/>
              <w:spacing w:before="0" w:after="283"/>
              <w:jc w:val="left"/>
              <w:rPr/>
            </w:pPr>
            <w:r>
              <w:rPr/>
              <w:t> </w:t>
            </w:r>
          </w:p>
        </w:tc>
        <w:tc>
          <w:tcPr>
            <w:tcW w:w="384" w:type="dxa"/>
            <w:tcBorders/>
            <w:vAlign w:val="bottom"/>
          </w:tcPr>
          <w:p>
            <w:pPr>
              <w:pStyle w:val="TableContents"/>
              <w:bidi w:val="0"/>
              <w:spacing w:before="0" w:after="283"/>
              <w:jc w:val="left"/>
              <w:rPr/>
            </w:pPr>
            <w:r>
              <w:rPr/>
              <w:t>  </w:t>
            </w:r>
          </w:p>
        </w:tc>
        <w:tc>
          <w:tcPr>
            <w:tcW w:w="866" w:type="dxa"/>
            <w:gridSpan w:val="2"/>
            <w:tcBorders/>
            <w:vAlign w:val="bottom"/>
          </w:tcPr>
          <w:p>
            <w:pPr>
              <w:pStyle w:val="TableContents"/>
              <w:bidi w:val="0"/>
              <w:spacing w:before="0" w:after="283"/>
              <w:jc w:val="center"/>
              <w:rPr>
                <w:b/>
              </w:rPr>
            </w:pPr>
            <w:r>
              <w:rPr>
                <w:b/>
              </w:rPr>
              <w:t>2025</w:t>
              <w:br/>
              <w:t>£’000</w:t>
              <w:br/>
              <w:t>Audited</w:t>
            </w:r>
          </w:p>
        </w:tc>
        <w:tc>
          <w:tcPr>
            <w:tcW w:w="32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106" w:type="dxa"/>
            <w:gridSpan w:val="2"/>
            <w:tcBorders/>
            <w:vAlign w:val="bottom"/>
          </w:tcPr>
          <w:p>
            <w:pPr>
              <w:pStyle w:val="TableContents"/>
              <w:bidi w:val="0"/>
              <w:spacing w:before="0" w:after="283"/>
              <w:jc w:val="center"/>
              <w:rPr>
                <w:b/>
              </w:rPr>
            </w:pPr>
            <w:r>
              <w:rPr>
                <w:b/>
              </w:rPr>
              <w:t>2024</w:t>
              <w:br/>
              <w:t>£’000</w:t>
              <w:br/>
              <w:t>Unaudited</w:t>
            </w:r>
          </w:p>
        </w:tc>
        <w:tc>
          <w:tcPr>
            <w:tcW w:w="278" w:type="dxa"/>
            <w:tcBorders/>
            <w:vAlign w:val="bottom"/>
          </w:tcPr>
          <w:p>
            <w:pPr>
              <w:pStyle w:val="TableContents"/>
              <w:bidi w:val="0"/>
              <w:spacing w:before="0" w:after="283"/>
              <w:jc w:val="left"/>
              <w:rPr/>
            </w:pPr>
            <w:r>
              <w:rPr/>
              <w:t> </w:t>
            </w:r>
          </w:p>
        </w:tc>
      </w:tr>
      <w:tr>
        <w:trPr/>
        <w:tc>
          <w:tcPr>
            <w:tcW w:w="45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Weighted-average remaining lease term</w:t>
            </w:r>
          </w:p>
        </w:tc>
        <w:tc>
          <w:tcPr>
            <w:tcW w:w="38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85" w:type="dxa"/>
            <w:tcBorders/>
            <w:shd w:fill="CCEEFF" w:val="clear"/>
            <w:vAlign w:val="bottom"/>
          </w:tcPr>
          <w:p>
            <w:pPr>
              <w:pStyle w:val="TableContents"/>
              <w:bidi w:val="0"/>
              <w:spacing w:before="0" w:after="283"/>
              <w:jc w:val="right"/>
              <w:rPr>
                <w:b/>
              </w:rPr>
            </w:pPr>
            <w:r>
              <w:rPr>
                <w:b/>
              </w:rPr>
              <w:t>6.89</w:t>
            </w:r>
          </w:p>
        </w:tc>
        <w:tc>
          <w:tcPr>
            <w:tcW w:w="32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32" w:type="dxa"/>
            <w:tcBorders/>
            <w:shd w:fill="CCEEFF" w:val="clear"/>
            <w:vAlign w:val="bottom"/>
          </w:tcPr>
          <w:p>
            <w:pPr>
              <w:pStyle w:val="TableContents"/>
              <w:bidi w:val="0"/>
              <w:spacing w:before="0" w:after="283"/>
              <w:jc w:val="left"/>
              <w:rPr/>
            </w:pPr>
            <w:r>
              <w:rPr/>
              <w:t> </w:t>
            </w:r>
          </w:p>
        </w:tc>
        <w:tc>
          <w:tcPr>
            <w:tcW w:w="974" w:type="dxa"/>
            <w:tcBorders/>
            <w:shd w:fill="CCEEFF" w:val="clear"/>
            <w:vAlign w:val="bottom"/>
          </w:tcPr>
          <w:p>
            <w:pPr>
              <w:pStyle w:val="TableContents"/>
              <w:bidi w:val="0"/>
              <w:spacing w:before="0" w:after="283"/>
              <w:jc w:val="right"/>
              <w:rPr/>
            </w:pPr>
            <w:r>
              <w:rPr/>
              <w:t>5.58</w:t>
            </w:r>
          </w:p>
        </w:tc>
        <w:tc>
          <w:tcPr>
            <w:tcW w:w="278" w:type="dxa"/>
            <w:tcBorders/>
            <w:shd w:fill="CCEEFF" w:val="clear"/>
            <w:vAlign w:val="bottom"/>
          </w:tcPr>
          <w:p>
            <w:pPr>
              <w:pStyle w:val="TableContents"/>
              <w:bidi w:val="0"/>
              <w:spacing w:before="0" w:after="283"/>
              <w:jc w:val="left"/>
              <w:rPr/>
            </w:pPr>
            <w:r>
              <w:rPr/>
              <w:t> </w:t>
            </w:r>
          </w:p>
        </w:tc>
      </w:tr>
      <w:tr>
        <w:trPr/>
        <w:tc>
          <w:tcPr>
            <w:tcW w:w="4512" w:type="dxa"/>
            <w:tcBorders/>
          </w:tcPr>
          <w:p>
            <w:pPr>
              <w:pStyle w:val="TableContents"/>
              <w:bidi w:val="0"/>
              <w:spacing w:before="0" w:after="0"/>
              <w:jc w:val="left"/>
              <w:rPr>
                <w:rFonts w:ascii="Times New Roman" w:hAnsi="Times New Roman"/>
                <w:sz w:val="20"/>
              </w:rPr>
            </w:pPr>
            <w:r>
              <w:rPr>
                <w:rFonts w:ascii="Times New Roman" w:hAnsi="Times New Roman"/>
                <w:sz w:val="20"/>
              </w:rPr>
              <w:t>Weighted-average discount rate</w:t>
            </w:r>
          </w:p>
        </w:tc>
        <w:tc>
          <w:tcPr>
            <w:tcW w:w="38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85" w:type="dxa"/>
            <w:tcBorders/>
            <w:vAlign w:val="bottom"/>
          </w:tcPr>
          <w:p>
            <w:pPr>
              <w:pStyle w:val="TableContents"/>
              <w:bidi w:val="0"/>
              <w:spacing w:before="0" w:after="283"/>
              <w:jc w:val="right"/>
              <w:rPr>
                <w:b/>
              </w:rPr>
            </w:pPr>
            <w:r>
              <w:rPr>
                <w:b/>
              </w:rPr>
              <w:t>10.38</w:t>
            </w:r>
          </w:p>
        </w:tc>
        <w:tc>
          <w:tcPr>
            <w:tcW w:w="320" w:type="dxa"/>
            <w:tcBorders/>
            <w:vAlign w:val="bottom"/>
          </w:tcPr>
          <w:p>
            <w:pPr>
              <w:pStyle w:val="TableContents"/>
              <w:bidi w:val="0"/>
              <w:spacing w:before="0" w:after="283"/>
              <w:jc w:val="left"/>
              <w:rPr>
                <w:b/>
              </w:rPr>
            </w:pPr>
            <w:r>
              <w:rPr>
                <w:b/>
              </w:rPr>
              <w:t>% </w:t>
            </w:r>
          </w:p>
        </w:tc>
        <w:tc>
          <w:tcPr>
            <w:tcW w:w="289" w:type="dxa"/>
            <w:tcBorders/>
            <w:vAlign w:val="bottom"/>
          </w:tcPr>
          <w:p>
            <w:pPr>
              <w:pStyle w:val="TableContents"/>
              <w:bidi w:val="0"/>
              <w:spacing w:before="0" w:after="283"/>
              <w:jc w:val="left"/>
              <w:rPr/>
            </w:pPr>
            <w:r>
              <w:rPr/>
              <w:t> </w:t>
            </w:r>
          </w:p>
        </w:tc>
        <w:tc>
          <w:tcPr>
            <w:tcW w:w="132" w:type="dxa"/>
            <w:tcBorders/>
            <w:vAlign w:val="bottom"/>
          </w:tcPr>
          <w:p>
            <w:pPr>
              <w:pStyle w:val="TableContents"/>
              <w:bidi w:val="0"/>
              <w:spacing w:before="0" w:after="283"/>
              <w:jc w:val="left"/>
              <w:rPr/>
            </w:pPr>
            <w:r>
              <w:rPr/>
              <w:t> </w:t>
            </w:r>
          </w:p>
        </w:tc>
        <w:tc>
          <w:tcPr>
            <w:tcW w:w="974" w:type="dxa"/>
            <w:tcBorders/>
            <w:vAlign w:val="bottom"/>
          </w:tcPr>
          <w:p>
            <w:pPr>
              <w:pStyle w:val="TableContents"/>
              <w:bidi w:val="0"/>
              <w:spacing w:before="0" w:after="283"/>
              <w:jc w:val="right"/>
              <w:rPr/>
            </w:pPr>
            <w:r>
              <w:rPr/>
              <w:t>9.70</w:t>
            </w:r>
          </w:p>
        </w:tc>
        <w:tc>
          <w:tcPr>
            <w:tcW w:w="278"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lease liabilities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47"/>
        <w:gridCol w:w="361"/>
        <w:gridCol w:w="81"/>
        <w:gridCol w:w="769"/>
        <w:gridCol w:w="60"/>
        <w:gridCol w:w="361"/>
        <w:gridCol w:w="106"/>
        <w:gridCol w:w="1006"/>
        <w:gridCol w:w="64"/>
      </w:tblGrid>
      <w:tr>
        <w:trPr/>
        <w:tc>
          <w:tcPr>
            <w:tcW w:w="494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947"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8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1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£’000</w:t>
              <w:br/>
              <w:t>Unaudited</w:t>
            </w:r>
          </w:p>
        </w:tc>
        <w:tc>
          <w:tcPr>
            <w:tcW w:w="64" w:type="dxa"/>
            <w:tcBorders/>
            <w:vAlign w:val="bottom"/>
          </w:tcPr>
          <w:p>
            <w:pPr>
              <w:pStyle w:val="TableContents"/>
              <w:bidi w:val="0"/>
              <w:spacing w:before="0" w:after="283"/>
              <w:jc w:val="left"/>
              <w:rPr/>
            </w:pPr>
            <w:r>
              <w:rPr/>
              <w:t> </w:t>
            </w:r>
          </w:p>
        </w:tc>
      </w:tr>
      <w:tr>
        <w:trPr/>
        <w:tc>
          <w:tcPr>
            <w:tcW w:w="49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Gross lease liabilities</w:t>
            </w:r>
          </w:p>
        </w:tc>
        <w:tc>
          <w:tcPr>
            <w:tcW w:w="36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5,219</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6,473</w:t>
            </w:r>
          </w:p>
        </w:tc>
        <w:tc>
          <w:tcPr>
            <w:tcW w:w="64" w:type="dxa"/>
            <w:tcBorders/>
            <w:shd w:fill="CCEEFF" w:val="clear"/>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imputed interest</w:t>
            </w:r>
          </w:p>
        </w:tc>
        <w:tc>
          <w:tcPr>
            <w:tcW w:w="36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1,886</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2,112</w:t>
            </w:r>
          </w:p>
        </w:tc>
        <w:tc>
          <w:tcPr>
            <w:tcW w:w="64" w:type="dxa"/>
            <w:tcBorders/>
            <w:vAlign w:val="bottom"/>
          </w:tcPr>
          <w:p>
            <w:pPr>
              <w:pStyle w:val="TableContents"/>
              <w:bidi w:val="0"/>
              <w:spacing w:before="0" w:after="283"/>
              <w:jc w:val="left"/>
              <w:rPr/>
            </w:pPr>
            <w:r>
              <w:rPr/>
              <w:t> </w:t>
            </w:r>
          </w:p>
        </w:tc>
      </w:tr>
      <w:tr>
        <w:trPr/>
        <w:tc>
          <w:tcPr>
            <w:tcW w:w="494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Present value of lease liabilities</w:t>
            </w:r>
          </w:p>
        </w:tc>
        <w:tc>
          <w:tcPr>
            <w:tcW w:w="36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3,333</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4,361</w:t>
            </w:r>
          </w:p>
        </w:tc>
        <w:tc>
          <w:tcPr>
            <w:tcW w:w="64" w:type="dxa"/>
            <w:tcBorders/>
            <w:shd w:fill="CCEEFF" w:val="clear"/>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Less: current portion of lease liabilities</w:t>
            </w:r>
          </w:p>
        </w:tc>
        <w:tc>
          <w:tcPr>
            <w:tcW w:w="361"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9" w:type="dxa"/>
            <w:tcBorders/>
            <w:vAlign w:val="bottom"/>
          </w:tcPr>
          <w:p>
            <w:pPr>
              <w:pStyle w:val="TableContents"/>
              <w:bidi w:val="0"/>
              <w:spacing w:before="0" w:after="283"/>
              <w:jc w:val="right"/>
              <w:rPr>
                <w:b/>
              </w:rPr>
            </w:pPr>
            <w:r>
              <w:rPr>
                <w:b/>
              </w:rPr>
              <w:t>1,208</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1,257</w:t>
            </w:r>
          </w:p>
        </w:tc>
        <w:tc>
          <w:tcPr>
            <w:tcW w:w="64" w:type="dxa"/>
            <w:tcBorders/>
            <w:vAlign w:val="bottom"/>
          </w:tcPr>
          <w:p>
            <w:pPr>
              <w:pStyle w:val="TableContents"/>
              <w:bidi w:val="0"/>
              <w:spacing w:before="0" w:after="283"/>
              <w:jc w:val="left"/>
              <w:rPr/>
            </w:pPr>
            <w:r>
              <w:rPr/>
              <w:t> </w:t>
            </w:r>
          </w:p>
        </w:tc>
      </w:tr>
      <w:tr>
        <w:trPr/>
        <w:tc>
          <w:tcPr>
            <w:tcW w:w="494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4947"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long-term lease liabilities</w:t>
            </w:r>
          </w:p>
        </w:tc>
        <w:tc>
          <w:tcPr>
            <w:tcW w:w="361"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9" w:type="dxa"/>
            <w:tcBorders/>
            <w:shd w:fill="CCEEFF" w:val="clear"/>
            <w:vAlign w:val="bottom"/>
          </w:tcPr>
          <w:p>
            <w:pPr>
              <w:pStyle w:val="TableContents"/>
              <w:bidi w:val="0"/>
              <w:spacing w:before="0" w:after="283"/>
              <w:jc w:val="right"/>
              <w:rPr>
                <w:b/>
              </w:rPr>
            </w:pPr>
            <w:r>
              <w:rPr>
                <w:b/>
              </w:rPr>
              <w:t>2,126</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3,104</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(c)</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Intangible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U.K. GAAP, the company capitalized certain internally generated development expenditures (including employee-related costs) as intangible assets and amortized those capitalized costs over their estimated useful lives. </w:t>
      </w:r>
    </w:p>
    <w:p>
      <w:pPr>
        <w:pStyle w:val="TextBody"/>
        <w:bidi w:val="0"/>
        <w:spacing w:before="120" w:after="0"/>
        <w:jc w:val="left"/>
        <w:rPr>
          <w:rFonts w:ascii="Times New Roman" w:hAnsi="Times New Roman"/>
          <w:sz w:val="20"/>
        </w:rPr>
      </w:pPr>
      <w:r>
        <w:rPr>
          <w:rFonts w:ascii="Times New Roman" w:hAnsi="Times New Roman"/>
          <w:sz w:val="20"/>
        </w:rPr>
        <w:t xml:space="preserve">Under U.S. GAAP, internally generated research and development costs are generally required to be expensed as incurred to the extent they fall within the scope of ASC 730 and are not eligible for capitalization. As a result, compared to U.K. GAAP, U.S. GAAP results in lower intangible assets and retained earnings and higher operating expenses, with no impact on cash flows.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(d)</w:t>
            </w:r>
          </w:p>
        </w:tc>
        <w:tc>
          <w:tcPr>
            <w:tcW w:w="9290"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Income taxes – Deferred taxes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There are no tax years currently open to examination by tax authorities, and no tax positions are currently under examination. </w:t>
      </w:r>
    </w:p>
    <w:p>
      <w:pPr>
        <w:pStyle w:val="TextBody"/>
        <w:bidi w:val="0"/>
        <w:spacing w:before="120" w:after="0"/>
        <w:jc w:val="left"/>
        <w:rPr>
          <w:rFonts w:ascii="Times New Roman" w:hAnsi="Times New Roman"/>
          <w:sz w:val="20"/>
        </w:rPr>
      </w:pPr>
      <w:r>
        <w:rPr>
          <w:rFonts w:ascii="Times New Roman" w:hAnsi="Times New Roman"/>
          <w:sz w:val="20"/>
        </w:rPr>
        <w:t xml:space="preserve">The tax-related reconciling amounts reflect the deferred tax effects of the underlying U.S. GAAP adjustments, the recognition of deferred taxes for temporary differences and presentation differences. Deferred tax expense arises entirely from foreign operations, as the Isle of Man statutory tax rate is 0%, as disclosed in Note 10 to the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Under U.K. GAAP, deferred taxes are only recognized for timing differences which both originate and reverse through differences between taxable profits and total comprehensive income. Under U.S. GAAP, deferred taxes are recognized for temporary differences that will reverse in the future, even if they didn’t originate through a difference between taxable profits and total comprehensive income. Deferred tax liabilities of £117 thousand relating to capitalized dilapidation costs as of December 31, 2025 have been recognized under U.S. GAAP that were not recognized under U.K. GAAP. These deferred tax liabilities arise from temporary differences associated with the capitalization of dilapidation costs within the related operating lease right-of-use assets. The related impact resulted in a deferred tax benefit of £136 thousand recognized for the year ended December 31, 2025 under U.S. GAAP that was not recognized under U.K. GAAP. </w:t>
      </w:r>
    </w:p>
    <w:p>
      <w:pPr>
        <w:pStyle w:val="TextBody"/>
        <w:bidi w:val="0"/>
        <w:spacing w:before="120" w:after="0"/>
        <w:jc w:val="left"/>
        <w:rPr>
          <w:rFonts w:ascii="Times New Roman" w:hAnsi="Times New Roman"/>
          <w:sz w:val="20"/>
        </w:rPr>
      </w:pPr>
      <w:r>
        <w:rPr>
          <w:rFonts w:ascii="Times New Roman" w:hAnsi="Times New Roman"/>
          <w:sz w:val="20"/>
        </w:rPr>
        <w:t xml:space="preserve">Under U.S. GAAP, deferred tax assets relating to foreign operations of £31 thousand as of December 31, 2025 (£35 thousand as of December 31, 2024) have been reclassified from current assets under U.K. GAAP to non-current assets. Deferred tax assets and liabilities have also been offset and presented on a net basis for each tax-paying component within the same tax jurisdiction, where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company’s consolidated profit / (loss) before taxation for the periods presented were generated by domestic and foreign operations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5012"/>
        <w:gridCol w:w="254"/>
        <w:gridCol w:w="81"/>
        <w:gridCol w:w="775"/>
        <w:gridCol w:w="155"/>
        <w:gridCol w:w="215"/>
        <w:gridCol w:w="94"/>
        <w:gridCol w:w="1010"/>
        <w:gridCol w:w="159"/>
      </w:tblGrid>
      <w:tr>
        <w:trPr/>
        <w:tc>
          <w:tcPr>
            <w:tcW w:w="5012" w:type="dxa"/>
            <w:tcBorders/>
            <w:vAlign w:val="center"/>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94"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01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Profit / (Loss) before taxation:</w:t>
            </w:r>
          </w:p>
        </w:tc>
        <w:tc>
          <w:tcPr>
            <w:tcW w:w="254" w:type="dxa"/>
            <w:tcBorders/>
            <w:vAlign w:val="bottom"/>
          </w:tcPr>
          <w:p>
            <w:pPr>
              <w:pStyle w:val="TableContents"/>
              <w:bidi w:val="0"/>
              <w:spacing w:before="0" w:after="283"/>
              <w:jc w:val="left"/>
              <w:rPr/>
            </w:pPr>
            <w:r>
              <w:rPr/>
              <w:t>  </w:t>
            </w:r>
          </w:p>
        </w:tc>
        <w:tc>
          <w:tcPr>
            <w:tcW w:w="8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104" w:type="dxa"/>
            <w:gridSpan w:val="2"/>
            <w:tcBorders>
              <w:bottom w:val="single" w:sz="8" w:space="0" w:color="000000"/>
            </w:tcBorders>
            <w:tcMar>
              <w:bottom w:w="28" w:type="dxa"/>
            </w:tcMar>
            <w:vAlign w:val="bottom"/>
          </w:tcPr>
          <w:p>
            <w:pPr>
              <w:pStyle w:val="TableContents"/>
              <w:bidi w:val="0"/>
              <w:spacing w:before="0" w:after="283"/>
              <w:jc w:val="center"/>
              <w:rPr/>
            </w:pPr>
            <w:r>
              <w:rPr>
                <w:b/>
              </w:rPr>
              <w:t>2024</w:t>
            </w:r>
            <w:r>
              <w:rPr/>
              <w:br/>
            </w:r>
            <w:r>
              <w:rPr>
                <w:b/>
              </w:rPr>
              <w:t>£’000</w:t>
              <w:br/>
              <w:t>Unaudited</w:t>
            </w:r>
          </w:p>
        </w:tc>
        <w:tc>
          <w:tcPr>
            <w:tcW w:w="159"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Isle of Man</w:t>
            </w:r>
          </w:p>
        </w:tc>
        <w:tc>
          <w:tcPr>
            <w:tcW w:w="25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b/>
              </w:rPr>
            </w:pPr>
            <w:r>
              <w:rPr>
                <w:b/>
              </w:rPr>
              <w:t>(795</w:t>
            </w:r>
          </w:p>
        </w:tc>
        <w:tc>
          <w:tcPr>
            <w:tcW w:w="155" w:type="dxa"/>
            <w:tcBorders/>
            <w:shd w:fill="CCEEFF" w:val="clear"/>
            <w:vAlign w:val="bottom"/>
          </w:tcPr>
          <w:p>
            <w:pPr>
              <w:pStyle w:val="TableContents"/>
              <w:bidi w:val="0"/>
              <w:spacing w:before="0" w:after="283"/>
              <w:jc w:val="left"/>
              <w:rPr>
                <w:b/>
              </w:rPr>
            </w:pPr>
            <w:r>
              <w:rPr>
                <w:b/>
              </w:rPr>
              <w:t>) </w:t>
            </w:r>
          </w:p>
        </w:tc>
        <w:tc>
          <w:tcPr>
            <w:tcW w:w="21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(3,546</w:t>
            </w:r>
          </w:p>
        </w:tc>
        <w:tc>
          <w:tcPr>
            <w:tcW w:w="159"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England</w:t>
            </w:r>
          </w:p>
        </w:tc>
        <w:tc>
          <w:tcPr>
            <w:tcW w:w="25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b/>
              </w:rPr>
            </w:pPr>
            <w:r>
              <w:rPr>
                <w:b/>
              </w:rPr>
              <w:t>3,580</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1,539</w:t>
            </w:r>
          </w:p>
        </w:tc>
        <w:tc>
          <w:tcPr>
            <w:tcW w:w="159"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25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b/>
              </w:rPr>
            </w:pPr>
            <w:r>
              <w:rPr>
                <w:b/>
              </w:rPr>
              <w:t>185</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133</w:t>
            </w:r>
          </w:p>
        </w:tc>
        <w:tc>
          <w:tcPr>
            <w:tcW w:w="159" w:type="dxa"/>
            <w:tcBorders/>
            <w:shd w:fill="CCEEFF" w:val="clear"/>
            <w:vAlign w:val="bottom"/>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sz w:val="20"/>
              </w:rPr>
            </w:pPr>
            <w:r>
              <w:rPr>
                <w:rFonts w:ascii="Times New Roman" w:hAnsi="Times New Roman"/>
                <w:sz w:val="20"/>
              </w:rPr>
              <w:t>Belgium</w:t>
            </w:r>
          </w:p>
        </w:tc>
        <w:tc>
          <w:tcPr>
            <w:tcW w:w="25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b/>
              </w:rPr>
            </w:pPr>
            <w:r>
              <w:rPr>
                <w:b/>
              </w:rPr>
              <w:t>56</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38</w:t>
            </w:r>
          </w:p>
        </w:tc>
        <w:tc>
          <w:tcPr>
            <w:tcW w:w="159" w:type="dxa"/>
            <w:tcBorders/>
            <w:vAlign w:val="bottom"/>
          </w:tcPr>
          <w:p>
            <w:pPr>
              <w:pStyle w:val="TableContents"/>
              <w:bidi w:val="0"/>
              <w:spacing w:before="0" w:after="283"/>
              <w:jc w:val="left"/>
              <w:rPr/>
            </w:pPr>
            <w:r>
              <w:rPr/>
              <w:t> </w:t>
            </w:r>
          </w:p>
        </w:tc>
      </w:tr>
      <w:tr>
        <w:trPr/>
        <w:tc>
          <w:tcPr>
            <w:tcW w:w="50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25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left"/>
              <w:rPr/>
            </w:pPr>
            <w:r>
              <w:rPr/>
              <w:t> </w:t>
            </w:r>
          </w:p>
        </w:tc>
        <w:tc>
          <w:tcPr>
            <w:tcW w:w="1010" w:type="dxa"/>
            <w:tcBorders/>
            <w:shd w:fill="CCEEFF" w:val="clear"/>
            <w:vAlign w:val="bottom"/>
          </w:tcPr>
          <w:p>
            <w:pPr>
              <w:pStyle w:val="TableContents"/>
              <w:bidi w:val="0"/>
              <w:spacing w:before="0" w:after="283"/>
              <w:jc w:val="right"/>
              <w:rPr/>
            </w:pPr>
            <w:r>
              <w:rPr/>
              <w:t>425</w:t>
            </w:r>
          </w:p>
        </w:tc>
        <w:tc>
          <w:tcPr>
            <w:tcW w:w="159" w:type="dxa"/>
            <w:tcBorders/>
            <w:shd w:fill="CCEEFF" w:val="clear"/>
            <w:vAlign w:val="bottom"/>
          </w:tcPr>
          <w:p>
            <w:pPr>
              <w:pStyle w:val="TableContents"/>
              <w:bidi w:val="0"/>
              <w:spacing w:before="0" w:after="283"/>
              <w:jc w:val="left"/>
              <w:rPr/>
            </w:pPr>
            <w:r>
              <w:rPr/>
              <w:t> </w:t>
            </w:r>
          </w:p>
        </w:tc>
      </w:tr>
      <w:tr>
        <w:trPr/>
        <w:tc>
          <w:tcPr>
            <w:tcW w:w="5012" w:type="dxa"/>
            <w:tcBorders/>
            <w:vAlign w:val="bottom"/>
          </w:tcPr>
          <w:p>
            <w:pPr>
              <w:pStyle w:val="TableContents"/>
              <w:bidi w:val="0"/>
              <w:spacing w:before="0" w:after="283"/>
              <w:jc w:val="left"/>
              <w:rPr>
                <w:sz w:val="4"/>
                <w:szCs w:val="4"/>
              </w:rPr>
            </w:pPr>
            <w:r>
              <w:rPr>
                <w:sz w:val="4"/>
                <w:szCs w:val="4"/>
              </w:rPr>
            </w:r>
          </w:p>
        </w:tc>
        <w:tc>
          <w:tcPr>
            <w:tcW w:w="25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 w:type="dxa"/>
            <w:tcBorders/>
            <w:vAlign w:val="bottom"/>
          </w:tcPr>
          <w:p>
            <w:pPr>
              <w:pStyle w:val="TableContents"/>
              <w:pBdr>
                <w:top w:val="single" w:sz="2" w:space="1" w:color="000000"/>
              </w:pBdr>
              <w:bidi w:val="0"/>
              <w:spacing w:before="0" w:after="0"/>
              <w:jc w:val="left"/>
              <w:rPr/>
            </w:pPr>
            <w:r>
              <w:rPr/>
              <w:t> </w:t>
            </w:r>
          </w:p>
        </w:tc>
        <w:tc>
          <w:tcPr>
            <w:tcW w:w="1010"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01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25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b/>
              </w:rPr>
            </w:pPr>
            <w:r>
              <w:rPr>
                <w:b/>
              </w:rPr>
              <w:t>3,026</w:t>
            </w:r>
          </w:p>
        </w:tc>
        <w:tc>
          <w:tcPr>
            <w:tcW w:w="155"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right"/>
              <w:rPr/>
            </w:pPr>
            <w:r>
              <w:rPr/>
              <w:t>(1,411</w:t>
            </w:r>
          </w:p>
        </w:tc>
        <w:tc>
          <w:tcPr>
            <w:tcW w:w="159"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is a summary of income taxes paid by jurisdiction for the year ended December 31, 2025, and December 31, 2024: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919"/>
        <w:gridCol w:w="364"/>
        <w:gridCol w:w="81"/>
        <w:gridCol w:w="776"/>
        <w:gridCol w:w="60"/>
        <w:gridCol w:w="364"/>
        <w:gridCol w:w="150"/>
        <w:gridCol w:w="979"/>
        <w:gridCol w:w="62"/>
      </w:tblGrid>
      <w:tr>
        <w:trPr/>
        <w:tc>
          <w:tcPr>
            <w:tcW w:w="4919"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919"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8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£’000</w:t>
              <w:br/>
              <w:t>Unaudited</w:t>
            </w:r>
          </w:p>
        </w:tc>
        <w:tc>
          <w:tcPr>
            <w:tcW w:w="62" w:type="dxa"/>
            <w:tcBorders/>
            <w:vAlign w:val="bottom"/>
          </w:tcPr>
          <w:p>
            <w:pPr>
              <w:pStyle w:val="TableContents"/>
              <w:bidi w:val="0"/>
              <w:spacing w:before="0" w:after="283"/>
              <w:jc w:val="left"/>
              <w:rPr/>
            </w:pPr>
            <w:r>
              <w:rPr/>
              <w:t> </w:t>
            </w:r>
          </w:p>
        </w:tc>
      </w:tr>
      <w:tr>
        <w:trPr/>
        <w:tc>
          <w:tcPr>
            <w:tcW w:w="4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England</w:t>
            </w:r>
          </w:p>
        </w:tc>
        <w:tc>
          <w:tcPr>
            <w:tcW w:w="3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b/>
              </w:rPr>
            </w:pPr>
            <w:r>
              <w:rPr>
                <w:b/>
              </w:rPr>
              <w:t>1,510</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719</w:t>
            </w:r>
          </w:p>
        </w:tc>
        <w:tc>
          <w:tcPr>
            <w:tcW w:w="62" w:type="dxa"/>
            <w:tcBorders/>
            <w:shd w:fill="CCEEFF" w:val="clear"/>
            <w:vAlign w:val="bottom"/>
          </w:tcPr>
          <w:p>
            <w:pPr>
              <w:pStyle w:val="TableContents"/>
              <w:bidi w:val="0"/>
              <w:spacing w:before="0" w:after="283"/>
              <w:jc w:val="left"/>
              <w:rPr/>
            </w:pPr>
            <w:r>
              <w:rPr/>
              <w:t> </w:t>
            </w:r>
          </w:p>
        </w:tc>
      </w:tr>
      <w:tr>
        <w:trPr/>
        <w:tc>
          <w:tcPr>
            <w:tcW w:w="4919" w:type="dxa"/>
            <w:tcBorders/>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3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b/>
              </w:rPr>
            </w:pPr>
            <w:r>
              <w:rPr>
                <w:b/>
              </w:rPr>
              <w:t>34</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51</w:t>
            </w:r>
          </w:p>
        </w:tc>
        <w:tc>
          <w:tcPr>
            <w:tcW w:w="62" w:type="dxa"/>
            <w:tcBorders/>
            <w:vAlign w:val="bottom"/>
          </w:tcPr>
          <w:p>
            <w:pPr>
              <w:pStyle w:val="TableContents"/>
              <w:bidi w:val="0"/>
              <w:spacing w:before="0" w:after="283"/>
              <w:jc w:val="left"/>
              <w:rPr/>
            </w:pPr>
            <w:r>
              <w:rPr/>
              <w:t> </w:t>
            </w:r>
          </w:p>
        </w:tc>
      </w:tr>
      <w:tr>
        <w:trPr/>
        <w:tc>
          <w:tcPr>
            <w:tcW w:w="49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Belgium</w:t>
            </w:r>
          </w:p>
        </w:tc>
        <w:tc>
          <w:tcPr>
            <w:tcW w:w="3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7</w:t>
            </w:r>
          </w:p>
        </w:tc>
        <w:tc>
          <w:tcPr>
            <w:tcW w:w="62" w:type="dxa"/>
            <w:tcBorders/>
            <w:shd w:fill="CCEEFF" w:val="clear"/>
            <w:vAlign w:val="bottom"/>
          </w:tcPr>
          <w:p>
            <w:pPr>
              <w:pStyle w:val="TableContents"/>
              <w:bidi w:val="0"/>
              <w:spacing w:before="0" w:after="283"/>
              <w:jc w:val="left"/>
              <w:rPr/>
            </w:pPr>
            <w:r>
              <w:rPr/>
              <w:t> </w:t>
            </w:r>
          </w:p>
        </w:tc>
      </w:tr>
      <w:tr>
        <w:trPr/>
        <w:tc>
          <w:tcPr>
            <w:tcW w:w="4919" w:type="dxa"/>
            <w:tcBorders/>
          </w:tcPr>
          <w:p>
            <w:pPr>
              <w:pStyle w:val="TableContents"/>
              <w:bidi w:val="0"/>
              <w:spacing w:before="0" w:after="0"/>
              <w:jc w:val="left"/>
              <w:rPr>
                <w:rFonts w:ascii="Times New Roman" w:hAnsi="Times New Roman"/>
                <w:sz w:val="20"/>
              </w:rPr>
            </w:pPr>
            <w:r>
              <w:rPr>
                <w:rFonts w:ascii="Times New Roman" w:hAnsi="Times New Roman"/>
                <w:sz w:val="20"/>
              </w:rPr>
              <w:t>United States</w:t>
            </w:r>
          </w:p>
        </w:tc>
        <w:tc>
          <w:tcPr>
            <w:tcW w:w="364"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76"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right"/>
              <w:rPr/>
            </w:pPr>
            <w:r>
              <w:rPr/>
              <w:t>43</w:t>
            </w:r>
          </w:p>
        </w:tc>
        <w:tc>
          <w:tcPr>
            <w:tcW w:w="62" w:type="dxa"/>
            <w:tcBorders/>
            <w:vAlign w:val="bottom"/>
          </w:tcPr>
          <w:p>
            <w:pPr>
              <w:pStyle w:val="TableContents"/>
              <w:bidi w:val="0"/>
              <w:spacing w:before="0" w:after="283"/>
              <w:jc w:val="left"/>
              <w:rPr/>
            </w:pPr>
            <w:r>
              <w:rPr/>
              <w:t> </w:t>
            </w:r>
          </w:p>
        </w:tc>
      </w:tr>
      <w:tr>
        <w:trPr/>
        <w:tc>
          <w:tcPr>
            <w:tcW w:w="4919" w:type="dxa"/>
            <w:tcBorders/>
            <w:vAlign w:val="bottom"/>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79"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91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Tax paid</w:t>
            </w:r>
          </w:p>
        </w:tc>
        <w:tc>
          <w:tcPr>
            <w:tcW w:w="364"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76" w:type="dxa"/>
            <w:tcBorders/>
            <w:shd w:fill="CCEEFF" w:val="clear"/>
            <w:vAlign w:val="bottom"/>
          </w:tcPr>
          <w:p>
            <w:pPr>
              <w:pStyle w:val="TableContents"/>
              <w:bidi w:val="0"/>
              <w:spacing w:before="0" w:after="283"/>
              <w:jc w:val="right"/>
              <w:rPr>
                <w:b/>
              </w:rPr>
            </w:pPr>
            <w:r>
              <w:rPr>
                <w:b/>
              </w:rPr>
              <w:t>1,556</w:t>
            </w:r>
          </w:p>
        </w:tc>
        <w:tc>
          <w:tcPr>
            <w:tcW w:w="60"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9" w:type="dxa"/>
            <w:tcBorders/>
            <w:shd w:fill="CCEEFF" w:val="clear"/>
            <w:vAlign w:val="bottom"/>
          </w:tcPr>
          <w:p>
            <w:pPr>
              <w:pStyle w:val="TableContents"/>
              <w:bidi w:val="0"/>
              <w:spacing w:before="0" w:after="283"/>
              <w:jc w:val="right"/>
              <w:rPr/>
            </w:pPr>
            <w:r>
              <w:rPr/>
              <w:t>820</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years ended December 31, 2025, and 2024, the income tax expense attributable to continuing operations differed from the amount computed by applying the statutory income tax rate in the company’s jurisdiction of domicile of 0% to loss before income taxes. The following reconciliation is presented in accordance with ASU 2023-09: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543"/>
        <w:gridCol w:w="300"/>
        <w:gridCol w:w="81"/>
        <w:gridCol w:w="764"/>
        <w:gridCol w:w="60"/>
        <w:gridCol w:w="300"/>
        <w:gridCol w:w="101"/>
        <w:gridCol w:w="745"/>
        <w:gridCol w:w="320"/>
        <w:gridCol w:w="206"/>
        <w:gridCol w:w="150"/>
        <w:gridCol w:w="978"/>
        <w:gridCol w:w="59"/>
        <w:gridCol w:w="300"/>
        <w:gridCol w:w="114"/>
        <w:gridCol w:w="1012"/>
        <w:gridCol w:w="355"/>
      </w:tblGrid>
      <w:tr>
        <w:trPr/>
        <w:tc>
          <w:tcPr>
            <w:tcW w:w="3543"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8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3543"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£’000</w:t>
              <w:br/>
              <w:t>Audited</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846" w:type="dxa"/>
            <w:gridSpan w:val="2"/>
            <w:tcBorders>
              <w:bottom w:val="single" w:sz="8" w:space="0" w:color="000000"/>
            </w:tcBorders>
            <w:tcMar>
              <w:bottom w:w="28" w:type="dxa"/>
            </w:tcMar>
            <w:vAlign w:val="bottom"/>
          </w:tcPr>
          <w:p>
            <w:pPr>
              <w:pStyle w:val="TableContents"/>
              <w:bidi w:val="0"/>
              <w:spacing w:before="0" w:after="283"/>
              <w:jc w:val="center"/>
              <w:rPr/>
            </w:pPr>
            <w:r>
              <w:rPr>
                <w:b/>
              </w:rPr>
              <w:t>2025</w:t>
            </w:r>
            <w:r>
              <w:rPr/>
              <w:br/>
            </w:r>
            <w:r>
              <w:rPr>
                <w:b/>
              </w:rPr>
              <w:t>%</w:t>
              <w:br/>
              <w:t>Audited</w:t>
            </w:r>
          </w:p>
        </w:tc>
        <w:tc>
          <w:tcPr>
            <w:tcW w:w="32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1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br/>
              <w:t>£’000</w:t>
              <w:br/>
              <w:t>Unaudited</w:t>
            </w:r>
          </w:p>
        </w:tc>
        <w:tc>
          <w:tcPr>
            <w:tcW w:w="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bottom"/>
          </w:tcPr>
          <w:p>
            <w:pPr>
              <w:pStyle w:val="TableContents"/>
              <w:bidi w:val="0"/>
              <w:spacing w:before="0" w:after="283"/>
              <w:jc w:val="center"/>
              <w:rPr/>
            </w:pPr>
            <w:r>
              <w:rPr>
                <w:b/>
              </w:rPr>
              <w:t>2024</w:t>
            </w:r>
            <w:r>
              <w:rPr/>
              <w:br/>
            </w:r>
            <w:r>
              <w:rPr>
                <w:b/>
              </w:rPr>
              <w:t>%</w:t>
              <w:br/>
              <w:t>Unaudited</w:t>
            </w:r>
          </w:p>
        </w:tc>
        <w:tc>
          <w:tcPr>
            <w:tcW w:w="355"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Isle of Man Federal Statutory Tax Rate</w:t>
            </w:r>
          </w:p>
        </w:tc>
        <w:tc>
          <w:tcPr>
            <w:tcW w:w="30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— </w:t>
            </w:r>
          </w:p>
        </w:tc>
        <w:tc>
          <w:tcPr>
            <w:tcW w:w="32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— </w:t>
            </w:r>
          </w:p>
        </w:tc>
        <w:tc>
          <w:tcPr>
            <w:tcW w:w="355"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b/>
                <w:sz w:val="20"/>
              </w:rPr>
            </w:pPr>
            <w:r>
              <w:rPr>
                <w:rFonts w:ascii="Times New Roman" w:hAnsi="Times New Roman"/>
                <w:b/>
                <w:sz w:val="20"/>
              </w:rPr>
              <w:t>Foreign Tax Effects</w:t>
            </w:r>
          </w:p>
        </w:tc>
        <w:tc>
          <w:tcPr>
            <w:tcW w:w="30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b/>
              </w:rPr>
            </w:pPr>
            <w:r>
              <w:rPr>
                <w:b/>
              </w:rPr>
              <w:t>1,051</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b/>
              </w:rPr>
            </w:pPr>
            <w:r>
              <w:rPr>
                <w:b/>
              </w:rPr>
              <w:t>34.7</w:t>
            </w:r>
          </w:p>
        </w:tc>
        <w:tc>
          <w:tcPr>
            <w:tcW w:w="320" w:type="dxa"/>
            <w:tcBorders/>
            <w:vAlign w:val="bottom"/>
          </w:tcPr>
          <w:p>
            <w:pPr>
              <w:pStyle w:val="TableContents"/>
              <w:bidi w:val="0"/>
              <w:spacing w:before="0" w:after="283"/>
              <w:jc w:val="left"/>
              <w:rPr>
                <w:b/>
              </w:rPr>
            </w:pPr>
            <w:r>
              <w:rPr>
                <w:b/>
              </w:rPr>
              <w:t>% </w:t>
            </w:r>
          </w:p>
        </w:tc>
        <w:tc>
          <w:tcPr>
            <w:tcW w:w="2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900</w:t>
            </w:r>
          </w:p>
        </w:tc>
        <w:tc>
          <w:tcPr>
            <w:tcW w:w="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(63.8</w:t>
            </w:r>
          </w:p>
        </w:tc>
        <w:tc>
          <w:tcPr>
            <w:tcW w:w="355"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United Kingdom</w:t>
            </w:r>
          </w:p>
        </w:tc>
        <w:tc>
          <w:tcPr>
            <w:tcW w:w="30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b/>
              </w:rPr>
            </w:pPr>
            <w:r>
              <w:rPr>
                <w:b/>
              </w:rPr>
              <w:t>988</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b/>
              </w:rPr>
            </w:pPr>
            <w:r>
              <w:rPr>
                <w:b/>
              </w:rPr>
              <w:t>32.7</w:t>
            </w:r>
          </w:p>
        </w:tc>
        <w:tc>
          <w:tcPr>
            <w:tcW w:w="320" w:type="dxa"/>
            <w:tcBorders/>
            <w:shd w:fill="CCEEFF" w:val="clear"/>
            <w:vAlign w:val="bottom"/>
          </w:tcPr>
          <w:p>
            <w:pPr>
              <w:pStyle w:val="TableContents"/>
              <w:bidi w:val="0"/>
              <w:spacing w:before="0" w:after="283"/>
              <w:jc w:val="left"/>
              <w:rPr>
                <w:b/>
              </w:rPr>
            </w:pPr>
            <w:r>
              <w:rPr>
                <w:b/>
              </w:rPr>
              <w:t>% </w:t>
            </w:r>
          </w:p>
        </w:tc>
        <w:tc>
          <w:tcPr>
            <w:tcW w:w="2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810</w:t>
            </w:r>
          </w:p>
        </w:tc>
        <w:tc>
          <w:tcPr>
            <w:tcW w:w="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(57.4</w:t>
            </w:r>
          </w:p>
        </w:tc>
        <w:tc>
          <w:tcPr>
            <w:tcW w:w="355"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Statutory rate differential</w:t>
            </w:r>
          </w:p>
        </w:tc>
        <w:tc>
          <w:tcPr>
            <w:tcW w:w="30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b/>
              </w:rPr>
            </w:pPr>
            <w:r>
              <w:rPr>
                <w:b/>
              </w:rPr>
              <w:t>924</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b/>
              </w:rPr>
            </w:pPr>
            <w:r>
              <w:rPr>
                <w:b/>
              </w:rPr>
              <w:t>30.5</w:t>
            </w:r>
          </w:p>
        </w:tc>
        <w:tc>
          <w:tcPr>
            <w:tcW w:w="320" w:type="dxa"/>
            <w:tcBorders/>
            <w:vAlign w:val="bottom"/>
          </w:tcPr>
          <w:p>
            <w:pPr>
              <w:pStyle w:val="TableContents"/>
              <w:bidi w:val="0"/>
              <w:spacing w:before="0" w:after="283"/>
              <w:jc w:val="left"/>
              <w:rPr>
                <w:b/>
              </w:rPr>
            </w:pPr>
            <w:r>
              <w:rPr>
                <w:b/>
              </w:rPr>
              <w:t>% </w:t>
            </w:r>
          </w:p>
        </w:tc>
        <w:tc>
          <w:tcPr>
            <w:tcW w:w="2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398</w:t>
            </w:r>
          </w:p>
        </w:tc>
        <w:tc>
          <w:tcPr>
            <w:tcW w:w="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(28.2</w:t>
            </w:r>
          </w:p>
        </w:tc>
        <w:tc>
          <w:tcPr>
            <w:tcW w:w="355"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expense for the dilapidation provision</w:t>
            </w:r>
          </w:p>
        </w:tc>
        <w:tc>
          <w:tcPr>
            <w:tcW w:w="30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b/>
              </w:rPr>
            </w:pPr>
            <w:r>
              <w:rPr>
                <w:b/>
              </w:rPr>
              <w:t>50</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b/>
              </w:rPr>
            </w:pPr>
            <w:r>
              <w:rPr>
                <w:b/>
              </w:rPr>
              <w:t>1.7</w:t>
            </w:r>
          </w:p>
        </w:tc>
        <w:tc>
          <w:tcPr>
            <w:tcW w:w="320" w:type="dxa"/>
            <w:tcBorders/>
            <w:shd w:fill="CCEEFF" w:val="clear"/>
            <w:vAlign w:val="bottom"/>
          </w:tcPr>
          <w:p>
            <w:pPr>
              <w:pStyle w:val="TableContents"/>
              <w:bidi w:val="0"/>
              <w:spacing w:before="0" w:after="283"/>
              <w:jc w:val="left"/>
              <w:rPr>
                <w:b/>
              </w:rPr>
            </w:pPr>
            <w:r>
              <w:rPr>
                <w:b/>
              </w:rPr>
              <w:t>% </w:t>
            </w:r>
          </w:p>
        </w:tc>
        <w:tc>
          <w:tcPr>
            <w:tcW w:w="2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— </w:t>
            </w:r>
          </w:p>
        </w:tc>
        <w:tc>
          <w:tcPr>
            <w:tcW w:w="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0.0</w:t>
            </w:r>
          </w:p>
        </w:tc>
        <w:tc>
          <w:tcPr>
            <w:tcW w:w="355"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Others</w:t>
            </w:r>
          </w:p>
        </w:tc>
        <w:tc>
          <w:tcPr>
            <w:tcW w:w="30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b/>
              </w:rPr>
            </w:pPr>
            <w:r>
              <w:rPr>
                <w:b/>
              </w:rPr>
              <w:t>14</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b/>
              </w:rPr>
            </w:pPr>
            <w:r>
              <w:rPr>
                <w:b/>
              </w:rPr>
              <w:t>0.5</w:t>
            </w:r>
          </w:p>
        </w:tc>
        <w:tc>
          <w:tcPr>
            <w:tcW w:w="320" w:type="dxa"/>
            <w:tcBorders/>
            <w:vAlign w:val="bottom"/>
          </w:tcPr>
          <w:p>
            <w:pPr>
              <w:pStyle w:val="TableContents"/>
              <w:bidi w:val="0"/>
              <w:spacing w:before="0" w:after="283"/>
              <w:jc w:val="left"/>
              <w:rPr>
                <w:b/>
              </w:rPr>
            </w:pPr>
            <w:r>
              <w:rPr>
                <w:b/>
              </w:rPr>
              <w:t>% </w:t>
            </w:r>
          </w:p>
        </w:tc>
        <w:tc>
          <w:tcPr>
            <w:tcW w:w="2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412</w:t>
            </w:r>
          </w:p>
        </w:tc>
        <w:tc>
          <w:tcPr>
            <w:tcW w:w="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(29.2</w:t>
            </w:r>
          </w:p>
        </w:tc>
        <w:tc>
          <w:tcPr>
            <w:tcW w:w="355" w:type="dxa"/>
            <w:tcBorders/>
            <w:vAlign w:val="bottom"/>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France</w:t>
            </w:r>
          </w:p>
        </w:tc>
        <w:tc>
          <w:tcPr>
            <w:tcW w:w="30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b/>
              </w:rPr>
            </w:pPr>
            <w:r>
              <w:rPr>
                <w:b/>
              </w:rPr>
              <w:t>63</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b/>
              </w:rPr>
            </w:pPr>
            <w:r>
              <w:rPr>
                <w:b/>
              </w:rPr>
              <w:t>2.1</w:t>
            </w:r>
          </w:p>
        </w:tc>
        <w:tc>
          <w:tcPr>
            <w:tcW w:w="320" w:type="dxa"/>
            <w:tcBorders/>
            <w:shd w:fill="CCEEFF" w:val="clear"/>
            <w:vAlign w:val="bottom"/>
          </w:tcPr>
          <w:p>
            <w:pPr>
              <w:pStyle w:val="TableContents"/>
              <w:bidi w:val="0"/>
              <w:spacing w:before="0" w:after="283"/>
              <w:jc w:val="left"/>
              <w:rPr>
                <w:b/>
              </w:rPr>
            </w:pPr>
            <w:r>
              <w:rPr>
                <w:b/>
              </w:rPr>
              <w:t>% </w:t>
            </w:r>
          </w:p>
        </w:tc>
        <w:tc>
          <w:tcPr>
            <w:tcW w:w="2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48</w:t>
            </w:r>
          </w:p>
        </w:tc>
        <w:tc>
          <w:tcPr>
            <w:tcW w:w="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(3.4</w:t>
            </w:r>
          </w:p>
        </w:tc>
        <w:tc>
          <w:tcPr>
            <w:tcW w:w="355" w:type="dxa"/>
            <w:tcBorders/>
            <w:shd w:fill="CCEEFF" w:val="clear"/>
            <w:vAlign w:val="bottom"/>
          </w:tcPr>
          <w:p>
            <w:pPr>
              <w:pStyle w:val="TableContents"/>
              <w:bidi w:val="0"/>
              <w:spacing w:before="0" w:after="283"/>
              <w:jc w:val="left"/>
              <w:rPr/>
            </w:pPr>
            <w:r>
              <w:rPr/>
              <w:t>%) </w:t>
            </w:r>
          </w:p>
        </w:tc>
      </w:tr>
      <w:tr>
        <w:trPr/>
        <w:tc>
          <w:tcPr>
            <w:tcW w:w="3543" w:type="dxa"/>
            <w:tcBorders/>
          </w:tcPr>
          <w:p>
            <w:pPr>
              <w:pStyle w:val="TableContents"/>
              <w:bidi w:val="0"/>
              <w:spacing w:before="0" w:after="0"/>
              <w:jc w:val="left"/>
              <w:rPr>
                <w:rFonts w:ascii="Times New Roman" w:hAnsi="Times New Roman"/>
                <w:sz w:val="20"/>
              </w:rPr>
            </w:pPr>
            <w:r>
              <w:rPr>
                <w:rFonts w:ascii="Times New Roman" w:hAnsi="Times New Roman"/>
                <w:sz w:val="20"/>
              </w:rPr>
              <w:t>Other</w:t>
            </w:r>
          </w:p>
        </w:tc>
        <w:tc>
          <w:tcPr>
            <w:tcW w:w="300" w:type="dxa"/>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c>
          <w:tcPr>
            <w:tcW w:w="76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— </w:t>
            </w:r>
          </w:p>
        </w:tc>
        <w:tc>
          <w:tcPr>
            <w:tcW w:w="32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right"/>
              <w:rPr/>
            </w:pPr>
            <w:r>
              <w:rPr/>
              <w:t>42</w:t>
            </w:r>
          </w:p>
        </w:tc>
        <w:tc>
          <w:tcPr>
            <w:tcW w:w="59" w:type="dxa"/>
            <w:tcBorders/>
            <w:vAlign w:val="bottom"/>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4" w:type="dxa"/>
            <w:tcBorders/>
            <w:vAlign w:val="bottom"/>
          </w:tcPr>
          <w:p>
            <w:pPr>
              <w:pStyle w:val="TableContents"/>
              <w:bidi w:val="0"/>
              <w:spacing w:before="0" w:after="283"/>
              <w:jc w:val="left"/>
              <w:rPr/>
            </w:pPr>
            <w:r>
              <w:rPr/>
              <w:t> </w:t>
            </w:r>
          </w:p>
        </w:tc>
        <w:tc>
          <w:tcPr>
            <w:tcW w:w="1012" w:type="dxa"/>
            <w:tcBorders/>
            <w:vAlign w:val="bottom"/>
          </w:tcPr>
          <w:p>
            <w:pPr>
              <w:pStyle w:val="TableContents"/>
              <w:bidi w:val="0"/>
              <w:spacing w:before="0" w:after="283"/>
              <w:jc w:val="right"/>
              <w:rPr/>
            </w:pPr>
            <w:r>
              <w:rPr/>
              <w:t>(3.0</w:t>
            </w:r>
          </w:p>
        </w:tc>
        <w:tc>
          <w:tcPr>
            <w:tcW w:w="355" w:type="dxa"/>
            <w:tcBorders/>
            <w:vAlign w:val="bottom"/>
          </w:tcPr>
          <w:p>
            <w:pPr>
              <w:pStyle w:val="TableContents"/>
              <w:bidi w:val="0"/>
              <w:spacing w:before="0" w:after="283"/>
              <w:jc w:val="left"/>
              <w:rPr/>
            </w:pPr>
            <w:r>
              <w:rPr/>
              <w:t>%) </w:t>
            </w:r>
          </w:p>
        </w:tc>
      </w:tr>
      <w:tr>
        <w:trPr/>
        <w:tc>
          <w:tcPr>
            <w:tcW w:w="3543"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pPr>
            <w:r>
              <w:rPr/>
              <w:t>  </w:t>
            </w:r>
          </w:p>
        </w:tc>
        <w:tc>
          <w:tcPr>
            <w:tcW w:w="81" w:type="dxa"/>
            <w:tcBorders/>
            <w:vAlign w:val="bottom"/>
          </w:tcPr>
          <w:p>
            <w:pPr>
              <w:pStyle w:val="TableContents"/>
              <w:pBdr>
                <w:top w:val="single" w:sz="2" w:space="1" w:color="000000"/>
              </w:pBdr>
              <w:bidi w:val="0"/>
              <w:spacing w:before="0" w:after="0"/>
              <w:jc w:val="left"/>
              <w:rPr/>
            </w:pPr>
            <w:r>
              <w:rPr/>
              <w:t> </w:t>
            </w:r>
          </w:p>
        </w:tc>
        <w:tc>
          <w:tcPr>
            <w:tcW w:w="7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745" w:type="dxa"/>
            <w:tcBorders/>
            <w:vAlign w:val="bottom"/>
          </w:tcPr>
          <w:p>
            <w:pPr>
              <w:pStyle w:val="TableContents"/>
              <w:pBdr>
                <w:top w:val="single" w:sz="2" w:space="1" w:color="000000"/>
              </w:pBdr>
              <w:bidi w:val="0"/>
              <w:spacing w:before="0" w:after="0"/>
              <w:jc w:val="left"/>
              <w:rPr/>
            </w:pPr>
            <w:r>
              <w:rPr/>
              <w:t> </w:t>
            </w:r>
          </w:p>
        </w:tc>
        <w:tc>
          <w:tcPr>
            <w:tcW w:w="320" w:type="dxa"/>
            <w:tcBorders/>
            <w:vAlign w:val="center"/>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978" w:type="dxa"/>
            <w:tcBorders/>
            <w:vAlign w:val="bottom"/>
          </w:tcPr>
          <w:p>
            <w:pPr>
              <w:pStyle w:val="TableContents"/>
              <w:pBdr>
                <w:top w:val="single" w:sz="2" w:space="1" w:color="000000"/>
              </w:pBdr>
              <w:bidi w:val="0"/>
              <w:spacing w:before="0" w:after="0"/>
              <w:jc w:val="left"/>
              <w:rPr/>
            </w:pPr>
            <w:r>
              <w:rPr/>
              <w:t> </w:t>
            </w:r>
          </w:p>
        </w:tc>
        <w:tc>
          <w:tcPr>
            <w:tcW w:w="59" w:type="dxa"/>
            <w:tcBorders/>
            <w:vAlign w:val="center"/>
          </w:tcPr>
          <w:p>
            <w:pPr>
              <w:pStyle w:val="TableContents"/>
              <w:bidi w:val="0"/>
              <w:spacing w:before="0" w:after="283"/>
              <w:jc w:val="left"/>
              <w:rPr/>
            </w:pPr>
            <w:r>
              <w:rPr/>
              <w:t> </w:t>
            </w:r>
          </w:p>
        </w:tc>
        <w:tc>
          <w:tcPr>
            <w:tcW w:w="300" w:type="dxa"/>
            <w:tcBorders/>
            <w:vAlign w:val="bottom"/>
          </w:tcPr>
          <w:p>
            <w:pPr>
              <w:pStyle w:val="TableContents"/>
              <w:bidi w:val="0"/>
              <w:spacing w:before="0" w:after="283"/>
              <w:jc w:val="left"/>
              <w:rPr/>
            </w:pPr>
            <w:r>
              <w:rPr/>
              <w:t>  </w:t>
            </w:r>
          </w:p>
        </w:tc>
        <w:tc>
          <w:tcPr>
            <w:tcW w:w="114" w:type="dxa"/>
            <w:tcBorders/>
            <w:vAlign w:val="bottom"/>
          </w:tcPr>
          <w:p>
            <w:pPr>
              <w:pStyle w:val="TableContents"/>
              <w:pBdr>
                <w:top w:val="single" w:sz="2" w:space="1" w:color="000000"/>
              </w:pBdr>
              <w:bidi w:val="0"/>
              <w:spacing w:before="0" w:after="0"/>
              <w:jc w:val="left"/>
              <w:rPr/>
            </w:pPr>
            <w:r>
              <w:rPr/>
              <w:t> </w:t>
            </w:r>
          </w:p>
        </w:tc>
        <w:tc>
          <w:tcPr>
            <w:tcW w:w="1012" w:type="dxa"/>
            <w:tcBorders/>
            <w:vAlign w:val="bottom"/>
          </w:tcPr>
          <w:p>
            <w:pPr>
              <w:pStyle w:val="TableContents"/>
              <w:pBdr>
                <w:top w:val="single" w:sz="2" w:space="1" w:color="000000"/>
              </w:pBdr>
              <w:bidi w:val="0"/>
              <w:spacing w:before="0" w:after="0"/>
              <w:jc w:val="left"/>
              <w:rPr/>
            </w:pPr>
            <w:r>
              <w:rPr/>
              <w:t> </w:t>
            </w:r>
          </w:p>
        </w:tc>
        <w:tc>
          <w:tcPr>
            <w:tcW w:w="355" w:type="dxa"/>
            <w:tcBorders/>
            <w:vAlign w:val="center"/>
          </w:tcPr>
          <w:p>
            <w:pPr>
              <w:pStyle w:val="TableContents"/>
              <w:bidi w:val="0"/>
              <w:spacing w:before="0" w:after="283"/>
              <w:jc w:val="left"/>
              <w:rPr/>
            </w:pPr>
            <w:r>
              <w:rPr/>
              <w:t> </w:t>
            </w:r>
          </w:p>
        </w:tc>
      </w:tr>
      <w:tr>
        <w:trPr/>
        <w:tc>
          <w:tcPr>
            <w:tcW w:w="3543"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Effective Tax Rate under U.S. GAAP</w:t>
            </w:r>
          </w:p>
        </w:tc>
        <w:tc>
          <w:tcPr>
            <w:tcW w:w="300" w:type="dxa"/>
            <w:tcBorders/>
            <w:shd w:fill="CCEEFF" w:val="clear"/>
            <w:vAlign w:val="bottom"/>
          </w:tcPr>
          <w:p>
            <w:pPr>
              <w:pStyle w:val="TableContents"/>
              <w:bidi w:val="0"/>
              <w:spacing w:before="0" w:after="283"/>
              <w:jc w:val="left"/>
              <w:rPr/>
            </w:pPr>
            <w:r>
              <w:rPr/>
              <w:t>  </w:t>
            </w:r>
          </w:p>
        </w:tc>
        <w:tc>
          <w:tcPr>
            <w:tcW w:w="81" w:type="dxa"/>
            <w:tcBorders/>
            <w:shd w:fill="CCEEFF" w:val="clear"/>
            <w:vAlign w:val="bottom"/>
          </w:tcPr>
          <w:p>
            <w:pPr>
              <w:pStyle w:val="TableContents"/>
              <w:bidi w:val="0"/>
              <w:spacing w:before="0" w:after="283"/>
              <w:jc w:val="left"/>
              <w:rPr/>
            </w:pPr>
            <w:r>
              <w:rPr/>
              <w:t> </w:t>
            </w:r>
          </w:p>
        </w:tc>
        <w:tc>
          <w:tcPr>
            <w:tcW w:w="764" w:type="dxa"/>
            <w:tcBorders/>
            <w:shd w:fill="CCEEFF" w:val="clear"/>
            <w:vAlign w:val="bottom"/>
          </w:tcPr>
          <w:p>
            <w:pPr>
              <w:pStyle w:val="TableContents"/>
              <w:bidi w:val="0"/>
              <w:spacing w:before="0" w:after="283"/>
              <w:jc w:val="right"/>
              <w:rPr>
                <w:b/>
              </w:rPr>
            </w:pPr>
            <w:r>
              <w:rPr>
                <w:b/>
              </w:rPr>
              <w:t>1,051</w:t>
            </w:r>
          </w:p>
        </w:tc>
        <w:tc>
          <w:tcPr>
            <w:tcW w:w="60"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b/>
              </w:rPr>
            </w:pPr>
            <w:r>
              <w:rPr>
                <w:b/>
              </w:rPr>
              <w:t>34.7</w:t>
            </w:r>
          </w:p>
        </w:tc>
        <w:tc>
          <w:tcPr>
            <w:tcW w:w="320" w:type="dxa"/>
            <w:tcBorders/>
            <w:shd w:fill="CCEEFF" w:val="clear"/>
            <w:vAlign w:val="bottom"/>
          </w:tcPr>
          <w:p>
            <w:pPr>
              <w:pStyle w:val="TableContents"/>
              <w:bidi w:val="0"/>
              <w:spacing w:before="0" w:after="283"/>
              <w:jc w:val="left"/>
              <w:rPr>
                <w:b/>
              </w:rPr>
            </w:pPr>
            <w:r>
              <w:rPr>
                <w:b/>
              </w:rPr>
              <w:t>% </w:t>
            </w:r>
          </w:p>
        </w:tc>
        <w:tc>
          <w:tcPr>
            <w:tcW w:w="206"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right"/>
              <w:rPr/>
            </w:pPr>
            <w:r>
              <w:rPr/>
              <w:t>900</w:t>
            </w:r>
          </w:p>
        </w:tc>
        <w:tc>
          <w:tcPr>
            <w:tcW w:w="59" w:type="dxa"/>
            <w:tcBorders/>
            <w:shd w:fill="CCEEFF" w:val="clear"/>
            <w:vAlign w:val="bottom"/>
          </w:tcPr>
          <w:p>
            <w:pPr>
              <w:pStyle w:val="TableContents"/>
              <w:bidi w:val="0"/>
              <w:spacing w:before="0" w:after="283"/>
              <w:jc w:val="left"/>
              <w:rPr/>
            </w:pPr>
            <w:r>
              <w:rPr/>
              <w:t> </w:t>
            </w:r>
          </w:p>
        </w:tc>
        <w:tc>
          <w:tcPr>
            <w:tcW w:w="300" w:type="dxa"/>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c>
          <w:tcPr>
            <w:tcW w:w="1012" w:type="dxa"/>
            <w:tcBorders/>
            <w:shd w:fill="CCEEFF" w:val="clear"/>
            <w:vAlign w:val="bottom"/>
          </w:tcPr>
          <w:p>
            <w:pPr>
              <w:pStyle w:val="TableContents"/>
              <w:bidi w:val="0"/>
              <w:spacing w:before="0" w:after="283"/>
              <w:jc w:val="right"/>
              <w:rPr/>
            </w:pPr>
            <w:r>
              <w:rPr/>
              <w:t>(63.8</w:t>
            </w:r>
          </w:p>
        </w:tc>
        <w:tc>
          <w:tcPr>
            <w:tcW w:w="35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(e)</w:t>
            </w:r>
          </w:p>
        </w:tc>
        <w:tc>
          <w:tcPr>
            <w:tcW w:w="928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Lease dilapidation provision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U.K. GAAP, dilapidation and restoration obligations are recognized at the present value of expected future cash outflows, with the discount accreted through profit or loss over time. This treatment is substantially consistent with U.S. GAAP; however, U.S. GAAP requires the simultaneous equations method be used to record the assigned value of an asset when the amount that would be assigned differs from its tax basis. Accordingly, the U.S. GAAP asset balance is £160 thousand higher than the U.K. GAAP balance as of December 31, 2025. The associated depreciation impact for the year ended December 31, 2025 amounted to £92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Additionally, a U.S. GAAP adjustment relates to presentation, with the associated capitalized asset retirement cost reclassified from tangible fixed assets to operating lease right-of-use assets. </w:t>
      </w:r>
    </w:p>
    <w:p>
      <w:pPr>
        <w:pStyle w:val="TextBody"/>
        <w:bidi w:val="0"/>
        <w:spacing w:before="120" w:after="0"/>
        <w:jc w:val="left"/>
        <w:rPr>
          <w:rFonts w:ascii="Times New Roman" w:hAnsi="Times New Roman"/>
          <w:sz w:val="20"/>
        </w:rPr>
      </w:pPr>
      <w:r>
        <w:rPr>
          <w:rFonts w:ascii="Times New Roman" w:hAnsi="Times New Roman"/>
          <w:sz w:val="20"/>
        </w:rPr>
        <w:t xml:space="preserve">The capitalized asset retirement costs associated with dilapidation obligations have been reclassified from tangible fixed assets to operating lease right-of-use assets, resulting in reclassifications of £359 thousand and £699 thousand as of December 31, 2025 and 2024, respectively.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(f)</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i/>
                <w:sz w:val="20"/>
              </w:rPr>
              <w:t>Interest paid in the consolidated statement of cash flows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U.K. GAAP, cash flows related to interest paid and interest received were classified within financing activities. Under U.S. GAAP, interest paid and interest received are generally required to be presented as operating cash flows. Accordingly, for U.S. GAAP reporting purposes, the company has reclassified cash flows related to interest paid and interest received to operating activities within the consolidated statement of cash flows. </w:t>
      </w:r>
    </w:p>
    <w:p>
      <w:pPr>
        <w:pStyle w:val="TextBody"/>
        <w:bidi w:val="0"/>
        <w:spacing w:before="240" w:after="0"/>
        <w:jc w:val="left"/>
        <w:rPr>
          <w:rFonts w:ascii="Times New Roman" w:hAnsi="Times New Roman"/>
          <w:b/>
          <w:sz w:val="20"/>
        </w:rPr>
      </w:pPr>
      <w:r>
        <w:rPr>
          <w:rFonts w:ascii="Times New Roman" w:hAnsi="Times New Roman"/>
          <w:b/>
          <w:sz w:val="20"/>
        </w:rPr>
        <w:t xml:space="preserve">Additional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i/>
              </w:rPr>
            </w:pPr>
            <w:r>
              <w:rPr>
                <w:i/>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Current Expected Credit Loss (“CECL “)</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Under U.S. GAAP, the company is required to apply the current expected credit loss model under U.S. GAAP (ASC 326) to trade receivables and other financial assets measured at amortized cost. This model requires expected credit losses to be recognized upon initial recognition, based on historical loss experience, current conditions, and reasonable and supportable forecasts, rather than only when objective evidence of impairment exists. </w:t>
      </w:r>
    </w:p>
    <w:p>
      <w:pPr>
        <w:pStyle w:val="TextBody"/>
        <w:bidi w:val="0"/>
        <w:spacing w:before="120" w:after="0"/>
        <w:jc w:val="left"/>
        <w:rPr>
          <w:rFonts w:ascii="Times New Roman" w:hAnsi="Times New Roman"/>
          <w:sz w:val="20"/>
        </w:rPr>
      </w:pPr>
      <w:r>
        <w:rPr>
          <w:rFonts w:ascii="Times New Roman" w:hAnsi="Times New Roman"/>
          <w:sz w:val="20"/>
        </w:rPr>
        <w:t xml:space="preserve">The company has performed an assessment of the impact of applying the current expected credit loss model under ASC 326 and has concluded that the impact would not be material to the consolidated financial statements. Accordingly, no U.S. GAAP conversion adjustment has been recognized.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i/>
              </w:rPr>
            </w:pPr>
            <w:r>
              <w:rPr>
                <w:i/>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i/>
                <w:sz w:val="20"/>
              </w:rPr>
              <w:t>Fair value disclosures of financial instruments</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U.S. GAAP, ASC 820 defines fair value as the price that would be received to sell an asset or paid to transfer a liability in an orderly transaction between market participants at the measurement date. ASC 820 also establishes a three-level fair value hierarchy based on the observability of the inputs used in the valuation.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0"/>
        <w:gridCol w:w="8882"/>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inputs are quoted prices in active markets for identical assets or liabilities.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2"/>
        <w:gridCol w:w="8880"/>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inputs are observable inputs, either directly or indirectly, other than Level 1 quoted prices, including quoted prices for similar assets or liabilities and market-based inputs.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4"/>
        <w:gridCol w:w="101"/>
        <w:gridCol w:w="8880"/>
      </w:tblGrid>
      <w:tr>
        <w:trPr/>
        <w:tc>
          <w:tcPr>
            <w:tcW w:w="102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inputs are unobservable inputs that are significant to the fair value measurement.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All financial instruments are measured at amortized cost or cost under both U.K. GAAP and U.S. GAAP. For financial assets, the carrying amounts of cash and trade debtors approximate their fair values due to their short-term nature. For financial liabilities, the fair value of the borrowings (stated as “Funding capital” in the consolidated balance sheet) and RCF is estimated using a discounted cash flow analysis based on current market interest rates and credit spreads for debt instruments with similar characteristics. Accordingly, the borrowings and RCF is classified within Level 2 of the fair value hierarchy. For the remaining financial liabilities, the carrying amounts approximate their fair values due to their short-term nature.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08"/>
        <w:gridCol w:w="189"/>
        <w:gridCol w:w="78"/>
        <w:gridCol w:w="907"/>
        <w:gridCol w:w="60"/>
        <w:gridCol w:w="189"/>
        <w:gridCol w:w="85"/>
        <w:gridCol w:w="980"/>
        <w:gridCol w:w="60"/>
        <w:gridCol w:w="189"/>
        <w:gridCol w:w="138"/>
        <w:gridCol w:w="1639"/>
        <w:gridCol w:w="60"/>
        <w:gridCol w:w="189"/>
        <w:gridCol w:w="61"/>
        <w:gridCol w:w="695"/>
        <w:gridCol w:w="60"/>
        <w:gridCol w:w="189"/>
        <w:gridCol w:w="102"/>
        <w:gridCol w:w="658"/>
        <w:gridCol w:w="69"/>
      </w:tblGrid>
      <w:tr>
        <w:trPr/>
        <w:tc>
          <w:tcPr>
            <w:tcW w:w="3608"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360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283"/>
              <w:jc w:val="center"/>
              <w:rPr>
                <w:b/>
              </w:rPr>
            </w:pPr>
            <w:r>
              <w:rPr>
                <w:b/>
              </w:rPr>
              <w:t>2025 (Audited)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9"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Assets</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16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debtors</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9,067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9,067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b/>
              </w:rPr>
            </w:pPr>
            <w:r>
              <w:rPr>
                <w:b/>
              </w:rPr>
              <w:t>9,067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Other debtors</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5,235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5,235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b/>
              </w:rPr>
            </w:pPr>
            <w:r>
              <w:rPr>
                <w:b/>
              </w:rPr>
              <w:t>5,235</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14,471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14,471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b/>
              </w:rPr>
            </w:pPr>
            <w:r>
              <w:rPr>
                <w:b/>
              </w:rPr>
              <w:t>14,302</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b/>
              </w:rPr>
            </w:pPr>
            <w:r>
              <w:rPr>
                <w:b/>
              </w:rPr>
              <w:t>169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i/>
                <w:sz w:val="20"/>
              </w:rPr>
            </w:pPr>
            <w:r>
              <w:rPr>
                <w:rFonts w:ascii="Times New Roman" w:hAnsi="Times New Roman"/>
                <w:i/>
                <w:sz w:val="20"/>
              </w:rPr>
              <w:t>Liabilities</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sz w:val="4"/>
                <w:szCs w:val="4"/>
              </w:rPr>
            </w:pPr>
            <w:r>
              <w:rPr>
                <w:sz w:val="4"/>
                <w:szCs w:val="4"/>
              </w:rPr>
            </w:r>
          </w:p>
        </w:tc>
        <w:tc>
          <w:tcPr>
            <w:tcW w:w="16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Trade creditors</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4,734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4,734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b/>
              </w:rPr>
            </w:pPr>
            <w:r>
              <w:rPr>
                <w:b/>
              </w:rPr>
              <w:t>4,734</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Accruals and deferred income</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5,437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5,437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b/>
              </w:rPr>
            </w:pPr>
            <w:r>
              <w:rPr>
                <w:b/>
              </w:rPr>
              <w:t>5,437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b/>
              </w:rPr>
            </w:pPr>
            <w:r>
              <w:rPr>
                <w:b/>
              </w:rPr>
              <w:t>2,000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2,000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b/>
              </w:rPr>
            </w:pPr>
            <w:r>
              <w:rPr>
                <w:b/>
              </w:rPr>
              <w:t>2,000</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Funding - capital</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b/>
              </w:rPr>
            </w:pPr>
            <w:r>
              <w:rPr>
                <w:b/>
              </w:rPr>
              <w:t>36,500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36,500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b/>
              </w:rPr>
            </w:pPr>
            <w:r>
              <w:rPr>
                <w:b/>
              </w:rPr>
              <w:t>36,500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right"/>
              <w:rPr>
                <w:b/>
              </w:rPr>
            </w:pPr>
            <w:r>
              <w:rPr>
                <w:b/>
              </w:rPr>
              <w:t>48,671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right"/>
              <w:rPr>
                <w:b/>
              </w:rPr>
            </w:pPr>
            <w:r>
              <w:rPr>
                <w:b/>
              </w:rPr>
              <w:t>48,671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283"/>
              <w:jc w:val="right"/>
              <w:rPr>
                <w:b/>
              </w:rPr>
            </w:pPr>
            <w:r>
              <w:rPr>
                <w:b/>
              </w:rPr>
              <w:t>4,734</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right"/>
              <w:rPr>
                <w:b/>
              </w:rPr>
            </w:pPr>
            <w:r>
              <w:rPr>
                <w:b/>
              </w:rPr>
              <w:t>43,937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rHeight w:val="240" w:hRule="atLeast"/>
        </w:trPr>
        <w:tc>
          <w:tcPr>
            <w:tcW w:w="3608" w:type="dxa"/>
            <w:tcBorders/>
            <w:vAlign w:val="center"/>
          </w:tcPr>
          <w:p>
            <w:pPr>
              <w:pStyle w:val="TableContents"/>
              <w:bidi w:val="0"/>
              <w:spacing w:before="0" w:after="283"/>
              <w:jc w:val="left"/>
              <w:rPr>
                <w:sz w:val="4"/>
                <w:szCs w:val="4"/>
              </w:rPr>
            </w:pPr>
            <w:r>
              <w:rPr>
                <w:sz w:val="4"/>
                <w:szCs w:val="4"/>
              </w:rPr>
            </w:r>
          </w:p>
        </w:tc>
        <w:tc>
          <w:tcPr>
            <w:tcW w:w="1234" w:type="dxa"/>
            <w:gridSpan w:val="4"/>
            <w:tcBorders/>
            <w:vAlign w:val="center"/>
          </w:tcPr>
          <w:p>
            <w:pPr>
              <w:pStyle w:val="TableContents"/>
              <w:bidi w:val="0"/>
              <w:spacing w:before="0" w:after="283"/>
              <w:jc w:val="left"/>
              <w:rPr>
                <w:sz w:val="4"/>
                <w:szCs w:val="4"/>
              </w:rPr>
            </w:pPr>
            <w:r>
              <w:rPr>
                <w:sz w:val="4"/>
                <w:szCs w:val="4"/>
              </w:rPr>
            </w:r>
          </w:p>
        </w:tc>
        <w:tc>
          <w:tcPr>
            <w:tcW w:w="1314" w:type="dxa"/>
            <w:gridSpan w:val="4"/>
            <w:tcBorders/>
            <w:vAlign w:val="center"/>
          </w:tcPr>
          <w:p>
            <w:pPr>
              <w:pStyle w:val="TableContents"/>
              <w:bidi w:val="0"/>
              <w:spacing w:before="0" w:after="283"/>
              <w:jc w:val="left"/>
              <w:rPr>
                <w:sz w:val="4"/>
                <w:szCs w:val="4"/>
              </w:rPr>
            </w:pPr>
            <w:r>
              <w:rPr>
                <w:sz w:val="4"/>
                <w:szCs w:val="4"/>
              </w:rPr>
            </w:r>
          </w:p>
        </w:tc>
        <w:tc>
          <w:tcPr>
            <w:tcW w:w="2026" w:type="dxa"/>
            <w:gridSpan w:val="4"/>
            <w:tcBorders/>
            <w:vAlign w:val="center"/>
          </w:tcPr>
          <w:p>
            <w:pPr>
              <w:pStyle w:val="TableContents"/>
              <w:bidi w:val="0"/>
              <w:spacing w:before="0" w:after="283"/>
              <w:jc w:val="left"/>
              <w:rPr>
                <w:sz w:val="4"/>
                <w:szCs w:val="4"/>
              </w:rPr>
            </w:pPr>
            <w:r>
              <w:rPr>
                <w:sz w:val="4"/>
                <w:szCs w:val="4"/>
              </w:rPr>
            </w:r>
          </w:p>
        </w:tc>
        <w:tc>
          <w:tcPr>
            <w:tcW w:w="1005" w:type="dxa"/>
            <w:gridSpan w:val="4"/>
            <w:tcBorders/>
            <w:vAlign w:val="center"/>
          </w:tcPr>
          <w:p>
            <w:pPr>
              <w:pStyle w:val="TableContents"/>
              <w:bidi w:val="0"/>
              <w:spacing w:before="0" w:after="283"/>
              <w:jc w:val="left"/>
              <w:rPr>
                <w:sz w:val="4"/>
                <w:szCs w:val="4"/>
              </w:rPr>
            </w:pPr>
            <w:r>
              <w:rPr>
                <w:sz w:val="4"/>
                <w:szCs w:val="4"/>
              </w:rPr>
            </w:r>
          </w:p>
        </w:tc>
        <w:tc>
          <w:tcPr>
            <w:tcW w:w="1018" w:type="dxa"/>
            <w:gridSpan w:val="4"/>
            <w:tcBorders/>
            <w:vAlign w:val="center"/>
          </w:tcPr>
          <w:p>
            <w:pPr>
              <w:pStyle w:val="TableContents"/>
              <w:bidi w:val="0"/>
              <w:spacing w:before="0" w:after="283"/>
              <w:jc w:val="left"/>
              <w:rPr>
                <w:sz w:val="4"/>
                <w:szCs w:val="4"/>
              </w:rPr>
            </w:pPr>
            <w:r>
              <w:rPr>
                <w:sz w:val="4"/>
                <w:szCs w:val="4"/>
              </w:rPr>
            </w:r>
          </w:p>
        </w:tc>
      </w:tr>
      <w:tr>
        <w:trPr/>
        <w:tc>
          <w:tcPr>
            <w:tcW w:w="360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7" w:type="dxa"/>
            <w:gridSpan w:val="2"/>
            <w:tcBorders/>
            <w:vAlign w:val="bottom"/>
          </w:tcPr>
          <w:p>
            <w:pPr>
              <w:pStyle w:val="TableContents"/>
              <w:bidi w:val="0"/>
              <w:spacing w:before="0" w:after="283"/>
              <w:jc w:val="center"/>
              <w:rPr>
                <w:b/>
              </w:rPr>
            </w:pPr>
            <w:r>
              <w:rPr>
                <w:b/>
              </w:rPr>
              <w:t>2024 (Unaudited)</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5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60" w:type="dxa"/>
            <w:gridSpan w:val="2"/>
            <w:tcBorders/>
            <w:vAlign w:val="bottom"/>
          </w:tcPr>
          <w:p>
            <w:pPr>
              <w:pStyle w:val="TableContents"/>
              <w:bidi w:val="0"/>
              <w:spacing w:before="0" w:after="283"/>
              <w:jc w:val="lef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98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Carrying</w:t>
              <w:br/>
              <w:t>amount</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Fair value</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77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1</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2</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Level 3</w:t>
            </w:r>
          </w:p>
        </w:tc>
        <w:tc>
          <w:tcPr>
            <w:tcW w:w="69"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Assets</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90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sz w:val="4"/>
                <w:szCs w:val="4"/>
              </w:rPr>
            </w:pPr>
            <w:r>
              <w:rPr>
                <w:sz w:val="4"/>
                <w:szCs w:val="4"/>
              </w:rPr>
            </w:r>
          </w:p>
        </w:tc>
        <w:tc>
          <w:tcPr>
            <w:tcW w:w="1639"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69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sz w:val="4"/>
                <w:szCs w:val="4"/>
              </w:rPr>
            </w:pPr>
            <w:r>
              <w:rPr>
                <w:sz w:val="4"/>
                <w:szCs w:val="4"/>
              </w:rPr>
            </w:r>
          </w:p>
        </w:tc>
        <w:tc>
          <w:tcPr>
            <w:tcW w:w="658" w:type="dxa"/>
            <w:tcBorders/>
            <w:shd w:fill="CCEEFF" w:val="clear"/>
            <w:vAlign w:val="bottom"/>
          </w:tcPr>
          <w:p>
            <w:pPr>
              <w:pStyle w:val="TableContents"/>
              <w:bidi w:val="0"/>
              <w:spacing w:before="0" w:after="283"/>
              <w:jc w:val="left"/>
              <w:rPr>
                <w:sz w:val="4"/>
                <w:szCs w:val="4"/>
              </w:rPr>
            </w:pPr>
            <w:r>
              <w:rPr>
                <w:sz w:val="4"/>
                <w:szCs w:val="4"/>
              </w:rPr>
            </w:r>
          </w:p>
        </w:tc>
        <w:tc>
          <w:tcPr>
            <w:tcW w:w="69" w:type="dxa"/>
            <w:tcBorders/>
            <w:shd w:fill="CCEEFF" w:val="clear"/>
            <w:vAlign w:val="bottom"/>
          </w:tcPr>
          <w:p>
            <w:pPr>
              <w:pStyle w:val="TableContents"/>
              <w:bidi w:val="0"/>
              <w:spacing w:before="0" w:after="283"/>
              <w:jc w:val="left"/>
              <w:rPr>
                <w:sz w:val="4"/>
                <w:szCs w:val="4"/>
              </w:rPr>
            </w:pPr>
            <w:r>
              <w:rPr>
                <w:sz w:val="4"/>
                <w:szCs w:val="4"/>
              </w:rPr>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Trade debtors</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7,930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7,930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7,930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debtors</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Cash</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4,619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4,619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4,619</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12,675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12,675</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12,549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126</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i/>
                <w:sz w:val="20"/>
              </w:rPr>
            </w:pPr>
            <w:r>
              <w:rPr>
                <w:rFonts w:ascii="Times New Roman" w:hAnsi="Times New Roman"/>
                <w:i/>
                <w:sz w:val="20"/>
              </w:rPr>
              <w:t>Liabilities</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90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sz w:val="4"/>
                <w:szCs w:val="4"/>
              </w:rPr>
            </w:pPr>
            <w:r>
              <w:rPr>
                <w:sz w:val="4"/>
                <w:szCs w:val="4"/>
              </w:rPr>
            </w:r>
          </w:p>
        </w:tc>
        <w:tc>
          <w:tcPr>
            <w:tcW w:w="163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sz w:val="4"/>
                <w:szCs w:val="4"/>
              </w:rPr>
            </w:pPr>
            <w:r>
              <w:rPr>
                <w:sz w:val="4"/>
                <w:szCs w:val="4"/>
              </w:rPr>
            </w:r>
          </w:p>
        </w:tc>
        <w:tc>
          <w:tcPr>
            <w:tcW w:w="69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sz w:val="4"/>
                <w:szCs w:val="4"/>
              </w:rPr>
            </w:pPr>
            <w:r>
              <w:rPr>
                <w:sz w:val="4"/>
                <w:szCs w:val="4"/>
              </w:rPr>
            </w:r>
          </w:p>
        </w:tc>
        <w:tc>
          <w:tcPr>
            <w:tcW w:w="658" w:type="dxa"/>
            <w:tcBorders/>
            <w:vAlign w:val="bottom"/>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creditors</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3,341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3,341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3,341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Revolving credit facility</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3,000</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Accruals and deferred income</w:t>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5,531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tcPr>
          <w:p>
            <w:pPr>
              <w:pStyle w:val="TableContents"/>
              <w:bidi w:val="0"/>
              <w:spacing w:before="0" w:after="0"/>
              <w:jc w:val="left"/>
              <w:rPr>
                <w:rFonts w:ascii="Times New Roman" w:hAnsi="Times New Roman"/>
                <w:sz w:val="20"/>
              </w:rPr>
            </w:pPr>
            <w:r>
              <w:rPr>
                <w:rFonts w:ascii="Times New Roman" w:hAnsi="Times New Roman"/>
                <w:sz w:val="20"/>
              </w:rPr>
              <w:t>Funding - capital</w:t>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907" w:type="dxa"/>
            <w:tcBorders/>
            <w:vAlign w:val="bottom"/>
          </w:tcPr>
          <w:p>
            <w:pPr>
              <w:pStyle w:val="TableContents"/>
              <w:bidi w:val="0"/>
              <w:spacing w:before="0" w:after="283"/>
              <w:jc w:val="right"/>
              <w:rPr/>
            </w:pPr>
            <w:r>
              <w:rPr/>
              <w:t>42,457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42,457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bidi w:val="0"/>
              <w:spacing w:before="0" w:after="283"/>
              <w:jc w:val="left"/>
              <w:rPr/>
            </w:pPr>
            <w:r>
              <w:rPr/>
              <w:t> </w:t>
            </w:r>
          </w:p>
        </w:tc>
        <w:tc>
          <w:tcPr>
            <w:tcW w:w="1639"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42,457</w:t>
            </w:r>
          </w:p>
        </w:tc>
        <w:tc>
          <w:tcPr>
            <w:tcW w:w="60"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3608" w:type="dxa"/>
            <w:tcBorders/>
            <w:shd w:fill="CCEEFF" w:val="clear"/>
          </w:tcPr>
          <w:p>
            <w:pPr>
              <w:pStyle w:val="TableContents"/>
              <w:bidi w:val="0"/>
              <w:spacing w:before="0" w:after="283"/>
              <w:jc w:val="left"/>
              <w:rPr>
                <w:sz w:val="4"/>
                <w:szCs w:val="4"/>
              </w:rPr>
            </w:pPr>
            <w:r>
              <w:rPr>
                <w:sz w:val="4"/>
                <w:szCs w:val="4"/>
              </w:rPr>
            </w:r>
          </w:p>
        </w:tc>
        <w:tc>
          <w:tcPr>
            <w:tcW w:w="189"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907" w:type="dxa"/>
            <w:tcBorders/>
            <w:shd w:fill="CCEEFF" w:val="clear"/>
            <w:vAlign w:val="bottom"/>
          </w:tcPr>
          <w:p>
            <w:pPr>
              <w:pStyle w:val="TableContents"/>
              <w:bidi w:val="0"/>
              <w:spacing w:before="0" w:after="283"/>
              <w:jc w:val="right"/>
              <w:rPr/>
            </w:pPr>
            <w:r>
              <w:rPr/>
              <w:t>54,329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54,329</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38" w:type="dxa"/>
            <w:tcBorders/>
            <w:shd w:fill="CCEEFF" w:val="clear"/>
            <w:vAlign w:val="bottom"/>
          </w:tcPr>
          <w:p>
            <w:pPr>
              <w:pStyle w:val="TableContents"/>
              <w:bidi w:val="0"/>
              <w:spacing w:before="0" w:after="283"/>
              <w:jc w:val="left"/>
              <w:rPr/>
            </w:pPr>
            <w:r>
              <w:rPr/>
              <w:t> </w:t>
            </w:r>
          </w:p>
        </w:tc>
        <w:tc>
          <w:tcPr>
            <w:tcW w:w="1639" w:type="dxa"/>
            <w:tcBorders/>
            <w:shd w:fill="CCEEFF" w:val="clear"/>
            <w:vAlign w:val="bottom"/>
          </w:tcPr>
          <w:p>
            <w:pPr>
              <w:pStyle w:val="TableContents"/>
              <w:bidi w:val="0"/>
              <w:spacing w:before="0" w:after="283"/>
              <w:jc w:val="right"/>
              <w:rPr/>
            </w:pPr>
            <w:r>
              <w:rPr/>
              <w:t>3,341</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50,988</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283"/>
              <w:jc w:val="right"/>
              <w:rPr/>
            </w:pPr>
            <w:r>
              <w:rPr/>
              <w:t>— </w:t>
            </w:r>
          </w:p>
        </w:tc>
        <w:tc>
          <w:tcPr>
            <w:tcW w:w="69" w:type="dxa"/>
            <w:tcBorders/>
            <w:shd w:fill="CCEEFF" w:val="clear"/>
            <w:vAlign w:val="bottom"/>
          </w:tcPr>
          <w:p>
            <w:pPr>
              <w:pStyle w:val="TableContents"/>
              <w:bidi w:val="0"/>
              <w:spacing w:before="0" w:after="283"/>
              <w:jc w:val="left"/>
              <w:rPr/>
            </w:pPr>
            <w:r>
              <w:rPr/>
              <w:t> </w:t>
            </w:r>
          </w:p>
        </w:tc>
      </w:tr>
      <w:tr>
        <w:trPr/>
        <w:tc>
          <w:tcPr>
            <w:tcW w:w="3608" w:type="dxa"/>
            <w:tcBorders/>
            <w:vAlign w:val="bottom"/>
          </w:tcPr>
          <w:p>
            <w:pPr>
              <w:pStyle w:val="TableContents"/>
              <w:bidi w:val="0"/>
              <w:spacing w:before="0" w:after="283"/>
              <w:jc w:val="left"/>
              <w:rPr>
                <w:sz w:val="4"/>
                <w:szCs w:val="4"/>
              </w:rPr>
            </w:pPr>
            <w:r>
              <w:rPr>
                <w:sz w:val="4"/>
                <w:szCs w:val="4"/>
              </w:rPr>
            </w:r>
          </w:p>
        </w:tc>
        <w:tc>
          <w:tcPr>
            <w:tcW w:w="189" w:type="dxa"/>
            <w:tcBorders/>
            <w:vAlign w:val="bottom"/>
          </w:tcPr>
          <w:p>
            <w:pPr>
              <w:pStyle w:val="TableContents"/>
              <w:bidi w:val="0"/>
              <w:spacing w:before="0" w:after="283"/>
              <w:jc w:val="left"/>
              <w:rPr/>
            </w:pPr>
            <w:r>
              <w:rPr/>
              <w:t>  </w:t>
            </w:r>
          </w:p>
        </w:tc>
        <w:tc>
          <w:tcPr>
            <w:tcW w:w="78" w:type="dxa"/>
            <w:tcBorders/>
            <w:vAlign w:val="bottom"/>
          </w:tcPr>
          <w:p>
            <w:pPr>
              <w:pStyle w:val="TableContents"/>
              <w:pBdr>
                <w:top w:val="single" w:sz="2" w:space="1" w:color="000000"/>
              </w:pBdr>
              <w:bidi w:val="0"/>
              <w:spacing w:before="0" w:after="0"/>
              <w:jc w:val="left"/>
              <w:rPr/>
            </w:pPr>
            <w:r>
              <w:rPr/>
              <w:t> </w:t>
            </w:r>
          </w:p>
        </w:tc>
        <w:tc>
          <w:tcPr>
            <w:tcW w:w="90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38" w:type="dxa"/>
            <w:tcBorders/>
            <w:vAlign w:val="bottom"/>
          </w:tcPr>
          <w:p>
            <w:pPr>
              <w:pStyle w:val="TableContents"/>
              <w:pBdr>
                <w:top w:val="single" w:sz="2" w:space="1" w:color="000000"/>
              </w:pBdr>
              <w:bidi w:val="0"/>
              <w:spacing w:before="0" w:after="0"/>
              <w:jc w:val="left"/>
              <w:rPr/>
            </w:pPr>
            <w:r>
              <w:rPr/>
              <w:t> </w:t>
            </w:r>
          </w:p>
        </w:tc>
        <w:tc>
          <w:tcPr>
            <w:tcW w:w="163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61" w:type="dxa"/>
            <w:tcBorders/>
            <w:vAlign w:val="bottom"/>
          </w:tcPr>
          <w:p>
            <w:pPr>
              <w:pStyle w:val="TableContents"/>
              <w:pBdr>
                <w:top w:val="single" w:sz="2" w:space="1" w:color="000000"/>
              </w:pBdr>
              <w:bidi w:val="0"/>
              <w:spacing w:before="0" w:after="0"/>
              <w:jc w:val="left"/>
              <w:rPr/>
            </w:pPr>
            <w:r>
              <w:rPr/>
              <w:t> </w:t>
            </w:r>
          </w:p>
        </w:tc>
        <w:tc>
          <w:tcPr>
            <w:tcW w:w="69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2" w:type="dxa"/>
            <w:tcBorders/>
            <w:vAlign w:val="bottom"/>
          </w:tcPr>
          <w:p>
            <w:pPr>
              <w:pStyle w:val="TableContents"/>
              <w:pBdr>
                <w:top w:val="single" w:sz="2" w:space="1" w:color="000000"/>
              </w:pBdr>
              <w:bidi w:val="0"/>
              <w:spacing w:before="0" w:after="0"/>
              <w:jc w:val="left"/>
              <w:rPr/>
            </w:pPr>
            <w:r>
              <w:rPr/>
              <w:t> </w:t>
            </w:r>
          </w:p>
        </w:tc>
        <w:tc>
          <w:tcPr>
            <w:tcW w:w="658"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Recently Adopted Accounting Pronouncements </w:t>
      </w:r>
    </w:p>
    <w:p>
      <w:pPr>
        <w:pStyle w:val="TextBody"/>
        <w:bidi w:val="0"/>
        <w:spacing w:before="120" w:after="0"/>
        <w:jc w:val="left"/>
        <w:rPr>
          <w:rFonts w:ascii="Times New Roman" w:hAnsi="Times New Roman"/>
          <w:i/>
          <w:sz w:val="20"/>
        </w:rPr>
      </w:pPr>
      <w:r>
        <w:rPr>
          <w:rFonts w:ascii="Times New Roman" w:hAnsi="Times New Roman"/>
          <w:i/>
          <w:sz w:val="20"/>
        </w:rPr>
        <w:t xml:space="preserve">Accounting Standards Update (“ASU”) 2023-09, Income Taxes (Topic 740): Improvements to Income Tax Disclosures </w:t>
      </w:r>
    </w:p>
    <w:p>
      <w:pPr>
        <w:pStyle w:val="TextBody"/>
        <w:bidi w:val="0"/>
        <w:spacing w:before="120" w:after="0"/>
        <w:jc w:val="left"/>
        <w:rPr>
          <w:rFonts w:ascii="Times New Roman" w:hAnsi="Times New Roman"/>
          <w:sz w:val="20"/>
        </w:rPr>
      </w:pPr>
      <w:r>
        <w:rPr>
          <w:rFonts w:ascii="Times New Roman" w:hAnsi="Times New Roman"/>
          <w:sz w:val="20"/>
        </w:rPr>
        <w:t xml:space="preserve">The Financial Accounting Standards Board (“FASB”) issued ASU 2023-09 to enhance the transparency and decision usefulness of income tax disclosures. The amendments require entities to provide additional disaggregated information primarily related to the effective tax rate reconciliation and income taxes paid. The guidance requires disclosure of specified categories within the rate reconciliation and additional information for reconciling items that meet a quantitative threshold. The amendments also require greater disaggregation of income taxes paid, net of refunds received, by federal, state and foreign taxes, as well as by individual jurisdictions that meet the applicable threshold. In addition, entities are required to disclose income or loss from continuing operations before income tax expense or benefit, and income tax expense or benefit from continuing operations, on a more disaggregated basis. </w:t>
      </w:r>
    </w:p>
    <w:p>
      <w:pPr>
        <w:pStyle w:val="TextBody"/>
        <w:bidi w:val="0"/>
        <w:spacing w:before="240" w:after="0"/>
        <w:jc w:val="left"/>
        <w:rPr>
          <w:rFonts w:ascii="Times New Roman" w:hAnsi="Times New Roman"/>
          <w:sz w:val="20"/>
        </w:rPr>
      </w:pPr>
      <w:r>
        <w:rPr>
          <w:rFonts w:ascii="Times New Roman" w:hAnsi="Times New Roman"/>
          <w:sz w:val="20"/>
        </w:rPr>
        <w:t xml:space="preserve">The amendments are effective for public business entities for annual periods beginning after December 15, 2024. The Group has adopted this standard during 2025 with respect to the U.S. GAAP related income tax disclosures in this footnote 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i/>
          <w:sz w:val="20"/>
        </w:rPr>
      </w:pPr>
      <w:r>
        <w:rPr>
          <w:rFonts w:ascii="Times New Roman" w:hAnsi="Times New Roman"/>
          <w:i/>
          <w:sz w:val="20"/>
        </w:rPr>
        <w:t xml:space="preserve">AKW Holdings Limited </w:t>
      </w:r>
    </w:p>
    <w:p>
      <w:pPr>
        <w:pStyle w:val="TextBody"/>
        <w:bidi w:val="0"/>
        <w:spacing w:before="0" w:after="0"/>
        <w:jc w:val="right"/>
        <w:rPr>
          <w:rFonts w:ascii="Times New Roman" w:hAnsi="Times New Roman"/>
          <w:i/>
          <w:sz w:val="20"/>
        </w:rPr>
      </w:pPr>
      <w:r>
        <w:rPr>
          <w:rFonts w:ascii="Times New Roman" w:hAnsi="Times New Roman"/>
          <w:i/>
          <w:sz w:val="20"/>
        </w:rPr>
        <w:t xml:space="preserve">Annual report and financial statements </w:t>
      </w:r>
    </w:p>
    <w:p>
      <w:pPr>
        <w:pStyle w:val="TextBody"/>
        <w:bidi w:val="0"/>
        <w:spacing w:before="240" w:after="0"/>
        <w:jc w:val="left"/>
        <w:rPr>
          <w:rFonts w:ascii="Times New Roman" w:hAnsi="Times New Roman"/>
          <w:b/>
          <w:sz w:val="20"/>
        </w:rPr>
      </w:pPr>
      <w:r>
        <w:rPr>
          <w:rFonts w:ascii="Times New Roman" w:hAnsi="Times New Roman"/>
          <w:b/>
          <w:sz w:val="20"/>
        </w:rPr>
        <w:t xml:space="preserve">Notes to the Financial Statements for the year ended 31 December 2025 </w:t>
      </w:r>
    </w:p>
    <w:p>
      <w:pPr>
        <w:pStyle w:val="TextBody"/>
        <w:bidi w:val="0"/>
        <w:spacing w:before="0" w:after="0"/>
        <w:jc w:val="left"/>
        <w:rPr>
          <w:rFonts w:ascii="Times New Roman" w:hAnsi="Times New Roman"/>
          <w:b/>
          <w:i/>
          <w:sz w:val="20"/>
        </w:rPr>
      </w:pPr>
      <w:r>
        <w:rPr>
          <w:rFonts w:ascii="Times New Roman" w:hAnsi="Times New Roman"/>
          <w:b/>
          <w:i/>
          <w:sz w:val="20"/>
        </w:rPr>
        <w:t xml:space="preserve">(forming part of the financial statements)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Future application of U.S. GAAP </w:t>
      </w:r>
    </w:p>
    <w:p>
      <w:pPr>
        <w:pStyle w:val="TextBody"/>
        <w:bidi w:val="0"/>
        <w:spacing w:before="120" w:after="0"/>
        <w:jc w:val="left"/>
        <w:rPr>
          <w:rFonts w:ascii="Times New Roman" w:hAnsi="Times New Roman"/>
          <w:i/>
          <w:sz w:val="20"/>
        </w:rPr>
      </w:pPr>
      <w:r>
        <w:rPr>
          <w:rFonts w:ascii="Times New Roman" w:hAnsi="Times New Roman"/>
          <w:i/>
          <w:sz w:val="20"/>
        </w:rPr>
        <w:t xml:space="preserve">ASU 2025-06, Intangibles - Goodwill and Other - Internal-Use Software </w:t>
      </w:r>
    </w:p>
    <w:p>
      <w:pPr>
        <w:pStyle w:val="TextBody"/>
        <w:bidi w:val="0"/>
        <w:spacing w:before="120" w:after="0"/>
        <w:jc w:val="left"/>
        <w:rPr>
          <w:rFonts w:ascii="Times New Roman" w:hAnsi="Times New Roman"/>
          <w:sz w:val="20"/>
        </w:rPr>
      </w:pPr>
      <w:r>
        <w:rPr>
          <w:rFonts w:ascii="Times New Roman" w:hAnsi="Times New Roman"/>
          <w:sz w:val="20"/>
        </w:rPr>
        <w:t xml:space="preserve">The FASB issued new guidance that modernizes the accounting for costs incurred to develop internal-use software. The guidance eliminates references to project stages and clarifies when an entity should begin capitalizing software development costs. Under the guidance, an entity is required to begin capitalizing software costs when both of the following criteria are met: (i) management, with the relevant authority, has authorized and committed to funding the software project; and (ii) it is probable that the project will be completed and that the software will be used to perform its intended function. </w:t>
      </w:r>
    </w:p>
    <w:p>
      <w:pPr>
        <w:pStyle w:val="TextBody"/>
        <w:bidi w:val="0"/>
        <w:spacing w:before="240" w:after="0"/>
        <w:jc w:val="left"/>
        <w:rPr>
          <w:rFonts w:ascii="Times New Roman" w:hAnsi="Times New Roman"/>
          <w:sz w:val="20"/>
        </w:rPr>
      </w:pPr>
      <w:r>
        <w:rPr>
          <w:rFonts w:ascii="Times New Roman" w:hAnsi="Times New Roman"/>
          <w:sz w:val="20"/>
        </w:rPr>
        <w:t xml:space="preserve">In evaluating whether it is probable the project will be completed; an entity is required to consider whether there is significant uncertainty associated with the development activities of the software. </w:t>
      </w:r>
    </w:p>
    <w:p>
      <w:pPr>
        <w:pStyle w:val="TextBody"/>
        <w:bidi w:val="0"/>
        <w:spacing w:before="240" w:after="0"/>
        <w:jc w:val="left"/>
        <w:rPr>
          <w:rFonts w:ascii="Times New Roman" w:hAnsi="Times New Roman"/>
          <w:sz w:val="20"/>
        </w:rPr>
      </w:pPr>
      <w:r>
        <w:rPr>
          <w:rFonts w:ascii="Times New Roman" w:hAnsi="Times New Roman"/>
          <w:sz w:val="20"/>
        </w:rPr>
        <w:t xml:space="preserve">This amendment is effective for fiscal years beginning after December 15, 2027, including interim periods within those fiscal years with early adoption permitted. The company is currently evaluating the impact of adopting this guidance on its consolidated financial statements and related disclosures. </w:t>
      </w:r>
    </w:p>
    <w:p>
      <w:pPr>
        <w:pStyle w:val="TextBody"/>
        <w:bidi w:val="0"/>
        <w:spacing w:before="240" w:after="0"/>
        <w:jc w:val="left"/>
        <w:rPr>
          <w:rFonts w:ascii="Times New Roman" w:hAnsi="Times New Roman"/>
          <w:i/>
          <w:sz w:val="20"/>
        </w:rPr>
      </w:pPr>
      <w:r>
        <w:rPr>
          <w:rFonts w:ascii="Times New Roman" w:hAnsi="Times New Roman"/>
          <w:i/>
          <w:sz w:val="20"/>
        </w:rPr>
        <w:t xml:space="preserve">ASU 2025-05, Financial Instruments - Credit Losses (Topic 326): Measurement of Credit Losses for Accounts Receivable and Contract Assets </w:t>
      </w:r>
    </w:p>
    <w:p>
      <w:pPr>
        <w:pStyle w:val="TextBody"/>
        <w:bidi w:val="0"/>
        <w:spacing w:before="240" w:after="0"/>
        <w:jc w:val="left"/>
        <w:rPr>
          <w:rFonts w:ascii="Times New Roman" w:hAnsi="Times New Roman"/>
          <w:sz w:val="20"/>
        </w:rPr>
      </w:pPr>
      <w:r>
        <w:rPr>
          <w:rFonts w:ascii="Times New Roman" w:hAnsi="Times New Roman"/>
          <w:sz w:val="20"/>
        </w:rPr>
        <w:t xml:space="preserve">The FASB issued ASU 2025-05, which amends ASC 326-20 to simplify the measurement of expected credit losses for current accounts receivable and current contract assets arising from transactions accounted for under ASC 606. </w:t>
      </w:r>
    </w:p>
    <w:p>
      <w:pPr>
        <w:pStyle w:val="TextBody"/>
        <w:bidi w:val="0"/>
        <w:spacing w:before="240" w:after="0"/>
        <w:jc w:val="left"/>
        <w:rPr>
          <w:rFonts w:ascii="Times New Roman" w:hAnsi="Times New Roman"/>
          <w:sz w:val="20"/>
        </w:rPr>
      </w:pPr>
      <w:r>
        <w:rPr>
          <w:rFonts w:ascii="Times New Roman" w:hAnsi="Times New Roman"/>
          <w:sz w:val="20"/>
        </w:rPr>
        <w:t xml:space="preserve">The amendments introduce a practical expedient that permits entities to assume current conditions as of the consolidated balance sheet date will remain unchanged for the remaining life of the asset. In addition, entities other than public business entities that elect the practical expedient may make an accounting policy election to consider collection activity after the consolidated balance sheet date when estimating expected credit losses. </w:t>
      </w:r>
    </w:p>
    <w:p>
      <w:pPr>
        <w:pStyle w:val="TextBody"/>
        <w:bidi w:val="0"/>
        <w:spacing w:before="240" w:after="0"/>
        <w:jc w:val="left"/>
        <w:rPr>
          <w:rFonts w:ascii="Times New Roman" w:hAnsi="Times New Roman"/>
          <w:sz w:val="20"/>
        </w:rPr>
      </w:pPr>
      <w:r>
        <w:rPr>
          <w:rFonts w:ascii="Times New Roman" w:hAnsi="Times New Roman"/>
          <w:sz w:val="20"/>
        </w:rPr>
        <w:t xml:space="preserve">The guidance is effective for annual reporting periods beginning after December 15, 2025, including interim periods within those annual reporting periods with early adoption permitted. The company is currently evaluating the impact of adopting this guidance on its consolidated financial statements and related disclosures.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83414/000119312507075646/dex99a.htm" TargetMode="External"/><Relationship Id="rId3" Type="http://schemas.openxmlformats.org/officeDocument/2006/relationships/hyperlink" Target="http://www.sec.gov/Archives/edgar/data/1383414/000095017024092751/pnnt-ex3_2.htm" TargetMode="External"/><Relationship Id="rId4" Type="http://schemas.openxmlformats.org/officeDocument/2006/relationships/hyperlink" Target="http://www.sec.gov/Archives/edgar/data/1383414/000156459020024172/pnnt-ex32_163.htm" TargetMode="External"/><Relationship Id="rId5" Type="http://schemas.openxmlformats.org/officeDocument/2006/relationships/hyperlink" Target="http://www.sec.gov/Archives/edgar/data/1383414/000119312508072557/dex99d1.htm" TargetMode="External"/><Relationship Id="rId6" Type="http://schemas.openxmlformats.org/officeDocument/2006/relationships/hyperlink" Target="http://www.sec.gov/Archives/edgar/data/1383414/000119312513018556/d470556dex99d8.htm" TargetMode="External"/><Relationship Id="rId7" Type="http://schemas.openxmlformats.org/officeDocument/2006/relationships/hyperlink" Target="http://www.sec.gov/Archives/edgar/data/1383414/000119312521125241/d124015dex41.htm" TargetMode="External"/><Relationship Id="rId8" Type="http://schemas.openxmlformats.org/officeDocument/2006/relationships/hyperlink" Target="http://www.sec.gov/Archives/edgar/data/1383414/000119312521125241/d124015dex41.htm" TargetMode="External"/><Relationship Id="rId9" Type="http://schemas.openxmlformats.org/officeDocument/2006/relationships/hyperlink" Target="http://www.sec.gov/Archives/edgar/data/1383414/000119312521303994/d236895dex41.htm" TargetMode="External"/><Relationship Id="rId10" Type="http://schemas.openxmlformats.org/officeDocument/2006/relationships/hyperlink" Target="http://www.sec.gov/Archives/edgar/data/1383414/000119312521303994/d236895dex41.htm" TargetMode="External"/><Relationship Id="rId11" Type="http://schemas.openxmlformats.org/officeDocument/2006/relationships/hyperlink" Target="http://www.sec.gov/Archives/edgar/data/1383414/000156459019044110/pnnt-ex47_7.htm" TargetMode="External"/><Relationship Id="rId12" Type="http://schemas.openxmlformats.org/officeDocument/2006/relationships/hyperlink" Target="http://www.sec.gov/Archives/edgar/data/1383414/000095017024092751/pnnt-ex10_2.htm" TargetMode="External"/><Relationship Id="rId13" Type="http://schemas.openxmlformats.org/officeDocument/2006/relationships/hyperlink" Target="http://www.sec.gov/Archives/edgar/data/1383414/000119312508072557/dex99e.htm" TargetMode="External"/><Relationship Id="rId14" Type="http://schemas.openxmlformats.org/officeDocument/2006/relationships/hyperlink" Target="http://www.sec.gov/Archives/edgar/data/1383414/000156459017015976/pnnt-ex101_12.htm" TargetMode="External"/><Relationship Id="rId15" Type="http://schemas.openxmlformats.org/officeDocument/2006/relationships/hyperlink" Target="http://www.sec.gov/Archives/edgar/data/1383414/000119312516773701/d285279dex105.htm" TargetMode="External"/><Relationship Id="rId16" Type="http://schemas.openxmlformats.org/officeDocument/2006/relationships/hyperlink" Target="http://www.sec.gov/Archives/edgar/data/1383414/000119312525293703/pnnt-ex10_5.htm" TargetMode="External"/><Relationship Id="rId17" Type="http://schemas.openxmlformats.org/officeDocument/2006/relationships/hyperlink" Target="http://www.sec.gov/Archives/edgar/data/1383414/000119312519240958/d761962dex101.htm" TargetMode="External"/><Relationship Id="rId18" Type="http://schemas.openxmlformats.org/officeDocument/2006/relationships/hyperlink" Target="http://www.sec.gov/Archives/edgar/data/1383414/000119312520208851/d41849dex101.htm" TargetMode="External"/><Relationship Id="rId19" Type="http://schemas.openxmlformats.org/officeDocument/2006/relationships/hyperlink" Target="http://www.sec.gov/Archives/edgar/data/1383414/000156459020054639/pnnt-ex1012_753.htm" TargetMode="External"/><Relationship Id="rId20" Type="http://schemas.openxmlformats.org/officeDocument/2006/relationships/hyperlink" Target="http://www.sec.gov/Archives/edgar/data/1383414/000119312524213244/d879195dex101.htm" TargetMode="External"/><Relationship Id="rId21" Type="http://schemas.openxmlformats.org/officeDocument/2006/relationships/hyperlink" Target="http://www.sec.gov/Archives/edgar/data/1383414/000095017022014227/pnnt-ex10_2.htm" TargetMode="External"/><Relationship Id="rId22" Type="http://schemas.openxmlformats.org/officeDocument/2006/relationships/hyperlink" Target="http://www.sec.gov/Archives/edgar/data/1383414/000119312524154397/d732456dex11.htm" TargetMode="External"/><Relationship Id="rId23" Type="http://schemas.openxmlformats.org/officeDocument/2006/relationships/hyperlink" Target="http://www.sec.gov/Archives/edgar/data/1383414/000119312524154397/d732456dex12.htm" TargetMode="External"/><Relationship Id="rId24" Type="http://schemas.openxmlformats.org/officeDocument/2006/relationships/hyperlink" Target="http://www.sec.gov/Archives/edgar/data/1383414/000095017024092751/pnnt-ex10_5.htm" TargetMode="External"/><Relationship Id="rId25" Type="http://schemas.openxmlformats.org/officeDocument/2006/relationships/hyperlink" Target="http://www.sec.gov/Archives/edgar/data/1383414/000095017025017048/pnnt-ex10_1.htm" TargetMode="External"/><Relationship Id="rId26" Type="http://schemas.openxmlformats.org/officeDocument/2006/relationships/hyperlink" Target="http://www.sec.gov/Archives/edgar/data/1383414/000119312525293703/pnnt-ex14_1.htm" TargetMode="External"/><Relationship Id="rId27" Type="http://schemas.openxmlformats.org/officeDocument/2006/relationships/hyperlink" Target="http://www.sec.gov/Archives/edgar/data/1383414/000095017023068909/pnnt-ex14_1.htm" TargetMode="External"/><Relationship Id="rId28" Type="http://schemas.openxmlformats.org/officeDocument/2006/relationships/hyperlink" Target="http://www.sec.gov/Archives/edgar/data/1383414/000119312525293703/pnnt-ex21_1.htm" TargetMode="External"/><Relationship Id="rId29" Type="http://schemas.openxmlformats.org/officeDocument/2006/relationships/hyperlink" Target="http://www.sec.gov/Archives/edgar/data/1383414/000119312525293703/pnnt-ex23_1.htm" TargetMode="External"/><Relationship Id="rId30" Type="http://schemas.openxmlformats.org/officeDocument/2006/relationships/hyperlink" Target="http://www.sec.gov/Archives/edgar/data/1383414/000095017023068909/pnnt-ex97_1.htm" TargetMode="External"/><Relationship Id="rId31" Type="http://schemas.openxmlformats.org/officeDocument/2006/relationships/hyperlink" Target="http://www.sec.gov/Archives/edgar/data/1383414/000095017023068909/pnnt-ex99_1.htm" TargetMode="External"/><Relationship Id="rId32" Type="http://schemas.openxmlformats.org/officeDocument/2006/relationships/hyperlink" Target="http://www.sec.gov/Archives/edgar/data/1383414/000119312525293703/pnnt-ex99_2.htm" TargetMode="External"/><Relationship Id="rId33" Type="http://schemas.openxmlformats.org/officeDocument/2006/relationships/hyperlink" Target="http://www.sec.gov/Archives/edgar/data/1383414/000119312525293703/pnnt-ex99_3.htm" TargetMode="External"/><Relationship Id="rId34" Type="http://schemas.openxmlformats.org/officeDocument/2006/relationships/hyperlink" Target="http://www.sec.gov/Archives/edgar/data/1383414/000119312525293703/pnnt-ex99_4.htm" TargetMode="External"/><Relationship Id="rId35" Type="http://schemas.openxmlformats.org/officeDocument/2006/relationships/image" Target="media/image1.jpeg"/><Relationship Id="rId36" Type="http://schemas.openxmlformats.org/officeDocument/2006/relationships/image" Target="media/image2.jpeg"/><Relationship Id="rId37" Type="http://schemas.openxmlformats.org/officeDocument/2006/relationships/image" Target="media/image3.jpeg"/><Relationship Id="rId38" Type="http://schemas.openxmlformats.org/officeDocument/2006/relationships/image" Target="media/image4.jpeg"/><Relationship Id="rId39" Type="http://schemas.openxmlformats.org/officeDocument/2006/relationships/fontTable" Target="fontTable.xml"/><Relationship Id="rId4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16643</Words>
  <Characters>89543</Characters>
  <CharactersWithSpaces>112026</CharactersWithSpaces>
  <Paragraphs>8452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EX-99.5</dc:title>
</cp:coreProperties>
</file>