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September 4, 2019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4040" w:type="dxa"/>
            <w:vAlign w:val="bottom"/>
          </w:tcPr>
          <w:p>
            <w:pPr>
              <w:jc w:val="center"/>
              <w:ind w:right="2299"/>
              <w:spacing w:after="0"/>
              <w:rPr>
                <w:sz w:val="20"/>
                <w:szCs w:val="20"/>
                <w:color w:val="auto"/>
              </w:rPr>
            </w:pPr>
            <w:r>
              <w:rPr>
                <w:rFonts w:ascii="Arial" w:cs="Arial" w:eastAsia="Arial" w:hAnsi="Arial"/>
                <w:sz w:val="18"/>
                <w:szCs w:val="18"/>
                <w:b w:val="1"/>
                <w:bCs w:val="1"/>
                <w:color w:val="auto"/>
                <w:w w:val="98"/>
              </w:rPr>
              <w:t>Maryland</w:t>
            </w:r>
          </w:p>
        </w:tc>
        <w:tc>
          <w:tcPr>
            <w:tcW w:w="2200" w:type="dxa"/>
            <w:vAlign w:val="bottom"/>
          </w:tcPr>
          <w:p>
            <w:pPr>
              <w:ind w:left="140"/>
              <w:spacing w:after="0"/>
              <w:rPr>
                <w:sz w:val="20"/>
                <w:szCs w:val="20"/>
                <w:color w:val="auto"/>
              </w:rPr>
            </w:pPr>
            <w:r>
              <w:rPr>
                <w:rFonts w:ascii="Arial" w:cs="Arial" w:eastAsia="Arial" w:hAnsi="Arial"/>
                <w:sz w:val="18"/>
                <w:szCs w:val="18"/>
                <w:b w:val="1"/>
                <w:bCs w:val="1"/>
                <w:color w:val="auto"/>
              </w:rPr>
              <w:t>814-00736</w:t>
            </w:r>
          </w:p>
        </w:tc>
        <w:tc>
          <w:tcPr>
            <w:tcW w:w="2680" w:type="dxa"/>
            <w:vAlign w:val="bottom"/>
          </w:tcPr>
          <w:p>
            <w:pPr>
              <w:jc w:val="right"/>
              <w:ind w:right="201"/>
              <w:spacing w:after="0"/>
              <w:rPr>
                <w:sz w:val="20"/>
                <w:szCs w:val="20"/>
                <w:color w:val="auto"/>
              </w:rPr>
            </w:pPr>
            <w:r>
              <w:rPr>
                <w:rFonts w:ascii="Arial" w:cs="Arial" w:eastAsia="Arial" w:hAnsi="Arial"/>
                <w:sz w:val="18"/>
                <w:szCs w:val="18"/>
                <w:b w:val="1"/>
                <w:bCs w:val="1"/>
                <w:color w:val="auto"/>
              </w:rPr>
              <w:t>20-8250744</w:t>
            </w:r>
          </w:p>
        </w:tc>
      </w:tr>
      <w:tr>
        <w:trPr>
          <w:trHeight w:val="148"/>
        </w:trPr>
        <w:tc>
          <w:tcPr>
            <w:tcW w:w="4040" w:type="dxa"/>
            <w:vAlign w:val="bottom"/>
          </w:tcPr>
          <w:p>
            <w:pPr>
              <w:jc w:val="center"/>
              <w:ind w:right="23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(Commission</w:t>
            </w:r>
          </w:p>
        </w:tc>
        <w:tc>
          <w:tcPr>
            <w:tcW w:w="2680" w:type="dxa"/>
            <w:vAlign w:val="bottom"/>
          </w:tcPr>
          <w:p>
            <w:pPr>
              <w:jc w:val="center"/>
              <w:ind w:left="11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40" w:type="dxa"/>
            <w:vAlign w:val="bottom"/>
          </w:tcPr>
          <w:p>
            <w:pPr>
              <w:jc w:val="center"/>
              <w:ind w:right="2299"/>
              <w:spacing w:after="0"/>
              <w:rPr>
                <w:sz w:val="20"/>
                <w:szCs w:val="20"/>
                <w:color w:val="auto"/>
              </w:rPr>
            </w:pPr>
            <w:r>
              <w:rPr>
                <w:rFonts w:ascii="Arial" w:cs="Arial" w:eastAsia="Arial" w:hAnsi="Arial"/>
                <w:sz w:val="14"/>
                <w:szCs w:val="14"/>
                <w:b w:val="1"/>
                <w:bCs w:val="1"/>
                <w:color w:val="auto"/>
                <w:w w:val="94"/>
              </w:rPr>
              <w:t>of incorporation)</w:t>
            </w:r>
          </w:p>
        </w:tc>
        <w:tc>
          <w:tcPr>
            <w:tcW w:w="220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4040" w:type="dxa"/>
            <w:vAlign w:val="bottom"/>
          </w:tcPr>
          <w:p>
            <w:pPr>
              <w:jc w:val="center"/>
              <w:ind w:left="1159"/>
              <w:spacing w:after="0"/>
              <w:rPr>
                <w:sz w:val="20"/>
                <w:szCs w:val="20"/>
                <w:color w:val="auto"/>
              </w:rPr>
            </w:pPr>
            <w:r>
              <w:rPr>
                <w:rFonts w:ascii="Arial" w:cs="Arial" w:eastAsia="Arial" w:hAnsi="Arial"/>
                <w:sz w:val="18"/>
                <w:szCs w:val="18"/>
                <w:b w:val="1"/>
                <w:bCs w:val="1"/>
                <w:color w:val="auto"/>
                <w:w w:val="89"/>
              </w:rPr>
              <w:t>590 Madison Avenue, 15th Floor,</w:t>
            </w:r>
          </w:p>
        </w:tc>
        <w:tc>
          <w:tcPr>
            <w:tcW w:w="2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5"/>
        </w:trPr>
        <w:tc>
          <w:tcPr>
            <w:tcW w:w="4040" w:type="dxa"/>
            <w:vAlign w:val="bottom"/>
          </w:tcPr>
          <w:p>
            <w:pPr>
              <w:jc w:val="center"/>
              <w:ind w:left="1179"/>
              <w:spacing w:after="0"/>
              <w:rPr>
                <w:sz w:val="20"/>
                <w:szCs w:val="20"/>
                <w:color w:val="auto"/>
              </w:rPr>
            </w:pPr>
            <w:r>
              <w:rPr>
                <w:rFonts w:ascii="Arial" w:cs="Arial" w:eastAsia="Arial" w:hAnsi="Arial"/>
                <w:sz w:val="18"/>
                <w:szCs w:val="18"/>
                <w:b w:val="1"/>
                <w:bCs w:val="1"/>
                <w:color w:val="auto"/>
                <w:w w:val="93"/>
              </w:rPr>
              <w:t>New York, NY</w:t>
            </w:r>
          </w:p>
        </w:tc>
        <w:tc>
          <w:tcPr>
            <w:tcW w:w="2200" w:type="dxa"/>
            <w:vAlign w:val="bottom"/>
          </w:tcPr>
          <w:p>
            <w:pPr>
              <w:spacing w:after="0"/>
              <w:rPr>
                <w:sz w:val="19"/>
                <w:szCs w:val="19"/>
                <w:color w:val="auto"/>
              </w:rPr>
            </w:pPr>
          </w:p>
        </w:tc>
        <w:tc>
          <w:tcPr>
            <w:tcW w:w="2680" w:type="dxa"/>
            <w:vAlign w:val="bottom"/>
          </w:tcPr>
          <w:p>
            <w:pPr>
              <w:jc w:val="right"/>
              <w:ind w:right="401"/>
              <w:spacing w:after="0"/>
              <w:rPr>
                <w:sz w:val="20"/>
                <w:szCs w:val="20"/>
                <w:color w:val="auto"/>
              </w:rPr>
            </w:pPr>
            <w:r>
              <w:rPr>
                <w:rFonts w:ascii="Arial" w:cs="Arial" w:eastAsia="Arial" w:hAnsi="Arial"/>
                <w:sz w:val="18"/>
                <w:szCs w:val="18"/>
                <w:b w:val="1"/>
                <w:bCs w:val="1"/>
                <w:color w:val="auto"/>
              </w:rPr>
              <w:t>10022</w:t>
            </w:r>
          </w:p>
        </w:tc>
      </w:tr>
      <w:tr>
        <w:trPr>
          <w:trHeight w:val="186"/>
        </w:trPr>
        <w:tc>
          <w:tcPr>
            <w:tcW w:w="4040" w:type="dxa"/>
            <w:vAlign w:val="bottom"/>
          </w:tcPr>
          <w:p>
            <w:pPr>
              <w:jc w:val="center"/>
              <w:ind w:left="11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00" w:type="dxa"/>
            <w:vAlign w:val="bottom"/>
          </w:tcPr>
          <w:p>
            <w:pPr>
              <w:spacing w:after="0"/>
              <w:rPr>
                <w:sz w:val="16"/>
                <w:szCs w:val="16"/>
                <w:color w:val="auto"/>
              </w:rPr>
            </w:pP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212-905-1000</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21"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PNNT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14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On September 4, 2019, PennantPark Investment Corporation (the “Company”) entered into a second amendment (the “Amendment”) to its second amended and restated senior secured revolving credit facility by and among the Company, as borrower, the lenders party thereto, and SunTrust Bank, as administrative agent (the “Credit Facility”). The Amendment, among other things: (i) increases the aggregate amount of the commitments under the Credit Facility from $445 million to $475 million, (ii) extends the term of the revolving period to September 4, 2023 and the final maturity date to September 4, 2024 for $420 million out of the total $475 million existing commitments (with the revolving period with respect to the remaining</w:t>
      </w:r>
    </w:p>
    <w:p>
      <w:pPr>
        <w:spacing w:after="0" w:line="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$55 million of commitments continuing to expire on May 25, 2021); (iii) amends the covenants in the Credit Facility to, in combination with our other existing debt sources, enable the Company to utilize the flexibility and incremental leverage provided by the Small Business Credit Availability Act in the future; and (iv) makes certain other changes to the Credit Facility, including with respect to the concentration limits and to add new financial covenants.</w:t>
      </w:r>
    </w:p>
    <w:p>
      <w:pPr>
        <w:spacing w:after="0" w:line="19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description above is only a summary of the material provisions of the Amendment and is qualified in its entirety by reference to a copy of the Amendment, which is filed as Exhibit 10.1 to this Current Report on Form 8-K and is incorporated by reference herein.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Securities Exchange Act of 1934, as amended, or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Item 1.01 to this current report on Form 8-K is by this reference incorporated in this Item 2.03.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 September 9, 2019, the Company issued a press release, included herewith as Exhibit 99.1, and by this reference incorporated herein.</w:t>
      </w:r>
    </w:p>
    <w:p>
      <w:pPr>
        <w:spacing w:after="0" w:line="225"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ectPr>
          <w:pgSz w:w="11900" w:h="16838" w:orient="portrait"/>
          <w:cols w:equalWidth="0" w:num="1">
            <w:col w:w="11020"/>
          </w:cols>
          <w:pgMar w:left="440" w:top="270" w:right="43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9.01. Financial Statements and Exhibits</w:t>
      </w:r>
    </w:p>
    <w:p>
      <w:pPr>
        <w:spacing w:after="0" w:line="117" w:lineRule="exact"/>
        <w:rPr>
          <w:sz w:val="20"/>
          <w:szCs w:val="20"/>
          <w:color w:val="auto"/>
        </w:rPr>
      </w:pPr>
    </w:p>
    <w:p>
      <w:pPr>
        <w:ind w:left="444" w:right="8860" w:hanging="444"/>
        <w:spacing w:after="0" w:line="445" w:lineRule="auto"/>
        <w:tabs>
          <w:tab w:leader="none" w:pos="258"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spacing w:after="0" w:line="139" w:lineRule="exact"/>
        <w:rPr>
          <w:rFonts w:ascii="Arial" w:cs="Arial" w:eastAsia="Arial" w:hAnsi="Arial"/>
          <w:sz w:val="17"/>
          <w:szCs w:val="17"/>
          <w:b w:val="1"/>
          <w:bCs w:val="1"/>
          <w:color w:val="auto"/>
        </w:rPr>
      </w:pPr>
    </w:p>
    <w:p>
      <w:pPr>
        <w:ind w:left="444" w:right="7960" w:hanging="444"/>
        <w:spacing w:after="0" w:line="407" w:lineRule="auto"/>
        <w:tabs>
          <w:tab w:leader="none" w:pos="26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444" w:right="8340" w:hanging="444"/>
        <w:spacing w:after="0" w:line="407" w:lineRule="auto"/>
        <w:tabs>
          <w:tab w:leader="none" w:pos="24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264" w:hanging="264"/>
        <w:spacing w:after="0"/>
        <w:tabs>
          <w:tab w:leader="none" w:pos="26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364" w:lineRule="exact"/>
        <w:rPr>
          <w:sz w:val="20"/>
          <w:szCs w:val="20"/>
          <w:color w:val="auto"/>
        </w:rPr>
      </w:pPr>
    </w:p>
    <w:p>
      <w:pPr>
        <w:ind w:left="664" w:hanging="660"/>
        <w:spacing w:after="0" w:line="301" w:lineRule="auto"/>
        <w:tabs>
          <w:tab w:leader="none" w:pos="644"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5">
        <w:r>
          <w:rPr>
            <w:rFonts w:ascii="Arial" w:cs="Arial" w:eastAsia="Arial" w:hAnsi="Arial"/>
            <w:sz w:val="16"/>
            <w:szCs w:val="16"/>
            <w:u w:val="single" w:color="auto"/>
            <w:color w:val="0000EE"/>
          </w:rPr>
          <w:t>Second Amendment to Second Amended and Restated Senior Secured Revolving Credit Agreement, dated as of September 4, 2019, by and</w:t>
        </w:r>
      </w:hyperlink>
      <w:r>
        <w:rPr>
          <w:rFonts w:ascii="Arial" w:cs="Arial" w:eastAsia="Arial" w:hAnsi="Arial"/>
          <w:sz w:val="16"/>
          <w:szCs w:val="16"/>
          <w:u w:val="single" w:color="auto"/>
          <w:color w:val="0000EE"/>
        </w:rPr>
        <w:t xml:space="preserve"> </w:t>
      </w:r>
      <w:hyperlink w:anchor="page5">
        <w:r>
          <w:rPr>
            <w:rFonts w:ascii="Arial" w:cs="Arial" w:eastAsia="Arial" w:hAnsi="Arial"/>
            <w:sz w:val="16"/>
            <w:szCs w:val="16"/>
            <w:u w:val="single" w:color="auto"/>
            <w:color w:val="0000EE"/>
          </w:rPr>
          <w:t>among PennantPark Investment Corporation, as borrower, the lenders party thereto, SunTrust Bank, as administrative agent and collateral</w:t>
        </w:r>
      </w:hyperlink>
      <w:r>
        <w:rPr>
          <w:rFonts w:ascii="Arial" w:cs="Arial" w:eastAsia="Arial" w:hAnsi="Arial"/>
          <w:sz w:val="16"/>
          <w:szCs w:val="16"/>
          <w:u w:val="single" w:color="auto"/>
          <w:color w:val="0000EE"/>
        </w:rPr>
        <w:t xml:space="preserve"> </w:t>
      </w:r>
      <w:hyperlink w:anchor="page5">
        <w:r>
          <w:rPr>
            <w:rFonts w:ascii="Arial" w:cs="Arial" w:eastAsia="Arial" w:hAnsi="Arial"/>
            <w:sz w:val="16"/>
            <w:szCs w:val="16"/>
            <w:u w:val="single" w:color="auto"/>
            <w:color w:val="0000EE"/>
          </w:rPr>
          <w:t>agent, and solely with respect to Section 4.9 of the Amendment, PNNT CI (GALLS) Prime Investment Holdings, LLC, PNNT Investment</w:t>
        </w:r>
      </w:hyperlink>
      <w:r>
        <w:rPr>
          <w:rFonts w:ascii="Arial" w:cs="Arial" w:eastAsia="Arial" w:hAnsi="Arial"/>
          <w:sz w:val="16"/>
          <w:szCs w:val="16"/>
          <w:u w:val="single" w:color="auto"/>
          <w:color w:val="0000EE"/>
        </w:rPr>
        <w:t xml:space="preserve"> </w:t>
      </w:r>
      <w:hyperlink w:anchor="page5">
        <w:r>
          <w:rPr>
            <w:rFonts w:ascii="Arial" w:cs="Arial" w:eastAsia="Arial" w:hAnsi="Arial"/>
            <w:sz w:val="16"/>
            <w:szCs w:val="16"/>
            <w:u w:val="single" w:color="auto"/>
            <w:color w:val="0000EE"/>
          </w:rPr>
          <w:t>Holdings, LLC, PNNT New Gulf Resources, LLC, PNNT ecoserve, LLC and PNNT Cascade Environmental Holdings, LLC.</w:t>
        </w:r>
      </w:hyperlink>
    </w:p>
    <w:p>
      <w:pPr>
        <w:spacing w:after="0" w:line="49" w:lineRule="exact"/>
        <w:rPr>
          <w:rFonts w:ascii="Arial" w:cs="Arial" w:eastAsia="Arial" w:hAnsi="Arial"/>
          <w:sz w:val="16"/>
          <w:szCs w:val="16"/>
          <w:u w:val="single" w:color="auto"/>
          <w:color w:val="0000EE"/>
        </w:rPr>
      </w:pPr>
    </w:p>
    <w:p>
      <w:pPr>
        <w:ind w:left="4"/>
        <w:spacing w:after="0"/>
        <w:tabs>
          <w:tab w:leader="none" w:pos="644"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189">
        <w:r>
          <w:rPr>
            <w:rFonts w:ascii="Arial" w:cs="Arial" w:eastAsia="Arial" w:hAnsi="Arial"/>
            <w:sz w:val="15"/>
            <w:szCs w:val="15"/>
            <w:u w:val="single" w:color="auto"/>
            <w:color w:val="0000EE"/>
          </w:rPr>
          <w:t>Press Release of PennantPark Investment Corporation dated September 9, 2019</w:t>
        </w:r>
      </w:hyperlink>
    </w:p>
    <w:p>
      <w:pPr>
        <w:sectPr>
          <w:pgSz w:w="11900" w:h="16838" w:orient="portrait"/>
          <w:cols w:equalWidth="0" w:num="1">
            <w:col w:w="10764"/>
          </w:cols>
          <w:pgMar w:left="436" w:top="270" w:right="6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320" w:type="dxa"/>
            <w:vAlign w:val="bottom"/>
            <w:gridSpan w:val="2"/>
          </w:tcPr>
          <w:p>
            <w:pPr>
              <w:ind w:left="192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September 9, 2019</w:t>
            </w:r>
          </w:p>
        </w:tc>
        <w:tc>
          <w:tcPr>
            <w:tcW w:w="7320" w:type="dxa"/>
            <w:vAlign w:val="bottom"/>
            <w:gridSpan w:val="2"/>
          </w:tcPr>
          <w:p>
            <w:pPr>
              <w:ind w:left="1920"/>
              <w:spacing w:after="0"/>
              <w:rPr>
                <w:sz w:val="20"/>
                <w:szCs w:val="20"/>
                <w:color w:val="auto"/>
              </w:rPr>
            </w:pPr>
            <w:r>
              <w:rPr>
                <w:rFonts w:ascii="Arial" w:cs="Arial" w:eastAsia="Arial" w:hAnsi="Arial"/>
                <w:sz w:val="18"/>
                <w:szCs w:val="18"/>
                <w:color w:val="auto"/>
              </w:rPr>
              <w:t>By:  /s/ Aviv Efrat</w:t>
            </w:r>
          </w:p>
        </w:tc>
      </w:tr>
      <w:tr>
        <w:trPr>
          <w:trHeight w:val="195"/>
        </w:trPr>
        <w:tc>
          <w:tcPr>
            <w:tcW w:w="37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Aviv Efrat</w:t>
            </w:r>
          </w:p>
        </w:tc>
      </w:tr>
      <w:tr>
        <w:trPr>
          <w:trHeight w:val="230"/>
        </w:trPr>
        <w:tc>
          <w:tcPr>
            <w:tcW w:w="37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080" w:type="dxa"/>
            <w:vAlign w:val="bottom"/>
          </w:tcPr>
          <w:p>
            <w:pPr>
              <w:ind w:left="300"/>
              <w:spacing w:after="0"/>
              <w:rPr>
                <w:sz w:val="20"/>
                <w:szCs w:val="20"/>
                <w:color w:val="auto"/>
              </w:rPr>
            </w:pPr>
            <w:r>
              <w:rPr>
                <w:rFonts w:ascii="Arial" w:cs="Arial" w:eastAsia="Arial" w:hAnsi="Arial"/>
                <w:sz w:val="18"/>
                <w:szCs w:val="18"/>
                <w:i w:val="1"/>
                <w:iCs w:val="1"/>
                <w:color w:val="auto"/>
              </w:rPr>
              <w:t>Chief Financial Officer &amp; Treasurer</w:t>
            </w: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SECOND AMENDED AND RESTATED SENIOR SECURED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REVOLVING CREDIT AGREEMENT</w:t>
      </w:r>
    </w:p>
    <w:p>
      <w:pPr>
        <w:spacing w:after="0" w:line="211"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This SECOND AMENDMENT TO SECOND AMENDED AND RESTATED SENIOR SECURED REVOLVING CREDIT AGREEMENT, dated as of September 4, 2019 (this “</w:t>
      </w:r>
      <w:r>
        <w:rPr>
          <w:rFonts w:ascii="Arial" w:cs="Arial" w:eastAsia="Arial" w:hAnsi="Arial"/>
          <w:sz w:val="17"/>
          <w:szCs w:val="17"/>
          <w:u w:val="single" w:color="auto"/>
          <w:color w:val="auto"/>
        </w:rPr>
        <w:t>Amendment</w:t>
      </w:r>
      <w:r>
        <w:rPr>
          <w:rFonts w:ascii="Arial" w:cs="Arial" w:eastAsia="Arial" w:hAnsi="Arial"/>
          <w:sz w:val="17"/>
          <w:szCs w:val="17"/>
          <w:color w:val="auto"/>
        </w:rPr>
        <w:t>”), is entered into among PENNANTPARK INVESTMENT CORPORATION, a Maryland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(as defined below) party hereto, SUNTRUST BANK,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xml:space="preserve">”) and, solely with respect to </w:t>
      </w:r>
      <w:r>
        <w:rPr>
          <w:rFonts w:ascii="Arial" w:cs="Arial" w:eastAsia="Arial" w:hAnsi="Arial"/>
          <w:sz w:val="17"/>
          <w:szCs w:val="17"/>
          <w:u w:val="single" w:color="auto"/>
          <w:color w:val="auto"/>
        </w:rPr>
        <w:t>Section 4.9</w:t>
      </w:r>
      <w:r>
        <w:rPr>
          <w:rFonts w:ascii="Arial" w:cs="Arial" w:eastAsia="Arial" w:hAnsi="Arial"/>
          <w:sz w:val="17"/>
          <w:szCs w:val="17"/>
          <w:color w:val="auto"/>
        </w:rPr>
        <w:t>, PNNT CI (GALLS) Prime Investment Holdings, LLC, a Delaware limited liability company (“</w:t>
      </w:r>
      <w:r>
        <w:rPr>
          <w:rFonts w:ascii="Arial" w:cs="Arial" w:eastAsia="Arial" w:hAnsi="Arial"/>
          <w:sz w:val="17"/>
          <w:szCs w:val="17"/>
          <w:u w:val="single" w:color="auto"/>
          <w:color w:val="auto"/>
        </w:rPr>
        <w:t>PNNT CI</w:t>
      </w:r>
      <w:r>
        <w:rPr>
          <w:rFonts w:ascii="Arial" w:cs="Arial" w:eastAsia="Arial" w:hAnsi="Arial"/>
          <w:sz w:val="17"/>
          <w:szCs w:val="17"/>
          <w:color w:val="auto"/>
        </w:rPr>
        <w:t>”), PNNT Investment Holdings, LLC, a Delaware limited liability company (“</w:t>
      </w:r>
      <w:r>
        <w:rPr>
          <w:rFonts w:ascii="Arial" w:cs="Arial" w:eastAsia="Arial" w:hAnsi="Arial"/>
          <w:sz w:val="17"/>
          <w:szCs w:val="17"/>
          <w:u w:val="single" w:color="auto"/>
          <w:color w:val="auto"/>
        </w:rPr>
        <w:t>PNNT Investment Holdings</w:t>
      </w:r>
      <w:r>
        <w:rPr>
          <w:rFonts w:ascii="Arial" w:cs="Arial" w:eastAsia="Arial" w:hAnsi="Arial"/>
          <w:sz w:val="17"/>
          <w:szCs w:val="17"/>
          <w:color w:val="auto"/>
        </w:rPr>
        <w:t>”), PNNT New Gulf Resources, LLC, a Delaware limited liability company (“</w:t>
      </w:r>
      <w:r>
        <w:rPr>
          <w:rFonts w:ascii="Arial" w:cs="Arial" w:eastAsia="Arial" w:hAnsi="Arial"/>
          <w:sz w:val="17"/>
          <w:szCs w:val="17"/>
          <w:u w:val="single" w:color="auto"/>
          <w:color w:val="auto"/>
        </w:rPr>
        <w:t>PNNT New Gulf</w:t>
      </w:r>
      <w:r>
        <w:rPr>
          <w:rFonts w:ascii="Arial" w:cs="Arial" w:eastAsia="Arial" w:hAnsi="Arial"/>
          <w:sz w:val="17"/>
          <w:szCs w:val="17"/>
          <w:color w:val="auto"/>
        </w:rPr>
        <w:t>”), PNNT ecoserve, LLC, a Delaware limited liability company (“</w:t>
      </w:r>
      <w:r>
        <w:rPr>
          <w:rFonts w:ascii="Arial" w:cs="Arial" w:eastAsia="Arial" w:hAnsi="Arial"/>
          <w:sz w:val="17"/>
          <w:szCs w:val="17"/>
          <w:u w:val="single" w:color="auto"/>
          <w:color w:val="auto"/>
        </w:rPr>
        <w:t>PNNT Ecoserve</w:t>
      </w:r>
      <w:r>
        <w:rPr>
          <w:rFonts w:ascii="Arial" w:cs="Arial" w:eastAsia="Arial" w:hAnsi="Arial"/>
          <w:sz w:val="17"/>
          <w:szCs w:val="17"/>
          <w:color w:val="auto"/>
        </w:rPr>
        <w:t>”), and PNNT Cascade Environmental Holdings, LLC, a Delaware limited liability company (“</w:t>
      </w:r>
      <w:r>
        <w:rPr>
          <w:rFonts w:ascii="Arial" w:cs="Arial" w:eastAsia="Arial" w:hAnsi="Arial"/>
          <w:sz w:val="17"/>
          <w:szCs w:val="17"/>
          <w:u w:val="single" w:color="auto"/>
          <w:color w:val="auto"/>
        </w:rPr>
        <w:t>PNNT Cascade</w:t>
      </w:r>
      <w:r>
        <w:rPr>
          <w:rFonts w:ascii="Arial" w:cs="Arial" w:eastAsia="Arial" w:hAnsi="Arial"/>
          <w:sz w:val="17"/>
          <w:szCs w:val="17"/>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WHEREAS, the Borrower and the Administrative Agent entered into that certain Second Amended and Restated Senior Secured Revolving Credit Agreement, dated as of June 25, 2014 (as amended by that certain First Omnibus Amendment to Second Amended and Restated Senior Secured Revolving Credit Agreement and Second Amended and Restated Guarantee and Security Agreement, dated as of May 25, 2017, and as further amended or otherwise modified prior to the Effective Date (as hereinafter defined),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with the lenders party thereto (the “</w:t>
      </w:r>
      <w:r>
        <w:rPr>
          <w:rFonts w:ascii="Arial" w:cs="Arial" w:eastAsia="Arial" w:hAnsi="Arial"/>
          <w:sz w:val="17"/>
          <w:szCs w:val="17"/>
          <w:u w:val="single" w:color="auto"/>
          <w:color w:val="auto"/>
        </w:rPr>
        <w:t>Existing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Lenders</w:t>
      </w:r>
      <w:r>
        <w:rPr>
          <w:rFonts w:ascii="Arial" w:cs="Arial" w:eastAsia="Arial" w:hAnsi="Arial"/>
          <w:sz w:val="17"/>
          <w:szCs w:val="17"/>
          <w:color w:val="auto"/>
        </w:rPr>
        <w:t>”), pursuant to which the Existing Lenders extended certain commitments and made certain loans to the Borrower;</w:t>
      </w:r>
    </w:p>
    <w:p>
      <w:pPr>
        <w:spacing w:after="0" w:line="176"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WHEREAS, each of Customers Bank (“</w:t>
      </w:r>
      <w:r>
        <w:rPr>
          <w:rFonts w:ascii="Arial" w:cs="Arial" w:eastAsia="Arial" w:hAnsi="Arial"/>
          <w:sz w:val="18"/>
          <w:szCs w:val="18"/>
          <w:u w:val="single" w:color="auto"/>
          <w:color w:val="auto"/>
        </w:rPr>
        <w:t>Customers</w:t>
      </w:r>
      <w:r>
        <w:rPr>
          <w:rFonts w:ascii="Arial" w:cs="Arial" w:eastAsia="Arial" w:hAnsi="Arial"/>
          <w:sz w:val="18"/>
          <w:szCs w:val="18"/>
          <w:color w:val="auto"/>
        </w:rPr>
        <w:t>”) and CIBC Bank USA (“</w:t>
      </w:r>
      <w:r>
        <w:rPr>
          <w:rFonts w:ascii="Arial" w:cs="Arial" w:eastAsia="Arial" w:hAnsi="Arial"/>
          <w:sz w:val="18"/>
          <w:szCs w:val="18"/>
          <w:u w:val="single" w:color="auto"/>
          <w:color w:val="auto"/>
        </w:rPr>
        <w:t>CIBC</w:t>
      </w:r>
      <w:r>
        <w:rPr>
          <w:rFonts w:ascii="Arial" w:cs="Arial" w:eastAsia="Arial" w:hAnsi="Arial"/>
          <w:sz w:val="18"/>
          <w:szCs w:val="18"/>
          <w:color w:val="auto"/>
        </w:rPr>
        <w:t>” and, together with Customers and the Existing Lenders, the “</w:t>
      </w:r>
      <w:r>
        <w:rPr>
          <w:rFonts w:ascii="Arial" w:cs="Arial" w:eastAsia="Arial" w:hAnsi="Arial"/>
          <w:sz w:val="18"/>
          <w:szCs w:val="18"/>
          <w:u w:val="single" w:color="auto"/>
          <w:color w:val="auto"/>
        </w:rPr>
        <w:t>Lenders</w:t>
      </w:r>
      <w:r>
        <w:rPr>
          <w:rFonts w:ascii="Arial" w:cs="Arial" w:eastAsia="Arial" w:hAnsi="Arial"/>
          <w:sz w:val="18"/>
          <w:szCs w:val="18"/>
          <w:color w:val="auto"/>
        </w:rPr>
        <w:t>”) desire to become a party to the Credit Agreement as Lenders thereunder; and</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WHEREAS, the Borrower, the Existing Lenders and the Administrative Agent desire to amend the Credit Agreement to make certain changes, as set forth below.</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NOW, THEREFORE, in consideration of the premises and the mutual agreements contained herein and in the Credit Agreement, the parties hereto agree as follows:</w:t>
      </w:r>
    </w:p>
    <w:p>
      <w:pPr>
        <w:spacing w:after="0" w:line="170" w:lineRule="exact"/>
        <w:rPr>
          <w:sz w:val="20"/>
          <w:szCs w:val="20"/>
          <w:color w:val="auto"/>
        </w:rPr>
      </w:pPr>
    </w:p>
    <w:p>
      <w:pPr>
        <w:jc w:val="both"/>
        <w:ind w:right="260" w:firstLine="440"/>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All capitalized terms not otherwise defined herein are used as defined in (or by reference in) the Credit Agreement as amended hereby.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Joinder of Customers and CIBC to Credit Agreement; Amendments to Credit Agreement</w:t>
      </w:r>
      <w:r>
        <w:rPr>
          <w:rFonts w:ascii="Arial" w:cs="Arial" w:eastAsia="Arial" w:hAnsi="Arial"/>
          <w:sz w:val="18"/>
          <w:szCs w:val="18"/>
          <w:color w:val="auto"/>
        </w:rPr>
        <w:t>.</w:t>
      </w:r>
    </w:p>
    <w:p>
      <w:pPr>
        <w:spacing w:after="0" w:line="225" w:lineRule="exact"/>
        <w:rPr>
          <w:sz w:val="20"/>
          <w:szCs w:val="20"/>
          <w:color w:val="auto"/>
        </w:rPr>
      </w:pPr>
    </w:p>
    <w:p>
      <w:pPr>
        <w:jc w:val="both"/>
        <w:ind w:right="260" w:firstLine="440"/>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Customers as a Lender</w:t>
      </w:r>
      <w:r>
        <w:rPr>
          <w:rFonts w:ascii="Arial" w:cs="Arial" w:eastAsia="Arial" w:hAnsi="Arial"/>
          <w:sz w:val="18"/>
          <w:szCs w:val="18"/>
          <w:color w:val="auto"/>
        </w:rPr>
        <w:t>. Subject to the occurrence of the Effective Date, each of the parties hereto hereby agrees that Customers will (and does hereby) become a “Lender” under and for all purposes of the Credit Agreement with a Dollar Commitment equal to $25,000,000 and Customers hereby agrees to be bound by and comply with all of the terms and provisions of the Credit Agreement applicable to it as a “Lender” and “Extending Lender” thereunder and that it</w:t>
      </w:r>
    </w:p>
    <w:p>
      <w:pPr>
        <w:sectPr>
          <w:pgSz w:w="11900" w:h="16838" w:orient="portrait"/>
          <w:cols w:equalWidth="0" w:num="1">
            <w:col w:w="11020"/>
          </w:cols>
          <w:pgMar w:left="440" w:top="121" w:right="439" w:bottom="1440" w:gutter="0" w:footer="0" w:header="0"/>
        </w:sectPr>
      </w:pPr>
    </w:p>
    <w:bookmarkStart w:id="5" w:name="page6"/>
    <w:bookmarkEnd w:id="5"/>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will perform all of the obligations which by the terms of the Credit Agreement are required to be performed by it as a Lender or Extending Lender, as applicable. Customers represents and warrants that it has full power and authority, and has taken all action necessary, to execute this Amendment and to consummate the transactions contemplated hereby and to become a Lender under the Credit Agreement.</w:t>
      </w:r>
    </w:p>
    <w:p>
      <w:pPr>
        <w:spacing w:after="0" w:line="165" w:lineRule="exact"/>
        <w:rPr>
          <w:sz w:val="20"/>
          <w:szCs w:val="20"/>
          <w:color w:val="auto"/>
        </w:rPr>
      </w:pPr>
    </w:p>
    <w:p>
      <w:pPr>
        <w:ind w:right="200" w:firstLine="440"/>
        <w:spacing w:after="0" w:line="293"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CIBC as a Lender</w:t>
      </w:r>
      <w:r>
        <w:rPr>
          <w:rFonts w:ascii="Arial" w:cs="Arial" w:eastAsia="Arial" w:hAnsi="Arial"/>
          <w:sz w:val="16"/>
          <w:szCs w:val="16"/>
          <w:color w:val="auto"/>
        </w:rPr>
        <w:t>. Subject to the occurrence of the Effective Date, each of the parties hereto hereby agrees that CIBC will (and does hereby) become a “Lender” under and for all purposes of the Credit Agreement with a Dollar Commitment equal to $25,000,000 and CIBC hereby agrees to be bound by and comply with all of the terms and provisions of the Credit Agreement applicable to it as a “Lender” and “Extending Lender” thereunder and that it will perform all of the obligations which by the terms of the Credit Agreement are required to be performed by it as a Lender or Extending Lender, as applicable. CIBC represents and warrants that it has full power and authority, and has taken all action necessary, to execute this Amendment and to consummate the transactions contemplated hereby and to become a Lender under the Credit Agreement.</w:t>
      </w:r>
    </w:p>
    <w:p>
      <w:pPr>
        <w:spacing w:after="0" w:line="16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Amendments to Credit Agreement</w:t>
      </w:r>
      <w:r>
        <w:rPr>
          <w:rFonts w:ascii="Arial" w:cs="Arial" w:eastAsia="Arial" w:hAnsi="Arial"/>
          <w:sz w:val="18"/>
          <w:szCs w:val="18"/>
          <w:color w:val="auto"/>
        </w:rPr>
        <w:t xml:space="preserve">. The Credit Agreement (including the Exhibits and Schedules thereto) is hereby amended in its entirety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Amended Credit Agreement</w:t>
      </w:r>
      <w:r>
        <w:rPr>
          <w:rFonts w:ascii="Arial" w:cs="Arial" w:eastAsia="Arial" w:hAnsi="Arial"/>
          <w:sz w:val="18"/>
          <w:szCs w:val="18"/>
          <w:color w:val="auto"/>
        </w:rPr>
        <w:t>”).</w:t>
      </w:r>
    </w:p>
    <w:p>
      <w:pPr>
        <w:spacing w:after="0" w:line="170"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Conditions Precedent</w:t>
      </w:r>
      <w:r>
        <w:rPr>
          <w:rFonts w:ascii="Arial" w:cs="Arial" w:eastAsia="Arial" w:hAnsi="Arial"/>
          <w:sz w:val="18"/>
          <w:szCs w:val="18"/>
          <w:color w:val="auto"/>
        </w:rPr>
        <w:t>. This Amendment shall become effective on the first date on which each of the following conditions are satisfied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62" w:lineRule="exact"/>
        <w:rPr>
          <w:sz w:val="20"/>
          <w:szCs w:val="20"/>
          <w:color w:val="auto"/>
        </w:rPr>
      </w:pPr>
    </w:p>
    <w:p>
      <w:pPr>
        <w:ind w:left="1240" w:hanging="381"/>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Receipt by the Administrative Agent of:</w:t>
      </w:r>
    </w:p>
    <w:p>
      <w:pPr>
        <w:spacing w:after="0" w:line="117" w:lineRule="exact"/>
        <w:rPr>
          <w:rFonts w:ascii="Arial" w:cs="Arial" w:eastAsia="Arial" w:hAnsi="Arial"/>
          <w:sz w:val="18"/>
          <w:szCs w:val="18"/>
          <w:color w:val="auto"/>
        </w:rPr>
      </w:pPr>
    </w:p>
    <w:p>
      <w:pPr>
        <w:ind w:left="980" w:right="60" w:firstLine="408"/>
        <w:spacing w:after="0" w:line="259" w:lineRule="auto"/>
        <w:tabs>
          <w:tab w:leader="none" w:pos="1731" w:val="left"/>
        </w:tabs>
        <w:numPr>
          <w:ilvl w:val="1"/>
          <w:numId w:val="3"/>
        </w:numPr>
        <w:rPr>
          <w:rFonts w:ascii="Arial" w:cs="Arial" w:eastAsia="Arial" w:hAnsi="Arial"/>
          <w:sz w:val="18"/>
          <w:szCs w:val="18"/>
          <w:color w:val="auto"/>
        </w:rPr>
      </w:pPr>
      <w:r>
        <w:rPr>
          <w:rFonts w:ascii="Arial" w:cs="Arial" w:eastAsia="Arial" w:hAnsi="Arial"/>
          <w:sz w:val="18"/>
          <w:szCs w:val="18"/>
          <w:color w:val="auto"/>
        </w:rPr>
        <w:t>Either (x) a counterpart of this Amendment signed on behalf of such party or (y) written evidence satisfactory to the Administrative Agent (which may include telecopy transmission of a signed signature page to this Amendment) that such party has signed a counterpart of this Amendment from (1) the Borrower, (2) the Administrative Agent, (3) each Lender and (4) PNNT CI, PNNT Investment Holdings, PNNT New Gulf, PNNT Ecoserve and PNNT Cascade;</w:t>
      </w:r>
    </w:p>
    <w:p>
      <w:pPr>
        <w:spacing w:after="0" w:line="78" w:lineRule="exact"/>
        <w:rPr>
          <w:rFonts w:ascii="Arial" w:cs="Arial" w:eastAsia="Arial" w:hAnsi="Arial"/>
          <w:sz w:val="18"/>
          <w:szCs w:val="18"/>
          <w:color w:val="auto"/>
        </w:rPr>
      </w:pPr>
    </w:p>
    <w:p>
      <w:pPr>
        <w:ind w:left="980" w:right="40" w:firstLine="408"/>
        <w:spacing w:after="0" w:line="263" w:lineRule="auto"/>
        <w:tabs>
          <w:tab w:leader="none" w:pos="1771" w:val="left"/>
        </w:tabs>
        <w:numPr>
          <w:ilvl w:val="1"/>
          <w:numId w:val="3"/>
        </w:numPr>
        <w:rPr>
          <w:rFonts w:ascii="Arial" w:cs="Arial" w:eastAsia="Arial" w:hAnsi="Arial"/>
          <w:sz w:val="18"/>
          <w:szCs w:val="18"/>
          <w:color w:val="auto"/>
        </w:rPr>
      </w:pPr>
      <w:r>
        <w:rPr>
          <w:rFonts w:ascii="Arial" w:cs="Arial" w:eastAsia="Arial" w:hAnsi="Arial"/>
          <w:sz w:val="18"/>
          <w:szCs w:val="18"/>
          <w:color w:val="auto"/>
        </w:rPr>
        <w:t>A favorable written opinion (addressed to the Administrative Agent and the Lenders and dated as of the date hereof) of Dechert LLP, counsel for the Borrower, in form and substance reasonably acceptable to the Administrative Agent (and the Borrower hereby instructs such counsel to deliver such opinion to the Lenders and the Administrative Agent);</w:t>
      </w:r>
    </w:p>
    <w:p>
      <w:pPr>
        <w:spacing w:after="0" w:line="75" w:lineRule="exact"/>
        <w:rPr>
          <w:rFonts w:ascii="Arial" w:cs="Arial" w:eastAsia="Arial" w:hAnsi="Arial"/>
          <w:sz w:val="18"/>
          <w:szCs w:val="18"/>
          <w:color w:val="auto"/>
        </w:rPr>
      </w:pPr>
    </w:p>
    <w:p>
      <w:pPr>
        <w:ind w:left="980" w:firstLine="408"/>
        <w:spacing w:after="0" w:line="311" w:lineRule="auto"/>
        <w:tabs>
          <w:tab w:leader="none" w:pos="1831" w:val="left"/>
        </w:tabs>
        <w:numPr>
          <w:ilvl w:val="1"/>
          <w:numId w:val="3"/>
        </w:numPr>
        <w:rPr>
          <w:rFonts w:ascii="Arial" w:cs="Arial" w:eastAsia="Arial" w:hAnsi="Arial"/>
          <w:sz w:val="16"/>
          <w:szCs w:val="16"/>
          <w:color w:val="auto"/>
        </w:rPr>
      </w:pPr>
      <w:r>
        <w:rPr>
          <w:rFonts w:ascii="Arial" w:cs="Arial" w:eastAsia="Arial" w:hAnsi="Arial"/>
          <w:sz w:val="16"/>
          <w:szCs w:val="16"/>
          <w:color w:val="auto"/>
        </w:rPr>
        <w:t>Such documents and certificates as the Administrative Agent or its counsel may reasonably request relating to the organization, existence and good standing of the Borrower, the authorization of this Amendment and any other legal matters relating to the Borrower, this Amendment or the Transactions, all in form and substance reasonably satisfactory to the Administrative Agent and its counsel; and</w:t>
      </w:r>
    </w:p>
    <w:p>
      <w:pPr>
        <w:spacing w:after="0" w:line="40" w:lineRule="exact"/>
        <w:rPr>
          <w:rFonts w:ascii="Arial" w:cs="Arial" w:eastAsia="Arial" w:hAnsi="Arial"/>
          <w:sz w:val="16"/>
          <w:szCs w:val="16"/>
          <w:color w:val="auto"/>
        </w:rPr>
      </w:pPr>
    </w:p>
    <w:p>
      <w:pPr>
        <w:ind w:left="1240" w:hanging="381"/>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Confirmation of receipt by the Lenders of the fees and expenses owing by the Borrower as of the date 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6" w:name="page7"/>
    <w:bookmarkEnd w:id="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Borrower hereby represents and warrants that (i) this Amendment and the Amended Credit Agreement each constitutes a legal, valid and binding obligation of it, enforceable against it in accordance with its terms, (ii) immediately prior to the effectiveness of this Amendment, no Default or Event of Default shall exist and, upon the effectiveness of this Amendment, no Default or Event of Default shall exist and (iii) its representations and warranties as set forth in the Loan Documents, as applicable, are true and correct in all material respects (except those representations and warranties qualified by materiality or by reference to a material adverse effect, which are true and correct in all respects) on and as of the date hereof as though made on and as of the date hereof (unless such representations and warranties specifically refer to a previous day, in which case, they shall be complete and correct in all material respects (or, with respect to such representations or warranties qualified by materiality or by reference to a material adverse effect, complete and correct in all respects) on and as of such previous day).</w:t>
      </w:r>
    </w:p>
    <w:p>
      <w:pPr>
        <w:spacing w:after="0" w:line="165"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References to Credit Agreement</w:t>
      </w:r>
      <w:r>
        <w:rPr>
          <w:rFonts w:ascii="Arial" w:cs="Arial" w:eastAsia="Arial" w:hAnsi="Arial"/>
          <w:sz w:val="17"/>
          <w:szCs w:val="17"/>
          <w:color w:val="auto"/>
        </w:rPr>
        <w:t>. Upon the effectiveness of this Amendment, each reference in the Amended Credit Agreement to “this Agreement”, “hereunder”, “hereof”, “herein”, or words of like import shall mean and be a reference to the Credit Agreement as amended hereby and each reference to the Credit Agreement in the other Loan Documents and in any other document, instrument or agreement executed and/or delivered in connection with the Credit Agreement shall mean and be a reference to the Credit Agreement as amended hereby.</w:t>
      </w:r>
    </w:p>
    <w:p>
      <w:pPr>
        <w:spacing w:after="0" w:line="17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Effect on Existing Agreements</w:t>
      </w:r>
      <w:r>
        <w:rPr>
          <w:rFonts w:ascii="Arial" w:cs="Arial" w:eastAsia="Arial" w:hAnsi="Arial"/>
          <w:sz w:val="18"/>
          <w:szCs w:val="18"/>
          <w:color w:val="auto"/>
        </w:rPr>
        <w:t>. As specifically amended hereby, the Credit Agreement, the other Loan Documents and all other documents, instruments and agreements executed and/or delivered in connection therewith shall remain in full force and effect and are hereby ratified and confirmed in all respects.</w:t>
      </w:r>
    </w:p>
    <w:p>
      <w:pPr>
        <w:spacing w:after="0" w:line="18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No Waiver</w:t>
      </w:r>
      <w:r>
        <w:rPr>
          <w:rFonts w:ascii="Arial" w:cs="Arial" w:eastAsia="Arial" w:hAnsi="Arial"/>
          <w:sz w:val="18"/>
          <w:szCs w:val="18"/>
          <w:color w:val="auto"/>
        </w:rPr>
        <w:t>. The execution, delivery and effectiveness of this Amendment shall not operate as a waiver of any right, power or remedy of the Administrative Agent under the Credit Agreement, the Amended Credit Agreement, the other Loan Documents or any other document, instrument or agreement executed in connection therewith, nor constitute a waiver of any provision contained therein, except as specifically set forth herein. The parties hereto hereby agree that this Amendment is a Loan Document.</w:t>
      </w:r>
    </w:p>
    <w:p>
      <w:pPr>
        <w:spacing w:after="0" w:line="187"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 This Amendment shall be construed in accordance with and governed by the law of the State of New York.</w:t>
      </w:r>
    </w:p>
    <w:p>
      <w:pPr>
        <w:spacing w:after="0" w:line="22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Amendment shall be binding upon and shall inure to the benefit of the parties hereto and their respective successors and assigns.</w:t>
      </w:r>
    </w:p>
    <w:p>
      <w:pPr>
        <w:spacing w:after="0" w:line="17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in this Amendment are inserted for convenience of reference only and shall not affect the meaning or interpretation of this Amendment or any provision hereof.</w:t>
      </w:r>
    </w:p>
    <w:p>
      <w:pPr>
        <w:spacing w:after="0" w:line="17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the parties hereto in several counterparts, each of which shall be deemed to be an original and all of which shall constitute together but one and the same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7" w:name="page8"/>
    <w:bookmarkEnd w:id="7"/>
    <w:p>
      <w:pPr>
        <w:ind w:left="4"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4.9. </w:t>
      </w:r>
      <w:r>
        <w:rPr>
          <w:rFonts w:ascii="Arial" w:cs="Arial" w:eastAsia="Arial" w:hAnsi="Arial"/>
          <w:sz w:val="16"/>
          <w:szCs w:val="16"/>
          <w:u w:val="single" w:color="auto"/>
          <w:color w:val="auto"/>
        </w:rPr>
        <w:t>Reaffirmation</w:t>
      </w:r>
      <w:r>
        <w:rPr>
          <w:rFonts w:ascii="Arial" w:cs="Arial" w:eastAsia="Arial" w:hAnsi="Arial"/>
          <w:sz w:val="16"/>
          <w:szCs w:val="16"/>
          <w:color w:val="auto"/>
        </w:rPr>
        <w:t>. Each of PNNT CI, PNNT Investment Holdings, PNNT New Gulf, PNNT Ecoserve and PNNT Cascade (i) hereby consents to the terms of this Amendment and the Amended Credit Agreement, (ii) hereby confirms that, after giving effect to this Amendment and the transactions contemplated hereby, its Guarantee under the Guarantee and Security Agreement remains unaltered and in full force and effect and</w:t>
      </w:r>
    </w:p>
    <w:p>
      <w:pPr>
        <w:spacing w:after="0" w:line="2" w:lineRule="exact"/>
        <w:rPr>
          <w:sz w:val="20"/>
          <w:szCs w:val="20"/>
          <w:color w:val="auto"/>
        </w:rPr>
      </w:pPr>
    </w:p>
    <w:p>
      <w:pPr>
        <w:jc w:val="both"/>
        <w:ind w:left="4" w:right="120" w:hanging="4"/>
        <w:spacing w:after="0" w:line="255" w:lineRule="auto"/>
        <w:tabs>
          <w:tab w:leader="none" w:pos="319" w:val="left"/>
        </w:tabs>
        <w:numPr>
          <w:ilvl w:val="0"/>
          <w:numId w:val="4"/>
        </w:numPr>
        <w:rPr>
          <w:rFonts w:ascii="Arial" w:cs="Arial" w:eastAsia="Arial" w:hAnsi="Arial"/>
          <w:sz w:val="18"/>
          <w:szCs w:val="18"/>
          <w:color w:val="auto"/>
        </w:rPr>
      </w:pPr>
      <w:r>
        <w:rPr>
          <w:rFonts w:ascii="Arial" w:cs="Arial" w:eastAsia="Arial" w:hAnsi="Arial"/>
          <w:sz w:val="18"/>
          <w:szCs w:val="18"/>
          <w:color w:val="auto"/>
        </w:rPr>
        <w:t>hereby reaffirms, ratifies and confirms that, after giving effect to this Amendment and the transactions contemplated hereby, the Liens and other security interests granted by it pursuant to, and the terms and conditions of, the Guarantee and Security Agreement remain unaltered and in full force and effect.</w:t>
      </w:r>
    </w:p>
    <w:p>
      <w:pPr>
        <w:spacing w:after="0" w:line="190"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[SIGNATURES FOLLOW]</w:t>
      </w:r>
    </w:p>
    <w:p>
      <w:pPr>
        <w:spacing w:after="0" w:line="158"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4"/>
          </w:cols>
          <w:pgMar w:left="436" w:top="274" w:right="619" w:bottom="1440" w:gutter="0" w:footer="0" w:header="0"/>
        </w:sectPr>
      </w:pPr>
    </w:p>
    <w:bookmarkStart w:id="8" w:name="page9"/>
    <w:bookmarkEnd w:id="8"/>
    <w:p>
      <w:pPr>
        <w:ind w:right="16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have caused this Amendment to be executed by their respective officers thereunto duly authorized,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PENNANTPARK INVESTMENT CORPORATION,</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Arthur Penn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Second Amendment</w:t>
      </w:r>
    </w:p>
    <w:p>
      <w:pPr>
        <w:sectPr>
          <w:pgSz w:w="11900" w:h="16838" w:orient="portrait"/>
          <w:cols w:equalWidth="0" w:num="1">
            <w:col w:w="11020"/>
          </w:cols>
          <w:pgMar w:left="440" w:top="270" w:right="439" w:bottom="1440" w:gutter="0" w:footer="0" w:header="0"/>
        </w:sectPr>
      </w:pPr>
    </w:p>
    <w:bookmarkStart w:id="9" w:name="page10"/>
    <w:bookmarkEnd w:id="9"/>
    <w:p>
      <w:pPr>
        <w:ind w:left="5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SunTrust Bank,</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7"/>
          <w:szCs w:val="17"/>
          <w:u w:val="single" w:color="auto"/>
          <w:color w:val="auto"/>
        </w:rPr>
        <w:t>as Administrative Agent, Swingline Lender, Issuing Bank</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and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Andrew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Andrew Johnson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[SIGNATURES CONTINUE ON FOLLOWING PAGE]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Second Amendment</w:t>
      </w:r>
    </w:p>
    <w:p>
      <w:pPr>
        <w:sectPr>
          <w:pgSz w:w="11900" w:h="16838" w:orient="portrait"/>
          <w:cols w:equalWidth="0" w:num="1">
            <w:col w:w="10020"/>
          </w:cols>
          <w:pgMar w:left="1440" w:top="270" w:right="439" w:bottom="1440" w:gutter="0" w:footer="0" w:header="0"/>
        </w:sectPr>
      </w:pPr>
    </w:p>
    <w:bookmarkStart w:id="10" w:name="page11"/>
    <w:bookmarkEnd w:id="10"/>
    <w:p>
      <w:pPr>
        <w:ind w:left="5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State Street Bank and Trust Company,</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Pallo Blum-Tucker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Pallo Blum-Tucker</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[SIGNATURES CONTINUE ON FOLLOWING PAGE]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Second Amendment</w:t>
      </w:r>
    </w:p>
    <w:p>
      <w:pPr>
        <w:sectPr>
          <w:pgSz w:w="11900" w:h="16838" w:orient="portrait"/>
          <w:cols w:equalWidth="0" w:num="1">
            <w:col w:w="10020"/>
          </w:cols>
          <w:pgMar w:left="1440" w:top="270" w:right="439" w:bottom="1440" w:gutter="0" w:footer="0" w:header="0"/>
        </w:sectPr>
      </w:pPr>
    </w:p>
    <w:bookmarkStart w:id="11" w:name="page12"/>
    <w:bookmarkEnd w:id="11"/>
    <w:p>
      <w:pPr>
        <w:ind w:left="5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City National Bank,</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Jeffrey Feinberg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Jeffrey Feinberg</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[SIGNATURES CONTINUE ON FOLLOWING PAGE]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Second Amendment</w:t>
      </w:r>
    </w:p>
    <w:p>
      <w:pPr>
        <w:sectPr>
          <w:pgSz w:w="11900" w:h="16838" w:orient="portrait"/>
          <w:cols w:equalWidth="0" w:num="1">
            <w:col w:w="10020"/>
          </w:cols>
          <w:pgMar w:left="1440" w:top="270" w:right="439" w:bottom="1440" w:gutter="0" w:footer="0" w:header="0"/>
        </w:sectPr>
      </w:pPr>
    </w:p>
    <w:bookmarkStart w:id="12" w:name="page13"/>
    <w:bookmarkEnd w:id="12"/>
    <w:p>
      <w:pPr>
        <w:ind w:left="5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Stifel Bank &amp; Trust,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Joseph L. Sooter,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Joseph L. Sooter, Jr.</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[SIGNATURES CONTINUE ON FOLLOWING PAGE]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Second Amendment</w:t>
      </w:r>
    </w:p>
    <w:p>
      <w:pPr>
        <w:sectPr>
          <w:pgSz w:w="11900" w:h="16838" w:orient="portrait"/>
          <w:cols w:equalWidth="0" w:num="1">
            <w:col w:w="10020"/>
          </w:cols>
          <w:pgMar w:left="1440" w:top="270" w:right="439" w:bottom="1440" w:gutter="0" w:footer="0" w:header="0"/>
        </w:sectPr>
      </w:pPr>
    </w:p>
    <w:bookmarkStart w:id="13" w:name="page14"/>
    <w:bookmarkEnd w:id="13"/>
    <w:p>
      <w:pPr>
        <w:ind w:left="5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Customers Bank,</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Lyle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Lyle Cunningham</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Executive Vice President</w:t>
      </w:r>
    </w:p>
    <w:p>
      <w:pPr>
        <w:spacing w:after="0" w:line="21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[SIGNATURES CONTINUE ON FOLLOWING PAGE]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Second Amendment</w:t>
      </w:r>
    </w:p>
    <w:p>
      <w:pPr>
        <w:sectPr>
          <w:pgSz w:w="11900" w:h="16838" w:orient="portrait"/>
          <w:cols w:equalWidth="0" w:num="1">
            <w:col w:w="10020"/>
          </w:cols>
          <w:pgMar w:left="1440" w:top="270" w:right="439" w:bottom="1440" w:gutter="0" w:footer="0" w:header="0"/>
        </w:sectPr>
      </w:pPr>
    </w:p>
    <w:bookmarkStart w:id="14" w:name="page15"/>
    <w:bookmarkEnd w:id="14"/>
    <w:p>
      <w:pPr>
        <w:ind w:left="5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CIBC BANK USA,</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Rob Dmowski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Rob Dmowski</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[SIGNATURES CONTINUE ON FOLLOWING PAGE]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Second Amendment</w:t>
      </w:r>
    </w:p>
    <w:p>
      <w:pPr>
        <w:sectPr>
          <w:pgSz w:w="11900" w:h="16838" w:orient="portrait"/>
          <w:cols w:equalWidth="0" w:num="1">
            <w:col w:w="10020"/>
          </w:cols>
          <w:pgMar w:left="1440" w:top="270" w:right="439" w:bottom="1440" w:gutter="0" w:footer="0" w:header="0"/>
        </w:sectPr>
      </w:pPr>
    </w:p>
    <w:bookmarkStart w:id="15" w:name="page16"/>
    <w:bookmarkEnd w:id="15"/>
    <w:p>
      <w:pPr>
        <w:ind w:left="5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Comerica Bank,</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Collin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Collin Butler</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Portfolio Manager</w:t>
      </w:r>
    </w:p>
    <w:p>
      <w:pPr>
        <w:spacing w:after="0" w:line="21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[SIGNATURES CONTINUE ON FOLLOWING PAGE]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Second Amendment</w:t>
      </w:r>
    </w:p>
    <w:p>
      <w:pPr>
        <w:sectPr>
          <w:pgSz w:w="11900" w:h="16838" w:orient="portrait"/>
          <w:cols w:equalWidth="0" w:num="1">
            <w:col w:w="10020"/>
          </w:cols>
          <w:pgMar w:left="1440" w:top="270" w:right="439" w:bottom="1440" w:gutter="0" w:footer="0" w:header="0"/>
        </w:sectPr>
      </w:pPr>
    </w:p>
    <w:bookmarkStart w:id="16" w:name="page17"/>
    <w:bookmarkEnd w:id="16"/>
    <w:p>
      <w:pPr>
        <w:ind w:left="5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JPMorgan Chase Bank, N.A.,</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Alfred 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Alfred Chi</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[SIGNATURES CONTINUE ON FOLLOWING PAGE]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Second Amendment</w:t>
      </w:r>
    </w:p>
    <w:p>
      <w:pPr>
        <w:sectPr>
          <w:pgSz w:w="11900" w:h="16838" w:orient="portrait"/>
          <w:cols w:equalWidth="0" w:num="1">
            <w:col w:w="10020"/>
          </w:cols>
          <w:pgMar w:left="1440" w:top="270" w:right="439" w:bottom="1440" w:gutter="0" w:footer="0" w:header="0"/>
        </w:sectPr>
      </w:pPr>
    </w:p>
    <w:bookmarkStart w:id="17" w:name="page18"/>
    <w:bookmarkEnd w:id="17"/>
    <w:p>
      <w:pPr>
        <w:ind w:left="5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CIT Bank N.A.,</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Brian Scully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Brian Scully</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[SIGNATURES CONTINUE ON FOLLOWING PAGE]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Second Amendment</w:t>
      </w:r>
    </w:p>
    <w:p>
      <w:pPr>
        <w:sectPr>
          <w:pgSz w:w="11900" w:h="16838" w:orient="portrait"/>
          <w:cols w:equalWidth="0" w:num="1">
            <w:col w:w="10020"/>
          </w:cols>
          <w:pgMar w:left="1440" w:top="270" w:right="439" w:bottom="1440" w:gutter="0" w:footer="0" w:header="0"/>
        </w:sectPr>
      </w:pPr>
    </w:p>
    <w:bookmarkStart w:id="18" w:name="page19"/>
    <w:bookmarkEnd w:id="18"/>
    <w:p>
      <w:pPr>
        <w:ind w:left="5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MORGAN STANLEY BANK, N.A.,</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Emanuel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Emanuel Ma</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[SIGNATURES CONTINUE ON FOLLOWING PAGE]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Second Amendment</w:t>
      </w:r>
    </w:p>
    <w:p>
      <w:pPr>
        <w:sectPr>
          <w:pgSz w:w="11900" w:h="16838" w:orient="portrait"/>
          <w:cols w:equalWidth="0" w:num="1">
            <w:col w:w="10020"/>
          </w:cols>
          <w:pgMar w:left="1440" w:top="270" w:right="439" w:bottom="1440" w:gutter="0" w:footer="0" w:header="0"/>
        </w:sectPr>
      </w:pPr>
    </w:p>
    <w:bookmarkStart w:id="19" w:name="page20"/>
    <w:bookmarkEnd w:id="19"/>
    <w:p>
      <w:pPr>
        <w:ind w:left="5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Bank of New York Mellon,</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Bernard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Bernard Lambert</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[SIGNATURES CONTINUE ON FOLLOWING PAGE]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Second Amendment</w:t>
      </w:r>
    </w:p>
    <w:p>
      <w:pPr>
        <w:sectPr>
          <w:pgSz w:w="11900" w:h="16838" w:orient="portrait"/>
          <w:cols w:equalWidth="0" w:num="1">
            <w:col w:w="10020"/>
          </w:cols>
          <w:pgMar w:left="1440" w:top="270" w:right="439" w:bottom="1440" w:gutter="0" w:footer="0" w:header="0"/>
        </w:sectPr>
      </w:pPr>
    </w:p>
    <w:bookmarkStart w:id="20" w:name="page21"/>
    <w:bookmarkEnd w:id="20"/>
    <w:p>
      <w:pPr>
        <w:ind w:left="5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ING Capital LLC,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Patrick Frisch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Patrick Frisch</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Dominik Breuer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Dominik Breuer</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[SIGNATURES CONTINUE ON FOLLOWING PAGE]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Second Amendment</w:t>
      </w:r>
    </w:p>
    <w:p>
      <w:pPr>
        <w:sectPr>
          <w:pgSz w:w="11900" w:h="16838" w:orient="portrait"/>
          <w:cols w:equalWidth="0" w:num="1">
            <w:col w:w="10020"/>
          </w:cols>
          <w:pgMar w:left="1440" w:top="270" w:right="439" w:bottom="1440" w:gutter="0" w:footer="0" w:header="0"/>
        </w:sectPr>
      </w:pPr>
    </w:p>
    <w:bookmarkStart w:id="21" w:name="page22"/>
    <w:bookmarkEnd w:id="21"/>
    <w:p>
      <w:pPr>
        <w:ind w:left="5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GOLDMAN SACHS BANK USA,</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Ryan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Ryan Durkin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[SIGNATURES CONTINUE ON FOLLOWING PAGE]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Second Amendment</w:t>
      </w:r>
    </w:p>
    <w:p>
      <w:pPr>
        <w:sectPr>
          <w:pgSz w:w="11900" w:h="16838" w:orient="portrait"/>
          <w:cols w:equalWidth="0" w:num="1">
            <w:col w:w="10020"/>
          </w:cols>
          <w:pgMar w:left="1440" w:top="270" w:right="439" w:bottom="1440" w:gutter="0" w:footer="0" w:header="0"/>
        </w:sectPr>
      </w:pPr>
    </w:p>
    <w:bookmarkStart w:id="22" w:name="page23"/>
    <w:bookmarkEnd w:id="2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Agreed and acknowledged solely with respect to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Section 4.9</w:t>
      </w:r>
      <w:r>
        <w:rPr>
          <w:rFonts w:ascii="Arial" w:cs="Arial" w:eastAsia="Arial" w:hAnsi="Arial"/>
          <w:sz w:val="18"/>
          <w:szCs w:val="18"/>
          <w:color w:val="auto"/>
        </w:rPr>
        <w: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PNNT CASCADE ENVIRONMENTAL</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HOLDINGS,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Arthur Penn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PNNT CI (GALLS) PRIME INVESTMENT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HOLDINGS,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Arthur Penn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PNNT ECOSERVE,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Arthur Penn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PNNT INVESTMENT HOLDINGS,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Arthur Penn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PNNT NEW GULF RESOURCES,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Arthur Penn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Second Amendment</w:t>
      </w:r>
    </w:p>
    <w:p>
      <w:pPr>
        <w:sectPr>
          <w:pgSz w:w="11900" w:h="16838" w:orient="portrait"/>
          <w:cols w:equalWidth="0" w:num="1">
            <w:col w:w="10020"/>
          </w:cols>
          <w:pgMar w:left="1440" w:top="274" w:right="4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[ATTACHED]</w:t>
      </w:r>
    </w:p>
    <w:p>
      <w:pPr>
        <w:sectPr>
          <w:pgSz w:w="11900" w:h="16838" w:orient="portrait"/>
          <w:cols w:equalWidth="0" w:num="1">
            <w:col w:w="9019"/>
          </w:cols>
          <w:pgMar w:left="1440" w:top="270" w:right="1440"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51435</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94615</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SECOND AMENDED AND RESTATED</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SENIOR SECURED</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REVOLVING CREDIT AGREEMENT</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June 25, 2014</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left="1020" w:right="2040"/>
        <w:spacing w:after="0" w:line="279" w:lineRule="auto"/>
        <w:rPr>
          <w:sz w:val="20"/>
          <w:szCs w:val="20"/>
          <w:color w:val="auto"/>
        </w:rPr>
      </w:pPr>
      <w:r>
        <w:rPr>
          <w:rFonts w:ascii="Arial" w:cs="Arial" w:eastAsia="Arial" w:hAnsi="Arial"/>
          <w:sz w:val="17"/>
          <w:szCs w:val="17"/>
          <w:color w:val="auto"/>
        </w:rPr>
        <w:t>as amended by the First Omnibus Amendment to Second Amended and Restated Senior Secured Revolving Credit Agreement and Second Amended and Restated Guarantee and Security Amendment dated as of May 25, 2017 and by the Second Amendment to Second Amended and Restated Credit Agreement dated as of September 4, 2019</w:t>
      </w:r>
    </w:p>
    <w:p>
      <w:pPr>
        <w:spacing w:after="0" w:line="17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PENNANTPARK INVESTMENT CORPORATION</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Syndication Agent</w:t>
      </w:r>
    </w:p>
    <w:p>
      <w:pPr>
        <w:spacing w:after="0" w:line="200" w:lineRule="exact"/>
        <w:rPr>
          <w:sz w:val="20"/>
          <w:szCs w:val="20"/>
          <w:color w:val="auto"/>
        </w:rPr>
      </w:pPr>
    </w:p>
    <w:p>
      <w:pPr>
        <w:spacing w:after="0" w:line="22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$475,000,000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SUNTRUST ROBINSON HUMPHREY, INC.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JPMORGAN CHASE BANK, N.A.</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Joint Lead Arrangers and Joint Book 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357505</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400050</wp:posOffset>
            </wp:positionV>
            <wp:extent cx="6995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270" w:right="4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7680" w:type="dxa"/>
            <w:vAlign w:val="bottom"/>
          </w:tcPr>
          <w:p>
            <w:pPr>
              <w:ind w:left="3480"/>
              <w:spacing w:after="0"/>
              <w:rPr>
                <w:sz w:val="20"/>
                <w:szCs w:val="20"/>
                <w:color w:val="auto"/>
              </w:rPr>
            </w:pPr>
            <w:r>
              <w:rPr>
                <w:rFonts w:ascii="Arial" w:cs="Arial" w:eastAsia="Arial" w:hAnsi="Arial"/>
                <w:sz w:val="18"/>
                <w:szCs w:val="18"/>
                <w:b w:val="1"/>
                <w:bCs w:val="1"/>
                <w:color w:val="auto"/>
              </w:rPr>
              <w:t>TABLE OF CONTENTS</w:t>
            </w:r>
          </w:p>
        </w:tc>
        <w:tc>
          <w:tcPr>
            <w:tcW w:w="2220" w:type="dxa"/>
            <w:vAlign w:val="bottom"/>
          </w:tcPr>
          <w:p>
            <w:pPr>
              <w:spacing w:after="0"/>
              <w:rPr>
                <w:sz w:val="20"/>
                <w:szCs w:val="20"/>
                <w:color w:val="auto"/>
              </w:rPr>
            </w:pPr>
          </w:p>
        </w:tc>
      </w:tr>
      <w:tr>
        <w:trPr>
          <w:trHeight w:val="377"/>
        </w:trPr>
        <w:tc>
          <w:tcPr>
            <w:tcW w:w="106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ARTICLE I</w:t>
            </w:r>
          </w:p>
        </w:tc>
        <w:tc>
          <w:tcPr>
            <w:tcW w:w="768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1.01. Defined Terms</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1.02. Classification of Loans and Borrowings</w:t>
            </w:r>
          </w:p>
        </w:tc>
        <w:tc>
          <w:tcPr>
            <w:tcW w:w="2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1.03. Terms Generally</w:t>
            </w:r>
          </w:p>
        </w:tc>
        <w:tc>
          <w:tcPr>
            <w:tcW w:w="2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1.04. Accounting Terms; GAAP</w:t>
            </w:r>
          </w:p>
        </w:tc>
        <w:tc>
          <w:tcPr>
            <w:tcW w:w="2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1.05. Currencies; Currency Equivalents</w:t>
            </w:r>
          </w:p>
        </w:tc>
        <w:tc>
          <w:tcPr>
            <w:tcW w:w="22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1.06. Divisions</w:t>
            </w:r>
          </w:p>
        </w:tc>
        <w:tc>
          <w:tcPr>
            <w:tcW w:w="2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ARTICLE II</w:t>
            </w:r>
          </w:p>
        </w:tc>
        <w:tc>
          <w:tcPr>
            <w:tcW w:w="7680" w:type="dxa"/>
            <w:vAlign w:val="bottom"/>
          </w:tcPr>
          <w:p>
            <w:pPr>
              <w:ind w:left="200"/>
              <w:spacing w:after="0"/>
              <w:rPr>
                <w:sz w:val="20"/>
                <w:szCs w:val="20"/>
                <w:color w:val="auto"/>
              </w:rPr>
            </w:pPr>
            <w:r>
              <w:rPr>
                <w:rFonts w:ascii="Arial" w:cs="Arial" w:eastAsia="Arial" w:hAnsi="Arial"/>
                <w:sz w:val="18"/>
                <w:szCs w:val="18"/>
                <w:color w:val="auto"/>
              </w:rPr>
              <w:t>THE CREDITS</w:t>
            </w:r>
          </w:p>
        </w:tc>
        <w:tc>
          <w:tcPr>
            <w:tcW w:w="2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2.01. The Commitments</w:t>
            </w:r>
          </w:p>
        </w:tc>
        <w:tc>
          <w:tcPr>
            <w:tcW w:w="2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2.02. Loans and Borrowings</w:t>
            </w:r>
          </w:p>
        </w:tc>
        <w:tc>
          <w:tcPr>
            <w:tcW w:w="22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2.03. Requests for Syndicated Borrowings</w:t>
            </w:r>
          </w:p>
        </w:tc>
        <w:tc>
          <w:tcPr>
            <w:tcW w:w="2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2.04. Swingline Loans</w:t>
            </w:r>
          </w:p>
        </w:tc>
        <w:tc>
          <w:tcPr>
            <w:tcW w:w="2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2.05. Letters of Credit</w:t>
            </w:r>
          </w:p>
        </w:tc>
        <w:tc>
          <w:tcPr>
            <w:tcW w:w="22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2.06. Funding of Borrowings</w:t>
            </w:r>
          </w:p>
        </w:tc>
        <w:tc>
          <w:tcPr>
            <w:tcW w:w="2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2.07. Interest Elections</w:t>
            </w:r>
          </w:p>
        </w:tc>
        <w:tc>
          <w:tcPr>
            <w:tcW w:w="2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2.08. Termination, Reduction or Increase of the Commitments</w:t>
            </w:r>
          </w:p>
        </w:tc>
        <w:tc>
          <w:tcPr>
            <w:tcW w:w="2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2.09. Repayment of Loans; Evidence of Debt</w:t>
            </w:r>
          </w:p>
        </w:tc>
        <w:tc>
          <w:tcPr>
            <w:tcW w:w="22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2.10. Prepayment of Loans</w:t>
            </w:r>
          </w:p>
        </w:tc>
        <w:tc>
          <w:tcPr>
            <w:tcW w:w="22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2.11. Fees</w:t>
            </w:r>
          </w:p>
        </w:tc>
        <w:tc>
          <w:tcPr>
            <w:tcW w:w="22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2.12. Interest</w:t>
            </w:r>
          </w:p>
        </w:tc>
        <w:tc>
          <w:tcPr>
            <w:tcW w:w="22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2.13. Inability to Determine Interest Rates</w:t>
            </w:r>
          </w:p>
        </w:tc>
        <w:tc>
          <w:tcPr>
            <w:tcW w:w="22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2.14. Increased Costs</w:t>
            </w:r>
          </w:p>
        </w:tc>
        <w:tc>
          <w:tcPr>
            <w:tcW w:w="2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2.15. Break Funding Payments</w:t>
            </w:r>
          </w:p>
        </w:tc>
        <w:tc>
          <w:tcPr>
            <w:tcW w:w="22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2.16. Taxes</w:t>
            </w:r>
          </w:p>
        </w:tc>
        <w:tc>
          <w:tcPr>
            <w:tcW w:w="22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2.17. Payments Generally; Pro Rata Treatment: Sharing of Set-offs</w:t>
            </w:r>
          </w:p>
        </w:tc>
        <w:tc>
          <w:tcPr>
            <w:tcW w:w="2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2.18. Mitigation Obligations; Replacement of Lenders</w:t>
            </w:r>
          </w:p>
        </w:tc>
        <w:tc>
          <w:tcPr>
            <w:tcW w:w="22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2.19. Defaulting Lenders</w:t>
            </w:r>
          </w:p>
        </w:tc>
        <w:tc>
          <w:tcPr>
            <w:tcW w:w="22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2.20. Reallocation Following a Non-Extended Commitment Termination Date</w:t>
            </w:r>
          </w:p>
        </w:tc>
        <w:tc>
          <w:tcPr>
            <w:tcW w:w="222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SECTION 2.21. Assignment and Reallocation of Existing Commitments and Existing Loans</w:t>
            </w:r>
          </w:p>
        </w:tc>
        <w:tc>
          <w:tcPr>
            <w:tcW w:w="21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ARTICLE III</w:t>
            </w:r>
          </w:p>
        </w:tc>
        <w:tc>
          <w:tcPr>
            <w:tcW w:w="7740" w:type="dxa"/>
            <w:vAlign w:val="bottom"/>
          </w:tcPr>
          <w:p>
            <w:pPr>
              <w:ind w:left="200"/>
              <w:spacing w:after="0"/>
              <w:rPr>
                <w:sz w:val="20"/>
                <w:szCs w:val="20"/>
                <w:color w:val="auto"/>
              </w:rPr>
            </w:pPr>
            <w:r>
              <w:rPr>
                <w:rFonts w:ascii="Arial" w:cs="Arial" w:eastAsia="Arial" w:hAnsi="Arial"/>
                <w:sz w:val="18"/>
                <w:szCs w:val="18"/>
                <w:color w:val="auto"/>
              </w:rPr>
              <w:t>REPRESENTATIONS AND WARRANTIES</w:t>
            </w:r>
          </w:p>
        </w:tc>
        <w:tc>
          <w:tcPr>
            <w:tcW w:w="21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SECTION 3.01. Organization; Powers</w:t>
            </w:r>
          </w:p>
        </w:tc>
        <w:tc>
          <w:tcPr>
            <w:tcW w:w="21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SECTION 3.02. Authorization; Enforceability</w:t>
            </w:r>
          </w:p>
        </w:tc>
        <w:tc>
          <w:tcPr>
            <w:tcW w:w="21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SECTION 3.03. Governmental Approvals; No Conflicts</w:t>
            </w:r>
          </w:p>
        </w:tc>
        <w:tc>
          <w:tcPr>
            <w:tcW w:w="21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SECTION 3.04. Financial Condition; No Material Adverse Change</w:t>
            </w:r>
          </w:p>
        </w:tc>
        <w:tc>
          <w:tcPr>
            <w:tcW w:w="21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SECTION 3.05. Litigation</w:t>
            </w:r>
          </w:p>
        </w:tc>
        <w:tc>
          <w:tcPr>
            <w:tcW w:w="21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SECTION 3.06. Compliance with Laws and Agreements</w:t>
            </w:r>
          </w:p>
        </w:tc>
        <w:tc>
          <w:tcPr>
            <w:tcW w:w="21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SECTION 3.07. Taxes</w:t>
            </w:r>
          </w:p>
        </w:tc>
        <w:tc>
          <w:tcPr>
            <w:tcW w:w="21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SECTION 3.08. ERISA</w:t>
            </w:r>
          </w:p>
        </w:tc>
        <w:tc>
          <w:tcPr>
            <w:tcW w:w="21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SECTION 3.09. Disclosure</w:t>
            </w:r>
          </w:p>
        </w:tc>
        <w:tc>
          <w:tcPr>
            <w:tcW w:w="21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SECTION 3.10. Investment Company Act; Margin Regulations</w:t>
            </w:r>
          </w:p>
        </w:tc>
        <w:tc>
          <w:tcPr>
            <w:tcW w:w="21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SECTION 3.11. Material Agreements and Liens</w:t>
            </w:r>
          </w:p>
        </w:tc>
        <w:tc>
          <w:tcPr>
            <w:tcW w:w="21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SECTION 3.12. Subsidiaries and Investments</w:t>
            </w:r>
          </w:p>
        </w:tc>
        <w:tc>
          <w:tcPr>
            <w:tcW w:w="21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SECTION 3.13. Properties</w:t>
            </w:r>
          </w:p>
        </w:tc>
        <w:tc>
          <w:tcPr>
            <w:tcW w:w="21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SECTION 3.14. Affiliate Agreements</w:t>
            </w:r>
          </w:p>
        </w:tc>
        <w:tc>
          <w:tcPr>
            <w:tcW w:w="21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SECTION 3.15. Sanctions</w:t>
            </w:r>
          </w:p>
        </w:tc>
        <w:tc>
          <w:tcPr>
            <w:tcW w:w="21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SECTION 3.16. Patriot Act</w:t>
            </w:r>
          </w:p>
        </w:tc>
        <w:tc>
          <w:tcPr>
            <w:tcW w:w="21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SECTION 3.17. Collateral Documents</w:t>
            </w:r>
          </w:p>
        </w:tc>
        <w:tc>
          <w:tcPr>
            <w:tcW w:w="21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SECTION 3.18. EEA Financial Institutions</w:t>
            </w:r>
          </w:p>
        </w:tc>
        <w:tc>
          <w:tcPr>
            <w:tcW w:w="21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ARTICLE IV</w:t>
            </w:r>
          </w:p>
        </w:tc>
        <w:tc>
          <w:tcPr>
            <w:tcW w:w="7740" w:type="dxa"/>
            <w:vAlign w:val="bottom"/>
          </w:tcPr>
          <w:p>
            <w:pPr>
              <w:ind w:left="220"/>
              <w:spacing w:after="0"/>
              <w:rPr>
                <w:sz w:val="20"/>
                <w:szCs w:val="20"/>
                <w:color w:val="auto"/>
              </w:rPr>
            </w:pPr>
            <w:r>
              <w:rPr>
                <w:rFonts w:ascii="Arial" w:cs="Arial" w:eastAsia="Arial" w:hAnsi="Arial"/>
                <w:sz w:val="18"/>
                <w:szCs w:val="18"/>
                <w:color w:val="auto"/>
              </w:rPr>
              <w:t>CONDITIONS</w:t>
            </w:r>
          </w:p>
        </w:tc>
        <w:tc>
          <w:tcPr>
            <w:tcW w:w="21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SECTION 4.01. Effective Date</w:t>
            </w:r>
          </w:p>
        </w:tc>
        <w:tc>
          <w:tcPr>
            <w:tcW w:w="21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SECTION 4.02. Each Credit Event</w:t>
            </w:r>
          </w:p>
        </w:tc>
        <w:tc>
          <w:tcPr>
            <w:tcW w:w="21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ARTICLE V</w:t>
            </w:r>
          </w:p>
        </w:tc>
        <w:tc>
          <w:tcPr>
            <w:tcW w:w="7740" w:type="dxa"/>
            <w:vAlign w:val="bottom"/>
          </w:tcPr>
          <w:p>
            <w:pPr>
              <w:ind w:left="140"/>
              <w:spacing w:after="0"/>
              <w:rPr>
                <w:sz w:val="20"/>
                <w:szCs w:val="20"/>
                <w:color w:val="auto"/>
              </w:rPr>
            </w:pPr>
            <w:r>
              <w:rPr>
                <w:rFonts w:ascii="Arial" w:cs="Arial" w:eastAsia="Arial" w:hAnsi="Arial"/>
                <w:sz w:val="18"/>
                <w:szCs w:val="18"/>
                <w:color w:val="auto"/>
              </w:rPr>
              <w:t>AFFIRMATIVE COVENANTS</w:t>
            </w:r>
          </w:p>
        </w:tc>
        <w:tc>
          <w:tcPr>
            <w:tcW w:w="21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SECTION 5.01. Financial Statements and Other Information</w:t>
            </w:r>
          </w:p>
        </w:tc>
        <w:tc>
          <w:tcPr>
            <w:tcW w:w="21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SECTION 5.02. Notices of Material Events</w:t>
            </w:r>
          </w:p>
        </w:tc>
        <w:tc>
          <w:tcPr>
            <w:tcW w:w="21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SECTION 5.03. Existence; Conduct of Business</w:t>
            </w:r>
          </w:p>
        </w:tc>
        <w:tc>
          <w:tcPr>
            <w:tcW w:w="21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SECTION 5.04. Payment of Obligations</w:t>
            </w:r>
          </w:p>
        </w:tc>
        <w:tc>
          <w:tcPr>
            <w:tcW w:w="21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SECTION 5.05. Maintenance of Properties; Insurance</w:t>
            </w:r>
          </w:p>
        </w:tc>
        <w:tc>
          <w:tcPr>
            <w:tcW w:w="2100" w:type="dxa"/>
            <w:vAlign w:val="bottom"/>
          </w:tcPr>
          <w:p>
            <w:pPr>
              <w:jc w:val="right"/>
              <w:spacing w:after="0"/>
              <w:rPr>
                <w:sz w:val="20"/>
                <w:szCs w:val="20"/>
                <w:color w:val="auto"/>
              </w:rPr>
            </w:pPr>
            <w:r>
              <w:rPr>
                <w:rFonts w:ascii="Arial" w:cs="Arial" w:eastAsia="Arial" w:hAnsi="Arial"/>
                <w:sz w:val="18"/>
                <w:szCs w:val="18"/>
                <w:color w:val="auto"/>
              </w:rPr>
              <w:t>88</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0" w:right="49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5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5.06. Books and Records; Inspection and Audit Rights</w:t>
            </w:r>
          </w:p>
        </w:tc>
        <w:tc>
          <w:tcPr>
            <w:tcW w:w="25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5.07. Compliance with Laws</w:t>
            </w:r>
          </w:p>
        </w:tc>
        <w:tc>
          <w:tcPr>
            <w:tcW w:w="25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5.08. Certain Obligations Respecting Subsidiaries; Further Assurances</w:t>
            </w:r>
          </w:p>
        </w:tc>
        <w:tc>
          <w:tcPr>
            <w:tcW w:w="25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5.09. Use of Proceeds</w:t>
            </w:r>
          </w:p>
        </w:tc>
        <w:tc>
          <w:tcPr>
            <w:tcW w:w="25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5.10. Status of RIC and BDC</w:t>
            </w:r>
          </w:p>
        </w:tc>
        <w:tc>
          <w:tcPr>
            <w:tcW w:w="25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5.11. Investment Policies</w:t>
            </w:r>
          </w:p>
        </w:tc>
        <w:tc>
          <w:tcPr>
            <w:tcW w:w="25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5.12. Portfolio Valuation and Diversification Etc</w:t>
            </w:r>
          </w:p>
        </w:tc>
        <w:tc>
          <w:tcPr>
            <w:tcW w:w="25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5.13. Calculation of Borrowing Base</w:t>
            </w:r>
          </w:p>
        </w:tc>
        <w:tc>
          <w:tcPr>
            <w:tcW w:w="25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ARTICLE VI</w:t>
            </w:r>
          </w:p>
        </w:tc>
        <w:tc>
          <w:tcPr>
            <w:tcW w:w="7240" w:type="dxa"/>
            <w:vAlign w:val="bottom"/>
          </w:tcPr>
          <w:p>
            <w:pPr>
              <w:ind w:left="120"/>
              <w:spacing w:after="0"/>
              <w:rPr>
                <w:sz w:val="20"/>
                <w:szCs w:val="20"/>
                <w:color w:val="auto"/>
              </w:rPr>
            </w:pPr>
            <w:r>
              <w:rPr>
                <w:rFonts w:ascii="Arial" w:cs="Arial" w:eastAsia="Arial" w:hAnsi="Arial"/>
                <w:sz w:val="18"/>
                <w:szCs w:val="18"/>
                <w:color w:val="auto"/>
              </w:rPr>
              <w:t>NEGATIVE COVENANTS</w:t>
            </w:r>
          </w:p>
        </w:tc>
        <w:tc>
          <w:tcPr>
            <w:tcW w:w="25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6.01. Indebtedness</w:t>
            </w:r>
          </w:p>
        </w:tc>
        <w:tc>
          <w:tcPr>
            <w:tcW w:w="25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6.02. Liens</w:t>
            </w:r>
          </w:p>
        </w:tc>
        <w:tc>
          <w:tcPr>
            <w:tcW w:w="25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6.03. Fundamental Changes</w:t>
            </w:r>
          </w:p>
        </w:tc>
        <w:tc>
          <w:tcPr>
            <w:tcW w:w="25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6.04. Investments</w:t>
            </w:r>
          </w:p>
        </w:tc>
        <w:tc>
          <w:tcPr>
            <w:tcW w:w="25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6.05. Restricted Payments</w:t>
            </w:r>
          </w:p>
        </w:tc>
        <w:tc>
          <w:tcPr>
            <w:tcW w:w="25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6.06. Certain Restrictions on Subsidiaries</w:t>
            </w:r>
          </w:p>
        </w:tc>
        <w:tc>
          <w:tcPr>
            <w:tcW w:w="25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6.07. Certain Financial Covenants</w:t>
            </w:r>
          </w:p>
        </w:tc>
        <w:tc>
          <w:tcPr>
            <w:tcW w:w="25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6.08. Transactions with Affiliates</w:t>
            </w:r>
          </w:p>
        </w:tc>
        <w:tc>
          <w:tcPr>
            <w:tcW w:w="25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6.09. Lines of Business</w:t>
            </w:r>
          </w:p>
        </w:tc>
        <w:tc>
          <w:tcPr>
            <w:tcW w:w="25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6.10. No Further Negative Pledge</w:t>
            </w:r>
          </w:p>
        </w:tc>
        <w:tc>
          <w:tcPr>
            <w:tcW w:w="25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6.11. Modifications of Longer-Term Indebtedness Documents</w:t>
            </w:r>
          </w:p>
        </w:tc>
        <w:tc>
          <w:tcPr>
            <w:tcW w:w="25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6.12. Payments of Longer-Term Indebtedness</w:t>
            </w:r>
          </w:p>
        </w:tc>
        <w:tc>
          <w:tcPr>
            <w:tcW w:w="25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6.13. Accounting Changes</w:t>
            </w:r>
          </w:p>
        </w:tc>
        <w:tc>
          <w:tcPr>
            <w:tcW w:w="25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6.14. SBIC Guarantee</w:t>
            </w:r>
          </w:p>
        </w:tc>
        <w:tc>
          <w:tcPr>
            <w:tcW w:w="25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ARTICLE VII</w:t>
            </w:r>
          </w:p>
        </w:tc>
        <w:tc>
          <w:tcPr>
            <w:tcW w:w="7240" w:type="dxa"/>
            <w:vAlign w:val="bottom"/>
          </w:tcPr>
          <w:p>
            <w:pPr>
              <w:ind w:left="180"/>
              <w:spacing w:after="0"/>
              <w:rPr>
                <w:sz w:val="20"/>
                <w:szCs w:val="20"/>
                <w:color w:val="auto"/>
              </w:rPr>
            </w:pPr>
            <w:r>
              <w:rPr>
                <w:rFonts w:ascii="Arial" w:cs="Arial" w:eastAsia="Arial" w:hAnsi="Arial"/>
                <w:sz w:val="18"/>
                <w:szCs w:val="18"/>
                <w:color w:val="auto"/>
              </w:rPr>
              <w:t>EVENTS OF DEFAULT</w:t>
            </w:r>
          </w:p>
        </w:tc>
        <w:tc>
          <w:tcPr>
            <w:tcW w:w="25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ARTICLE VIII</w:t>
            </w:r>
          </w:p>
        </w:tc>
        <w:tc>
          <w:tcPr>
            <w:tcW w:w="7240" w:type="dxa"/>
            <w:vAlign w:val="bottom"/>
          </w:tcPr>
          <w:p>
            <w:pPr>
              <w:ind w:left="240"/>
              <w:spacing w:after="0"/>
              <w:rPr>
                <w:sz w:val="20"/>
                <w:szCs w:val="20"/>
                <w:color w:val="auto"/>
              </w:rPr>
            </w:pPr>
            <w:r>
              <w:rPr>
                <w:rFonts w:ascii="Arial" w:cs="Arial" w:eastAsia="Arial" w:hAnsi="Arial"/>
                <w:sz w:val="18"/>
                <w:szCs w:val="18"/>
                <w:color w:val="auto"/>
              </w:rPr>
              <w:t>THE ADMINISTRATIVE AGENT</w:t>
            </w:r>
          </w:p>
        </w:tc>
        <w:tc>
          <w:tcPr>
            <w:tcW w:w="25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8.01. Appointment of the Administrative Agent</w:t>
            </w:r>
          </w:p>
        </w:tc>
        <w:tc>
          <w:tcPr>
            <w:tcW w:w="25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8.02. Capacity as Lender</w:t>
            </w:r>
          </w:p>
        </w:tc>
        <w:tc>
          <w:tcPr>
            <w:tcW w:w="25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8.03. Limitation of Duties; Exculpation</w:t>
            </w:r>
          </w:p>
        </w:tc>
        <w:tc>
          <w:tcPr>
            <w:tcW w:w="25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SECTION 8.04. Reliance</w:t>
            </w:r>
          </w:p>
        </w:tc>
        <w:tc>
          <w:tcPr>
            <w:tcW w:w="2500" w:type="dxa"/>
            <w:vAlign w:val="bottom"/>
          </w:tcPr>
          <w:p>
            <w:pPr>
              <w:jc w:val="right"/>
              <w:spacing w:after="0"/>
              <w:rPr>
                <w:sz w:val="20"/>
                <w:szCs w:val="20"/>
                <w:color w:val="auto"/>
              </w:rPr>
            </w:pPr>
            <w:r>
              <w:rPr>
                <w:rFonts w:ascii="Arial" w:cs="Arial" w:eastAsia="Arial" w:hAnsi="Arial"/>
                <w:sz w:val="18"/>
                <w:szCs w:val="18"/>
                <w:color w:val="auto"/>
              </w:rPr>
              <w:t>114</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0" w:right="49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2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8.05. Sub-Agents</w:t>
            </w:r>
          </w:p>
        </w:tc>
        <w:tc>
          <w:tcPr>
            <w:tcW w:w="22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8.06. Resignation; Successor Administrative Agent</w:t>
            </w:r>
          </w:p>
        </w:tc>
        <w:tc>
          <w:tcPr>
            <w:tcW w:w="22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8.07. Reliance by Lenders</w:t>
            </w:r>
          </w:p>
        </w:tc>
        <w:tc>
          <w:tcPr>
            <w:tcW w:w="22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8.08. Modifications to Loan Documents</w:t>
            </w:r>
          </w:p>
        </w:tc>
        <w:tc>
          <w:tcPr>
            <w:tcW w:w="22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ARTICLE IX</w:t>
            </w:r>
          </w:p>
        </w:tc>
        <w:tc>
          <w:tcPr>
            <w:tcW w:w="7580" w:type="dxa"/>
            <w:vAlign w:val="bottom"/>
          </w:tcPr>
          <w:p>
            <w:pPr>
              <w:ind w:left="180"/>
              <w:spacing w:after="0"/>
              <w:rPr>
                <w:sz w:val="20"/>
                <w:szCs w:val="20"/>
                <w:color w:val="auto"/>
              </w:rPr>
            </w:pPr>
            <w:r>
              <w:rPr>
                <w:rFonts w:ascii="Arial" w:cs="Arial" w:eastAsia="Arial" w:hAnsi="Arial"/>
                <w:sz w:val="18"/>
                <w:szCs w:val="18"/>
                <w:color w:val="auto"/>
              </w:rPr>
              <w:t>MISCELLANEOUS</w:t>
            </w:r>
          </w:p>
        </w:tc>
        <w:tc>
          <w:tcPr>
            <w:tcW w:w="22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9.01. Notices; Electronic Communications</w:t>
            </w:r>
          </w:p>
        </w:tc>
        <w:tc>
          <w:tcPr>
            <w:tcW w:w="22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9.02. Waivers; Amendments</w:t>
            </w:r>
          </w:p>
        </w:tc>
        <w:tc>
          <w:tcPr>
            <w:tcW w:w="22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9.03. Expenses; Indemnity; Damage Waiver</w:t>
            </w:r>
          </w:p>
        </w:tc>
        <w:tc>
          <w:tcPr>
            <w:tcW w:w="22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9.04. Successors and Assigns</w:t>
            </w:r>
          </w:p>
        </w:tc>
        <w:tc>
          <w:tcPr>
            <w:tcW w:w="22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9.05. Survival</w:t>
            </w:r>
          </w:p>
        </w:tc>
        <w:tc>
          <w:tcPr>
            <w:tcW w:w="22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9.06. Counterparts; Integration; Effectiveness; Electronic Execution</w:t>
            </w:r>
          </w:p>
        </w:tc>
        <w:tc>
          <w:tcPr>
            <w:tcW w:w="22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9.07. Severability</w:t>
            </w:r>
          </w:p>
        </w:tc>
        <w:tc>
          <w:tcPr>
            <w:tcW w:w="22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9.08. Right of Setoff</w:t>
            </w:r>
          </w:p>
        </w:tc>
        <w:tc>
          <w:tcPr>
            <w:tcW w:w="22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9.09. Governing Law; Jurisdiction; Etc</w:t>
            </w:r>
          </w:p>
        </w:tc>
        <w:tc>
          <w:tcPr>
            <w:tcW w:w="22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9.10. WAIVER OF JURY TRIAL</w:t>
            </w:r>
          </w:p>
        </w:tc>
        <w:tc>
          <w:tcPr>
            <w:tcW w:w="22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9.11. Judgment Currency</w:t>
            </w:r>
          </w:p>
        </w:tc>
        <w:tc>
          <w:tcPr>
            <w:tcW w:w="22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9.12. Headings</w:t>
            </w:r>
          </w:p>
        </w:tc>
        <w:tc>
          <w:tcPr>
            <w:tcW w:w="22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9.13. Treatment of Certain Information; No Fiduciary Duty; Confidentiality</w:t>
            </w:r>
          </w:p>
        </w:tc>
        <w:tc>
          <w:tcPr>
            <w:tcW w:w="22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9.14. USA PATRIOT Act</w:t>
            </w:r>
          </w:p>
        </w:tc>
        <w:tc>
          <w:tcPr>
            <w:tcW w:w="22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9.15. Effect of Amendment and Restatement of the Existing Agreement</w:t>
            </w:r>
          </w:p>
        </w:tc>
        <w:tc>
          <w:tcPr>
            <w:tcW w:w="22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9.16. Acknowledgement and Consent to Bail-In of EEA Financial Institutions</w:t>
            </w:r>
          </w:p>
        </w:tc>
        <w:tc>
          <w:tcPr>
            <w:tcW w:w="22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SECTION 9.17. Acknowledgement Regarding Any Supported QFCs</w:t>
            </w:r>
          </w:p>
        </w:tc>
        <w:tc>
          <w:tcPr>
            <w:tcW w:w="2220" w:type="dxa"/>
            <w:vAlign w:val="bottom"/>
          </w:tcPr>
          <w:p>
            <w:pPr>
              <w:jc w:val="right"/>
              <w:spacing w:after="0"/>
              <w:rPr>
                <w:sz w:val="20"/>
                <w:szCs w:val="20"/>
                <w:color w:val="auto"/>
              </w:rPr>
            </w:pPr>
            <w:r>
              <w:rPr>
                <w:rFonts w:ascii="Arial" w:cs="Arial" w:eastAsia="Arial" w:hAnsi="Arial"/>
                <w:sz w:val="18"/>
                <w:szCs w:val="18"/>
                <w:color w:val="auto"/>
              </w:rPr>
              <w:t>134</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0" w:right="4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SCHEDULE 1.01(a)</w:t>
            </w: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3"/>
              </w:rPr>
              <w:t>—    Approved Dealers and Approved Pricing Services</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SCHEDULE 1.01(b)</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740" w:type="dxa"/>
            <w:vAlign w:val="bottom"/>
          </w:tcPr>
          <w:p>
            <w:pPr>
              <w:ind w:left="140"/>
              <w:spacing w:after="0"/>
              <w:rPr>
                <w:sz w:val="20"/>
                <w:szCs w:val="20"/>
                <w:color w:val="auto"/>
              </w:rPr>
            </w:pPr>
            <w:r>
              <w:rPr>
                <w:rFonts w:ascii="Arial" w:cs="Arial" w:eastAsia="Arial" w:hAnsi="Arial"/>
                <w:sz w:val="18"/>
                <w:szCs w:val="18"/>
                <w:color w:val="auto"/>
              </w:rPr>
              <w:t>Commitments</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SCHEDULE 1.01(c)</w:t>
            </w: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    Industry Classification Group List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SCHEDULE 3.11</w:t>
            </w: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    Material Agreements and Liens</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SCHEDULE 3.12(a)</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740" w:type="dxa"/>
            <w:vAlign w:val="bottom"/>
          </w:tcPr>
          <w:p>
            <w:pPr>
              <w:ind w:left="140"/>
              <w:spacing w:after="0"/>
              <w:rPr>
                <w:sz w:val="20"/>
                <w:szCs w:val="20"/>
                <w:color w:val="auto"/>
              </w:rPr>
            </w:pPr>
            <w:r>
              <w:rPr>
                <w:rFonts w:ascii="Arial" w:cs="Arial" w:eastAsia="Arial" w:hAnsi="Arial"/>
                <w:sz w:val="18"/>
                <w:szCs w:val="18"/>
                <w:color w:val="auto"/>
              </w:rPr>
              <w:t>Subsidiaries</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SCHEDULE 3.12(b)</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740" w:type="dxa"/>
            <w:vAlign w:val="bottom"/>
          </w:tcPr>
          <w:p>
            <w:pPr>
              <w:ind w:left="140"/>
              <w:spacing w:after="0"/>
              <w:rPr>
                <w:sz w:val="20"/>
                <w:szCs w:val="20"/>
                <w:color w:val="auto"/>
              </w:rPr>
            </w:pPr>
            <w:r>
              <w:rPr>
                <w:rFonts w:ascii="Arial" w:cs="Arial" w:eastAsia="Arial" w:hAnsi="Arial"/>
                <w:sz w:val="18"/>
                <w:szCs w:val="18"/>
                <w:color w:val="auto"/>
              </w:rPr>
              <w:t>Investments</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SCHEDULE 6.08</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740" w:type="dxa"/>
            <w:vAlign w:val="bottom"/>
          </w:tcPr>
          <w:p>
            <w:pPr>
              <w:ind w:left="140"/>
              <w:spacing w:after="0"/>
              <w:rPr>
                <w:sz w:val="20"/>
                <w:szCs w:val="20"/>
                <w:color w:val="auto"/>
              </w:rPr>
            </w:pPr>
            <w:r>
              <w:rPr>
                <w:rFonts w:ascii="Arial" w:cs="Arial" w:eastAsia="Arial" w:hAnsi="Arial"/>
                <w:sz w:val="18"/>
                <w:szCs w:val="18"/>
                <w:color w:val="auto"/>
              </w:rPr>
              <w:t>Transactions with Affiliates</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EXHIBIT A</w:t>
            </w: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    Form of Assignment and Assumption</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EXHIBIT B</w:t>
            </w: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    Form of Borrowing Base Certificate</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EXHIBIT C</w:t>
            </w: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    Form of Borrowing Request</w:t>
            </w:r>
          </w:p>
        </w:tc>
      </w:tr>
    </w:tbl>
    <w:p>
      <w:pPr>
        <w:ind w:left="220"/>
        <w:spacing w:after="0"/>
        <w:rPr>
          <w:sz w:val="20"/>
          <w:szCs w:val="20"/>
          <w:color w:val="auto"/>
        </w:rPr>
        <w:sectPr>
          <w:pgSz w:w="11900" w:h="16838" w:orient="portrait"/>
          <w:cols w:equalWidth="0" w:num="1">
            <w:col w:w="10019"/>
          </w:cols>
          <w:pgMar w:left="4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0" w:name="page31"/>
    <w:bookmarkEnd w:id="30"/>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SECOND AMENDED AND RESTATED SENIOR SECURED REVOLVING CREDIT AGREEMENT dated as of June 25, 2014 (this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among PENNANTPARK INVESTMENT CORPORATION, a Maryland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party hereto,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SUNTRUST BANK, as Administrative Agent.</w:t>
      </w:r>
    </w:p>
    <w:p>
      <w:pPr>
        <w:spacing w:after="0" w:line="211" w:lineRule="exact"/>
        <w:rPr>
          <w:sz w:val="20"/>
          <w:szCs w:val="20"/>
          <w:color w:val="auto"/>
        </w:rPr>
      </w:pPr>
    </w:p>
    <w:p>
      <w:pPr>
        <w:ind w:right="300" w:firstLine="991"/>
        <w:spacing w:after="0" w:line="279" w:lineRule="auto"/>
        <w:rPr>
          <w:sz w:val="20"/>
          <w:szCs w:val="20"/>
          <w:color w:val="auto"/>
        </w:rPr>
      </w:pPr>
      <w:r>
        <w:rPr>
          <w:rFonts w:ascii="Arial" w:cs="Arial" w:eastAsia="Arial" w:hAnsi="Arial"/>
          <w:sz w:val="17"/>
          <w:szCs w:val="17"/>
          <w:color w:val="auto"/>
        </w:rPr>
        <w:t>Pursuant to the Amended and Restated Senior Secured Revolving Credit Agreement dated as of February 21, 2012 (as amended, supplemented or otherwise modified prior to the Effective Date, the “</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among the Borrower, the lenders party thereto (collectively, the “</w:t>
      </w:r>
      <w:r>
        <w:rPr>
          <w:rFonts w:ascii="Arial" w:cs="Arial" w:eastAsia="Arial" w:hAnsi="Arial"/>
          <w:sz w:val="17"/>
          <w:szCs w:val="17"/>
          <w:u w:val="single" w:color="auto"/>
          <w:color w:val="auto"/>
        </w:rPr>
        <w:t>Existing Lenders</w:t>
      </w:r>
      <w:r>
        <w:rPr>
          <w:rFonts w:ascii="Arial" w:cs="Arial" w:eastAsia="Arial" w:hAnsi="Arial"/>
          <w:sz w:val="17"/>
          <w:szCs w:val="17"/>
          <w:color w:val="auto"/>
        </w:rPr>
        <w:t>”) and the Administrative Agent, the Existing Lenders agreed to make extensions of credit to the Borrower on the terms and conditions set forth therein, including making loans (the “</w:t>
      </w:r>
      <w:r>
        <w:rPr>
          <w:rFonts w:ascii="Arial" w:cs="Arial" w:eastAsia="Arial" w:hAnsi="Arial"/>
          <w:sz w:val="17"/>
          <w:szCs w:val="17"/>
          <w:u w:val="single" w:color="auto"/>
          <w:color w:val="auto"/>
        </w:rPr>
        <w:t>Existing Loans</w:t>
      </w:r>
      <w:r>
        <w:rPr>
          <w:rFonts w:ascii="Arial" w:cs="Arial" w:eastAsia="Arial" w:hAnsi="Arial"/>
          <w:sz w:val="17"/>
          <w:szCs w:val="17"/>
          <w:color w:val="auto"/>
        </w:rPr>
        <w:t>”) to the Borrower.</w:t>
      </w:r>
    </w:p>
    <w:p>
      <w:pPr>
        <w:spacing w:after="0" w:line="171" w:lineRule="exact"/>
        <w:rPr>
          <w:sz w:val="20"/>
          <w:szCs w:val="20"/>
          <w:color w:val="auto"/>
        </w:rPr>
      </w:pPr>
    </w:p>
    <w:p>
      <w:pPr>
        <w:ind w:right="40" w:firstLine="991"/>
        <w:spacing w:after="0" w:line="288" w:lineRule="auto"/>
        <w:rPr>
          <w:sz w:val="20"/>
          <w:szCs w:val="20"/>
          <w:color w:val="auto"/>
        </w:rPr>
      </w:pPr>
      <w:r>
        <w:rPr>
          <w:rFonts w:ascii="Arial" w:cs="Arial" w:eastAsia="Arial" w:hAnsi="Arial"/>
          <w:sz w:val="16"/>
          <w:szCs w:val="16"/>
          <w:color w:val="auto"/>
        </w:rPr>
        <w:t>The Borrower has requested that the Existing Credit Agreement be amended and restated in its entirety to become effective and binding on the Borrower pursuant to the terms of this Agreement, and the Lenders (including certain of the Existing Lenders) have agreed (subject to the terms of this Agreement) to amend and restate the Existing Credit Agreement in its entirety to read as set forth in this Agreement, and it has been agreed by the parties to the Existing Credit Agreement that (a) the commitments which the Existing Lenders have agreed to extend to the Borrower under the Existing Credit Agreement shall be extended or advanced upon the amended and restated terms and conditions contained in this Agreement; and (b) the Existing Loans and other obligations outstanding under the Existing Credit Agreement shall be governed by and deemed to be outstanding under the amended and restated terms and conditions contained in this Agreement on and after the date hereof, with the intent that the terms of this Agreement shall supersede the terms of the Existing Credit Agreement (each of which shall hereafter have no further effect upon the parties thereto, other than for accrued and unpaid fees and expenses, and indemnification provisions accrued and owing, under the terms of the Existing Credit Agreement on or prior to the Effective Date or arising (in the case of indemnification) under the terms of the Existing Credit Agreement).</w:t>
      </w:r>
    </w:p>
    <w:p>
      <w:pPr>
        <w:spacing w:after="0" w:line="168" w:lineRule="exact"/>
        <w:rPr>
          <w:sz w:val="20"/>
          <w:szCs w:val="20"/>
          <w:color w:val="auto"/>
        </w:rPr>
      </w:pPr>
    </w:p>
    <w:p>
      <w:pPr>
        <w:ind w:right="680" w:firstLine="991"/>
        <w:spacing w:after="0" w:line="277" w:lineRule="auto"/>
        <w:rPr>
          <w:sz w:val="20"/>
          <w:szCs w:val="20"/>
          <w:color w:val="auto"/>
        </w:rPr>
      </w:pPr>
      <w:r>
        <w:rPr>
          <w:rFonts w:ascii="Arial" w:cs="Arial" w:eastAsia="Arial" w:hAnsi="Arial"/>
          <w:sz w:val="18"/>
          <w:szCs w:val="18"/>
          <w:color w:val="auto"/>
        </w:rPr>
        <w:t>The parties hereto hereby agree to amend and restate the Existing Credit Agreement, and the Existing Credit Agreement is hereby amended and restated in its entirety as follows: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225"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constituting such Borrowing, are denominated in Dollars and bearing interest at a rate determined by reference to the Alternate Base Rate.</w:t>
      </w:r>
    </w:p>
    <w:p>
      <w:pPr>
        <w:spacing w:after="0" w:line="170" w:lineRule="exact"/>
        <w:rPr>
          <w:sz w:val="20"/>
          <w:szCs w:val="20"/>
          <w:color w:val="auto"/>
        </w:rPr>
      </w:pPr>
    </w:p>
    <w:p>
      <w:pPr>
        <w:jc w:val="both"/>
        <w:ind w:right="6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Borrowing Base</w:t>
      </w:r>
      <w:r>
        <w:rPr>
          <w:rFonts w:ascii="Arial" w:cs="Arial" w:eastAsia="Arial" w:hAnsi="Arial"/>
          <w:sz w:val="18"/>
          <w:szCs w:val="18"/>
          <w:color w:val="auto"/>
        </w:rPr>
        <w:t xml:space="preserve">” means the Borrowing Base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31" w:name="page32"/>
    <w:bookmarkEnd w:id="31"/>
    <w:p>
      <w:pPr>
        <w:jc w:val="both"/>
        <w:ind w:right="18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Adjusted Covered Debt Balance</w:t>
      </w:r>
      <w:r>
        <w:rPr>
          <w:rFonts w:ascii="Arial" w:cs="Arial" w:eastAsia="Arial" w:hAnsi="Arial"/>
          <w:sz w:val="18"/>
          <w:szCs w:val="18"/>
          <w:color w:val="auto"/>
        </w:rPr>
        <w:t xml:space="preserve">” means, on any date, the aggregate Covered Debt Amount on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84" w:lineRule="exact"/>
        <w:rPr>
          <w:sz w:val="20"/>
          <w:szCs w:val="20"/>
          <w:color w:val="auto"/>
        </w:rPr>
      </w:pPr>
    </w:p>
    <w:p>
      <w:pPr>
        <w:ind w:right="12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LIBO Rate</w:t>
      </w:r>
      <w:r>
        <w:rPr>
          <w:rFonts w:ascii="Arial" w:cs="Arial" w:eastAsia="Arial" w:hAnsi="Arial"/>
          <w:sz w:val="16"/>
          <w:szCs w:val="16"/>
          <w:color w:val="auto"/>
        </w:rPr>
        <w:t xml:space="preserve">” means (a) for the Interest Period for any Eurocurrency Borrowing denominated in a LIBO Quoted Currency, an interest rate per annum (rounded upwards, if necessary, to the next 1/16 of 1%) equal to (i) the LIBO Rate for such Interest Period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(ii) the Statutory Reserve Rate for such Interest Period and (b) for the Interest Period for any Eurocurrency Borrowing denominated in a Non-LIBO Quoted Currency, an interest rate per annum (rounded upwards, if necessary, to the next 1/16 of 1%) equal to the LIBO Rate for such Interest Period.</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SunTrust, in its capacity as administrative agent for the Lenders hereunder.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 Appraisal Testing Month</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5.12(b)(ii)(E)(y)</w:t>
      </w:r>
      <w:r>
        <w:rPr>
          <w:rFonts w:ascii="Arial" w:cs="Arial" w:eastAsia="Arial" w:hAnsi="Arial"/>
          <w:sz w:val="18"/>
          <w:szCs w:val="18"/>
          <w:color w:val="auto"/>
        </w:rPr>
        <w:t>.</w:t>
      </w:r>
    </w:p>
    <w:p>
      <w:pPr>
        <w:spacing w:after="0" w:line="225"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Account</w:t>
      </w:r>
      <w:r>
        <w:rPr>
          <w:rFonts w:ascii="Arial" w:cs="Arial" w:eastAsia="Arial" w:hAnsi="Arial"/>
          <w:sz w:val="18"/>
          <w:szCs w:val="18"/>
          <w:color w:val="auto"/>
        </w:rPr>
        <w:t>” means, for each Currency, an account in respect of such Currency designated by the Administrative Agent in a notice to the Borrower and the Lenders.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 Rate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225" w:lineRule="exact"/>
        <w:rPr>
          <w:sz w:val="20"/>
          <w:szCs w:val="20"/>
          <w:color w:val="auto"/>
        </w:rPr>
      </w:pPr>
    </w:p>
    <w:p>
      <w:pPr>
        <w:ind w:right="58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 specified Person, another Person that directly, or indirectly through one or more intermediaries, Controls or is Controlled by or is under common Control with the Person specified. Anything herein to the contrary notwithstanding, the term “Affiliate” shall not include any Person that constitutes an Investment held by any Obligor in the ordinary course of business.</w:t>
      </w:r>
    </w:p>
    <w:p>
      <w:pPr>
        <w:spacing w:after="0" w:line="149"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Agreements</w:t>
      </w:r>
      <w:r>
        <w:rPr>
          <w:rFonts w:ascii="Arial" w:cs="Arial" w:eastAsia="Arial" w:hAnsi="Arial"/>
          <w:sz w:val="18"/>
          <w:szCs w:val="18"/>
          <w:color w:val="auto"/>
        </w:rPr>
        <w:t>” means, collectively, (a) the Administration Agreement dated June 11, 2010 by and among the Borrower, PennantPark SBIC LP and PennantPark SBIC GP, LLC, (b) the Investment Advisory Agreement dated June 11, 2010 by and among the Borrower, PennantPark SBIC LP and PennantPark SBIC GP, LLC, (c) the Investment Advisory Management Agreement dated as of April 17, 2007, between the Borrower and Pennant Investment Advisers, LLC, (d) the Administration Agreement dated as of April 17, 2007, between the Borrower and PennantPark Investment Administration, LLC, (e) the Trademark License Agreement dated as of April 15, 2007, between the Borrower and Pennant Investment Advisers, LLC, (f) the Administration Agreement, dated December 28, 2012, by and among the Borrower, PennantPark SBIC II LP and PennantPark SBIC GP II, LLC and (g) the Investment Advisory Agreement, dated December 28, 2012, by and among the Borrower, PennantPark SBIC II LP and PennantPark SBIC GP II, LLC.</w:t>
      </w:r>
    </w:p>
    <w:p>
      <w:pPr>
        <w:spacing w:after="0" w:line="124" w:lineRule="exact"/>
        <w:rPr>
          <w:sz w:val="20"/>
          <w:szCs w:val="20"/>
          <w:color w:val="auto"/>
        </w:rPr>
      </w:pPr>
    </w:p>
    <w:tbl>
      <w:tblPr>
        <w:tblLayout w:type="fixed"/>
        <w:tblInd w:w="5520" w:type="dxa"/>
        <w:tblCellMar>
          <w:top w:w="0" w:type="dxa"/>
          <w:left w:w="0" w:type="dxa"/>
          <w:bottom w:w="0" w:type="dxa"/>
          <w:right w:w="0" w:type="dxa"/>
        </w:tblCellMar>
      </w:tblPr>
      <w:tr>
        <w:trPr>
          <w:trHeight w:val="216"/>
        </w:trPr>
        <w:tc>
          <w:tcPr>
            <w:tcW w:w="1680" w:type="dxa"/>
            <w:vAlign w:val="bottom"/>
          </w:tcPr>
          <w:p>
            <w:pPr>
              <w:jc w:val="right"/>
              <w:ind w:right="1527"/>
              <w:spacing w:after="0"/>
              <w:rPr>
                <w:sz w:val="20"/>
                <w:szCs w:val="20"/>
                <w:color w:val="auto"/>
              </w:rPr>
            </w:pPr>
            <w:r>
              <w:rPr>
                <w:rFonts w:ascii="Arial" w:cs="Arial" w:eastAsia="Arial" w:hAnsi="Arial"/>
                <w:sz w:val="15"/>
                <w:szCs w:val="15"/>
                <w:color w:val="auto"/>
                <w:w w:val="71"/>
              </w:rPr>
              <w:t>2</w:t>
            </w:r>
          </w:p>
        </w:tc>
        <w:tc>
          <w:tcPr>
            <w:tcW w:w="382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680" w:type="dxa"/>
            <w:vAlign w:val="bottom"/>
          </w:tcPr>
          <w:p>
            <w:pPr>
              <w:spacing w:after="0"/>
              <w:rPr>
                <w:sz w:val="20"/>
                <w:szCs w:val="20"/>
                <w:color w:val="auto"/>
              </w:rPr>
            </w:pPr>
          </w:p>
        </w:tc>
        <w:tc>
          <w:tcPr>
            <w:tcW w:w="382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32" w:name="page33"/>
    <w:bookmarkEnd w:id="32"/>
    <w:p>
      <w:pPr>
        <w:ind w:right="14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Agreed Foreign Currency</w:t>
      </w:r>
      <w:r>
        <w:rPr>
          <w:rFonts w:ascii="Arial" w:cs="Arial" w:eastAsia="Arial" w:hAnsi="Arial"/>
          <w:sz w:val="18"/>
          <w:szCs w:val="18"/>
          <w:color w:val="auto"/>
        </w:rPr>
        <w:t>” means, at any time, (i) any of Canadian Dollars, English Pounds Sterling, Euros, Japanese Yen, Australian Dollars, Swiss Franc, Swedish Krona and New Zealand Dollars and (ii) with the agreement of each Multicurrency Lender, any other Foreign Currency, so long as, in respect of any such specified Foreign Currency or other Foreign Currency, at such time (a) such Foreign Currency is dealt with in the London interbank deposit market, (b) such Foreign Currency is freely transferable and convertible into Dollars in the London foreign exchange market and (c) no central bank or other governmental authorization in the country of issue of such Foreign Currency (including, in the case of the Euro, any authorization by the European Central Bank) is required to permit use of such Foreign Currency by any Multicurrency Lender for making any Loan hereunder and/or to permit the Borrower to borrow and repay the principal thereof and to pay the interest thereon, unless such authorization has been obtained and is in full force and effect.</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xml:space="preserve">” means, for any day, a rate per annum equal to the greatest of (a) the Prime Rate in effect on such day, (b) the Federal Funds Effective Rate for such day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1/2 of 1% and (c) the rate per annum equal to 1%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rate as displayed in the Bloomberg Financial Markets System (or on any successor or substitute page of such service, or any successor to such service, providing rate quotations comparable to those currently provided on such page of such service, as determined by the Administrative Agent in its reasonable discretion from time to time for purposes of providing quotations of interest rates applicable to Dollar deposits in the London interbank market) at approximately 11:00 a.m., London time, on such day (or, if such day is not a Business Day, the immediately preceding Business Day), for Dollar deposits with a term of one month. Any change in the Alternate Base Rate due to a change in the Prime Rate, the Federal Funds Effective Rate or the rate as displayed in the Bloomberg Financial Markets System (or successor therefor) as set forth above shall be effective from and including the effective date of such change in the Prime Rate, the Federal Funds Effective Rate or such rate as displayed in the Bloomberg Financial Markets System (or successor therefor), respectively.</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3.16</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Dollar Percentage</w:t>
      </w:r>
      <w:r>
        <w:rPr>
          <w:rFonts w:ascii="Arial" w:cs="Arial" w:eastAsia="Arial" w:hAnsi="Arial"/>
          <w:sz w:val="18"/>
          <w:szCs w:val="18"/>
          <w:color w:val="auto"/>
        </w:rPr>
        <w:t xml:space="preserve">” 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on and after the Non-Extended Commitment Termination Date for any Non-Extending Lender, the Applicable Dollar Percentage of such Non-Extending Lender that is a Dollar Lender shall be 0%.</w:t>
      </w:r>
    </w:p>
    <w:p>
      <w:pPr>
        <w:spacing w:after="0" w:line="188"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Financial Statements</w:t>
      </w:r>
      <w:r>
        <w:rPr>
          <w:rFonts w:ascii="Arial" w:cs="Arial" w:eastAsia="Arial" w:hAnsi="Arial"/>
          <w:sz w:val="18"/>
          <w:szCs w:val="18"/>
          <w:color w:val="auto"/>
        </w:rPr>
        <w:t xml:space="preserve">” means, as at any date, the most-recent audited financial statements of the Borrower delivered to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immediately prior</w:t>
      </w:r>
    </w:p>
    <w:p>
      <w:pPr>
        <w:spacing w:after="0" w:line="103" w:lineRule="exact"/>
        <w:rPr>
          <w:sz w:val="20"/>
          <w:szCs w:val="20"/>
          <w:color w:val="auto"/>
        </w:rPr>
      </w:pPr>
    </w:p>
    <w:tbl>
      <w:tblPr>
        <w:tblLayout w:type="fixed"/>
        <w:tblInd w:w="5520" w:type="dxa"/>
        <w:tblCellMar>
          <w:top w:w="0" w:type="dxa"/>
          <w:left w:w="0" w:type="dxa"/>
          <w:bottom w:w="0" w:type="dxa"/>
          <w:right w:w="0" w:type="dxa"/>
        </w:tblCellMar>
      </w:tblPr>
      <w:tr>
        <w:trPr>
          <w:trHeight w:val="216"/>
        </w:trPr>
        <w:tc>
          <w:tcPr>
            <w:tcW w:w="1680" w:type="dxa"/>
            <w:vAlign w:val="bottom"/>
          </w:tcPr>
          <w:p>
            <w:pPr>
              <w:jc w:val="right"/>
              <w:ind w:right="1527"/>
              <w:spacing w:after="0"/>
              <w:rPr>
                <w:sz w:val="20"/>
                <w:szCs w:val="20"/>
                <w:color w:val="auto"/>
              </w:rPr>
            </w:pPr>
            <w:r>
              <w:rPr>
                <w:rFonts w:ascii="Arial" w:cs="Arial" w:eastAsia="Arial" w:hAnsi="Arial"/>
                <w:sz w:val="15"/>
                <w:szCs w:val="15"/>
                <w:color w:val="auto"/>
                <w:w w:val="71"/>
              </w:rPr>
              <w:t>3</w:t>
            </w:r>
          </w:p>
        </w:tc>
        <w:tc>
          <w:tcPr>
            <w:tcW w:w="382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680" w:type="dxa"/>
            <w:vAlign w:val="bottom"/>
          </w:tcPr>
          <w:p>
            <w:pPr>
              <w:spacing w:after="0"/>
              <w:rPr>
                <w:sz w:val="20"/>
                <w:szCs w:val="20"/>
                <w:color w:val="auto"/>
              </w:rPr>
            </w:pPr>
          </w:p>
        </w:tc>
        <w:tc>
          <w:tcPr>
            <w:tcW w:w="382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33" w:name="page34"/>
    <w:bookmarkEnd w:id="33"/>
    <w:p>
      <w:pPr>
        <w:ind w:right="4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delivery to the Lenders of new audited financial statements of the Borrower a Material Adverse Change (the “</w:t>
      </w:r>
      <w:r>
        <w:rPr>
          <w:rFonts w:ascii="Arial" w:cs="Arial" w:eastAsia="Arial" w:hAnsi="Arial"/>
          <w:sz w:val="18"/>
          <w:szCs w:val="18"/>
          <w:u w:val="single" w:color="auto"/>
          <w:color w:val="auto"/>
        </w:rPr>
        <w:t>Pre-existing MAC</w:t>
      </w:r>
      <w:r>
        <w:rPr>
          <w:rFonts w:ascii="Arial" w:cs="Arial" w:eastAsia="Arial" w:hAnsi="Arial"/>
          <w:sz w:val="18"/>
          <w:szCs w:val="18"/>
          <w:color w:val="auto"/>
        </w:rPr>
        <w:t>”) shall exist (regardless of when it occurred), then the “Applicable Financial Statements” as at said date means the Applicable Financial Statements in effect immediately prior to such delivery until such time as the Pre-existing MAC shall no longer exist.</w:t>
      </w:r>
    </w:p>
    <w:p>
      <w:pPr>
        <w:spacing w:after="0" w:line="184" w:lineRule="exact"/>
        <w:rPr>
          <w:sz w:val="20"/>
          <w:szCs w:val="20"/>
          <w:color w:val="auto"/>
        </w:rPr>
      </w:pPr>
    </w:p>
    <w:p>
      <w:pPr>
        <w:ind w:right="20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(a) if the Borrowing Base (as of the most recently delivered Borrowing Base Certificate) is greater than or equal to the product of 1.85 and the Combined Debt Amount, (i) with respect to any ABR Loan, 1.00% per annum and (ii) with respect to any Eurocurrency Loan, 2.00% per annum; and (b) if the Borrowing Base (as of the most recently delivered Borrowing Base Certificate) is less than the product of 1.85 and the Combined Debt Amount, (i) with respect to any ABR Loan, 1.25% per annum and (ii) with respect to any Eurocurrency Loan, 2.25% per annum.</w:t>
      </w:r>
    </w:p>
    <w:p>
      <w:pPr>
        <w:spacing w:after="0" w:line="188" w:lineRule="exact"/>
        <w:rPr>
          <w:sz w:val="20"/>
          <w:szCs w:val="20"/>
          <w:color w:val="auto"/>
        </w:rPr>
      </w:pPr>
    </w:p>
    <w:p>
      <w:pPr>
        <w:ind w:right="6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Multicurrency Percentage</w:t>
      </w:r>
      <w:r>
        <w:rPr>
          <w:rFonts w:ascii="Arial" w:cs="Arial" w:eastAsia="Arial" w:hAnsi="Arial"/>
          <w:sz w:val="17"/>
          <w:szCs w:val="17"/>
          <w:color w:val="auto"/>
        </w:rPr>
        <w:t xml:space="preserve">” means, with respect to any Multicurrency Lender, the percentage of the total Multicurrency Commitments represented by such Multicurrency Lender’s Multicurrency Commitment. If the Multicurrency Commitments have terminated or expired, the Applicable Multicurrency Percentages shall be determined based upon the Multicurrency Commitments most recently in effect, giving effect to any assignments;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on and after the Non-Extended Commitment Termination Date for any Non-Extending Lender, the Applicable Multicurrency Percentage of such Non-Extending Lender that is a Multicurrency Lender shall be 0%.</w:t>
      </w:r>
    </w:p>
    <w:p>
      <w:pPr>
        <w:spacing w:after="0" w:line="176" w:lineRule="exact"/>
        <w:rPr>
          <w:sz w:val="20"/>
          <w:szCs w:val="20"/>
          <w:color w:val="auto"/>
        </w:rPr>
      </w:pPr>
    </w:p>
    <w:p>
      <w:pPr>
        <w:ind w:right="14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means, with respect to any Lender, the percentage of the total Commitments represented by such Lender’s Commitments. If the Commitments have terminated or expired, the Applicable Percentages shall be determined based upon the Commitments most recently in effect, giving effect to any assignments;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on and after the Non-Extended Commitment Termination Date for any Non-Extending Lender, the Applicable Percentage of such Non-Extending Lender shall be 0%.</w:t>
      </w:r>
    </w:p>
    <w:p>
      <w:pPr>
        <w:spacing w:after="0" w:line="171" w:lineRule="exact"/>
        <w:rPr>
          <w:sz w:val="20"/>
          <w:szCs w:val="20"/>
          <w:color w:val="auto"/>
        </w:rPr>
      </w:pPr>
    </w:p>
    <w:p>
      <w:pPr>
        <w:ind w:right="26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Dealer</w:t>
      </w:r>
      <w:r>
        <w:rPr>
          <w:rFonts w:ascii="Arial" w:cs="Arial" w:eastAsia="Arial" w:hAnsi="Arial"/>
          <w:sz w:val="17"/>
          <w:szCs w:val="17"/>
          <w:color w:val="auto"/>
        </w:rPr>
        <w:t xml:space="preserve">” means (a) in the case of any Portfolio Investment that is not a U.S. Government Security, a bank or a broker-dealer registered under the Securities Exchange Act of 1934 of nationally recognized standing or an Affiliate thereof, (b) in the case of a U.S. Government Security, any primary dealer in U.S. Government Securities, and (c) in the case of any foreign Portfolio Investment, any foreign broker-dealer of internationally recognized standing or an Affiliate thereof, in the case of each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above, as set forth on </w:t>
      </w:r>
      <w:r>
        <w:rPr>
          <w:rFonts w:ascii="Arial" w:cs="Arial" w:eastAsia="Arial" w:hAnsi="Arial"/>
          <w:sz w:val="17"/>
          <w:szCs w:val="17"/>
          <w:u w:val="single" w:color="auto"/>
          <w:color w:val="auto"/>
        </w:rPr>
        <w:t>Schedule 1.01(a)</w:t>
      </w:r>
      <w:r>
        <w:rPr>
          <w:rFonts w:ascii="Arial" w:cs="Arial" w:eastAsia="Arial" w:hAnsi="Arial"/>
          <w:sz w:val="17"/>
          <w:szCs w:val="17"/>
          <w:color w:val="auto"/>
        </w:rPr>
        <w:t xml:space="preserve"> or any other bank or broker-dealer acceptable to the Administrative Agent in its reasonable determination.</w:t>
      </w:r>
    </w:p>
    <w:p>
      <w:pPr>
        <w:spacing w:after="0" w:line="176" w:lineRule="exact"/>
        <w:rPr>
          <w:sz w:val="20"/>
          <w:szCs w:val="20"/>
          <w:color w:val="auto"/>
        </w:rPr>
      </w:pPr>
    </w:p>
    <w:p>
      <w:pPr>
        <w:jc w:val="both"/>
        <w:ind w:right="12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Pricing Service</w:t>
      </w:r>
      <w:r>
        <w:rPr>
          <w:rFonts w:ascii="Arial" w:cs="Arial" w:eastAsia="Arial" w:hAnsi="Arial"/>
          <w:sz w:val="16"/>
          <w:szCs w:val="16"/>
          <w:color w:val="auto"/>
        </w:rPr>
        <w:t xml:space="preserve">” means a pricing or quotation service as set forth in </w:t>
      </w:r>
      <w:r>
        <w:rPr>
          <w:rFonts w:ascii="Arial" w:cs="Arial" w:eastAsia="Arial" w:hAnsi="Arial"/>
          <w:sz w:val="16"/>
          <w:szCs w:val="16"/>
          <w:u w:val="single" w:color="auto"/>
          <w:color w:val="auto"/>
        </w:rPr>
        <w:t>Schedule 1.01(a)</w:t>
      </w:r>
      <w:r>
        <w:rPr>
          <w:rFonts w:ascii="Arial" w:cs="Arial" w:eastAsia="Arial" w:hAnsi="Arial"/>
          <w:sz w:val="16"/>
          <w:szCs w:val="16"/>
          <w:color w:val="auto"/>
        </w:rPr>
        <w:t xml:space="preserve"> or any other pricing or quotation service approved by the Board of Directors of the Borrower and designated in writing to the Administrative Agent (which designation shall be accompanied by a copy of a resolution of the Board of Directors of the Borrower that such pricing or quotation service has been approved by the Borrower).</w:t>
      </w:r>
    </w:p>
    <w:p>
      <w:pPr>
        <w:spacing w:after="0" w:line="149"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Third-Party Appraiser</w:t>
      </w:r>
      <w:r>
        <w:rPr>
          <w:rFonts w:ascii="Arial" w:cs="Arial" w:eastAsia="Arial" w:hAnsi="Arial"/>
          <w:sz w:val="18"/>
          <w:szCs w:val="18"/>
          <w:color w:val="auto"/>
        </w:rPr>
        <w:t>” means any Independent nationally recognized third-party appraisal firm (a) designated by the Borrower in writing to the Administrative Agent</w:t>
      </w:r>
    </w:p>
    <w:p>
      <w:pPr>
        <w:spacing w:after="0" w:line="103" w:lineRule="exact"/>
        <w:rPr>
          <w:sz w:val="20"/>
          <w:szCs w:val="20"/>
          <w:color w:val="auto"/>
        </w:rPr>
      </w:pPr>
    </w:p>
    <w:tbl>
      <w:tblPr>
        <w:tblLayout w:type="fixed"/>
        <w:tblInd w:w="5520" w:type="dxa"/>
        <w:tblCellMar>
          <w:top w:w="0" w:type="dxa"/>
          <w:left w:w="0" w:type="dxa"/>
          <w:bottom w:w="0" w:type="dxa"/>
          <w:right w:w="0" w:type="dxa"/>
        </w:tblCellMar>
      </w:tblPr>
      <w:tr>
        <w:trPr>
          <w:trHeight w:val="216"/>
        </w:trPr>
        <w:tc>
          <w:tcPr>
            <w:tcW w:w="1680" w:type="dxa"/>
            <w:vAlign w:val="bottom"/>
          </w:tcPr>
          <w:p>
            <w:pPr>
              <w:jc w:val="right"/>
              <w:ind w:right="1527"/>
              <w:spacing w:after="0"/>
              <w:rPr>
                <w:sz w:val="20"/>
                <w:szCs w:val="20"/>
                <w:color w:val="auto"/>
              </w:rPr>
            </w:pPr>
            <w:r>
              <w:rPr>
                <w:rFonts w:ascii="Arial" w:cs="Arial" w:eastAsia="Arial" w:hAnsi="Arial"/>
                <w:sz w:val="15"/>
                <w:szCs w:val="15"/>
                <w:color w:val="auto"/>
                <w:w w:val="71"/>
              </w:rPr>
              <w:t>4</w:t>
            </w:r>
          </w:p>
        </w:tc>
        <w:tc>
          <w:tcPr>
            <w:tcW w:w="382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680" w:type="dxa"/>
            <w:vAlign w:val="bottom"/>
          </w:tcPr>
          <w:p>
            <w:pPr>
              <w:spacing w:after="0"/>
              <w:rPr>
                <w:sz w:val="20"/>
                <w:szCs w:val="20"/>
                <w:color w:val="auto"/>
              </w:rPr>
            </w:pPr>
          </w:p>
        </w:tc>
        <w:tc>
          <w:tcPr>
            <w:tcW w:w="382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34" w:name="page35"/>
    <w:bookmarkEnd w:id="34"/>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and (b) acceptable to the Administrative Agent. It is understood and agreed that Houlihan Lokey Howard &amp; Zukin Capital, Inc., Duff &amp; Phelps LLC, Murray, Devine and Company, Lincoln International LLC and Valuation Research Corporation are acceptable to the Administrative Agent. As used in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hereof, an “Approved Third-Party Appraiser selected by the Administrative Agent” shall mean any of the firms identified in the preceding sentence and any other Independent nationally recognized third-party appraisal firm identified by the Administrative Agent and consented to by the Borrower (such consent not to be unreasonably withheld).</w:t>
      </w:r>
    </w:p>
    <w:p>
      <w:pPr>
        <w:spacing w:after="0" w:line="166"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assignee (with the consent of any party whose consent is required by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(with adjustments thereto to reflect the Classes of Commitments and/or Loans being assigned or outstanding at the time of the respective assignment) or any other form approved by the Administrative Agent.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(a) in the case of any Extending Lender (with respect to such Extending Lender’s Extended Loans), the Extended Availability Period or (b) in the case of any Non-Extending Lender (with respect to such Non-Extending Lender’s Non-Extended Loans), the Non-Extended Availability Period for such Non-Extending Lender.</w:t>
      </w:r>
    </w:p>
    <w:p>
      <w:pPr>
        <w:spacing w:after="0" w:line="184"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means a certification regarding beneficial ownership as required by the Beneficial Ownership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Regulation.</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such term in the preamble to this Agreement.</w:t>
      </w:r>
    </w:p>
    <w:p>
      <w:pPr>
        <w:spacing w:after="0" w:line="225" w:lineRule="exact"/>
        <w:rPr>
          <w:sz w:val="20"/>
          <w:szCs w:val="20"/>
          <w:color w:val="auto"/>
        </w:rPr>
      </w:pPr>
    </w:p>
    <w:p>
      <w:pPr>
        <w:ind w:right="2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 Asset Coverage Ratio</w:t>
      </w:r>
      <w:r>
        <w:rPr>
          <w:rFonts w:ascii="Arial" w:cs="Arial" w:eastAsia="Arial" w:hAnsi="Arial"/>
          <w:sz w:val="16"/>
          <w:szCs w:val="16"/>
          <w:color w:val="auto"/>
        </w:rPr>
        <w:t xml:space="preserve">” means, as of any date of determination, the ratio, determined on a consolidated basis for the Obligors, without duplication, of (a) Total Assets as of such date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Total Assets Concentration Limitation as of such date to (b) the sum of (i) Total</w:t>
      </w:r>
    </w:p>
    <w:p>
      <w:pPr>
        <w:spacing w:after="0" w:line="56" w:lineRule="exact"/>
        <w:rPr>
          <w:sz w:val="20"/>
          <w:szCs w:val="20"/>
          <w:color w:val="auto"/>
        </w:rPr>
      </w:pPr>
    </w:p>
    <w:tbl>
      <w:tblPr>
        <w:tblLayout w:type="fixed"/>
        <w:tblInd w:w="5520" w:type="dxa"/>
        <w:tblCellMar>
          <w:top w:w="0" w:type="dxa"/>
          <w:left w:w="0" w:type="dxa"/>
          <w:bottom w:w="0" w:type="dxa"/>
          <w:right w:w="0" w:type="dxa"/>
        </w:tblCellMar>
      </w:tblPr>
      <w:tr>
        <w:trPr>
          <w:trHeight w:val="216"/>
        </w:trPr>
        <w:tc>
          <w:tcPr>
            <w:tcW w:w="1680" w:type="dxa"/>
            <w:vAlign w:val="bottom"/>
          </w:tcPr>
          <w:p>
            <w:pPr>
              <w:jc w:val="right"/>
              <w:ind w:right="1527"/>
              <w:spacing w:after="0"/>
              <w:rPr>
                <w:sz w:val="20"/>
                <w:szCs w:val="20"/>
                <w:color w:val="auto"/>
              </w:rPr>
            </w:pPr>
            <w:r>
              <w:rPr>
                <w:rFonts w:ascii="Arial" w:cs="Arial" w:eastAsia="Arial" w:hAnsi="Arial"/>
                <w:sz w:val="15"/>
                <w:szCs w:val="15"/>
                <w:color w:val="auto"/>
                <w:w w:val="71"/>
              </w:rPr>
              <w:t>5</w:t>
            </w:r>
          </w:p>
        </w:tc>
        <w:tc>
          <w:tcPr>
            <w:tcW w:w="382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680" w:type="dxa"/>
            <w:vAlign w:val="bottom"/>
          </w:tcPr>
          <w:p>
            <w:pPr>
              <w:spacing w:after="0"/>
              <w:rPr>
                <w:sz w:val="20"/>
                <w:szCs w:val="20"/>
                <w:color w:val="auto"/>
              </w:rPr>
            </w:pPr>
          </w:p>
        </w:tc>
        <w:tc>
          <w:tcPr>
            <w:tcW w:w="382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35" w:name="page36"/>
    <w:bookmarkEnd w:id="35"/>
    <w:p>
      <w:pPr>
        <w:jc w:val="both"/>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Secured Debt as of such date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any portion of any (x) Unsecured Longer-Term Indebtedness or (y) Unsecured Shorter-Term Indebtedness that, in the case of this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(y)</w:t>
      </w:r>
      <w:r>
        <w:rPr>
          <w:rFonts w:ascii="Arial" w:cs="Arial" w:eastAsia="Arial" w:hAnsi="Arial"/>
          <w:sz w:val="18"/>
          <w:szCs w:val="18"/>
          <w:color w:val="auto"/>
        </w:rPr>
        <w:t>, becomes subject to a contractually scheduled amortization prepayment or payment in full upon its maturity date within 90 days after such date of determination.</w:t>
      </w:r>
    </w:p>
    <w:p>
      <w:pPr>
        <w:spacing w:after="0" w:line="184" w:lineRule="exact"/>
        <w:rPr>
          <w:sz w:val="20"/>
          <w:szCs w:val="20"/>
          <w:color w:val="auto"/>
        </w:rPr>
      </w:pPr>
    </w:p>
    <w:p>
      <w:pPr>
        <w:ind w:right="6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Net Worth</w:t>
      </w:r>
      <w:r>
        <w:rPr>
          <w:rFonts w:ascii="Arial" w:cs="Arial" w:eastAsia="Arial" w:hAnsi="Arial"/>
          <w:sz w:val="18"/>
          <w:szCs w:val="18"/>
          <w:color w:val="auto"/>
        </w:rPr>
        <w:t xml:space="preserve">” means, as of any date of determination, (a) Total Assets as of such date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sum of (i) Total Asset Concentration Limitation as of such date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Total Secured Debt as of such date.</w:t>
      </w:r>
    </w:p>
    <w:p>
      <w:pPr>
        <w:spacing w:after="0" w:line="170"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all Syndicated ABR Loans of the same Class made, converted or continued on the same date, (b) all Eurocurrency Loans of the same Class denominated in the same Currency that have the same Interest Period or (c) a Swingline Loan.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25" w:lineRule="exact"/>
        <w:rPr>
          <w:sz w:val="20"/>
          <w:szCs w:val="20"/>
          <w:color w:val="auto"/>
        </w:rPr>
      </w:pPr>
    </w:p>
    <w:p>
      <w:pPr>
        <w:ind w:right="6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xml:space="preserve">” means a certificate of a Financial Officer of the Borrower,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appropriately completed.</w:t>
      </w:r>
    </w:p>
    <w:p>
      <w:pPr>
        <w:spacing w:after="0" w:line="170"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Deficiency</w:t>
      </w:r>
      <w:r>
        <w:rPr>
          <w:rFonts w:ascii="Arial" w:cs="Arial" w:eastAsia="Arial" w:hAnsi="Arial"/>
          <w:sz w:val="18"/>
          <w:szCs w:val="18"/>
          <w:color w:val="auto"/>
        </w:rPr>
        <w:t>” means, at any date on which the same is determined, the amount, if any, that (a) the aggregate Covered Debt Amount as of such date exceeds (b) the Borrowing Base as of such date.</w:t>
      </w:r>
    </w:p>
    <w:p>
      <w:pPr>
        <w:spacing w:after="0" w:line="170"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the Borrower for a Syndicated Borrowing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70" w:lineRule="exact"/>
        <w:rPr>
          <w:sz w:val="20"/>
          <w:szCs w:val="20"/>
          <w:color w:val="auto"/>
        </w:rPr>
      </w:pPr>
    </w:p>
    <w:p>
      <w:pPr>
        <w:ind w:right="20"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(a) that is not a Saturday, Sunday or other day on which commercial banks in Atlanta, Georgia are authorized or required by law to remain closed, (b) if such day relates to a borrowing of, a payment or prepayment of principal of or interest on, a continuation or conversion of or into, or the Interest Period for, a Eurocurrency Borrowing denominated in Dollars, or to a notice by the Borrower with respect to any such borrowing, payment, prepayment, continuation, conversion, or Interest Period, that is also a day on which dealings in deposits denominated in Dollars are carried out in the London interbank market and (c) if such day relates to a borrowing or continuation of, a payment or prepayment of principal of or interest on, or the Interest Period for, any Borrowing denominated in any Foreign Currency, or to a notice by the Borrower with respect to any such borrowing, continuation, payment, prepayment or Interest Period, that is also a day on which commercial banks and the London foreign exchange market settle payments in the Principal Financial Center for such Foreign Currency.</w:t>
      </w:r>
    </w:p>
    <w:p>
      <w:pPr>
        <w:spacing w:after="0" w:line="178" w:lineRule="exact"/>
        <w:rPr>
          <w:sz w:val="20"/>
          <w:szCs w:val="20"/>
          <w:color w:val="auto"/>
        </w:rPr>
      </w:pPr>
    </w:p>
    <w:p>
      <w:pPr>
        <w:ind w:right="14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Calculation Amount</w:t>
      </w:r>
      <w:r>
        <w:rPr>
          <w:rFonts w:ascii="Arial" w:cs="Arial" w:eastAsia="Arial" w:hAnsi="Arial"/>
          <w:sz w:val="18"/>
          <w:szCs w:val="18"/>
          <w:color w:val="auto"/>
        </w:rPr>
        <w:t xml:space="preserve">” shall mean, as of the end of any Testing Quarter, an amount equal to the greater of: (a) (i) 125% of the Adjusted Covered Debt Balance (as of the end of such Testing Quarter)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aggregate Value of all Quoted Investments (including, without duplication, Market Value Investments) included in the Borrowing Base (as of the end of such Testing Quarter) and (b) 10% of the aggregate Value (or as near thereto as reasonably practicable) of all Unquoted Investments included in the Borrowing Base (as of the end of such Testing Quarter);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more than 25% (or, if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applies, 10%) of the aggregate Value (or as near thereto as reasonably practicable) of all Unquoted Investments in the</w:t>
      </w:r>
    </w:p>
    <w:p>
      <w:pPr>
        <w:spacing w:after="0" w:line="125" w:lineRule="exact"/>
        <w:rPr>
          <w:sz w:val="20"/>
          <w:szCs w:val="20"/>
          <w:color w:val="auto"/>
        </w:rPr>
      </w:pPr>
    </w:p>
    <w:tbl>
      <w:tblPr>
        <w:tblLayout w:type="fixed"/>
        <w:tblInd w:w="5520" w:type="dxa"/>
        <w:tblCellMar>
          <w:top w:w="0" w:type="dxa"/>
          <w:left w:w="0" w:type="dxa"/>
          <w:bottom w:w="0" w:type="dxa"/>
          <w:right w:w="0" w:type="dxa"/>
        </w:tblCellMar>
      </w:tblPr>
      <w:tr>
        <w:trPr>
          <w:trHeight w:val="216"/>
        </w:trPr>
        <w:tc>
          <w:tcPr>
            <w:tcW w:w="1680" w:type="dxa"/>
            <w:vAlign w:val="bottom"/>
          </w:tcPr>
          <w:p>
            <w:pPr>
              <w:jc w:val="right"/>
              <w:ind w:right="1527"/>
              <w:spacing w:after="0"/>
              <w:rPr>
                <w:sz w:val="20"/>
                <w:szCs w:val="20"/>
                <w:color w:val="auto"/>
              </w:rPr>
            </w:pPr>
            <w:r>
              <w:rPr>
                <w:rFonts w:ascii="Arial" w:cs="Arial" w:eastAsia="Arial" w:hAnsi="Arial"/>
                <w:sz w:val="15"/>
                <w:szCs w:val="15"/>
                <w:color w:val="auto"/>
                <w:w w:val="71"/>
              </w:rPr>
              <w:t>6</w:t>
            </w:r>
          </w:p>
        </w:tc>
        <w:tc>
          <w:tcPr>
            <w:tcW w:w="382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680" w:type="dxa"/>
            <w:vAlign w:val="bottom"/>
          </w:tcPr>
          <w:p>
            <w:pPr>
              <w:spacing w:after="0"/>
              <w:rPr>
                <w:sz w:val="20"/>
                <w:szCs w:val="20"/>
                <w:color w:val="auto"/>
              </w:rPr>
            </w:pPr>
          </w:p>
        </w:tc>
        <w:tc>
          <w:tcPr>
            <w:tcW w:w="382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36" w:name="page37"/>
    <w:bookmarkEnd w:id="36"/>
    <w:p>
      <w:pPr>
        <w:ind w:left="4"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Borrowing Base be subject to testing by the Administrative Agent pursuant to </w:t>
      </w:r>
      <w:r>
        <w:rPr>
          <w:rFonts w:ascii="Arial" w:cs="Arial" w:eastAsia="Arial" w:hAnsi="Arial"/>
          <w:sz w:val="18"/>
          <w:szCs w:val="18"/>
          <w:u w:val="single" w:color="auto"/>
          <w:color w:val="auto"/>
        </w:rPr>
        <w:t>Section 5.12(b)(ii)(E)</w:t>
      </w:r>
      <w:r>
        <w:rPr>
          <w:rFonts w:ascii="Arial" w:cs="Arial" w:eastAsia="Arial" w:hAnsi="Arial"/>
          <w:sz w:val="18"/>
          <w:szCs w:val="18"/>
          <w:color w:val="auto"/>
        </w:rPr>
        <w:t xml:space="preserve"> in respect of any applicable Testing Quarter;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notwithstanding anything to the contrary in this Agreement, Market Value Investments shall be deemed to be Quoted Investments for purposes of this definition.</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CAM Exchange</w:t>
      </w:r>
      <w:r>
        <w:rPr>
          <w:rFonts w:ascii="Arial" w:cs="Arial" w:eastAsia="Arial" w:hAnsi="Arial"/>
          <w:sz w:val="18"/>
          <w:szCs w:val="18"/>
          <w:color w:val="auto"/>
        </w:rPr>
        <w:t xml:space="preserve">” means the exchange of the Lenders’ interests provided for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225" w:lineRule="exact"/>
        <w:rPr>
          <w:sz w:val="20"/>
          <w:szCs w:val="20"/>
          <w:color w:val="auto"/>
        </w:rPr>
      </w:pPr>
    </w:p>
    <w:p>
      <w:pPr>
        <w:ind w:left="4" w:right="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CAM Exchange Date</w:t>
      </w:r>
      <w:r>
        <w:rPr>
          <w:rFonts w:ascii="Arial" w:cs="Arial" w:eastAsia="Arial" w:hAnsi="Arial"/>
          <w:sz w:val="16"/>
          <w:szCs w:val="16"/>
          <w:color w:val="auto"/>
        </w:rPr>
        <w:t xml:space="preserve">” means the date on which any Event of Default referred to in </w:t>
      </w:r>
      <w:r>
        <w:rPr>
          <w:rFonts w:ascii="Arial" w:cs="Arial" w:eastAsia="Arial" w:hAnsi="Arial"/>
          <w:sz w:val="16"/>
          <w:szCs w:val="16"/>
          <w:u w:val="single" w:color="auto"/>
          <w:color w:val="auto"/>
        </w:rPr>
        <w:t>clause (j)</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shall occur or the date on which the Borrower receives written notice from the Administrative Agent that any Event of Default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has occurred.</w:t>
      </w:r>
    </w:p>
    <w:p>
      <w:pPr>
        <w:spacing w:after="0" w:line="124" w:lineRule="exact"/>
        <w:rPr>
          <w:sz w:val="20"/>
          <w:szCs w:val="20"/>
          <w:color w:val="auto"/>
        </w:rPr>
      </w:pPr>
    </w:p>
    <w:p>
      <w:pPr>
        <w:ind w:left="4" w:right="12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CAM Percentage</w:t>
      </w:r>
      <w:r>
        <w:rPr>
          <w:rFonts w:ascii="Arial" w:cs="Arial" w:eastAsia="Arial" w:hAnsi="Arial"/>
          <w:sz w:val="17"/>
          <w:szCs w:val="17"/>
          <w:color w:val="auto"/>
        </w:rPr>
        <w:t>” means, as to each Lender, a fraction, expressed as a decimal, of which (a) the numerator shall be the aggregate Dollar Equivalent of the Designated Obligations owed to such Lender (whether or not at the time due and payable) immediately prior to the CAM Exchange Date and (b) the denominator shall be the aggregate Dollar Equivalent amount of the Designated Obligations owed to all the Lenders (whether or not at the time due and payable) immediately prior to the CAM Exchange Date.</w:t>
      </w:r>
    </w:p>
    <w:p>
      <w:pPr>
        <w:spacing w:after="0" w:line="171" w:lineRule="exact"/>
        <w:rPr>
          <w:sz w:val="20"/>
          <w:szCs w:val="20"/>
          <w:color w:val="auto"/>
        </w:rPr>
      </w:pPr>
    </w:p>
    <w:p>
      <w:pPr>
        <w:ind w:left="4" w:right="1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finance leases on a balance sheet of such Person under GAAP, and the amount of such obligations shall be the capitalized amount thereof determined in accordance with GAAP.</w:t>
      </w:r>
    </w:p>
    <w:p>
      <w:pPr>
        <w:spacing w:after="0" w:line="187" w:lineRule="exact"/>
        <w:rPr>
          <w:sz w:val="20"/>
          <w:szCs w:val="20"/>
          <w:color w:val="auto"/>
        </w:rPr>
      </w:pPr>
    </w:p>
    <w:p>
      <w:pPr>
        <w:ind w:left="4" w:right="7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any immediately available funds in Dollars or in any currency other than Dollars (measured in terms of the Dollar Equivalent thereof) which is a freely convertible currency.</w:t>
      </w:r>
    </w:p>
    <w:p>
      <w:pPr>
        <w:spacing w:after="0" w:line="170" w:lineRule="exact"/>
        <w:rPr>
          <w:sz w:val="20"/>
          <w:szCs w:val="20"/>
          <w:color w:val="auto"/>
        </w:rPr>
      </w:pPr>
    </w:p>
    <w:p>
      <w:pPr>
        <w:ind w:left="4" w:right="4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Collateralize</w:t>
      </w:r>
      <w:r>
        <w:rPr>
          <w:rFonts w:ascii="Arial" w:cs="Arial" w:eastAsia="Arial" w:hAnsi="Arial"/>
          <w:sz w:val="16"/>
          <w:szCs w:val="16"/>
          <w:color w:val="auto"/>
        </w:rPr>
        <w:t xml:space="preserve">” means, in respect of a Letter of Credit or any obligation hereunder, to provide and pledge cash collateral pursuant to </w:t>
      </w:r>
      <w:r>
        <w:rPr>
          <w:rFonts w:ascii="Arial" w:cs="Arial" w:eastAsia="Arial" w:hAnsi="Arial"/>
          <w:sz w:val="16"/>
          <w:szCs w:val="16"/>
          <w:u w:val="single" w:color="auto"/>
          <w:color w:val="auto"/>
        </w:rPr>
        <w:t>Section 2.05(k)</w:t>
      </w:r>
      <w:r>
        <w:rPr>
          <w:rFonts w:ascii="Arial" w:cs="Arial" w:eastAsia="Arial" w:hAnsi="Arial"/>
          <w:sz w:val="16"/>
          <w:szCs w:val="16"/>
          <w:color w:val="auto"/>
        </w:rPr>
        <w:t>, at a location and pursuant to documentation in form and substance reasonably satisfactory to Administrative Agent and the Issuing Bank. “</w:t>
      </w:r>
      <w:r>
        <w:rPr>
          <w:rFonts w:ascii="Arial" w:cs="Arial" w:eastAsia="Arial" w:hAnsi="Arial"/>
          <w:sz w:val="16"/>
          <w:szCs w:val="16"/>
          <w:u w:val="single" w:color="auto"/>
          <w:color w:val="auto"/>
        </w:rPr>
        <w:t>Cash Collateral</w:t>
      </w:r>
      <w:r>
        <w:rPr>
          <w:rFonts w:ascii="Arial" w:cs="Arial" w:eastAsia="Arial" w:hAnsi="Arial"/>
          <w:sz w:val="16"/>
          <w:szCs w:val="16"/>
          <w:color w:val="auto"/>
        </w:rPr>
        <w:t>” shall have a meaning correlative to the foregoing and shall include the proceeds of such cash collateral and other credit support.</w:t>
      </w:r>
    </w:p>
    <w:p>
      <w:pPr>
        <w:spacing w:after="0" w:line="14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investments (other than Cash) that are one or more of the following obligations:</w:t>
      </w:r>
    </w:p>
    <w:p>
      <w:pPr>
        <w:spacing w:after="0" w:line="117" w:lineRule="exact"/>
        <w:rPr>
          <w:sz w:val="20"/>
          <w:szCs w:val="20"/>
          <w:color w:val="auto"/>
        </w:rPr>
      </w:pPr>
    </w:p>
    <w:p>
      <w:pPr>
        <w:ind w:left="384" w:hanging="384"/>
        <w:spacing w:after="0"/>
        <w:tabs>
          <w:tab w:leader="none" w:pos="384"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Government Securities, in each case maturing within one year from the date of acquisition thereof;</w:t>
      </w:r>
    </w:p>
    <w:p>
      <w:pPr>
        <w:spacing w:after="0" w:line="117" w:lineRule="exact"/>
        <w:rPr>
          <w:rFonts w:ascii="Arial" w:cs="Arial" w:eastAsia="Arial" w:hAnsi="Arial"/>
          <w:sz w:val="18"/>
          <w:szCs w:val="18"/>
          <w:color w:val="auto"/>
        </w:rPr>
      </w:pPr>
    </w:p>
    <w:p>
      <w:pPr>
        <w:ind w:left="4" w:right="120" w:hanging="4"/>
        <w:spacing w:after="0" w:line="263" w:lineRule="auto"/>
        <w:tabs>
          <w:tab w:leader="none" w:pos="39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a credit rating of at least A-1 from S&amp;P and at least P-1 from Moody’s (or if only one of S&amp;P or Moody’s provides such rating, such investment shall also have an equivalent credit rating from any other rating agency);</w:t>
      </w:r>
    </w:p>
    <w:p>
      <w:pPr>
        <w:spacing w:after="0" w:line="116" w:lineRule="exact"/>
        <w:rPr>
          <w:sz w:val="20"/>
          <w:szCs w:val="20"/>
          <w:color w:val="auto"/>
        </w:rPr>
      </w:pPr>
    </w:p>
    <w:tbl>
      <w:tblPr>
        <w:tblLayout w:type="fixed"/>
        <w:tblInd w:w="5524" w:type="dxa"/>
        <w:tblCellMar>
          <w:top w:w="0" w:type="dxa"/>
          <w:left w:w="0" w:type="dxa"/>
          <w:bottom w:w="0" w:type="dxa"/>
          <w:right w:w="0" w:type="dxa"/>
        </w:tblCellMar>
      </w:tblPr>
      <w:tr>
        <w:trPr>
          <w:trHeight w:val="216"/>
        </w:trPr>
        <w:tc>
          <w:tcPr>
            <w:tcW w:w="1680" w:type="dxa"/>
            <w:vAlign w:val="bottom"/>
          </w:tcPr>
          <w:p>
            <w:pPr>
              <w:jc w:val="right"/>
              <w:ind w:right="1527"/>
              <w:spacing w:after="0"/>
              <w:rPr>
                <w:sz w:val="20"/>
                <w:szCs w:val="20"/>
                <w:color w:val="auto"/>
              </w:rPr>
            </w:pPr>
            <w:r>
              <w:rPr>
                <w:rFonts w:ascii="Arial" w:cs="Arial" w:eastAsia="Arial" w:hAnsi="Arial"/>
                <w:sz w:val="15"/>
                <w:szCs w:val="15"/>
                <w:color w:val="auto"/>
                <w:w w:val="71"/>
              </w:rPr>
              <w:t>7</w:t>
            </w:r>
          </w:p>
        </w:tc>
        <w:tc>
          <w:tcPr>
            <w:tcW w:w="382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680" w:type="dxa"/>
            <w:vAlign w:val="bottom"/>
          </w:tcPr>
          <w:p>
            <w:pPr>
              <w:spacing w:after="0"/>
              <w:rPr>
                <w:sz w:val="20"/>
                <w:szCs w:val="20"/>
                <w:color w:val="auto"/>
              </w:rPr>
            </w:pPr>
          </w:p>
        </w:tc>
        <w:tc>
          <w:tcPr>
            <w:tcW w:w="382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37" w:name="page38"/>
    <w:bookmarkEnd w:id="37"/>
    <w:p>
      <w:pPr>
        <w:ind w:left="384" w:hanging="384"/>
        <w:spacing w:after="0"/>
        <w:tabs>
          <w:tab w:leader="none" w:pos="384"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investments in certificates of deposit, bankers’ acceptances and time deposits maturing within 180 days from the date of acquisition thereof</w:t>
      </w:r>
    </w:p>
    <w:p>
      <w:pPr>
        <w:spacing w:after="0" w:line="34" w:lineRule="exact"/>
        <w:rPr>
          <w:rFonts w:ascii="Arial" w:cs="Arial" w:eastAsia="Arial" w:hAnsi="Arial"/>
          <w:sz w:val="17"/>
          <w:szCs w:val="17"/>
          <w:color w:val="auto"/>
        </w:rPr>
      </w:pPr>
    </w:p>
    <w:p>
      <w:pPr>
        <w:ind w:left="4" w:right="20" w:hanging="4"/>
        <w:spacing w:after="0" w:line="290" w:lineRule="auto"/>
        <w:tabs>
          <w:tab w:leader="none" w:pos="219"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issued or guaranteed by or placed with, and money market deposit accounts issued or offered by, any domestic office of any commercial bank organized under the laws of the United States of America or any State thereof or under the laws of the jurisdiction or any constituent jurisdiction thereof in which the Principal Financial Center in respect of any Agreed Foreign Currency is located;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certificates of deposit, banker’s acceptances and time deposits are held in a securities account (as defined in the Uniform Commercial Code) through which the Collateral Agent can perfect a security interest therein and (ii) having, at such date of acquisition, a credit rating of at least A-1 from S&amp;P and at least P-1 from Moody’s (or if only one of S&amp;P or Moody’s provides such rating, such investment shall also have an equivalent credit rating from any other rating agency);</w:t>
      </w:r>
    </w:p>
    <w:p>
      <w:pPr>
        <w:spacing w:after="0" w:line="55" w:lineRule="exact"/>
        <w:rPr>
          <w:rFonts w:ascii="Arial" w:cs="Arial" w:eastAsia="Arial" w:hAnsi="Arial"/>
          <w:sz w:val="16"/>
          <w:szCs w:val="16"/>
          <w:color w:val="auto"/>
        </w:rPr>
      </w:pPr>
    </w:p>
    <w:p>
      <w:pPr>
        <w:ind w:left="4" w:right="20" w:hanging="4"/>
        <w:spacing w:after="0" w:line="257" w:lineRule="auto"/>
        <w:tabs>
          <w:tab w:leader="none" w:pos="394"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fully collateralized repurchase agreements with a term of not more than 15 days from the date of acquisition thereof for U.S. Government Securities and entered into with (i) a financial institution satisfying the criteria described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definition or (ii) an Approved Dealer having (or being a member of a consolidated group having) at such date of acquisition, a credit rating of at least A-2 from S&amp;P and at least P-2 from Moody’s (or if only one of S&amp;P or Moody’s provides such rating, such Approved Dealer shall also have an equivalent credit rating from any other rating agency); and</w:t>
      </w:r>
    </w:p>
    <w:p>
      <w:pPr>
        <w:spacing w:after="0" w:line="79" w:lineRule="exact"/>
        <w:rPr>
          <w:rFonts w:ascii="Arial" w:cs="Arial" w:eastAsia="Arial" w:hAnsi="Arial"/>
          <w:sz w:val="18"/>
          <w:szCs w:val="18"/>
          <w:color w:val="auto"/>
        </w:rPr>
      </w:pPr>
    </w:p>
    <w:p>
      <w:pPr>
        <w:ind w:left="4" w:right="180" w:hanging="4"/>
        <w:spacing w:after="0" w:line="263" w:lineRule="auto"/>
        <w:tabs>
          <w:tab w:leader="none" w:pos="384"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investments in money market funds that invest, and which are restricted by their respective charters to invest, substantially all of their assets in investments of the type described in the immediately preceding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(including as to credit quality and maturity), in each case rated no lower than the then-current rating of the federal government of the United States.</w:t>
      </w:r>
    </w:p>
    <w:p>
      <w:pPr>
        <w:spacing w:after="0" w:line="184" w:lineRule="exact"/>
        <w:rPr>
          <w:sz w:val="20"/>
          <w:szCs w:val="20"/>
          <w:color w:val="auto"/>
        </w:rPr>
      </w:pPr>
    </w:p>
    <w:p>
      <w:pPr>
        <w:ind w:left="4" w:right="160"/>
        <w:spacing w:after="0" w:line="273"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 no event shall Cash Equivalents include any obligation that provides for the payment of interest alone (for example, interest-only securities or “IOs”); (ii) if any of Moody’s or S&amp;P changes its rating system, then any ratings included in this definition shall be deemed to be an equivalent rating in a successor rating category of Moody’s or S&amp;P, as the case may be; (iii) Cash Equivalents (other than U.S. Government Securities, repurchase agreements or the money market funds described in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of this definition of Cash Equivalents)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spacing w:after="0" w:line="178" w:lineRule="exact"/>
        <w:rPr>
          <w:sz w:val="20"/>
          <w:szCs w:val="20"/>
          <w:color w:val="auto"/>
        </w:rPr>
      </w:pPr>
    </w:p>
    <w:p>
      <w:pPr>
        <w:ind w:left="4" w:right="8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CDOR Rate</w:t>
      </w:r>
      <w:r>
        <w:rPr>
          <w:rFonts w:ascii="Arial" w:cs="Arial" w:eastAsia="Arial" w:hAnsi="Arial"/>
          <w:sz w:val="17"/>
          <w:szCs w:val="17"/>
          <w:color w:val="auto"/>
        </w:rPr>
        <w:t>” means the rate per annum equal to the average of the annual yield rates applicable to Canadian Dollar bankers’ acceptances at or about 10:00 a.m. (Toronto, Ontario time) on the first day of such Interest Period (or, if such day is not a Business Day, then on the immediately preceding Business Day) as reported on the “CDOR Page” (or any display substituted therefor) of Reuters Monitor Money Rates Service (or such other page or commercially available source displaying Canadian interbank bid rates for Canadian Dollar bankers’ acceptances as may be designated by the Administrative Agent from time to time) for a term equivalent to such Interest Period (or, if such Interest Period is not equal to a number of months, for a term equivalent to the number of months closest to such Interest Period).</w:t>
      </w:r>
    </w:p>
    <w:p>
      <w:pPr>
        <w:spacing w:after="0" w:line="110" w:lineRule="exact"/>
        <w:rPr>
          <w:sz w:val="20"/>
          <w:szCs w:val="20"/>
          <w:color w:val="auto"/>
        </w:rPr>
      </w:pPr>
    </w:p>
    <w:tbl>
      <w:tblPr>
        <w:tblLayout w:type="fixed"/>
        <w:tblInd w:w="5524" w:type="dxa"/>
        <w:tblCellMar>
          <w:top w:w="0" w:type="dxa"/>
          <w:left w:w="0" w:type="dxa"/>
          <w:bottom w:w="0" w:type="dxa"/>
          <w:right w:w="0" w:type="dxa"/>
        </w:tblCellMar>
      </w:tblPr>
      <w:tr>
        <w:trPr>
          <w:trHeight w:val="216"/>
        </w:trPr>
        <w:tc>
          <w:tcPr>
            <w:tcW w:w="1680" w:type="dxa"/>
            <w:vAlign w:val="bottom"/>
          </w:tcPr>
          <w:p>
            <w:pPr>
              <w:jc w:val="right"/>
              <w:ind w:right="1527"/>
              <w:spacing w:after="0"/>
              <w:rPr>
                <w:sz w:val="20"/>
                <w:szCs w:val="20"/>
                <w:color w:val="auto"/>
              </w:rPr>
            </w:pPr>
            <w:r>
              <w:rPr>
                <w:rFonts w:ascii="Arial" w:cs="Arial" w:eastAsia="Arial" w:hAnsi="Arial"/>
                <w:sz w:val="15"/>
                <w:szCs w:val="15"/>
                <w:color w:val="auto"/>
                <w:w w:val="71"/>
              </w:rPr>
              <w:t>8</w:t>
            </w:r>
          </w:p>
        </w:tc>
        <w:tc>
          <w:tcPr>
            <w:tcW w:w="382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680" w:type="dxa"/>
            <w:vAlign w:val="bottom"/>
          </w:tcPr>
          <w:p>
            <w:pPr>
              <w:spacing w:after="0"/>
              <w:rPr>
                <w:sz w:val="20"/>
                <w:szCs w:val="20"/>
                <w:color w:val="auto"/>
              </w:rPr>
            </w:pPr>
          </w:p>
        </w:tc>
        <w:tc>
          <w:tcPr>
            <w:tcW w:w="382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38" w:name="page39"/>
    <w:bookmarkEnd w:id="38"/>
    <w:p>
      <w:pPr>
        <w:ind w:left="4" w:right="20"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(a) the acquisition of ownership, directly or indirectly, beneficially or of record, by any Person or group (within the meaning of the Securities Exchange Act of 1934 and the rules of the Securities and Exchange Commission thereunder as in effect on the date hereof), of shares representing more than 35% of the aggregate ordinary voting power represented by the issued and outstanding capital stock of the Borrower; (b) occupation of a majority of the seats (other than vacant seats) on the board of directors of the Borrower by Persons who were neither</w:t>
      </w:r>
    </w:p>
    <w:p>
      <w:pPr>
        <w:spacing w:after="0" w:line="1" w:lineRule="exact"/>
        <w:rPr>
          <w:sz w:val="20"/>
          <w:szCs w:val="20"/>
          <w:color w:val="auto"/>
        </w:rPr>
      </w:pPr>
    </w:p>
    <w:p>
      <w:pPr>
        <w:ind w:left="224" w:hanging="224"/>
        <w:spacing w:after="0"/>
        <w:tabs>
          <w:tab w:leader="none" w:pos="224" w:val="left"/>
        </w:tabs>
        <w:numPr>
          <w:ilvl w:val="0"/>
          <w:numId w:val="9"/>
        </w:numPr>
        <w:rPr>
          <w:rFonts w:ascii="Arial" w:cs="Arial" w:eastAsia="Arial" w:hAnsi="Arial"/>
          <w:sz w:val="17"/>
          <w:szCs w:val="17"/>
          <w:color w:val="auto"/>
        </w:rPr>
      </w:pPr>
      <w:r>
        <w:rPr>
          <w:rFonts w:ascii="Arial" w:cs="Arial" w:eastAsia="Arial" w:hAnsi="Arial"/>
          <w:sz w:val="17"/>
          <w:szCs w:val="17"/>
          <w:color w:val="auto"/>
        </w:rPr>
        <w:t>nominated by the requisite members of the board of directors of the Borrower nor (ii) appointed by a majority of the directors so nominated; or</w:t>
      </w:r>
    </w:p>
    <w:p>
      <w:pPr>
        <w:spacing w:after="0" w:line="20" w:lineRule="exact"/>
        <w:rPr>
          <w:rFonts w:ascii="Arial" w:cs="Arial" w:eastAsia="Arial" w:hAnsi="Arial"/>
          <w:sz w:val="17"/>
          <w:szCs w:val="17"/>
          <w:color w:val="auto"/>
        </w:rPr>
      </w:pPr>
    </w:p>
    <w:p>
      <w:pPr>
        <w:ind w:left="244" w:hanging="244"/>
        <w:spacing w:after="0"/>
        <w:tabs>
          <w:tab w:leader="none" w:pos="2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acquisition of direct or indirect Control of the Borrower by any Person or group other than PennantPark Investment Advisers, LLC.</w:t>
      </w:r>
    </w:p>
    <w:p>
      <w:pPr>
        <w:spacing w:after="0" w:line="211" w:lineRule="exact"/>
        <w:rPr>
          <w:sz w:val="20"/>
          <w:szCs w:val="20"/>
          <w:color w:val="auto"/>
        </w:rPr>
      </w:pPr>
    </w:p>
    <w:p>
      <w:pPr>
        <w:ind w:left="4" w:right="40"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means the occurrence, after the date of this Agreement (or with respect to a Person becoming a Lender by assignment or joinder after the date of this Agreement, the effective date thereof), of (a) the adoption of any law, treaty or governmental rule or regulation or any change in any law, treaty or governmental rule or regulation or in the interpretation, administration or application thereof (regardless of whether the underlying law, treaty or governmental rule or regulation was issued or enacted prior to the date hereof), but excluding proposals thereof, or any determination of a court or Governmental Authority, (b) any guideline, request or directive by any Governmental Authority (whether or not having the force of law) or any implementation rules or interpretations of previously issued guidelines, requests or directives, in each case that is issued or made after the date hereof (or with respect to a Person becoming a Lender by assignment or joinder after the date of this Agreement, the effective date thereof) or (c) compliance by any Lender (or its applicable lending office) or any company controlling such Lender with any guideline, request or directive regarding capital adequacy or liquidity (whether or not having the force of law) of any such Governmental Authority, in each case adopted after the date hereof (or with respect to a Person becoming a Lender by assignment or joinder after the date of this Agreement, the effective date thereof). For the avoidance of doubt, all requests, rules, guidelines or directives concerning liquidity and capital adequacy issued (i) by any United States regulatory authority under or in connection with the implementation of the Dodd-Frank Wall Street Reform and Consumer Protection Act and (ii) in connection with the implementation of the recommendations of the Bank for International Settlements or the Basel Committee on Banking Regulations and Supervisory Practices (or any successor or similar authority), in each case pursuant to Basel III, shall in each case be deemed to be a “Change in Law”, regardless of the date adopted, issued, promulgated or implemented.</w:t>
      </w:r>
    </w:p>
    <w:p>
      <w:pPr>
        <w:spacing w:after="0" w:line="16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w:t>
      </w:r>
      <w:r>
        <w:rPr>
          <w:rFonts w:ascii="Arial" w:cs="Arial" w:eastAsia="Arial" w:hAnsi="Arial"/>
          <w:sz w:val="16"/>
          <w:szCs w:val="16"/>
          <w:color w:val="auto"/>
        </w:rPr>
        <w:t>”, when used in reference to any Loan or Borrowing, refers to whether such Loan, or the Loans constituting such Borrowing, are</w:t>
      </w:r>
    </w:p>
    <w:p>
      <w:pPr>
        <w:spacing w:after="0" w:line="46" w:lineRule="exact"/>
        <w:rPr>
          <w:sz w:val="20"/>
          <w:szCs w:val="20"/>
          <w:color w:val="auto"/>
        </w:rPr>
      </w:pPr>
    </w:p>
    <w:p>
      <w:pPr>
        <w:ind w:left="4" w:right="300" w:hanging="4"/>
        <w:spacing w:after="0" w:line="252" w:lineRule="auto"/>
        <w:tabs>
          <w:tab w:leader="none" w:pos="2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Syndicated Dollar Loans, Syndicated Multicurrency Loans or Swingline Loans and/or (y) Extended Loans or Non-Extended Loans; when used in reference to any Lender, refers to whether such Lender is (x) a Dollar Lender or a Multicurrency Lender and/or (y) an Extending Lender or a Non-Extending Lender; and, when used in reference to any Commitment, refers to whether such Commitment is a Dollar Commitment or a Multicurrency Commitment. The “</w:t>
      </w:r>
      <w:r>
        <w:rPr>
          <w:rFonts w:ascii="Arial" w:cs="Arial" w:eastAsia="Arial" w:hAnsi="Arial"/>
          <w:sz w:val="18"/>
          <w:szCs w:val="18"/>
          <w:u w:val="single" w:color="auto"/>
          <w:color w:val="auto"/>
        </w:rPr>
        <w:t>Class</w:t>
      </w:r>
      <w:r>
        <w:rPr>
          <w:rFonts w:ascii="Arial" w:cs="Arial" w:eastAsia="Arial" w:hAnsi="Arial"/>
          <w:sz w:val="18"/>
          <w:szCs w:val="18"/>
          <w:color w:val="auto"/>
        </w:rPr>
        <w:t xml:space="preserve">” of a Letter of Credit refers to whether such Letter of Credit is a Dollar Letter of Credit or a Multicurrency Letter of Credit. Other than for purposes of </w:t>
      </w:r>
      <w:r>
        <w:rPr>
          <w:rFonts w:ascii="Arial" w:cs="Arial" w:eastAsia="Arial" w:hAnsi="Arial"/>
          <w:sz w:val="18"/>
          <w:szCs w:val="18"/>
          <w:u w:val="single" w:color="auto"/>
          <w:color w:val="auto"/>
        </w:rPr>
        <w:t>Sections 2.08(f)</w:t>
      </w:r>
      <w:r>
        <w:rPr>
          <w:rFonts w:ascii="Arial" w:cs="Arial" w:eastAsia="Arial" w:hAnsi="Arial"/>
          <w:sz w:val="18"/>
          <w:szCs w:val="18"/>
          <w:color w:val="auto"/>
        </w:rPr>
        <w:t xml:space="preserve">, </w:t>
      </w:r>
      <w:r>
        <w:rPr>
          <w:rFonts w:ascii="Arial" w:cs="Arial" w:eastAsia="Arial" w:hAnsi="Arial"/>
          <w:sz w:val="18"/>
          <w:szCs w:val="18"/>
          <w:u w:val="single" w:color="auto"/>
          <w:color w:val="auto"/>
        </w:rPr>
        <w:t>2.09(a)</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2.10(e)</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2.17(c)</w:t>
      </w:r>
      <w:r>
        <w:rPr>
          <w:rFonts w:ascii="Arial" w:cs="Arial" w:eastAsia="Arial" w:hAnsi="Arial"/>
          <w:sz w:val="18"/>
          <w:szCs w:val="18"/>
          <w:color w:val="auto"/>
        </w:rPr>
        <w:t xml:space="preserve">, </w:t>
      </w:r>
      <w:r>
        <w:rPr>
          <w:rFonts w:ascii="Arial" w:cs="Arial" w:eastAsia="Arial" w:hAnsi="Arial"/>
          <w:sz w:val="18"/>
          <w:szCs w:val="18"/>
          <w:u w:val="single" w:color="auto"/>
          <w:color w:val="auto"/>
        </w:rPr>
        <w:t>2.20</w:t>
      </w:r>
      <w:r>
        <w:rPr>
          <w:rFonts w:ascii="Arial" w:cs="Arial" w:eastAsia="Arial" w:hAnsi="Arial"/>
          <w:sz w:val="18"/>
          <w:szCs w:val="18"/>
          <w:color w:val="auto"/>
        </w:rPr>
        <w:t xml:space="preserve"> and the last paragraph of </w:t>
      </w:r>
      <w:r>
        <w:rPr>
          <w:rFonts w:ascii="Arial" w:cs="Arial" w:eastAsia="Arial" w:hAnsi="Arial"/>
          <w:sz w:val="18"/>
          <w:szCs w:val="18"/>
          <w:u w:val="single" w:color="auto"/>
          <w:color w:val="auto"/>
        </w:rPr>
        <w:t>9.02(b)</w:t>
      </w:r>
      <w:r>
        <w:rPr>
          <w:rFonts w:ascii="Arial" w:cs="Arial" w:eastAsia="Arial" w:hAnsi="Arial"/>
          <w:sz w:val="18"/>
          <w:szCs w:val="18"/>
          <w:color w:val="auto"/>
        </w:rPr>
        <w:t>, Extending Lenders and Non-Extending Lenders shall be treated as the same Class of Lenders and Extended Loans and Non-Extended Loans shall be treated as the same Class of Loans.</w:t>
      </w:r>
    </w:p>
    <w:p>
      <w:pPr>
        <w:spacing w:after="0" w:line="125" w:lineRule="exact"/>
        <w:rPr>
          <w:sz w:val="20"/>
          <w:szCs w:val="20"/>
          <w:color w:val="auto"/>
        </w:rPr>
      </w:pPr>
    </w:p>
    <w:tbl>
      <w:tblPr>
        <w:tblLayout w:type="fixed"/>
        <w:tblInd w:w="5524" w:type="dxa"/>
        <w:tblCellMar>
          <w:top w:w="0" w:type="dxa"/>
          <w:left w:w="0" w:type="dxa"/>
          <w:bottom w:w="0" w:type="dxa"/>
          <w:right w:w="0" w:type="dxa"/>
        </w:tblCellMar>
      </w:tblPr>
      <w:tr>
        <w:trPr>
          <w:trHeight w:val="216"/>
        </w:trPr>
        <w:tc>
          <w:tcPr>
            <w:tcW w:w="1680" w:type="dxa"/>
            <w:vAlign w:val="bottom"/>
          </w:tcPr>
          <w:p>
            <w:pPr>
              <w:jc w:val="right"/>
              <w:ind w:right="1527"/>
              <w:spacing w:after="0"/>
              <w:rPr>
                <w:sz w:val="20"/>
                <w:szCs w:val="20"/>
                <w:color w:val="auto"/>
              </w:rPr>
            </w:pPr>
            <w:r>
              <w:rPr>
                <w:rFonts w:ascii="Arial" w:cs="Arial" w:eastAsia="Arial" w:hAnsi="Arial"/>
                <w:sz w:val="15"/>
                <w:szCs w:val="15"/>
                <w:color w:val="auto"/>
                <w:w w:val="71"/>
              </w:rPr>
              <w:t>9</w:t>
            </w:r>
          </w:p>
        </w:tc>
        <w:tc>
          <w:tcPr>
            <w:tcW w:w="382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680" w:type="dxa"/>
            <w:vAlign w:val="bottom"/>
          </w:tcPr>
          <w:p>
            <w:pPr>
              <w:spacing w:after="0"/>
              <w:rPr>
                <w:sz w:val="20"/>
                <w:szCs w:val="20"/>
                <w:color w:val="auto"/>
              </w:rPr>
            </w:pPr>
          </w:p>
        </w:tc>
        <w:tc>
          <w:tcPr>
            <w:tcW w:w="382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39" w:name="page40"/>
    <w:bookmarkEnd w:id="39"/>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has the meaning assigned to such term in the Guarantee and Security Agreement.</w:t>
      </w:r>
    </w:p>
    <w:p>
      <w:pPr>
        <w:spacing w:after="0" w:line="225" w:lineRule="exact"/>
        <w:rPr>
          <w:sz w:val="20"/>
          <w:szCs w:val="20"/>
          <w:color w:val="auto"/>
        </w:rPr>
      </w:pPr>
    </w:p>
    <w:p>
      <w:pPr>
        <w:ind w:left="4" w:right="4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means SunTrust in its capacity as Collateral Agent under the Guarantee and Security Agreement, and includes any successor Collateral Agent thereunder.</w:t>
      </w:r>
    </w:p>
    <w:p>
      <w:pPr>
        <w:spacing w:after="0" w:line="170" w:lineRule="exact"/>
        <w:rPr>
          <w:sz w:val="20"/>
          <w:szCs w:val="20"/>
          <w:color w:val="auto"/>
        </w:rPr>
      </w:pPr>
    </w:p>
    <w:p>
      <w:pPr>
        <w:ind w:left="4" w:right="4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Pool</w:t>
      </w:r>
      <w:r>
        <w:rPr>
          <w:rFonts w:ascii="Arial" w:cs="Arial" w:eastAsia="Arial" w:hAnsi="Arial"/>
          <w:sz w:val="17"/>
          <w:szCs w:val="17"/>
          <w:color w:val="auto"/>
        </w:rPr>
        <w:t xml:space="preserve">” means, at any time, each Portfolio Investment that has been Delivered (as defined in the Guarantee and Security Agreement) to the Collateral Agent and is subject to the Lien of the Guaranty and Security Agreement, and then only for so long as such Portfolio Investment continues to be Delivered as contemplated therein and in which the Collateral Agent has a first-priority perfected Lien as security for the Secured Obligations (as such term is defined in the Guarantee and Security Agreement) (subject to any Lien permitted by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Portfolio Investment in which the Collateral Agent has a first-priority perfected security interest pursuant to a valid Uniform Commercial Code filing (and for which no other method of perfection with a higher priority is possible), such Portfolio Investment may be included in the Borrowing Base so long as all remaining actions to complete “Delivery” are satisfied in full within 7 days of such inclusion.</w:t>
      </w:r>
    </w:p>
    <w:p>
      <w:pPr>
        <w:spacing w:after="0" w:line="177" w:lineRule="exact"/>
        <w:rPr>
          <w:sz w:val="20"/>
          <w:szCs w:val="20"/>
          <w:color w:val="auto"/>
        </w:rPr>
      </w:pPr>
    </w:p>
    <w:p>
      <w:pPr>
        <w:ind w:left="4" w:right="3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Combined Debt Amount</w:t>
      </w:r>
      <w:r>
        <w:rPr>
          <w:rFonts w:ascii="Arial" w:cs="Arial" w:eastAsia="Arial" w:hAnsi="Arial"/>
          <w:sz w:val="18"/>
          <w:szCs w:val="18"/>
          <w:color w:val="auto"/>
        </w:rPr>
        <w:t>” means, as of any date, (i) the aggregate Commitments as of such date (or, if greater, the Revolving Credit Exposures of all Lenders as of such date) plus (ii) the aggregate amount of outstanding Designated Indebtedness (as such term is defined in the Guarantee and Security Agreement) and, without duplication, the aggregate amount of unused commitments under any Designated Indebtedness (as such term is defined in the Guarantee and Security Agreement).</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Commitments</w:t>
      </w:r>
      <w:r>
        <w:rPr>
          <w:rFonts w:ascii="Arial" w:cs="Arial" w:eastAsia="Arial" w:hAnsi="Arial"/>
          <w:sz w:val="18"/>
          <w:szCs w:val="18"/>
          <w:color w:val="auto"/>
        </w:rPr>
        <w:t>” means, collectively, the Dollar Commitments and the Multicurrency Commitments.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225" w:lineRule="exact"/>
        <w:rPr>
          <w:sz w:val="20"/>
          <w:szCs w:val="20"/>
          <w:color w:val="auto"/>
        </w:rPr>
      </w:pPr>
    </w:p>
    <w:p>
      <w:pPr>
        <w:ind w:left="4" w:right="6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Termination Date</w:t>
      </w:r>
      <w:r>
        <w:rPr>
          <w:rFonts w:ascii="Arial" w:cs="Arial" w:eastAsia="Arial" w:hAnsi="Arial"/>
          <w:sz w:val="18"/>
          <w:szCs w:val="18"/>
          <w:color w:val="auto"/>
        </w:rPr>
        <w:t>” means the Extended Commitment Termination Date or the relevant Non-Extended Commitment Termination Date, as applicable.</w:t>
      </w:r>
    </w:p>
    <w:p>
      <w:pPr>
        <w:spacing w:after="0" w:line="170" w:lineRule="exact"/>
        <w:rPr>
          <w:sz w:val="20"/>
          <w:szCs w:val="20"/>
          <w:color w:val="auto"/>
        </w:rPr>
      </w:pPr>
    </w:p>
    <w:p>
      <w:pPr>
        <w:ind w:left="4" w:right="22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Asset Coverage Ratio</w:t>
      </w:r>
      <w:r>
        <w:rPr>
          <w:rFonts w:ascii="Arial" w:cs="Arial" w:eastAsia="Arial" w:hAnsi="Arial"/>
          <w:sz w:val="16"/>
          <w:szCs w:val="16"/>
          <w:color w:val="auto"/>
        </w:rPr>
        <w:t>” means the ratio, determined on a consolidated basis for Borrower and its Subsidiaries, without duplication, (a) the value of total assets of the Borrower and its Subsidiaries, less all liabilities and indebtedness not represented by senior securities to</w:t>
      </w:r>
    </w:p>
    <w:p>
      <w:pPr>
        <w:jc w:val="both"/>
        <w:ind w:left="4" w:right="220" w:hanging="4"/>
        <w:spacing w:after="0" w:line="302" w:lineRule="auto"/>
        <w:tabs>
          <w:tab w:leader="none" w:pos="25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the aggregate amount of senior securities representing indebtedness of Borrower and its Subsidiaries, in each case as determined pursuant to the Investment Company Act and any orders of the Securities and Exchange Commission issued to or with respect to Borrower thereunder, including any exemptive relief granted by the Securities and Exchange Commission with respect to the indebtedness of any SBIC Subsidiary.</w:t>
      </w:r>
    </w:p>
    <w:p>
      <w:pPr>
        <w:spacing w:after="0" w:line="138" w:lineRule="exact"/>
        <w:rPr>
          <w:sz w:val="20"/>
          <w:szCs w:val="20"/>
          <w:color w:val="auto"/>
        </w:rPr>
      </w:pPr>
    </w:p>
    <w:tbl>
      <w:tblPr>
        <w:tblLayout w:type="fixed"/>
        <w:tblInd w:w="984" w:type="dxa"/>
        <w:tblCellMar>
          <w:top w:w="0" w:type="dxa"/>
          <w:left w:w="0" w:type="dxa"/>
          <w:bottom w:w="0" w:type="dxa"/>
          <w:right w:w="0" w:type="dxa"/>
        </w:tblCellMar>
      </w:tblPr>
      <w:tr>
        <w:trPr>
          <w:trHeight w:val="207"/>
        </w:trPr>
        <w:tc>
          <w:tcPr>
            <w:tcW w:w="6820" w:type="dxa"/>
            <w:vAlign w:val="bottom"/>
            <w:gridSpan w:val="5"/>
          </w:tcPr>
          <w:p>
            <w:pPr>
              <w:spacing w:after="0"/>
              <w:rPr>
                <w:sz w:val="20"/>
                <w:szCs w:val="20"/>
                <w:color w:val="auto"/>
              </w:rPr>
            </w:pPr>
            <w:r>
              <w:rPr>
                <w:rFonts w:ascii="Arial" w:cs="Arial" w:eastAsia="Arial" w:hAnsi="Arial"/>
                <w:sz w:val="18"/>
                <w:szCs w:val="18"/>
                <w:color w:val="auto"/>
              </w:rPr>
              <w:t>“Consolidated Group” has the meaning assigned to such term in Section 5.13(a).</w:t>
            </w:r>
          </w:p>
        </w:tc>
        <w:tc>
          <w:tcPr>
            <w:tcW w:w="322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371"/>
        </w:trPr>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20" w:type="dxa"/>
            <w:vAlign w:val="bottom"/>
            <w:gridSpan w:val="2"/>
          </w:tcPr>
          <w:p>
            <w:pPr>
              <w:jc w:val="right"/>
              <w:ind w:right="1080"/>
              <w:spacing w:after="0"/>
              <w:rPr>
                <w:sz w:val="20"/>
                <w:szCs w:val="20"/>
                <w:color w:val="auto"/>
              </w:rPr>
            </w:pPr>
            <w:r>
              <w:rPr>
                <w:rFonts w:ascii="Arial" w:cs="Arial" w:eastAsia="Arial" w:hAnsi="Arial"/>
                <w:sz w:val="18"/>
                <w:szCs w:val="18"/>
                <w:color w:val="auto"/>
              </w:rPr>
              <w:t>10</w:t>
            </w:r>
          </w:p>
        </w:tc>
        <w:tc>
          <w:tcPr>
            <w:tcW w:w="1060" w:type="dxa"/>
            <w:vAlign w:val="bottom"/>
          </w:tcPr>
          <w:p>
            <w:pPr>
              <w:spacing w:after="0"/>
              <w:rPr>
                <w:sz w:val="24"/>
                <w:szCs w:val="24"/>
                <w:color w:val="auto"/>
              </w:rPr>
            </w:pPr>
          </w:p>
        </w:tc>
        <w:tc>
          <w:tcPr>
            <w:tcW w:w="322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2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40" w:name="page41"/>
    <w:bookmarkEnd w:id="40"/>
    <w:p>
      <w:pPr>
        <w:ind w:right="42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meanings correlative thereto; provided, however, “Control” shall not include “negative” control or “blocking” rights whereby action cannot be taken without the vote or consent of any Person.</w:t>
      </w:r>
    </w:p>
    <w:p>
      <w:pPr>
        <w:spacing w:after="0" w:line="187" w:lineRule="exact"/>
        <w:rPr>
          <w:sz w:val="20"/>
          <w:szCs w:val="20"/>
          <w:color w:val="auto"/>
        </w:rPr>
      </w:pPr>
    </w:p>
    <w:p>
      <w:pPr>
        <w:ind w:right="4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Debt Amount</w:t>
      </w:r>
      <w:r>
        <w:rPr>
          <w:rFonts w:ascii="Arial" w:cs="Arial" w:eastAsia="Arial" w:hAnsi="Arial"/>
          <w:sz w:val="16"/>
          <w:szCs w:val="16"/>
          <w:color w:val="auto"/>
        </w:rPr>
        <w:t xml:space="preserve">” means, on any date, the sum of (x) all of the Revolving Credit Exposures of all Lenders on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aggregate amount of Other Covered Indebtedness on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(z) the LC Exposures fully Cash Collateralized on such date pursuant to </w:t>
      </w:r>
      <w:r>
        <w:rPr>
          <w:rFonts w:ascii="Arial" w:cs="Arial" w:eastAsia="Arial" w:hAnsi="Arial"/>
          <w:sz w:val="16"/>
          <w:szCs w:val="16"/>
          <w:u w:val="single" w:color="auto"/>
          <w:color w:val="auto"/>
        </w:rPr>
        <w:t>Section 2.05(k)</w:t>
      </w:r>
      <w:r>
        <w:rPr>
          <w:rFonts w:ascii="Arial" w:cs="Arial" w:eastAsia="Arial" w:hAnsi="Arial"/>
          <w:sz w:val="16"/>
          <w:szCs w:val="16"/>
          <w:color w:val="auto"/>
        </w:rPr>
        <w:t xml:space="preserve"> and the last paragraph of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Permitted Amortizing Unsecured Longer-Term Indebtedness and Special Permitted Indebtedness shall be excluded from the calculation of the Covered Debt Amount until the date that is nine (9) months prior to the scheduled maturity date of such Indebtedness (provided that to the extent, but only to the extent, any portion of any such Indebtedness (including any portion of any Permitted Amortizing Unsecured Longer-Term Indebtedness) is subject to a contractually scheduled amortization payment, other principal payment or redemption (other than any conversion into Permitted Equity Interests) earlier than the scheduled maturity date of such Indebtedness, such portion of such Indebtedness shall be included in the calculation of the Covered Debt Amount beginning upon the date that is the later of (i) 9 months prior to such scheduled amortization payment, other principal payment or redemption and (ii) the date the Borrower becomes aware that such Indebtedness is required to be paid or redeemed). For the avoidance of doubt, for purposes of calculating the Covered Debt Amount, any Indebtedness that is required to be part of the Covered Debt Amount will be included at the then outstanding principal balance thereof.</w:t>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w:t>
      </w:r>
      <w:r>
        <w:rPr>
          <w:rFonts w:ascii="Arial" w:cs="Arial" w:eastAsia="Arial" w:hAnsi="Arial"/>
          <w:sz w:val="18"/>
          <w:szCs w:val="18"/>
          <w:color w:val="auto"/>
        </w:rPr>
        <w:t>” means Dollars or any Foreign Currency.</w:t>
      </w:r>
    </w:p>
    <w:p>
      <w:pPr>
        <w:spacing w:after="0" w:line="225"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ind w:right="4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2.19(b)</w:t>
      </w:r>
      <w:r>
        <w:rPr>
          <w:rFonts w:ascii="Arial" w:cs="Arial" w:eastAsia="Arial" w:hAnsi="Arial"/>
          <w:sz w:val="16"/>
          <w:szCs w:val="16"/>
          <w:color w:val="auto"/>
        </w:rPr>
        <w:t>, any Lender that, during such Lender’s Availability Period (a) has failed to (i) fund all or any portion of its Loans or participations in Letters of Credit within two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the applicable default, if any, shall be specifically identified in detail in such writing) has not been satisfied, or (ii) pay to the Administrative Agent, Issuing Bank, Swingline Lender or any Lender any other amount required to be paid by it hereunder (including in respect of its participation in Letters of Credit or Swingline Loans) within two Business Days of the date when due, (b) has notified the Borrower, the Administrative Agent, Issuing Bank or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the applicable default, if any, shall be specifically identified in detail in such writing or public statement) cannot be satisfied), (c) has failed, within three Business Days after written request by the Administrative</w:t>
      </w:r>
    </w:p>
    <w:p>
      <w:pPr>
        <w:spacing w:after="0" w:line="104"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11</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41" w:name="page42"/>
    <w:bookmarkEnd w:id="41"/>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Agent or the Borrower, to confirm in writing to the Administrative Agent and the Borrower that it will comply with its prospective funding obligations hereunder (provided that such Lender shall cease to be a Defaulting Lender pursuant to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upon receipt of such written confirmation by Administrative Agent and Borrower), or (d) Administrative Agent has received notification that such Lender has become, or has a direct or indirect parent company that is, (i) insolvent, or is generally unable to pay its debts as they become due, or admits in writing its inability to pay its debts as they become due, or makes a general assignment for the benefit of its creditors, (ii) other than via an Undisclosed Administration,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or (iii)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or instrumentality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shall be conclusive and binding absent manifest error, and such Lender shall be deemed to be a Defaulting Lender (subject to </w:t>
      </w:r>
      <w:r>
        <w:rPr>
          <w:rFonts w:ascii="Arial" w:cs="Arial" w:eastAsia="Arial" w:hAnsi="Arial"/>
          <w:sz w:val="17"/>
          <w:szCs w:val="17"/>
          <w:u w:val="single" w:color="auto"/>
          <w:color w:val="auto"/>
        </w:rPr>
        <w:t>Section 2.19(b)</w:t>
      </w:r>
      <w:r>
        <w:rPr>
          <w:rFonts w:ascii="Arial" w:cs="Arial" w:eastAsia="Arial" w:hAnsi="Arial"/>
          <w:sz w:val="17"/>
          <w:szCs w:val="17"/>
          <w:color w:val="auto"/>
        </w:rPr>
        <w:t>) upon such determination (and the Administrative Agent shall deliver written notice of such determination to the Borrower, the Issuing Bank and each Lender and the Swingline Lender).</w:t>
      </w:r>
    </w:p>
    <w:p>
      <w:pPr>
        <w:spacing w:after="0" w:line="180"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Obligations</w:t>
      </w:r>
      <w:r>
        <w:rPr>
          <w:rFonts w:ascii="Arial" w:cs="Arial" w:eastAsia="Arial" w:hAnsi="Arial"/>
          <w:sz w:val="18"/>
          <w:szCs w:val="18"/>
          <w:color w:val="auto"/>
        </w:rPr>
        <w:t>” means all obligations of the Borrower with respect to (a) principal of and interest on the Loans and (b) accrued and unpaid fees under the Loan Documents.</w:t>
      </w:r>
    </w:p>
    <w:p>
      <w:pPr>
        <w:spacing w:after="0" w:line="170" w:lineRule="exact"/>
        <w:rPr>
          <w:sz w:val="20"/>
          <w:szCs w:val="20"/>
          <w:color w:val="auto"/>
        </w:rPr>
      </w:pPr>
    </w:p>
    <w:p>
      <w:pPr>
        <w:ind w:right="30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xml:space="preserve">”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“Disposition” or “Dispose” shall not include the disposition of Portfolio Investments originated by the Borrower and immediately transferred to a Financing Subsidiary pursuant to a transaction not prohibited hereunder.</w:t>
      </w:r>
    </w:p>
    <w:p>
      <w:pPr>
        <w:spacing w:after="0" w:line="188" w:lineRule="exact"/>
        <w:rPr>
          <w:sz w:val="20"/>
          <w:szCs w:val="20"/>
          <w:color w:val="auto"/>
        </w:rPr>
      </w:pPr>
    </w:p>
    <w:p>
      <w:pPr>
        <w:ind w:right="10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Commitment</w:t>
      </w:r>
      <w:r>
        <w:rPr>
          <w:rFonts w:ascii="Arial" w:cs="Arial" w:eastAsia="Arial" w:hAnsi="Arial"/>
          <w:sz w:val="17"/>
          <w:szCs w:val="17"/>
          <w:color w:val="auto"/>
        </w:rPr>
        <w:t xml:space="preserve">” means, with respect to each Dollar Lender, the commitment of such Dollar Lender to make Syndicated Loans, and to acquire participations in Letters of Credit and Swingline Loans, denominated in Dollars hereunder, during such Lender’s Availability Period, expressed as an amount representing the maximum aggregate amount of such Lender’s Revolving Dollar Credit Exposure hereunder, as such commitment may be (a) reduced or increased from time to time pursuant to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and (b) reduced or increased from time to time pursuant to assignments by or to such Lender pursuant to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The initial amount of each Lender’s Dollar Commitment is set forth on </w:t>
      </w:r>
      <w:r>
        <w:rPr>
          <w:rFonts w:ascii="Arial" w:cs="Arial" w:eastAsia="Arial" w:hAnsi="Arial"/>
          <w:sz w:val="17"/>
          <w:szCs w:val="17"/>
          <w:u w:val="single" w:color="auto"/>
          <w:color w:val="auto"/>
        </w:rPr>
        <w:t>Schedule 1.01(b)</w:t>
      </w:r>
      <w:r>
        <w:rPr>
          <w:rFonts w:ascii="Arial" w:cs="Arial" w:eastAsia="Arial" w:hAnsi="Arial"/>
          <w:sz w:val="17"/>
          <w:szCs w:val="17"/>
          <w:color w:val="auto"/>
        </w:rPr>
        <w:t>, or in the Assignment and Assumption pursuant to which such Lender shall have assumed its Dollar Commitment, as applicable. The aggregate amount of the Lenders’ Dollar Commitments as of the Second Amendment Effective Date is $165,000,000.</w:t>
      </w:r>
    </w:p>
    <w:p>
      <w:pPr>
        <w:spacing w:after="0" w:line="110"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12</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42" w:name="page43"/>
    <w:bookmarkEnd w:id="42"/>
    <w:p>
      <w:pPr>
        <w:jc w:val="both"/>
        <w:ind w:right="4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on any date of determination, with respect to an amount denominated in any Foreign Currency, the amount of Dollars that would be required to purchase such amount of such Foreign Currency on the date two Business Days prior to such date, based upon the spot selling rate at which the Administrative Agent offers to sell such Foreign Currency for Dollars in the London foreign exchange market at approximately 11:00 a.m., London time, for delivery two Business Days later.</w:t>
      </w:r>
    </w:p>
    <w:p>
      <w:pPr>
        <w:spacing w:after="0" w:line="187"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LC Exposure</w:t>
      </w:r>
      <w:r>
        <w:rPr>
          <w:rFonts w:ascii="Arial" w:cs="Arial" w:eastAsia="Arial" w:hAnsi="Arial"/>
          <w:sz w:val="18"/>
          <w:szCs w:val="18"/>
          <w:color w:val="auto"/>
        </w:rPr>
        <w:t xml:space="preserve">” means, at any time, the sum of (a) the aggregate undrawn amount of all outstanding Dollar Letters of Credit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spacing w:after="0" w:line="187" w:lineRule="exact"/>
        <w:rPr>
          <w:sz w:val="20"/>
          <w:szCs w:val="20"/>
          <w:color w:val="auto"/>
        </w:rPr>
      </w:pPr>
    </w:p>
    <w:p>
      <w:pPr>
        <w:ind w:right="22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Lender</w:t>
      </w:r>
      <w:r>
        <w:rPr>
          <w:rFonts w:ascii="Arial" w:cs="Arial" w:eastAsia="Arial" w:hAnsi="Arial"/>
          <w:sz w:val="17"/>
          <w:szCs w:val="17"/>
          <w:color w:val="auto"/>
        </w:rPr>
        <w:t xml:space="preserve">” means the Persons listed on </w:t>
      </w:r>
      <w:r>
        <w:rPr>
          <w:rFonts w:ascii="Arial" w:cs="Arial" w:eastAsia="Arial" w:hAnsi="Arial"/>
          <w:sz w:val="17"/>
          <w:szCs w:val="17"/>
          <w:u w:val="single" w:color="auto"/>
          <w:color w:val="auto"/>
        </w:rPr>
        <w:t>Schedule 1.01(b)</w:t>
      </w:r>
      <w:r>
        <w:rPr>
          <w:rFonts w:ascii="Arial" w:cs="Arial" w:eastAsia="Arial" w:hAnsi="Arial"/>
          <w:sz w:val="17"/>
          <w:szCs w:val="17"/>
          <w:color w:val="auto"/>
        </w:rPr>
        <w:t xml:space="preserve"> as having Dollar Commitments and any other Person that shall have become a party hereto pursuant to an Assignment and Assumption that provides for it to assume a Dollar Commitment or to acquire Revolving Dollar Credit Exposure, other than any such Person that ceases to be a party hereto pursuant to an Assignment and Assumption.</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Letters of Credit</w:t>
      </w:r>
      <w:r>
        <w:rPr>
          <w:rFonts w:ascii="Arial" w:cs="Arial" w:eastAsia="Arial" w:hAnsi="Arial"/>
          <w:sz w:val="18"/>
          <w:szCs w:val="18"/>
          <w:color w:val="auto"/>
        </w:rPr>
        <w:t>” means Letters of Credit that utilize the Dollar Commitments.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Loan</w:t>
      </w:r>
      <w:r>
        <w:rPr>
          <w:rFonts w:ascii="Arial" w:cs="Arial" w:eastAsia="Arial" w:hAnsi="Arial"/>
          <w:sz w:val="18"/>
          <w:szCs w:val="18"/>
          <w:color w:val="auto"/>
        </w:rPr>
        <w:t>” means a Loan denominated in Dollars.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10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means the date on which the conditions specified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 which date is June 25, 2014.</w:t>
      </w:r>
    </w:p>
    <w:p>
      <w:pPr>
        <w:spacing w:after="0" w:line="170" w:lineRule="exact"/>
        <w:rPr>
          <w:sz w:val="20"/>
          <w:szCs w:val="20"/>
          <w:color w:val="auto"/>
        </w:rPr>
      </w:pPr>
    </w:p>
    <w:p>
      <w:pPr>
        <w:ind w:right="3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As used in this Agreement, “Equity Interests” shall not include convertible debt unless and until such debt has been converted to capital stock.</w:t>
      </w:r>
    </w:p>
    <w:p>
      <w:pPr>
        <w:spacing w:after="0" w:line="119"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13</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43" w:name="page44"/>
    <w:bookmarkEnd w:id="4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84"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85" w:lineRule="exact"/>
        <w:rPr>
          <w:sz w:val="20"/>
          <w:szCs w:val="20"/>
          <w:color w:val="auto"/>
        </w:rPr>
      </w:pPr>
    </w:p>
    <w:p>
      <w:pPr>
        <w:ind w:right="6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means a single currency of the Participating Member States.</w:t>
      </w:r>
    </w:p>
    <w:p>
      <w:pPr>
        <w:spacing w:after="0" w:line="225" w:lineRule="exact"/>
        <w:rPr>
          <w:sz w:val="20"/>
          <w:szCs w:val="20"/>
          <w:color w:val="auto"/>
        </w:rPr>
      </w:pPr>
    </w:p>
    <w:p>
      <w:pPr>
        <w:ind w:right="8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w:t>
      </w:r>
      <w:r>
        <w:rPr>
          <w:rFonts w:ascii="Arial" w:cs="Arial" w:eastAsia="Arial" w:hAnsi="Arial"/>
          <w:sz w:val="18"/>
          <w:szCs w:val="18"/>
          <w:color w:val="auto"/>
        </w:rPr>
        <w:t>”, when used in reference to any Loan or Borrowing, refers to whether such Loan, or the Loans constituting such Borrowing, are bearing interest at a rate determined by reference to the Adjusted LIBO Rate.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with respect to the Administrative Agent, any Lender, the Issuing Bank or any other recipient of any payment to be made by or on account of any obligation of the Borrower hereunder, (a) income, corporate, franchise or other similar Taxes imposed on (or measured by) its net income by the United States of America (or any state or political subdivision thereof), or by the jurisdiction (or any political subdivision thereof) under the laws of which such recipient is organized or in which its principal office is located or, in the case of any Lender, in which its applicable lending office is located, (b) any branch profits Taxes imposed by the United States of America or any similar Tax imposed by any other jurisdiction in which the Borrower is located, (c) in the case of a Lender, any U.S. federal withholding Tax imposed on amounts payable to such Lender (i) at the time such Lender (other than an assignee</w:t>
      </w:r>
    </w:p>
    <w:p>
      <w:pPr>
        <w:spacing w:after="0" w:line="127"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14</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44" w:name="page45"/>
    <w:bookmarkEnd w:id="44"/>
    <w:p>
      <w:pPr>
        <w:ind w:left="4"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pursuant to a request by the Borrower under </w:t>
      </w:r>
      <w:r>
        <w:rPr>
          <w:rFonts w:ascii="Arial" w:cs="Arial" w:eastAsia="Arial" w:hAnsi="Arial"/>
          <w:sz w:val="17"/>
          <w:szCs w:val="17"/>
          <w:u w:val="single" w:color="auto"/>
          <w:color w:val="auto"/>
        </w:rPr>
        <w:t>Section 2.18(b)</w:t>
      </w:r>
      <w:r>
        <w:rPr>
          <w:rFonts w:ascii="Arial" w:cs="Arial" w:eastAsia="Arial" w:hAnsi="Arial"/>
          <w:sz w:val="17"/>
          <w:szCs w:val="17"/>
          <w:color w:val="auto"/>
        </w:rPr>
        <w:t xml:space="preserve">) becomes a party to this Agreement or designates a new lending office, except to the extent that such Lender’s assignor or such Lender was entitled to receive additional amounts from the Borrower with respect to such withholding Tax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at the time of such assignment or designation (other than to the extent such withholding is as a result of a CAM Exchange), or (ii) that is attributable to such Lender’s failure or inability (other than as a result of a Change in Law occurring after the date such Lender becomes a party to this Agreement) to comply with </w:t>
      </w:r>
      <w:r>
        <w:rPr>
          <w:rFonts w:ascii="Arial" w:cs="Arial" w:eastAsia="Arial" w:hAnsi="Arial"/>
          <w:sz w:val="17"/>
          <w:szCs w:val="17"/>
          <w:u w:val="single" w:color="auto"/>
          <w:color w:val="auto"/>
        </w:rPr>
        <w:t>Section 2.16(f)</w:t>
      </w:r>
      <w:r>
        <w:rPr>
          <w:rFonts w:ascii="Arial" w:cs="Arial" w:eastAsia="Arial" w:hAnsi="Arial"/>
          <w:sz w:val="17"/>
          <w:szCs w:val="17"/>
          <w:color w:val="auto"/>
        </w:rPr>
        <w:t>, (d) any U.S. federal, state or local backup withholding Taxes imposed on payments made under any Loan Document, and (e) any U.S. federal withholding Tax that is imposed pursuant to FATCA.</w:t>
      </w:r>
    </w:p>
    <w:p>
      <w:pPr>
        <w:spacing w:after="0" w:line="17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Lenders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4" w:right="4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Availability Period</w:t>
      </w:r>
      <w:r>
        <w:rPr>
          <w:rFonts w:ascii="Arial" w:cs="Arial" w:eastAsia="Arial" w:hAnsi="Arial"/>
          <w:sz w:val="18"/>
          <w:szCs w:val="18"/>
          <w:color w:val="auto"/>
        </w:rPr>
        <w:t>” means, with respect to any Extending Lender, the period from and including the Effective Date to but excluding the earlier of the Extended Commitment Termination Date and the date of termination of the Commitments.</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Commitment Termination Date</w:t>
      </w:r>
      <w:r>
        <w:rPr>
          <w:rFonts w:ascii="Arial" w:cs="Arial" w:eastAsia="Arial" w:hAnsi="Arial"/>
          <w:sz w:val="18"/>
          <w:szCs w:val="18"/>
          <w:color w:val="auto"/>
        </w:rPr>
        <w:t>” means, with respect to each Extending Lender, September 4, 2023.</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Final Maturity Date</w:t>
      </w:r>
      <w:r>
        <w:rPr>
          <w:rFonts w:ascii="Arial" w:cs="Arial" w:eastAsia="Arial" w:hAnsi="Arial"/>
          <w:sz w:val="18"/>
          <w:szCs w:val="18"/>
          <w:color w:val="auto"/>
        </w:rPr>
        <w:t>” means, with respect to each Extending Lender, September 4, 2024.</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Loans</w:t>
      </w:r>
      <w:r>
        <w:rPr>
          <w:rFonts w:ascii="Arial" w:cs="Arial" w:eastAsia="Arial" w:hAnsi="Arial"/>
          <w:sz w:val="18"/>
          <w:szCs w:val="18"/>
          <w:color w:val="auto"/>
        </w:rPr>
        <w:t>” means Loans or Borrowings of any Extending Lender maturing on the Extended Final Maturity Date.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xml:space="preserve">” means each Lender designated as an “Extending Lender” on </w:t>
      </w:r>
      <w:r>
        <w:rPr>
          <w:rFonts w:ascii="Arial" w:cs="Arial" w:eastAsia="Arial" w:hAnsi="Arial"/>
          <w:sz w:val="18"/>
          <w:szCs w:val="18"/>
          <w:u w:val="single" w:color="auto"/>
          <w:color w:val="auto"/>
        </w:rPr>
        <w:t>Schedule 1.01(b)</w:t>
      </w:r>
      <w:r>
        <w:rPr>
          <w:rFonts w:ascii="Arial" w:cs="Arial" w:eastAsia="Arial" w:hAnsi="Arial"/>
          <w:sz w:val="18"/>
          <w:szCs w:val="18"/>
          <w:color w:val="auto"/>
        </w:rPr>
        <w:t>.</w:t>
      </w:r>
    </w:p>
    <w:p>
      <w:pPr>
        <w:spacing w:after="0" w:line="225" w:lineRule="exact"/>
        <w:rPr>
          <w:sz w:val="20"/>
          <w:szCs w:val="20"/>
          <w:color w:val="auto"/>
        </w:rPr>
      </w:pPr>
    </w:p>
    <w:p>
      <w:pPr>
        <w:ind w:left="4" w:right="180" w:firstLine="99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Extraordinary Receipts</w:t>
      </w:r>
      <w:r>
        <w:rPr>
          <w:rFonts w:ascii="Arial" w:cs="Arial" w:eastAsia="Arial" w:hAnsi="Arial"/>
          <w:sz w:val="16"/>
          <w:szCs w:val="16"/>
          <w:color w:val="auto"/>
        </w:rPr>
        <w:t xml:space="preserve">” means any cash received by or paid to any Obligor on account of any foreign, United States, state or local tax refunds, pension plan reversions, judgments, proceeds of settlements or other consideration of any kind in connection with any cause of action, condemnation awards (and payments in lieu thereof), indemnity payments 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and issuances of Indebtedness by any Obligor);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Extraordinary Receipts shall not include any (x) amounts that the Borrower receives from the Administrative Agent or any Lender pursuant to </w:t>
      </w:r>
      <w:r>
        <w:rPr>
          <w:rFonts w:ascii="Arial" w:cs="Arial" w:eastAsia="Arial" w:hAnsi="Arial"/>
          <w:sz w:val="16"/>
          <w:szCs w:val="16"/>
          <w:u w:val="single" w:color="auto"/>
          <w:color w:val="auto"/>
        </w:rPr>
        <w:t>Section 2.16(f)</w:t>
      </w:r>
      <w:r>
        <w:rPr>
          <w:rFonts w:ascii="Arial" w:cs="Arial" w:eastAsia="Arial" w:hAnsi="Arial"/>
          <w:sz w:val="16"/>
          <w:szCs w:val="16"/>
          <w:color w:val="auto"/>
        </w:rPr>
        <w:t>, or</w:t>
      </w:r>
    </w:p>
    <w:p>
      <w:pPr>
        <w:spacing w:after="0" w:line="4" w:lineRule="exact"/>
        <w:rPr>
          <w:sz w:val="20"/>
          <w:szCs w:val="20"/>
          <w:color w:val="auto"/>
        </w:rPr>
      </w:pPr>
    </w:p>
    <w:p>
      <w:pPr>
        <w:ind w:left="4" w:hanging="4"/>
        <w:spacing w:after="0" w:line="273" w:lineRule="auto"/>
        <w:tabs>
          <w:tab w:leader="none" w:pos="259" w:val="left"/>
        </w:tabs>
        <w:numPr>
          <w:ilvl w:val="0"/>
          <w:numId w:val="13"/>
        </w:numPr>
        <w:rPr>
          <w:rFonts w:ascii="Arial" w:cs="Arial" w:eastAsia="Arial" w:hAnsi="Arial"/>
          <w:sz w:val="17"/>
          <w:szCs w:val="17"/>
          <w:color w:val="auto"/>
        </w:rPr>
      </w:pPr>
      <w:r>
        <w:rPr>
          <w:rFonts w:ascii="Arial" w:cs="Arial" w:eastAsia="Arial" w:hAnsi="Arial"/>
          <w:sz w:val="17"/>
          <w:szCs w:val="17"/>
          <w:color w:val="auto"/>
        </w:rPr>
        <w:t>cash receipts to the extent received from proceeds of insurance, condemnation awards (or payments in lieu thereof), indemnity payments or payments in respect of judgments or settlements of claims, litigation or proceedings to the extent 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w:t>
      </w:r>
    </w:p>
    <w:p>
      <w:pPr>
        <w:spacing w:after="0" w:line="109"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15</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45" w:name="page46"/>
    <w:bookmarkEnd w:id="45"/>
    <w:p>
      <w:pPr>
        <w:ind w:right="20"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any intergovernmental agreement entered into in connection with the foregoing, and any legislation or regulations adopted or promulgated pursuant to any such intergovernmental agreement.</w:t>
      </w:r>
    </w:p>
    <w:p>
      <w:pPr>
        <w:spacing w:after="0" w:line="171" w:lineRule="exact"/>
        <w:rPr>
          <w:sz w:val="20"/>
          <w:szCs w:val="20"/>
          <w:color w:val="auto"/>
        </w:rPr>
      </w:pPr>
    </w:p>
    <w:p>
      <w:pPr>
        <w:jc w:val="both"/>
        <w:ind w:right="8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Effective Rate</w:t>
      </w:r>
      <w:r>
        <w:rPr>
          <w:rFonts w:ascii="Arial" w:cs="Arial" w:eastAsia="Arial" w:hAnsi="Arial"/>
          <w:sz w:val="16"/>
          <w:szCs w:val="16"/>
          <w:color w:val="auto"/>
        </w:rPr>
        <w:t>” means, for any day, the greater of (a) zero and (b) weighted average (rounded upwards, if necessary, to the next 1/100 of 1%) of the rates on overnight Federal funds transactions, as published on the next succeeding Business Day by the Federal Reserve Bank of New York, or, if such rate is not so published for any day that is a Business Day, the average (rounded upwards, if necessary, to the next 1/100 of</w:t>
      </w:r>
    </w:p>
    <w:p>
      <w:pPr>
        <w:spacing w:after="0" w:line="2"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1%) of the quotations for such day for such transactions received by the Administrative Agent from three Federal funds brokers of recognized standing selected by it.</w:t>
      </w:r>
    </w:p>
    <w:p>
      <w:pPr>
        <w:spacing w:after="0" w:line="185" w:lineRule="exact"/>
        <w:rPr>
          <w:sz w:val="20"/>
          <w:szCs w:val="20"/>
          <w:color w:val="auto"/>
        </w:rPr>
      </w:pPr>
    </w:p>
    <w:p>
      <w:pPr>
        <w:ind w:right="3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Maturity Date</w:t>
      </w:r>
      <w:r>
        <w:rPr>
          <w:rFonts w:ascii="Arial" w:cs="Arial" w:eastAsia="Arial" w:hAnsi="Arial"/>
          <w:sz w:val="18"/>
          <w:szCs w:val="18"/>
          <w:color w:val="auto"/>
        </w:rPr>
        <w:t>” means (i) in the case of any Extending Lender (with respect to such Extending Lender’s Extended Loans), the Extended Final Maturity Date or (ii) in the case of any Non-Extending Lender (with respect to such Non-Extending Lender’s Non-Extended Loans), such Non-Extending Lender’s applicable Non-Extended Final Maturity Date.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Borrower.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Subsidiary</w:t>
      </w:r>
      <w:r>
        <w:rPr>
          <w:rFonts w:ascii="Arial" w:cs="Arial" w:eastAsia="Arial" w:hAnsi="Arial"/>
          <w:sz w:val="18"/>
          <w:szCs w:val="18"/>
          <w:color w:val="auto"/>
        </w:rPr>
        <w:t>” means an SPE Subsidiary or an SBIC Subsidiary.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w:t>
      </w:r>
      <w:r>
        <w:rPr>
          <w:rFonts w:ascii="Arial" w:cs="Arial" w:eastAsia="Arial" w:hAnsi="Arial"/>
          <w:sz w:val="18"/>
          <w:szCs w:val="18"/>
          <w:color w:val="auto"/>
        </w:rPr>
        <w:t>” means at any time any Currency other than Dollars.</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Equivalent</w:t>
      </w:r>
      <w:r>
        <w:rPr>
          <w:rFonts w:ascii="Arial" w:cs="Arial" w:eastAsia="Arial" w:hAnsi="Arial"/>
          <w:sz w:val="18"/>
          <w:szCs w:val="18"/>
          <w:color w:val="auto"/>
        </w:rPr>
        <w:t>” 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not a “United States person” as defined under Section 7701(a)(30) of the Code.</w:t>
      </w:r>
    </w:p>
    <w:p>
      <w:pPr>
        <w:spacing w:after="0" w:line="225" w:lineRule="exact"/>
        <w:rPr>
          <w:sz w:val="20"/>
          <w:szCs w:val="20"/>
          <w:color w:val="auto"/>
        </w:rPr>
      </w:pPr>
    </w:p>
    <w:p>
      <w:pPr>
        <w:ind w:right="20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Subsidiary</w:t>
      </w:r>
      <w:r>
        <w:rPr>
          <w:rFonts w:ascii="Arial" w:cs="Arial" w:eastAsia="Arial" w:hAnsi="Arial"/>
          <w:sz w:val="17"/>
          <w:szCs w:val="17"/>
          <w:color w:val="auto"/>
        </w:rPr>
        <w:t>” means any (a) direct or indirect Subsidiary of the Borrower that is resident or organized under the laws of any jurisdiction other than the United States or its states, territories or possessions and that is treated as a corporation for United States federal income tax purposes, (b) direct or indirect Subsidiary of the Borrower which is a “controlled foreign corporation” within the meaning of the Code or (c) direct or indirect Subsidiary that is disregarded as an entity that is separate from its owner for United States federal income tax purposes and substantially all of its assets consist of the Capital Stock of one or more direct or indirect Foreign Subsidiaries.</w:t>
      </w:r>
    </w:p>
    <w:p>
      <w:pPr>
        <w:spacing w:after="0" w:line="109"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16</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46" w:name="page47"/>
    <w:bookmarkEnd w:id="46"/>
    <w:p>
      <w:pPr>
        <w:ind w:left="98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Fronting Exposure</w:t>
      </w:r>
      <w:r>
        <w:rPr>
          <w:rFonts w:ascii="Arial" w:cs="Arial" w:eastAsia="Arial" w:hAnsi="Arial"/>
          <w:sz w:val="17"/>
          <w:szCs w:val="17"/>
          <w:color w:val="auto"/>
        </w:rPr>
        <w:t>” means, at any time there is a Defaulting Lender, with respect to the Issuing Bank, such Defaulting Lender’s</w:t>
      </w:r>
    </w:p>
    <w:p>
      <w:pPr>
        <w:spacing w:after="0" w:line="35" w:lineRule="exact"/>
        <w:rPr>
          <w:sz w:val="20"/>
          <w:szCs w:val="20"/>
          <w:color w:val="auto"/>
        </w:rPr>
      </w:pPr>
    </w:p>
    <w:p>
      <w:pPr>
        <w:ind w:left="4" w:right="20" w:hanging="4"/>
        <w:spacing w:after="0" w:line="253" w:lineRule="auto"/>
        <w:tabs>
          <w:tab w:leader="none" w:pos="23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Applicable Dollar Percentage of the outstanding Dollar LC Exposure and (b) Applicable Multicurrency Percentage of the outstanding Multicurrency LC Exposure, in each case with respect to Letters of Credit issued by the Issuing Bank other than Dollar LC Exposure or Multicurrency LC Exposure, as the case may be, as to which such Defaulting Lender’s participation obligation has been reallocated to other Lenders or Cash Collateralized in accordance with the terms hereof.</w:t>
      </w:r>
    </w:p>
    <w:p>
      <w:pPr>
        <w:spacing w:after="0" w:line="19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w:t>
      </w:r>
    </w:p>
    <w:p>
      <w:pPr>
        <w:spacing w:after="0" w:line="225" w:lineRule="exact"/>
        <w:rPr>
          <w:sz w:val="20"/>
          <w:szCs w:val="20"/>
          <w:color w:val="auto"/>
        </w:rPr>
      </w:pPr>
    </w:p>
    <w:p>
      <w:pPr>
        <w:ind w:left="4" w:right="4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or of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body exercising such powers or functions, such as the European Union or the European Central Bank).</w:t>
      </w:r>
    </w:p>
    <w:p>
      <w:pPr>
        <w:spacing w:after="0" w:line="187" w:lineRule="exact"/>
        <w:rPr>
          <w:sz w:val="20"/>
          <w:szCs w:val="20"/>
          <w:color w:val="auto"/>
        </w:rPr>
      </w:pPr>
    </w:p>
    <w:p>
      <w:pPr>
        <w:ind w:left="4" w:right="6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Guarantee shall not include (i) endorsements for collection or deposit in the ordinary course of business or (ii) customary indemnification agreements entered into in the ordinary course of business, provided that such indemnification obligations are unsecured, such Person has determined that any liability thereunder is remote and such indemnification obligations are not the functional equivalent of the guaranty of a payment obligation of the primary obligor.</w:t>
      </w:r>
    </w:p>
    <w:p>
      <w:pPr>
        <w:spacing w:after="0" w:line="172" w:lineRule="exact"/>
        <w:rPr>
          <w:sz w:val="20"/>
          <w:szCs w:val="20"/>
          <w:color w:val="auto"/>
        </w:rPr>
      </w:pPr>
    </w:p>
    <w:p>
      <w:pPr>
        <w:ind w:left="4" w:right="2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 and Security Agreement</w:t>
      </w:r>
      <w:r>
        <w:rPr>
          <w:rFonts w:ascii="Arial" w:cs="Arial" w:eastAsia="Arial" w:hAnsi="Arial"/>
          <w:sz w:val="17"/>
          <w:szCs w:val="17"/>
          <w:color w:val="auto"/>
        </w:rPr>
        <w:t>” means that certain Second Amended and Restated Guarantee and Security Agreement dated as of the date hereof among the Borrower, the Administrative Agent, each Subsidiary of the Borrower from time to time party thereto, each holder (or a representative or trustee therefor) from time to time of any Secured Longer-Term Indebtedness or Secured Shorter-Term Indebtedness, and the Collateral Agent, as the same shall be amended, modified, restated and supplemented and in effect from time to time.</w:t>
      </w:r>
    </w:p>
    <w:p>
      <w:pPr>
        <w:spacing w:after="0" w:line="171" w:lineRule="exact"/>
        <w:rPr>
          <w:sz w:val="20"/>
          <w:szCs w:val="20"/>
          <w:color w:val="auto"/>
        </w:rPr>
      </w:pPr>
    </w:p>
    <w:p>
      <w:pPr>
        <w:ind w:left="4" w:right="12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Assumption Agreement</w:t>
      </w:r>
      <w:r>
        <w:rPr>
          <w:rFonts w:ascii="Arial" w:cs="Arial" w:eastAsia="Arial" w:hAnsi="Arial"/>
          <w:sz w:val="16"/>
          <w:szCs w:val="16"/>
          <w:color w:val="auto"/>
        </w:rPr>
        <w:t xml:space="preserve">” means a Guarantee Assumption Agreement substantially in the form of Exhibit B to the Guarantee and Security Agreement between the Collateral Agent and an entity that pursuant to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is required to become a “Subsidiary Guarantor” under the Guarantee and Security Agreement (with such changes as the Administrative Agent shall request consistent with the requirements of </w:t>
      </w:r>
      <w:r>
        <w:rPr>
          <w:rFonts w:ascii="Arial" w:cs="Arial" w:eastAsia="Arial" w:hAnsi="Arial"/>
          <w:sz w:val="16"/>
          <w:szCs w:val="16"/>
          <w:u w:val="single" w:color="auto"/>
          <w:color w:val="auto"/>
        </w:rPr>
        <w:t>Section 5.08</w:t>
      </w:r>
      <w:r>
        <w:rPr>
          <w:rFonts w:ascii="Arial" w:cs="Arial" w:eastAsia="Arial" w:hAnsi="Arial"/>
          <w:sz w:val="16"/>
          <w:szCs w:val="16"/>
          <w:color w:val="auto"/>
        </w:rPr>
        <w:t>).</w:t>
      </w:r>
    </w:p>
    <w:p>
      <w:pPr>
        <w:spacing w:after="0" w:line="81"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17</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47" w:name="page48"/>
    <w:bookmarkEnd w:id="47"/>
    <w:p>
      <w:pPr>
        <w:ind w:right="2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Hedging Agreement</w:t>
      </w:r>
      <w:r>
        <w:rPr>
          <w:rFonts w:ascii="Arial" w:cs="Arial" w:eastAsia="Arial" w:hAnsi="Arial"/>
          <w:sz w:val="18"/>
          <w:szCs w:val="18"/>
          <w:color w:val="auto"/>
        </w:rPr>
        <w:t>” means any interest rate protection agreement, foreign currency exchange protection agreement, commodity price protection agreement or other interest or currency exchange rate or commodity price hedging arrangement.</w:t>
      </w:r>
    </w:p>
    <w:p>
      <w:pPr>
        <w:spacing w:after="0" w:line="170"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Subsidiaries</w:t>
      </w:r>
      <w:r>
        <w:rPr>
          <w:rFonts w:ascii="Arial" w:cs="Arial" w:eastAsia="Arial" w:hAnsi="Arial"/>
          <w:sz w:val="18"/>
          <w:szCs w:val="18"/>
          <w:color w:val="auto"/>
        </w:rPr>
        <w:t xml:space="preserve">” means those Subsidiaries of the Borrower that are “designated” as Immaterial Subsidiaries by the Borrower from time to time (it being understood that the Borrower may at any time change any such designation);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designated Immaterial Subsidiaries shall collectively meet all of the following criteria as of the date of the most recent balance sheet required to be delivered pursuant to </w:t>
      </w:r>
      <w:r>
        <w:rPr>
          <w:rFonts w:ascii="Arial" w:cs="Arial" w:eastAsia="Arial" w:hAnsi="Arial"/>
          <w:sz w:val="18"/>
          <w:szCs w:val="18"/>
          <w:u w:val="single" w:color="auto"/>
          <w:color w:val="auto"/>
        </w:rPr>
        <w:t>Section 5.01</w:t>
      </w:r>
      <w:r>
        <w:rPr>
          <w:rFonts w:ascii="Arial" w:cs="Arial" w:eastAsia="Arial" w:hAnsi="Arial"/>
          <w:sz w:val="18"/>
          <w:szCs w:val="18"/>
          <w:color w:val="auto"/>
        </w:rPr>
        <w:t>: (a) the aggregate assets of such Subsidiaries and their Subsidiaries (on a consolidated basis) as of such date do not exceed an amount equal to 3% of the consolidated assets of the Borrower and its Subsidiaries as of such date; and (b) the aggregate revenues of such Subsidiaries and their Subsidiaries (on a consolidated basis) for the fiscal quarter ending on such date do not exceed an amount equal to 3% of the consolidated revenues of the Borrower and its Subsidiaries for such period.</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and accrued expenses incurred in the ordinary course of business), (e) all Indebtedness of others secured by any Lien on property owned or acquired by such Person, whether or not the Indebtedness secured thereby has been assumed (with the value of such debt being the lower of the outstanding amount of such debt and the fair market value of the property subject to such Lien),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 (x) purchase price holdbacks arising in the ordinary course of business in respect of a portion of the purchase price of an asset or Investment to satisfy unperformed obligations of the seller of such asset or Investment or (y) a commitment arising in the ordinary course of business to make a future Portfolio Investment, but shall include any SBIC Equity Commitment.</w:t>
      </w:r>
    </w:p>
    <w:p>
      <w:pPr>
        <w:spacing w:after="0" w:line="171" w:lineRule="exact"/>
        <w:rPr>
          <w:sz w:val="20"/>
          <w:szCs w:val="20"/>
          <w:color w:val="auto"/>
        </w:rPr>
      </w:pPr>
    </w:p>
    <w:p>
      <w:pPr>
        <w:ind w:right="2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xml:space="preserve">” means (a) Taxes, other than Excluded Taxes, imposed on or with respect to any payment made by or on account of any obligation of the Borrower or any Obligor under any Loan Document and (b) to the extent not otherwise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Other Taxes.</w:t>
      </w:r>
    </w:p>
    <w:p>
      <w:pPr>
        <w:spacing w:after="0" w:line="56"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18</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48" w:name="page49"/>
    <w:bookmarkEnd w:id="48"/>
    <w:p>
      <w:pPr>
        <w:ind w:left="4" w:right="2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Independent</w:t>
      </w:r>
      <w:r>
        <w:rPr>
          <w:rFonts w:ascii="Arial" w:cs="Arial" w:eastAsia="Arial" w:hAnsi="Arial"/>
          <w:sz w:val="16"/>
          <w:szCs w:val="16"/>
          <w:color w:val="auto"/>
        </w:rPr>
        <w:t>” when used with respect to any specified Person means that such Person (a) does not have any direct financial interest or any material indirect financial interest in the Borrower or any of its Subsidiaries or Affiliates (including its investment advisor or any Affiliate thereof) and</w:t>
      </w:r>
    </w:p>
    <w:p>
      <w:pPr>
        <w:ind w:left="4" w:right="640" w:hanging="4"/>
        <w:spacing w:after="0" w:line="260" w:lineRule="auto"/>
        <w:tabs>
          <w:tab w:leader="none" w:pos="2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not connected with the Borrower or of its Subsidiaries or Affiliates (including its investment advisor or any Affiliate thereof) as an officer, employee, promoter, underwriter, trustee, partner, director or Person performing similar functions.</w:t>
      </w:r>
    </w:p>
    <w:p>
      <w:pPr>
        <w:spacing w:after="0" w:line="185" w:lineRule="exact"/>
        <w:rPr>
          <w:sz w:val="20"/>
          <w:szCs w:val="20"/>
          <w:color w:val="auto"/>
        </w:rPr>
      </w:pPr>
    </w:p>
    <w:p>
      <w:pPr>
        <w:jc w:val="both"/>
        <w:ind w:left="4" w:right="3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Industry Classification Group</w:t>
      </w:r>
      <w:r>
        <w:rPr>
          <w:rFonts w:ascii="Arial" w:cs="Arial" w:eastAsia="Arial" w:hAnsi="Arial"/>
          <w:sz w:val="18"/>
          <w:szCs w:val="18"/>
          <w:color w:val="auto"/>
        </w:rPr>
        <w:t xml:space="preserve">” means (a) any of the classification groups set forth in </w:t>
      </w:r>
      <w:r>
        <w:rPr>
          <w:rFonts w:ascii="Arial" w:cs="Arial" w:eastAsia="Arial" w:hAnsi="Arial"/>
          <w:sz w:val="18"/>
          <w:szCs w:val="18"/>
          <w:u w:val="single" w:color="auto"/>
          <w:color w:val="auto"/>
        </w:rPr>
        <w:t>Schedule 1.01(c)</w:t>
      </w:r>
      <w:r>
        <w:rPr>
          <w:rFonts w:ascii="Arial" w:cs="Arial" w:eastAsia="Arial" w:hAnsi="Arial"/>
          <w:sz w:val="18"/>
          <w:szCs w:val="18"/>
          <w:color w:val="auto"/>
        </w:rPr>
        <w:t xml:space="preserve"> hereto, together with any such classification groups that may be subsequently established by Moody’s and provided by the Borrower to the Lenders, and (b) up to three additional industry group classifications established by the Borrower pursuant to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Election Request</w:t>
      </w:r>
      <w:r>
        <w:rPr>
          <w:rFonts w:ascii="Arial" w:cs="Arial" w:eastAsia="Arial" w:hAnsi="Arial"/>
          <w:sz w:val="17"/>
          <w:szCs w:val="17"/>
          <w:color w:val="auto"/>
        </w:rPr>
        <w:t>” means a request by the Borrower to convert or continue a Syndicated Borrowing in accordance with</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Section 2.07</w:t>
      </w:r>
      <w:r>
        <w:rPr>
          <w:rFonts w:ascii="Arial" w:cs="Arial" w:eastAsia="Arial" w:hAnsi="Arial"/>
          <w:sz w:val="18"/>
          <w:szCs w:val="18"/>
          <w:color w:val="auto"/>
        </w:rPr>
        <w:t>.</w:t>
      </w:r>
    </w:p>
    <w:p>
      <w:pPr>
        <w:spacing w:after="0" w:line="211" w:lineRule="exact"/>
        <w:rPr>
          <w:sz w:val="20"/>
          <w:szCs w:val="20"/>
          <w:color w:val="auto"/>
        </w:rPr>
      </w:pPr>
    </w:p>
    <w:p>
      <w:pPr>
        <w:ind w:left="4" w:right="1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Syndicated ABR Loan, each Quarterly Date, (b) with respect to any Eurocurrency Loan, the last day of each Interest Period therefor and, in the case of any Interest Period of more than three months’ duration, each day prior to the last day of such Interest Period that occurs at three-month intervals after the first day of such Interest Period and (c) with respect to any Swingline Loan, the day that such Loan is required to be repaid.</w:t>
      </w:r>
    </w:p>
    <w:p>
      <w:pPr>
        <w:spacing w:after="0" w:line="187" w:lineRule="exact"/>
        <w:rPr>
          <w:sz w:val="20"/>
          <w:szCs w:val="20"/>
          <w:color w:val="auto"/>
        </w:rPr>
      </w:pPr>
    </w:p>
    <w:p>
      <w:pPr>
        <w:ind w:left="4" w:right="20" w:firstLine="99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for any Eurocurrency Loan or Borrowing, the period commencing on the date of such Loan or Borrowing and ending on the numerically corresponding day in the calendar month that is one, two or three months thereafter or, subject to availability to all the Lenders, six or twelve months thereafter, or, with respect to such portion of any Eurocurrency Loan or Borrowing denominated in a Foreign Currency that is scheduled to be repaid on the applicable Final Maturity Date, a period of less than one month’s duration commencing on the date of such Loan or Borrowing and ending on the applicable Final Maturity Date, as specified in the applicable Borrowing Request or Interest Election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(other than an Interest Period pertaining to a Eurocurrency Borrowing denominated in a Foreign Currency that ends on the applicable Final Maturity Date that is permitted to be of less than one month’s duration as provided in this definition)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Loan initially shall be the date on which such Loan is made and thereafter shall be the effective date of the most recent conversion or continuation of such Loan, and the date of a Syndicated Borrowing comprising Loans that have been converted or continued shall be the effective date of the most recent conversion or continuation of such Loans.</w:t>
      </w:r>
    </w:p>
    <w:p>
      <w:pPr>
        <w:spacing w:after="0" w:line="184" w:lineRule="exact"/>
        <w:rPr>
          <w:sz w:val="20"/>
          <w:szCs w:val="20"/>
          <w:color w:val="auto"/>
        </w:rPr>
      </w:pPr>
    </w:p>
    <w:p>
      <w:pPr>
        <w:ind w:left="4" w:right="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for any Person: (a) Equity Interests, bonds, notes, debentures or other securities of any other Person or any agreement to acquire any Equity Interests, bonds, notes, debentures or other securities of any other Person (including any “short sale” or any sale of</w:t>
      </w:r>
    </w:p>
    <w:p>
      <w:pPr>
        <w:spacing w:after="0" w:line="56"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19</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49" w:name="page50"/>
    <w:bookmarkEnd w:id="49"/>
    <w:p>
      <w:pPr>
        <w:ind w:left="4"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securities at a time when such securities are not owned by the Person entering into such sale); (b) deposits, advances, loans or other extensions of credit made to any other Person (including purchases of property from another Person subject to an understanding or agreement, contingent or otherwise, to resell such property to such Person); or (c) Hedging Agreements.</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 from time to time.</w:t>
      </w:r>
    </w:p>
    <w:p>
      <w:pPr>
        <w:spacing w:after="0" w:line="225" w:lineRule="exact"/>
        <w:rPr>
          <w:sz w:val="20"/>
          <w:szCs w:val="20"/>
          <w:color w:val="auto"/>
        </w:rPr>
      </w:pPr>
    </w:p>
    <w:p>
      <w:pPr>
        <w:ind w:left="4" w:right="3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 Policies</w:t>
      </w:r>
      <w:r>
        <w:rPr>
          <w:rFonts w:ascii="Arial" w:cs="Arial" w:eastAsia="Arial" w:hAnsi="Arial"/>
          <w:sz w:val="16"/>
          <w:szCs w:val="16"/>
          <w:color w:val="auto"/>
        </w:rPr>
        <w:t>” means the investment objectives, policies, restrictions and limitations set forth in the “BUSINESS” section of its Registration Statement, and as the same may be changed, altered, expanded, amended, modified, terminated or restated from time to time.</w:t>
      </w:r>
    </w:p>
    <w:p>
      <w:pPr>
        <w:spacing w:after="0" w:line="12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4"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xml:space="preserve">” means SunTrust, in its capacity as the issuer of Letters of Credit hereunder, and its successors in such capacity as provided in </w:t>
      </w:r>
      <w:r>
        <w:rPr>
          <w:rFonts w:ascii="Arial" w:cs="Arial" w:eastAsia="Arial" w:hAnsi="Arial"/>
          <w:sz w:val="18"/>
          <w:szCs w:val="18"/>
          <w:u w:val="single" w:color="auto"/>
          <w:color w:val="auto"/>
        </w:rPr>
        <w:t>Section 2.05(j)</w:t>
      </w:r>
      <w:r>
        <w:rPr>
          <w:rFonts w:ascii="Arial" w:cs="Arial" w:eastAsia="Arial" w:hAnsi="Arial"/>
          <w:sz w:val="18"/>
          <w:szCs w:val="18"/>
          <w:color w:val="auto"/>
        </w:rPr>
        <w:t>. In the case of any Letter of Credit to be issued in an Agreed Foreign Currency, SunTrust may designate any of its affiliates as the “Issuing Bank” for purposes of such Letter of Credit.</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the Issuing Bank pursuant to a Letter of Credit.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the Dollar LC Exposure and the Multicurrency LC Exposure.</w:t>
      </w:r>
    </w:p>
    <w:p>
      <w:pPr>
        <w:spacing w:after="0" w:line="225" w:lineRule="exact"/>
        <w:rPr>
          <w:sz w:val="20"/>
          <w:szCs w:val="20"/>
          <w:color w:val="auto"/>
        </w:rPr>
      </w:pPr>
    </w:p>
    <w:p>
      <w:pPr>
        <w:ind w:left="4" w:right="7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collectively, the Dollar Lenders and the Multicurrency Lenders. Unless the context otherwise requires, the term “Lenders” includes the Swingline Lender.</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pursuant to this Agreement.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Collateral Account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2.05(k)</w:t>
      </w:r>
      <w:r>
        <w:rPr>
          <w:rFonts w:ascii="Arial" w:cs="Arial" w:eastAsia="Arial" w:hAnsi="Arial"/>
          <w:sz w:val="18"/>
          <w:szCs w:val="18"/>
          <w:color w:val="auto"/>
        </w:rPr>
        <w:t>.</w:t>
      </w:r>
    </w:p>
    <w:p>
      <w:pPr>
        <w:spacing w:after="0" w:line="225" w:lineRule="exact"/>
        <w:rPr>
          <w:sz w:val="20"/>
          <w:szCs w:val="20"/>
          <w:color w:val="auto"/>
        </w:rPr>
      </w:pPr>
    </w:p>
    <w:p>
      <w:pPr>
        <w:ind w:left="4" w:right="10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Credit Documents</w:t>
      </w:r>
      <w:r>
        <w:rPr>
          <w:rFonts w:ascii="Arial" w:cs="Arial" w:eastAsia="Arial" w:hAnsi="Arial"/>
          <w:sz w:val="16"/>
          <w:szCs w:val="16"/>
          <w:color w:val="auto"/>
        </w:rPr>
        <w:t>” means, with respect to any Letter of Credit, collectively, any application therefor and any other agreements, instruments, guarantees or other documents (whether general in application or applicable only to such Letter of Credit) governing or providing for</w:t>
      </w:r>
    </w:p>
    <w:p>
      <w:pPr>
        <w:ind w:left="4" w:right="640" w:hanging="4"/>
        <w:spacing w:after="0" w:line="260"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rights and obligations of the parties concerned or at risk with respect to such Letter of Credit or (b) any collateral security for any of such obligations, each as the same may be modified and supplemented and in effect from time to time.</w:t>
      </w:r>
    </w:p>
    <w:p>
      <w:pPr>
        <w:spacing w:after="0" w:line="185" w:lineRule="exact"/>
        <w:rPr>
          <w:sz w:val="20"/>
          <w:szCs w:val="20"/>
          <w:color w:val="auto"/>
        </w:rPr>
      </w:pPr>
    </w:p>
    <w:p>
      <w:pPr>
        <w:ind w:left="4" w:right="5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Quoted Currency</w:t>
      </w:r>
      <w:r>
        <w:rPr>
          <w:rFonts w:ascii="Arial" w:cs="Arial" w:eastAsia="Arial" w:hAnsi="Arial"/>
          <w:sz w:val="18"/>
          <w:szCs w:val="18"/>
          <w:color w:val="auto"/>
        </w:rPr>
        <w:t>” means each of the following currencies: Dollars; Euro; English Pounds Sterling; Japanese Yen; and Swiss Franc; in each case as long as there is a published LIBO rate with respect thereto.</w:t>
      </w:r>
    </w:p>
    <w:p>
      <w:pPr>
        <w:spacing w:after="0" w:line="103"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20</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50" w:name="page51"/>
    <w:bookmarkEnd w:id="50"/>
    <w:p>
      <w:pPr>
        <w:ind w:left="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LIBO Rate</w:t>
      </w:r>
      <w:r>
        <w:rPr>
          <w:rFonts w:ascii="Arial" w:cs="Arial" w:eastAsia="Arial" w:hAnsi="Arial"/>
          <w:sz w:val="18"/>
          <w:szCs w:val="18"/>
          <w:color w:val="auto"/>
        </w:rPr>
        <w:t>” means, for any Interest Period, the greater of (i) zero percent (0%) and (ii):</w:t>
      </w:r>
    </w:p>
    <w:p>
      <w:pPr>
        <w:spacing w:after="0" w:line="117" w:lineRule="exact"/>
        <w:rPr>
          <w:sz w:val="20"/>
          <w:szCs w:val="20"/>
          <w:color w:val="auto"/>
        </w:rPr>
      </w:pPr>
    </w:p>
    <w:p>
      <w:pPr>
        <w:ind w:left="-420" w:right="40" w:firstLine="987"/>
        <w:spacing w:after="0" w:line="287" w:lineRule="auto"/>
        <w:tabs>
          <w:tab w:leader="none" w:pos="996" w:val="left"/>
        </w:tabs>
        <w:numPr>
          <w:ilvl w:val="1"/>
          <w:numId w:val="17"/>
        </w:numPr>
        <w:rPr>
          <w:rFonts w:ascii="Arial" w:cs="Arial" w:eastAsia="Arial" w:hAnsi="Arial"/>
          <w:sz w:val="16"/>
          <w:szCs w:val="16"/>
          <w:color w:val="auto"/>
        </w:rPr>
      </w:pPr>
      <w:r>
        <w:rPr>
          <w:rFonts w:ascii="Arial" w:cs="Arial" w:eastAsia="Arial" w:hAnsi="Arial"/>
          <w:sz w:val="16"/>
          <w:szCs w:val="16"/>
          <w:color w:val="auto"/>
        </w:rPr>
        <w:t>in the case of Eurocurrency Borrowings denominated in a LIBO Quoted Currency, the ICE Benchmark Administration Limited London interbank offered rate per annum for deposits in the relevant Currency for a period equal to the Interest Period as displayed in the Bloomberg Financial Markets System (or such other page on that service or such other service designated by the ICE Benchmark Administration Limited for the display of such Administration’s London interbank offered rate for deposits in the relevant Currency) as of 11:00 a.m., London time on the day that is two Business Days prior to the first day of the Interest Period (or, solely with respect to Eurocurrency Borrowings in English Pounds Sterling, on the first day of the Interest Period) (the “</w:t>
      </w:r>
      <w:r>
        <w:rPr>
          <w:rFonts w:ascii="Arial" w:cs="Arial" w:eastAsia="Arial" w:hAnsi="Arial"/>
          <w:sz w:val="16"/>
          <w:szCs w:val="16"/>
          <w:u w:val="single" w:color="auto"/>
          <w:color w:val="auto"/>
        </w:rPr>
        <w:t>Screen Rate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Administrative Agent determines that the relevant foregoing sources are unavailable for the relevant Interest Period, LIBO Rate shall mean, for any LIBO Quoted Currency, the rate of interest determined by the Administrative Agent to be the average (rounded upward, if necessary, to the nearest 1/100th of 1%) of the rate per annum at which the Administrative Agent could borrow funds if it were to do so by asking for and then accepting interbank offers two (2) business days’ preceding the first day of such Interest Period (or, solely with respect to Eurocurrency Borrowings denominated in English Pounds Sterling, on the first day of such Interest Period) in the London interbank market for the relevant Currency as of 11:00 a.m. for delivery on the first day of such Interest Period, for the number of days comprised therein and in an amount comparable to the amount of the Administrative Agent’s portion of the relevant Eurocurrency Borrowing;</w:t>
      </w:r>
      <w:r>
        <w:rPr>
          <w:rFonts w:ascii="Arial" w:cs="Arial" w:eastAsia="Arial" w:hAnsi="Arial"/>
          <w:sz w:val="13"/>
          <w:szCs w:val="13"/>
          <w:color w:val="auto"/>
        </w:rPr>
        <w:t>1</w:t>
      </w:r>
    </w:p>
    <w:p>
      <w:pPr>
        <w:spacing w:after="0" w:line="59" w:lineRule="exact"/>
        <w:rPr>
          <w:rFonts w:ascii="Arial" w:cs="Arial" w:eastAsia="Arial" w:hAnsi="Arial"/>
          <w:sz w:val="16"/>
          <w:szCs w:val="16"/>
          <w:color w:val="auto"/>
        </w:rPr>
      </w:pPr>
    </w:p>
    <w:p>
      <w:pPr>
        <w:ind w:left="960" w:hanging="393"/>
        <w:spacing w:after="0"/>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the case of Eurocurrency Borrowings denominated in Canadian Dollars, the CDOR Rate per annum;</w:t>
      </w:r>
    </w:p>
    <w:p>
      <w:pPr>
        <w:spacing w:after="0" w:line="117" w:lineRule="exact"/>
        <w:rPr>
          <w:rFonts w:ascii="Arial" w:cs="Arial" w:eastAsia="Arial" w:hAnsi="Arial"/>
          <w:sz w:val="18"/>
          <w:szCs w:val="18"/>
          <w:color w:val="auto"/>
        </w:rPr>
      </w:pPr>
    </w:p>
    <w:p>
      <w:pPr>
        <w:ind w:left="-420" w:right="60" w:firstLine="987"/>
        <w:spacing w:after="0" w:line="257" w:lineRule="auto"/>
        <w:tabs>
          <w:tab w:leader="none" w:pos="951"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the case of Eurocurrency Borrowings denominated in Australian Dollars, the rate per annum equal to the Bank Bill Swap Reference Bid rate or a successor thereto approved by the Administrative Agent (“BBSY”) as published by Reuters (or such other page or commercially available source providing BBSY (Bid) quotations as may be designated by the Administrative Agent from time to time) at or about 10:30 a.m. (Melbourne, Australia time) on the day that is two Business Days prior to the first day of the Interest Period (or if such day is not a Business Day, then on the immediately preceding Business Day) with a term equivalent to such Interest Period;</w:t>
      </w:r>
    </w:p>
    <w:p>
      <w:pPr>
        <w:spacing w:after="0" w:line="79" w:lineRule="exact"/>
        <w:rPr>
          <w:rFonts w:ascii="Arial" w:cs="Arial" w:eastAsia="Arial" w:hAnsi="Arial"/>
          <w:sz w:val="18"/>
          <w:szCs w:val="18"/>
          <w:color w:val="auto"/>
        </w:rPr>
      </w:pPr>
    </w:p>
    <w:p>
      <w:pPr>
        <w:ind w:left="-420" w:right="20" w:firstLine="987"/>
        <w:spacing w:after="0" w:line="257" w:lineRule="auto"/>
        <w:tabs>
          <w:tab w:leader="none" w:pos="961"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the case of Eurocurrency Borrowings denominated in New Zealand Dollars, the rate per annum equal to the Bank Bill Reference Bid Rate or a successor thereto approved by the Administrative Agent (“BKBM”) as published by Reuters (or such other page or commercially available source providing BKBM (Bid) quotations as may be designated by the Administrative Agent from time to time) at or about 10:45 a.m. (Auckland, New Zealand time) on the day that is two Business Days prior to the first day of the Interest Period (or if such day is not a Business Day, then on the immediately preceding Business Day) with a term equivalent to such Interest Period;</w:t>
      </w:r>
    </w:p>
    <w:p>
      <w:pPr>
        <w:spacing w:after="0" w:line="79" w:lineRule="exact"/>
        <w:rPr>
          <w:rFonts w:ascii="Arial" w:cs="Arial" w:eastAsia="Arial" w:hAnsi="Arial"/>
          <w:sz w:val="18"/>
          <w:szCs w:val="18"/>
          <w:color w:val="auto"/>
        </w:rPr>
      </w:pPr>
    </w:p>
    <w:p>
      <w:pPr>
        <w:ind w:left="-420" w:right="600" w:firstLine="987"/>
        <w:spacing w:after="0" w:line="277" w:lineRule="auto"/>
        <w:tabs>
          <w:tab w:leader="none" w:pos="951"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the case of Eurocurrency Borrowings denominated in Swedish Krona, the rate per annum equal to the Stockholm Interbank Offered Rate or a successor thereto approved by</w:t>
      </w:r>
    </w:p>
    <w:p>
      <w:pPr>
        <w:spacing w:after="0" w:line="143" w:lineRule="exact"/>
        <w:rPr>
          <w:rFonts w:ascii="Arial" w:cs="Arial" w:eastAsia="Arial" w:hAnsi="Arial"/>
          <w:sz w:val="18"/>
          <w:szCs w:val="18"/>
          <w:color w:val="auto"/>
        </w:rPr>
      </w:pPr>
    </w:p>
    <w:p>
      <w:pPr>
        <w:ind w:right="80" w:hanging="432"/>
        <w:spacing w:after="0" w:line="311"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6"/>
          <w:szCs w:val="16"/>
          <w:color w:val="auto"/>
        </w:rPr>
        <w:t>ICE Benchmark Administration Limited makes no warranty, express of implied, either as to the results to be obtained from the use of ICE LIBOR and/or the figure at which ICE LIBOR stands at any particular time on any particular day or otherwise. ICE Benchmark Administration Limited makes no express or implied warranties of merchantability or fitness for a particular purpose in respect of any use of ICE 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-478790</wp:posOffset>
            </wp:positionV>
            <wp:extent cx="7715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1" w:lineRule="exact"/>
        <w:rPr>
          <w:sz w:val="20"/>
          <w:szCs w:val="20"/>
          <w:color w:val="auto"/>
        </w:rPr>
      </w:pPr>
    </w:p>
    <w:tbl>
      <w:tblPr>
        <w:tblLayout w:type="fixed"/>
        <w:tblInd w:w="506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21</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0600"/>
          </w:cols>
          <w:pgMar w:left="860" w:top="274" w:right="439" w:bottom="1440" w:gutter="0" w:footer="0" w:header="0"/>
        </w:sectPr>
      </w:pPr>
    </w:p>
    <w:bookmarkStart w:id="51" w:name="page52"/>
    <w:bookmarkEnd w:id="51"/>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Administrative Agent (“STIBOR”) as published by Reuters (or such other page or commercially available source providing STIBOR quotations as may be designated by the Administrative Agent from time to time) at or about 11:00 a.m. (Stockholm, Sweden time) on the day that is two Business Days prior to the first day of the Interest Period (or if such day is not a Business Day, then on the immediately preceding Business Day) with a term equivalent to such Interest Period; or</w:t>
      </w:r>
    </w:p>
    <w:p>
      <w:pPr>
        <w:spacing w:after="0" w:line="79" w:lineRule="exact"/>
        <w:rPr>
          <w:sz w:val="20"/>
          <w:szCs w:val="20"/>
          <w:color w:val="auto"/>
        </w:rPr>
      </w:pPr>
    </w:p>
    <w:p>
      <w:pPr>
        <w:ind w:right="120" w:firstLine="987"/>
        <w:spacing w:after="0" w:line="277" w:lineRule="auto"/>
        <w:tabs>
          <w:tab w:leader="none" w:pos="1351"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all Non-LIBO Quoted Currencies (other than Canadian Dollars, Australian Dollars, New Zealand Dollars or Swedish Krona), the calculation of the applicable reference rate shall be determined in accordance with market practice.</w:t>
      </w:r>
    </w:p>
    <w:p>
      <w:pPr>
        <w:spacing w:after="0" w:line="170" w:lineRule="exact"/>
        <w:rPr>
          <w:sz w:val="20"/>
          <w:szCs w:val="20"/>
          <w:color w:val="auto"/>
        </w:rPr>
      </w:pPr>
    </w:p>
    <w:p>
      <w:pPr>
        <w:ind w:right="40" w:firstLine="99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for the avoidance of doubt, in the case of Portfolio Investments that are loans or other debt obligations, customary restrictions on assignments or transfers thereof pursuant to the underlying documentation for such Portfolio Investment shall not be deemed to be a “Lien” and in the case of Investments that are securities, excluding customary drag-along, tag-along, right of first refusal, restrictions on assignments or transfers (so long as such restrictions do not preclude the granting to the Collateral Agent of a Lien on such securities) and other similar rights in favor of the equity holders of the same issuer).</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this Agreement, the Letter of Credit Documents and the Security Documents.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means “margin stock” within the meaning of Regulations T, U and X.</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Value Investments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5.12(b)(ii)(B)(z)</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3.04(b)</w:t>
      </w:r>
      <w:r>
        <w:rPr>
          <w:rFonts w:ascii="Arial" w:cs="Arial" w:eastAsia="Arial" w:hAnsi="Arial"/>
          <w:sz w:val="18"/>
          <w:szCs w:val="18"/>
          <w:color w:val="auto"/>
        </w:rPr>
        <w:t>.</w:t>
      </w:r>
    </w:p>
    <w:p>
      <w:pPr>
        <w:spacing w:after="0" w:line="225" w:lineRule="exact"/>
        <w:rPr>
          <w:sz w:val="20"/>
          <w:szCs w:val="20"/>
          <w:color w:val="auto"/>
        </w:rPr>
      </w:pPr>
    </w:p>
    <w:p>
      <w:pPr>
        <w:ind w:right="24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(a) the business, Portfolio Investments and other assets, liabilities and financial condition of the Borrower or the Borrower and its Subsidiaries (other than Financing Subsidiaries) taken as a whole (excluding in any case a decline in the net asset value of the Borrower or a change in general market conditions or values of the Portfolio Investments), or (b) the validity or enforceability of any of the Loan Documents or the rights or remedies of the Administrative Agent and the Lenders thereunder.</w:t>
      </w:r>
    </w:p>
    <w:p>
      <w:pPr>
        <w:spacing w:after="0" w:line="90"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22</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52" w:name="page53"/>
    <w:bookmarkEnd w:id="52"/>
    <w:p>
      <w:pPr>
        <w:ind w:right="100"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Material Indebtedness</w:t>
      </w:r>
      <w:r>
        <w:rPr>
          <w:rFonts w:ascii="Arial" w:cs="Arial" w:eastAsia="Arial" w:hAnsi="Arial"/>
          <w:sz w:val="17"/>
          <w:szCs w:val="17"/>
          <w:color w:val="auto"/>
        </w:rPr>
        <w:t>” means (a) Indebtedness (other than the Loans, Letters of Credit and Hedging Agreements), of any one or more of the Borrower and its Subsidiaries in an aggregate principal amount exceeding $15,000,000 and (b) obligations in respect of one or more Hedging Agreements under which the maximum aggregate amount (giving effect to any netting agreements) that the Borrower and its Subsidiaries would be required to pay if such Hedging Agreement(s) were terminated at such time would exceed $15,000,000.</w:t>
      </w:r>
    </w:p>
    <w:p>
      <w:pPr>
        <w:spacing w:after="0" w:line="171" w:lineRule="exact"/>
        <w:rPr>
          <w:sz w:val="20"/>
          <w:szCs w:val="20"/>
          <w:color w:val="auto"/>
        </w:rPr>
      </w:pPr>
    </w:p>
    <w:p>
      <w:pPr>
        <w:ind w:right="4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Minimum Collateral Amount</w:t>
      </w:r>
      <w:r>
        <w:rPr>
          <w:rFonts w:ascii="Arial" w:cs="Arial" w:eastAsia="Arial" w:hAnsi="Arial"/>
          <w:sz w:val="16"/>
          <w:szCs w:val="16"/>
          <w:color w:val="auto"/>
        </w:rPr>
        <w:t>” means, at any time, with respect to Cash Collateral consisting of Cash or deposit account balances, an amount equal to 100% of the Fronting Exposure of the Issuing Bank with respect to Letters of Credit issued and outstanding at such time.</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or any successor thereto.</w:t>
      </w:r>
    </w:p>
    <w:p>
      <w:pPr>
        <w:spacing w:after="0" w:line="225"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Multicurrency Commitment</w:t>
      </w:r>
      <w:r>
        <w:rPr>
          <w:rFonts w:ascii="Arial" w:cs="Arial" w:eastAsia="Arial" w:hAnsi="Arial"/>
          <w:sz w:val="17"/>
          <w:szCs w:val="17"/>
          <w:color w:val="auto"/>
        </w:rPr>
        <w:t xml:space="preserve">” means, with respect to each Multicurrency Lender , the commitment of such Multicurrency Lender to make Syndicated Loans, and to acquire participations in Letters of Credit and Swingline Loans, denominated in Dollars and in Agreed Foreign Currencies hereunder, during such Multicurrency Lender’s Availability Period, expressed as an amount representing the maximum aggregate amount of such Lender’s Revolving Multicurrency Credit Exposure hereunder, as such commitment may be (a) reduced or increased from time to time pursuant to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and (b) reduced or increased from time to time pursuant to assignments by or to such Lender pursuant to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The initial amount of each Lender’s Multicurrency Commitment is set forth on </w:t>
      </w:r>
      <w:r>
        <w:rPr>
          <w:rFonts w:ascii="Arial" w:cs="Arial" w:eastAsia="Arial" w:hAnsi="Arial"/>
          <w:sz w:val="17"/>
          <w:szCs w:val="17"/>
          <w:u w:val="single" w:color="auto"/>
          <w:color w:val="auto"/>
        </w:rPr>
        <w:t>Schedule 1.01(b)</w:t>
      </w:r>
      <w:r>
        <w:rPr>
          <w:rFonts w:ascii="Arial" w:cs="Arial" w:eastAsia="Arial" w:hAnsi="Arial"/>
          <w:sz w:val="17"/>
          <w:szCs w:val="17"/>
          <w:color w:val="auto"/>
        </w:rPr>
        <w:t>, or in the Assignment and Assumption pursuant to which such Lender shall have assumed its Multicurrency commitment, as applicable. The aggregate amount of the Lenders’ Multicurrency Commitments as of the Second Amendment Effective Date is $310,000,000.</w:t>
      </w:r>
    </w:p>
    <w:p>
      <w:pPr>
        <w:spacing w:after="0" w:line="178"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LC Exposure</w:t>
      </w:r>
      <w:r>
        <w:rPr>
          <w:rFonts w:ascii="Arial" w:cs="Arial" w:eastAsia="Arial" w:hAnsi="Arial"/>
          <w:sz w:val="18"/>
          <w:szCs w:val="18"/>
          <w:color w:val="auto"/>
        </w:rPr>
        <w:t xml:space="preserve">” means, at any time, the sum of (a) the aggregate undrawn amount of all outstanding Multicurrency Letters of Credit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p>
    <w:p>
      <w:pPr>
        <w:spacing w:after="0" w:line="187" w:lineRule="exact"/>
        <w:rPr>
          <w:sz w:val="20"/>
          <w:szCs w:val="20"/>
          <w:color w:val="auto"/>
        </w:rPr>
      </w:pPr>
    </w:p>
    <w:p>
      <w:pPr>
        <w:jc w:val="both"/>
        <w:ind w:right="18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Lender</w:t>
      </w:r>
      <w:r>
        <w:rPr>
          <w:rFonts w:ascii="Arial" w:cs="Arial" w:eastAsia="Arial" w:hAnsi="Arial"/>
          <w:sz w:val="16"/>
          <w:szCs w:val="16"/>
          <w:color w:val="auto"/>
        </w:rPr>
        <w:t xml:space="preserve">” means the Persons listed on </w:t>
      </w:r>
      <w:r>
        <w:rPr>
          <w:rFonts w:ascii="Arial" w:cs="Arial" w:eastAsia="Arial" w:hAnsi="Arial"/>
          <w:sz w:val="16"/>
          <w:szCs w:val="16"/>
          <w:u w:val="single" w:color="auto"/>
          <w:color w:val="auto"/>
        </w:rPr>
        <w:t>Schedule 1.01(b)</w:t>
      </w:r>
      <w:r>
        <w:rPr>
          <w:rFonts w:ascii="Arial" w:cs="Arial" w:eastAsia="Arial" w:hAnsi="Arial"/>
          <w:sz w:val="16"/>
          <w:szCs w:val="16"/>
          <w:color w:val="auto"/>
        </w:rPr>
        <w:t xml:space="preserve"> as having Multicurrency Commitments and any other Person that shall have become a party hereto pursuant to an Assignment and Assumption that provides for it to assume a Multicurrency Commitment or to acquire Revolving Multicurrency Credit Exposure, other than any such Person that ceases to be a party hereto pursuant to an Assignment and Assumption.</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Letters of Credit</w:t>
      </w:r>
      <w:r>
        <w:rPr>
          <w:rFonts w:ascii="Arial" w:cs="Arial" w:eastAsia="Arial" w:hAnsi="Arial"/>
          <w:sz w:val="18"/>
          <w:szCs w:val="18"/>
          <w:color w:val="auto"/>
        </w:rPr>
        <w:t>” means Letters of Credit that utilize the Multicurrency Commitments.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Loan</w:t>
      </w:r>
      <w:r>
        <w:rPr>
          <w:rFonts w:ascii="Arial" w:cs="Arial" w:eastAsia="Arial" w:hAnsi="Arial"/>
          <w:sz w:val="18"/>
          <w:szCs w:val="18"/>
          <w:color w:val="auto"/>
        </w:rPr>
        <w:t>” means a Loan denominated in Dollars or an Agreed Foreign Currency.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ectPr>
          <w:pgSz w:w="11900" w:h="16838" w:orient="portrait"/>
          <w:cols w:equalWidth="0" w:num="1">
            <w:col w:w="11020"/>
          </w:cols>
          <w:pgMar w:left="440" w:top="274" w:right="439" w:bottom="1440" w:gutter="0" w:footer="0" w:header="0"/>
        </w:sectPr>
      </w:pP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5"/>
          <w:szCs w:val="15"/>
          <w:i w:val="1"/>
          <w:iCs w:val="1"/>
          <w:color w:val="auto"/>
        </w:rPr>
        <w:t>Second Amended and Restated</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Revolving Credit Agreement</w:t>
      </w:r>
    </w:p>
    <w:p>
      <w:pPr>
        <w:sectPr>
          <w:pgSz w:w="11900" w:h="16838" w:orient="portrait"/>
          <w:cols w:equalWidth="0" w:num="2">
            <w:col w:w="8080" w:space="720"/>
            <w:col w:w="2220"/>
          </w:cols>
          <w:pgMar w:left="440" w:top="274" w:right="4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National Currency</w:t>
      </w:r>
      <w:r>
        <w:rPr>
          <w:rFonts w:ascii="Arial" w:cs="Arial" w:eastAsia="Arial" w:hAnsi="Arial"/>
          <w:sz w:val="18"/>
          <w:szCs w:val="18"/>
          <w:color w:val="auto"/>
        </w:rPr>
        <w:t>” means the currency, other than the Euro, of a Participating Member 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w:t>
      </w:r>
    </w:p>
    <w:p>
      <w:pPr>
        <w:spacing w:after="0" w:line="117" w:lineRule="exact"/>
        <w:rPr>
          <w:sz w:val="20"/>
          <w:szCs w:val="20"/>
          <w:color w:val="auto"/>
        </w:rPr>
      </w:pPr>
    </w:p>
    <w:p>
      <w:pPr>
        <w:ind w:left="-980" w:right="80" w:firstLine="987"/>
        <w:spacing w:after="0" w:line="286" w:lineRule="auto"/>
        <w:tabs>
          <w:tab w:leader="none" w:pos="391"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with respect to any Disposition by the Borrower or any of its Subsidiaries (other than Financing Subsidiaries), or any Extraordinary Receipt received or paid to the account of the Borrower or any of its Subsidiaries (other than Financing Subsidiaries) (in each case, which requires a payment of the Loans under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an amount equal to (a) the sum of cash and Cash Equivalents received in connection with such transaction (including any cash or Cash Equivalents received by way of deferred payment pursuant to, or by monetization of, a note receivable or otherwise, but only as and when so received)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sum of (i) the principal amount of any Indebtedness that is secured by the applicable asset and that is required to be repaid in connection with such transaction (other than Indebtedness under the Loan Documents), (ii) the reasonable out-of-pocket fees, costs and expenses incurred by the Borrower or such Subsidiary in connection with such transaction, (iii) the taxes paid or reasonably estimated to be actually payable within two years of the date of the relevant transaction in connection with such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amount of any estimated taxes pursuant to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exceeds the amount of taxes actually required to be paid in cash in respect of such Disposition, the aggregate amount of such excess shall constitute Net Cash Proceeds (as of the date the Borrower determines such excess exists), (iv) any reasonable costs, fees, commissions, premiums and expenses incurred by the Borrower or any of its Subsidiaries in connection with such Disposition, and (v) reserves for indemnification, purchase price adjustments or analogous arrangements reasonably estimated by the Borrower or the relevant Subsidiary in connection with such Disposition; provided that, if the amount of any estimated reserves pursuant to this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exceeds the amount actually required to be paid in cash in respect of indemnification, purchase price adjustments or analogous arrangements for such Disposition, the aggregate amount of such excess shall constitute Net Cash Proceeds (as of the date the Borrower determines such excess exists); and</w:t>
      </w:r>
    </w:p>
    <w:p>
      <w:pPr>
        <w:spacing w:after="0" w:line="59" w:lineRule="exact"/>
        <w:rPr>
          <w:rFonts w:ascii="Arial" w:cs="Arial" w:eastAsia="Arial" w:hAnsi="Arial"/>
          <w:sz w:val="16"/>
          <w:szCs w:val="16"/>
          <w:color w:val="auto"/>
        </w:rPr>
      </w:pPr>
    </w:p>
    <w:p>
      <w:pPr>
        <w:ind w:left="-980" w:right="80" w:firstLine="987"/>
        <w:spacing w:after="0" w:line="270" w:lineRule="auto"/>
        <w:tabs>
          <w:tab w:leader="none" w:pos="401"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with respect to the sale or issuance of any Equity Interest by the Borrower or any of its Subsidiaries (other than any Financing Subsidiary) (including, for the avoidance of doubt, cash received by the Borrower or any of its Subsidiaries (other than any Financing Subsidiaries) for the sale by the Borrower or such Subsidiary of any Equity Interest of a Financing Subsidiary but specifically excluding any sale of any Equity Interest by a Financing Subsidiary or cash received by a Financing Subsidiary in connection with the sale of any Equity Interest), or the incurrence or issuance of any Indebtedness by the Borrower or any of its Subsidiaries (other than Financing Subsidiaries) (in each case, which requires a payment of the Loans under </w:t>
      </w:r>
      <w:r>
        <w:rPr>
          <w:rFonts w:ascii="Arial" w:cs="Arial" w:eastAsia="Arial" w:hAnsi="Arial"/>
          <w:sz w:val="17"/>
          <w:szCs w:val="17"/>
          <w:u w:val="single" w:color="auto"/>
          <w:color w:val="auto"/>
        </w:rPr>
        <w:t>Section 2.10(e)</w:t>
      </w:r>
      <w:r>
        <w:rPr>
          <w:rFonts w:ascii="Arial" w:cs="Arial" w:eastAsia="Arial" w:hAnsi="Arial"/>
          <w:sz w:val="17"/>
          <w:szCs w:val="17"/>
          <w:color w:val="auto"/>
        </w:rPr>
        <w:t xml:space="preserve">), an amount equal to (i) the sum of the cash and Cash Equivalents received in connection with such transaction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the sum of (1) reasonable out-of-pocket fees, costs and expenses, incurred by the Borrower or such Subsidiary in connection therewith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any reasonable costs, fees, commissions, premiums, expenses, or underwriting discounts or commissions incurred by the Borrower or any of its Subsidiaries in connection with such sale or issuance.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gridSpan w:val="3"/>
          </w:tcPr>
          <w:p>
            <w:pPr>
              <w:jc w:val="right"/>
              <w:ind w:right="230"/>
              <w:spacing w:after="0"/>
              <w:rPr>
                <w:sz w:val="20"/>
                <w:szCs w:val="20"/>
                <w:color w:val="auto"/>
              </w:rPr>
            </w:pPr>
            <w:r>
              <w:rPr>
                <w:rFonts w:ascii="Arial" w:cs="Arial" w:eastAsia="Arial" w:hAnsi="Arial"/>
                <w:sz w:val="18"/>
                <w:szCs w:val="18"/>
                <w:color w:val="auto"/>
                <w:w w:val="91"/>
              </w:rPr>
              <w:t>“Non-Defaulting Lender” means, at any time, a Lender that is not a Defaulting Lender at such time.</w:t>
            </w:r>
          </w:p>
        </w:tc>
        <w:tc>
          <w:tcPr>
            <w:tcW w:w="2540" w:type="dxa"/>
            <w:vAlign w:val="bottom"/>
          </w:tcPr>
          <w:p>
            <w:pPr>
              <w:spacing w:after="0"/>
              <w:rPr>
                <w:sz w:val="17"/>
                <w:szCs w:val="17"/>
                <w:color w:val="auto"/>
              </w:rPr>
            </w:pPr>
          </w:p>
        </w:tc>
      </w:tr>
      <w:tr>
        <w:trPr>
          <w:trHeight w:val="371"/>
        </w:trPr>
        <w:tc>
          <w:tcPr>
            <w:tcW w:w="8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5720" w:type="dxa"/>
            <w:vAlign w:val="bottom"/>
          </w:tcPr>
          <w:p>
            <w:pPr>
              <w:jc w:val="right"/>
              <w:ind w:right="2730"/>
              <w:spacing w:after="0"/>
              <w:rPr>
                <w:sz w:val="20"/>
                <w:szCs w:val="20"/>
                <w:color w:val="auto"/>
              </w:rPr>
            </w:pPr>
            <w:r>
              <w:rPr>
                <w:rFonts w:ascii="Arial" w:cs="Arial" w:eastAsia="Arial" w:hAnsi="Arial"/>
                <w:sz w:val="18"/>
                <w:szCs w:val="18"/>
                <w:color w:val="auto"/>
              </w:rPr>
              <w:t>24</w:t>
            </w:r>
          </w:p>
        </w:tc>
        <w:tc>
          <w:tcPr>
            <w:tcW w:w="2540" w:type="dxa"/>
            <w:vAlign w:val="bottom"/>
          </w:tcPr>
          <w:p>
            <w:pPr>
              <w:jc w:val="right"/>
              <w:spacing w:after="0"/>
              <w:rPr>
                <w:sz w:val="20"/>
                <w:szCs w:val="20"/>
                <w:color w:val="auto"/>
              </w:rPr>
            </w:pPr>
            <w:r>
              <w:rPr>
                <w:rFonts w:ascii="Arial" w:cs="Arial" w:eastAsia="Arial" w:hAnsi="Arial"/>
                <w:sz w:val="18"/>
                <w:szCs w:val="18"/>
                <w:i w:val="1"/>
                <w:iCs w:val="1"/>
                <w:color w:val="auto"/>
                <w:w w:val="98"/>
              </w:rPr>
              <w:t>Second Amended and Restated</w:t>
            </w:r>
          </w:p>
        </w:tc>
      </w:tr>
      <w:tr>
        <w:trPr>
          <w:trHeight w:val="230"/>
        </w:trPr>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0040"/>
          </w:cols>
          <w:pgMar w:left="1420" w:top="274" w:right="439" w:bottom="1440" w:gutter="0" w:footer="0" w:header="0"/>
        </w:sectPr>
      </w:pPr>
    </w:p>
    <w:bookmarkStart w:id="54" w:name="page55"/>
    <w:bookmarkEnd w:id="54"/>
    <w:p>
      <w:pPr>
        <w:ind w:left="4" w:right="16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Non-Extended Availability Period</w:t>
      </w:r>
      <w:r>
        <w:rPr>
          <w:rFonts w:ascii="Arial" w:cs="Arial" w:eastAsia="Arial" w:hAnsi="Arial"/>
          <w:sz w:val="18"/>
          <w:szCs w:val="18"/>
          <w:color w:val="auto"/>
        </w:rPr>
        <w:t>” means, with respect to any Non-Extending Lender, the period from and including the Effective Date to but excluding the earlier of the Non-Extended Commitment Termination Date for such Non-Extending Lender and the date of termination of the Commitments.</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Non-Extended Commitment Termination Date</w:t>
      </w:r>
      <w:r>
        <w:rPr>
          <w:rFonts w:ascii="Arial" w:cs="Arial" w:eastAsia="Arial" w:hAnsi="Arial"/>
          <w:sz w:val="18"/>
          <w:szCs w:val="18"/>
          <w:color w:val="auto"/>
        </w:rPr>
        <w:t>” means, with respect to each Non-Extending Lender, May 25, 2021.</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Non-Extended Final Maturity Date</w:t>
      </w:r>
      <w:r>
        <w:rPr>
          <w:rFonts w:ascii="Arial" w:cs="Arial" w:eastAsia="Arial" w:hAnsi="Arial"/>
          <w:sz w:val="18"/>
          <w:szCs w:val="18"/>
          <w:color w:val="auto"/>
        </w:rPr>
        <w:t>” means, with respect to each Non-Extending Lender, May 25, 2022.</w:t>
      </w:r>
    </w:p>
    <w:p>
      <w:pPr>
        <w:spacing w:after="0" w:line="225" w:lineRule="exact"/>
        <w:rPr>
          <w:sz w:val="20"/>
          <w:szCs w:val="20"/>
          <w:color w:val="auto"/>
        </w:rPr>
      </w:pPr>
    </w:p>
    <w:p>
      <w:pPr>
        <w:ind w:left="4"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Non-Extended Loans</w:t>
      </w:r>
      <w:r>
        <w:rPr>
          <w:rFonts w:ascii="Arial" w:cs="Arial" w:eastAsia="Arial" w:hAnsi="Arial"/>
          <w:sz w:val="18"/>
          <w:szCs w:val="18"/>
          <w:color w:val="auto"/>
        </w:rPr>
        <w:t>” means Loans or Borrowings of any Non-Extending Lender maturing on the Non-Extended Final Maturity Date for such Non-Extending Lender.</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w:t>
      </w:r>
      <w:r>
        <w:rPr>
          <w:rFonts w:ascii="Arial" w:cs="Arial" w:eastAsia="Arial" w:hAnsi="Arial"/>
          <w:sz w:val="18"/>
          <w:szCs w:val="18"/>
          <w:color w:val="auto"/>
        </w:rPr>
        <w:t xml:space="preserve">” means each Lender designated as a “Non-Extending Lender” on </w:t>
      </w:r>
      <w:r>
        <w:rPr>
          <w:rFonts w:ascii="Arial" w:cs="Arial" w:eastAsia="Arial" w:hAnsi="Arial"/>
          <w:sz w:val="18"/>
          <w:szCs w:val="18"/>
          <w:u w:val="single" w:color="auto"/>
          <w:color w:val="auto"/>
        </w:rPr>
        <w:t>Schedule 1.01(b)</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Non-LIBO Quoted Currency</w:t>
      </w:r>
      <w:r>
        <w:rPr>
          <w:rFonts w:ascii="Arial" w:cs="Arial" w:eastAsia="Arial" w:hAnsi="Arial"/>
          <w:sz w:val="18"/>
          <w:szCs w:val="18"/>
          <w:color w:val="auto"/>
        </w:rPr>
        <w:t>” means any currency other than a LIBO Quoted Currency.</w:t>
      </w:r>
    </w:p>
    <w:p>
      <w:pPr>
        <w:spacing w:after="0" w:line="225" w:lineRule="exact"/>
        <w:rPr>
          <w:sz w:val="20"/>
          <w:szCs w:val="20"/>
          <w:color w:val="auto"/>
        </w:rPr>
      </w:pPr>
    </w:p>
    <w:p>
      <w:pPr>
        <w:ind w:left="4"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Non-Public Information</w:t>
      </w:r>
      <w:r>
        <w:rPr>
          <w:rFonts w:ascii="Arial" w:cs="Arial" w:eastAsia="Arial" w:hAnsi="Arial"/>
          <w:sz w:val="18"/>
          <w:szCs w:val="18"/>
          <w:color w:val="auto"/>
        </w:rPr>
        <w:t>” means material non-public information (within the meaning of United States federal, state or other applicable securities laws) with respect to Borrower or its Affiliates or their Securities.</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w:t>
      </w:r>
      <w:r>
        <w:rPr>
          <w:rFonts w:ascii="Arial" w:cs="Arial" w:eastAsia="Arial" w:hAnsi="Arial"/>
          <w:sz w:val="18"/>
          <w:szCs w:val="18"/>
          <w:color w:val="auto"/>
        </w:rPr>
        <w:t>” means, collectively, the Borrower and the Subsidiary Guarantors.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3.15</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225" w:lineRule="exact"/>
        <w:rPr>
          <w:sz w:val="20"/>
          <w:szCs w:val="20"/>
          <w:color w:val="auto"/>
        </w:rPr>
      </w:pPr>
    </w:p>
    <w:p>
      <w:pPr>
        <w:ind w:left="4" w:right="2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Covered Indebtedness</w:t>
      </w:r>
      <w:r>
        <w:rPr>
          <w:rFonts w:ascii="Arial" w:cs="Arial" w:eastAsia="Arial" w:hAnsi="Arial"/>
          <w:sz w:val="17"/>
          <w:szCs w:val="17"/>
          <w:color w:val="auto"/>
        </w:rPr>
        <w:t>” means, collectively, Secured Longer-Term Indebtedness, Secured Shorter-Term Indebtedness, Unsecured Shorter-Term Indebtedness, Special Permitted Indebtedness and Permitted Amortizing Unsecured Longer-Term Indebtedness.</w:t>
      </w:r>
    </w:p>
    <w:p>
      <w:pPr>
        <w:spacing w:after="0" w:line="146" w:lineRule="exact"/>
        <w:rPr>
          <w:sz w:val="20"/>
          <w:szCs w:val="20"/>
          <w:color w:val="auto"/>
        </w:rPr>
      </w:pPr>
    </w:p>
    <w:p>
      <w:pPr>
        <w:ind w:left="4" w:right="32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Permitted Indebtedness</w:t>
      </w:r>
      <w:r>
        <w:rPr>
          <w:rFonts w:ascii="Arial" w:cs="Arial" w:eastAsia="Arial" w:hAnsi="Arial"/>
          <w:sz w:val="16"/>
          <w:szCs w:val="16"/>
          <w:color w:val="auto"/>
        </w:rPr>
        <w:t>” means (a) accrued expenses and current trade accounts payable incurred in the ordinary course of the Borrower’s business which are not overdue for a period of more than 90 days or which are being contested in good faith by appropriate proceedings,</w:t>
      </w:r>
    </w:p>
    <w:p>
      <w:pPr>
        <w:ind w:left="4" w:right="20" w:hanging="4"/>
        <w:spacing w:after="0" w:line="270" w:lineRule="auto"/>
        <w:tabs>
          <w:tab w:leader="none" w:pos="259"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Indebtedness (other than Indebtedness for borrowed money) arising in connection with transactions in the ordinary course of the Borrower’s business in connection with its purchasing of securities, loans, derivatives transactions, reverse repurchase agreements or dollar rolls to the extent such transactions are permitted under the Investment Company Act and the Borrower’s Investment Policies (after giving effect to any Permitted Policy Amendments), provided that such Indebtedness does not arise in connection with the purchase of Portfolio Investments other than Cash Equivalents and U.S. Government Securities and (c) Indebtedness in respect of judgments or awards that have been in force for less than the applicable period for taking an appeal so long as such judgments or awards do not constitute an Event of Default under </w:t>
      </w:r>
      <w:r>
        <w:rPr>
          <w:rFonts w:ascii="Arial" w:cs="Arial" w:eastAsia="Arial" w:hAnsi="Arial"/>
          <w:sz w:val="17"/>
          <w:szCs w:val="17"/>
          <w:u w:val="single" w:color="auto"/>
          <w:color w:val="auto"/>
        </w:rPr>
        <w:t>clause (l)</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VII</w:t>
      </w:r>
      <w:r>
        <w:rPr>
          <w:rFonts w:ascii="Arial" w:cs="Arial" w:eastAsia="Arial" w:hAnsi="Arial"/>
          <w:sz w:val="17"/>
          <w:szCs w:val="17"/>
          <w:color w:val="auto"/>
        </w:rPr>
        <w:t>.</w:t>
      </w:r>
    </w:p>
    <w:p>
      <w:pPr>
        <w:spacing w:after="0" w:line="111"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25</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55" w:name="page56"/>
    <w:bookmarkEnd w:id="55"/>
    <w:p>
      <w:pPr>
        <w:ind w:right="40"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Other Taxes</w:t>
      </w:r>
      <w:r>
        <w:rPr>
          <w:rFonts w:ascii="Arial" w:cs="Arial" w:eastAsia="Arial" w:hAnsi="Arial"/>
          <w:sz w:val="17"/>
          <w:szCs w:val="17"/>
          <w:color w:val="auto"/>
        </w:rPr>
        <w:t xml:space="preserve">” means any and all present or future stamp, court or documentary, intangible, recording, filing or similar Taxes, arising from any payment made under any Loan Document or from the execution, delivery, performance, enforcement or registration of, from the receipt or perfection of a security interest under, or otherwise with respect to, any Loan Document, excluding any such Taxes, resulting from an assignment by any Lender in accordance with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hereof (unless such assignment is made pursuant to </w:t>
      </w:r>
      <w:r>
        <w:rPr>
          <w:rFonts w:ascii="Arial" w:cs="Arial" w:eastAsia="Arial" w:hAnsi="Arial"/>
          <w:sz w:val="17"/>
          <w:szCs w:val="17"/>
          <w:u w:val="single" w:color="auto"/>
          <w:color w:val="auto"/>
        </w:rPr>
        <w:t>Section 2.18(b)</w:t>
      </w:r>
      <w:r>
        <w:rPr>
          <w:rFonts w:ascii="Arial" w:cs="Arial" w:eastAsia="Arial" w:hAnsi="Arial"/>
          <w:sz w:val="17"/>
          <w:szCs w:val="17"/>
          <w:color w:val="auto"/>
        </w:rPr>
        <w: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225"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Community that adopts or has adopted the Euro as its lawful currency in accordance with the legislation of the European Union relating to the European Monetary Union.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referred to and defined in ERISA and any successor entity performing similar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211" w:lineRule="exact"/>
        <w:rPr>
          <w:sz w:val="20"/>
          <w:szCs w:val="20"/>
          <w:color w:val="auto"/>
        </w:rPr>
      </w:pPr>
    </w:p>
    <w:p>
      <w:pPr>
        <w:ind w:right="30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Amortizing Unsecured Longer-Term Indebtedness</w:t>
      </w:r>
      <w:r>
        <w:rPr>
          <w:rFonts w:ascii="Arial" w:cs="Arial" w:eastAsia="Arial" w:hAnsi="Arial"/>
          <w:sz w:val="18"/>
          <w:szCs w:val="18"/>
          <w:color w:val="auto"/>
        </w:rPr>
        <w:t xml:space="preserve">” means Indebtedness of any Obligor (which may be Guaranteed by any other Obligor) incurred after the Effective Date which (a) has a final maturity date not earlier than six months after the Extended Final Maturity Date and pursuant to which an aggregate principal amount of up to, but not exceeding, 30% of the original principal amount of such Indebtedness may amortize prior to the Extended Final Maturity Date and (b) satisfies all of the criteria specified in the definition of “Unsecured Longer-Term Indebtedness” other than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thereof.</w:t>
      </w:r>
    </w:p>
    <w:p>
      <w:pPr>
        <w:spacing w:after="0" w:line="188"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Convertible Indebtedness</w:t>
      </w:r>
      <w:r>
        <w:rPr>
          <w:rFonts w:ascii="Arial" w:cs="Arial" w:eastAsia="Arial" w:hAnsi="Arial"/>
          <w:sz w:val="18"/>
          <w:szCs w:val="18"/>
          <w:color w:val="auto"/>
        </w:rPr>
        <w:t>” means Indebtedness incurred by an Obligor that is convertible solely into Permitted Equity Interests of the Borrower.</w:t>
      </w:r>
    </w:p>
    <w:p>
      <w:pPr>
        <w:spacing w:after="0" w:line="170" w:lineRule="exact"/>
        <w:rPr>
          <w:sz w:val="20"/>
          <w:szCs w:val="20"/>
          <w:color w:val="auto"/>
        </w:rPr>
      </w:pPr>
    </w:p>
    <w:p>
      <w:pPr>
        <w:ind w:right="4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Equity Interests</w:t>
      </w:r>
      <w:r>
        <w:rPr>
          <w:rFonts w:ascii="Arial" w:cs="Arial" w:eastAsia="Arial" w:hAnsi="Arial"/>
          <w:sz w:val="18"/>
          <w:szCs w:val="18"/>
          <w:color w:val="auto"/>
        </w:rPr>
        <w:t>” means common stock of the Borrower that after its issuance is not subject to any agreement between the holder of such common stock and the Borrower where the Borrower is required to purchase, redeem, retire, acquire, cancel or terminate any such common stock.</w:t>
      </w:r>
    </w:p>
    <w:p>
      <w:pPr>
        <w:spacing w:after="0" w:line="184" w:lineRule="exact"/>
        <w:rPr>
          <w:sz w:val="20"/>
          <w:szCs w:val="20"/>
          <w:color w:val="auto"/>
        </w:rPr>
      </w:pPr>
    </w:p>
    <w:p>
      <w:pPr>
        <w:ind w:right="60" w:firstLine="99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 Liens imposed by any Governmental Authority for taxes, assessments or charges not yet due or that are being contested in good faith and by appropriate proceedings if adequate reserves with respect thereto are maintained on the books of the Borrower in accordance with GAAP; (b) Liens of clearing agencies, broker-dealers and similar Liens incurred in the ordinary course of business, provided that such Liens (i) attach only to the securities (or proceeds) being purchased or sold and (ii) secure only obligations incurred in connection with such purchase or sale, and not any obligation in connection with margin financing; (c) 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 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w:t>
      </w:r>
    </w:p>
    <w:p>
      <w:pPr>
        <w:spacing w:after="0" w:line="99"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26</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56" w:name="page57"/>
    <w:bookmarkEnd w:id="56"/>
    <w:p>
      <w:pPr>
        <w:ind w:left="4"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respect of employee benefit plans subject to ERISA) or to secure public or statutory obligations; (e) 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 (f) Liens arising out of judgments or awards that have been in force for less than the applicable period for taking an appeal so long as such judgments or awards do not constitute an Event of Default under </w:t>
      </w:r>
      <w:r>
        <w:rPr>
          <w:rFonts w:ascii="Arial" w:cs="Arial" w:eastAsia="Arial" w:hAnsi="Arial"/>
          <w:sz w:val="16"/>
          <w:szCs w:val="16"/>
          <w:u w:val="single" w:color="auto"/>
          <w:color w:val="auto"/>
        </w:rPr>
        <w:t>clause (l)</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VII</w:t>
      </w:r>
      <w:r>
        <w:rPr>
          <w:rFonts w:ascii="Arial" w:cs="Arial" w:eastAsia="Arial" w:hAnsi="Arial"/>
          <w:sz w:val="16"/>
          <w:szCs w:val="16"/>
          <w:color w:val="auto"/>
        </w:rPr>
        <w:t>; (g) 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securing payment of fees, indemnities and other similar obligations;</w:t>
      </w:r>
    </w:p>
    <w:p>
      <w:pPr>
        <w:spacing w:after="0" w:line="1" w:lineRule="exact"/>
        <w:rPr>
          <w:sz w:val="20"/>
          <w:szCs w:val="20"/>
          <w:color w:val="auto"/>
        </w:rPr>
      </w:pPr>
    </w:p>
    <w:p>
      <w:pPr>
        <w:ind w:left="4" w:right="40" w:hanging="4"/>
        <w:spacing w:after="0" w:line="253" w:lineRule="auto"/>
        <w:tabs>
          <w:tab w:leader="none" w:pos="259"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Liens arising solely from precautionary filings of financing statements under the Uniform Commercial Code of the applicable jurisdictions in respect of operating leases entered into by the Borrower or any of its Subsidiaries in the ordinary course of business or in respect of assets sold or otherwise disposed of to a non-Obligor in a transaction permitted by this Agreement; and (i) deposits of money securing leases to which Borrower is a party as lessee made in the ordinary course of business.</w:t>
      </w:r>
    </w:p>
    <w:p>
      <w:pPr>
        <w:spacing w:after="0" w:line="193" w:lineRule="exact"/>
        <w:rPr>
          <w:sz w:val="20"/>
          <w:szCs w:val="20"/>
          <w:color w:val="auto"/>
        </w:rPr>
      </w:pPr>
    </w:p>
    <w:p>
      <w:pPr>
        <w:ind w:left="4" w:right="60"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Policy Amendment</w:t>
      </w:r>
      <w:r>
        <w:rPr>
          <w:rFonts w:ascii="Arial" w:cs="Arial" w:eastAsia="Arial" w:hAnsi="Arial"/>
          <w:sz w:val="16"/>
          <w:szCs w:val="16"/>
          <w:color w:val="auto"/>
        </w:rPr>
        <w:t>” means any change, alteration, expansion, amendment, modification, termination or restatement of the Investment Policies, that is either (a) approved in writing by the Administrative Agent (with the consent of the Required Lenders), (b) required by applicable law, rule, regulation or Governmental Authority, or (c) not materially adverse to the rights, remedies or interests of the Lenders in the reasonable discretion of the Administrative Agent (for the avoidance of doubt, no change, alteration, expansion, amendment, modification, termination or restatement of the Investment Policies shall be deemed “material” if (i) investment size proportionately increases as the size of the Borrower’s capital base changes or (ii) the Borrower and its Subsidiaries, taken as a whole, invest up to 30% of their assets in non-U.S. companies).</w:t>
      </w:r>
    </w:p>
    <w:p>
      <w:pPr>
        <w:spacing w:after="0" w:line="164" w:lineRule="exact"/>
        <w:rPr>
          <w:sz w:val="20"/>
          <w:szCs w:val="20"/>
          <w:color w:val="auto"/>
        </w:rPr>
      </w:pPr>
    </w:p>
    <w:p>
      <w:pPr>
        <w:ind w:left="4" w:right="2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SBIC Guarantee</w:t>
      </w:r>
      <w:r>
        <w:rPr>
          <w:rFonts w:ascii="Arial" w:cs="Arial" w:eastAsia="Arial" w:hAnsi="Arial"/>
          <w:sz w:val="18"/>
          <w:szCs w:val="18"/>
          <w:color w:val="auto"/>
        </w:rPr>
        <w:t>” means a guarantee by the Borrower of Indebtedness of an SBIC Subsidiary on the SBA’s then applicable form, provided that the recourse to the Borrower thereunder is expressly limited only to periods after the occurrence of an event or condition that is an impermissible change in the control of such SBIC Subsidiary (it being understood that, as provided in clause (s) of Article VII, it shall be an Event of Default hereunder if any such event or condition giving rise to such recourse occurs).</w:t>
      </w:r>
    </w:p>
    <w:p>
      <w:pPr>
        <w:spacing w:after="0" w:line="187" w:lineRule="exact"/>
        <w:rPr>
          <w:sz w:val="20"/>
          <w:szCs w:val="20"/>
          <w:color w:val="auto"/>
        </w:rPr>
      </w:pPr>
    </w:p>
    <w:p>
      <w:pPr>
        <w:ind w:left="4" w:right="7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jc w:val="both"/>
        <w:ind w:left="4" w:right="3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66" w:lineRule="exact"/>
        <w:rPr>
          <w:sz w:val="20"/>
          <w:szCs w:val="20"/>
          <w:color w:val="auto"/>
        </w:rPr>
      </w:pPr>
    </w:p>
    <w:tbl>
      <w:tblPr>
        <w:tblLayout w:type="fixed"/>
        <w:tblInd w:w="984" w:type="dxa"/>
        <w:tblCellMar>
          <w:top w:w="0" w:type="dxa"/>
          <w:left w:w="0" w:type="dxa"/>
          <w:bottom w:w="0" w:type="dxa"/>
          <w:right w:w="0" w:type="dxa"/>
        </w:tblCellMar>
      </w:tblPr>
      <w:tr>
        <w:trPr>
          <w:trHeight w:val="207"/>
        </w:trPr>
        <w:tc>
          <w:tcPr>
            <w:tcW w:w="6240" w:type="dxa"/>
            <w:vAlign w:val="bottom"/>
            <w:gridSpan w:val="5"/>
          </w:tcPr>
          <w:p>
            <w:pPr>
              <w:jc w:val="right"/>
              <w:ind w:right="1650"/>
              <w:spacing w:after="0"/>
              <w:rPr>
                <w:sz w:val="20"/>
                <w:szCs w:val="20"/>
                <w:color w:val="auto"/>
              </w:rPr>
            </w:pPr>
            <w:r>
              <w:rPr>
                <w:rFonts w:ascii="Arial" w:cs="Arial" w:eastAsia="Arial" w:hAnsi="Arial"/>
                <w:sz w:val="18"/>
                <w:szCs w:val="18"/>
                <w:color w:val="auto"/>
                <w:w w:val="91"/>
              </w:rPr>
              <w:t>“Platform” means has the meaning set forth in Section 5.01(i).</w:t>
            </w:r>
          </w:p>
        </w:tc>
        <w:tc>
          <w:tcPr>
            <w:tcW w:w="3800" w:type="dxa"/>
            <w:vAlign w:val="bottom"/>
          </w:tcPr>
          <w:p>
            <w:pPr>
              <w:spacing w:after="0"/>
              <w:rPr>
                <w:sz w:val="18"/>
                <w:szCs w:val="18"/>
                <w:color w:val="auto"/>
              </w:rPr>
            </w:pPr>
          </w:p>
        </w:tc>
      </w:tr>
      <w:tr>
        <w:trPr>
          <w:trHeight w:val="371"/>
        </w:trPr>
        <w:tc>
          <w:tcPr>
            <w:tcW w:w="3380" w:type="dxa"/>
            <w:vAlign w:val="bottom"/>
            <w:gridSpan w:val="3"/>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780" w:type="dxa"/>
            <w:vAlign w:val="bottom"/>
          </w:tcPr>
          <w:p>
            <w:pPr>
              <w:jc w:val="right"/>
              <w:ind w:right="1470"/>
              <w:spacing w:after="0"/>
              <w:rPr>
                <w:sz w:val="20"/>
                <w:szCs w:val="20"/>
                <w:color w:val="auto"/>
              </w:rPr>
            </w:pPr>
            <w:r>
              <w:rPr>
                <w:rFonts w:ascii="Arial" w:cs="Arial" w:eastAsia="Arial" w:hAnsi="Arial"/>
                <w:sz w:val="18"/>
                <w:szCs w:val="18"/>
                <w:color w:val="auto"/>
                <w:w w:val="99"/>
              </w:rPr>
              <w:t>27</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57" w:name="page58"/>
    <w:bookmarkEnd w:id="57"/>
    <w:p>
      <w:pPr>
        <w:ind w:right="4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Portfolio Investment</w:t>
      </w:r>
      <w:r>
        <w:rPr>
          <w:rFonts w:ascii="Arial" w:cs="Arial" w:eastAsia="Arial" w:hAnsi="Arial"/>
          <w:sz w:val="18"/>
          <w:szCs w:val="18"/>
          <w:color w:val="auto"/>
        </w:rPr>
        <w:t>” means any Investment held by the Obligors in their asset portfolio (and solely for purposes of determining the Borrowing Base, Cash).</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means the rate which SunTrust announces from time to time as its prime lending rate, as in effect from time to time.</w:t>
      </w:r>
    </w:p>
    <w:p>
      <w:pPr>
        <w:spacing w:after="0" w:line="237"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Financial Center</w:t>
      </w:r>
      <w:r>
        <w:rPr>
          <w:rFonts w:ascii="Arial" w:cs="Arial" w:eastAsia="Arial" w:hAnsi="Arial"/>
          <w:sz w:val="18"/>
          <w:szCs w:val="18"/>
          <w:color w:val="auto"/>
        </w:rPr>
        <w:t>” means, in the case of any Currency, the principal financial center where such Currency is cleared and settled, as determined by the Administrative Agent.</w:t>
      </w:r>
    </w:p>
    <w:p>
      <w:pPr>
        <w:spacing w:after="0" w:line="170"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Assignees and Participants Side Letter</w:t>
      </w:r>
      <w:r>
        <w:rPr>
          <w:rFonts w:ascii="Arial" w:cs="Arial" w:eastAsia="Arial" w:hAnsi="Arial"/>
          <w:sz w:val="18"/>
          <w:szCs w:val="18"/>
          <w:color w:val="auto"/>
        </w:rPr>
        <w:t>” means that certain Side Letter, dated as of the date hereof, between the Borrower and the Administrative Agent (as amended, restated, modified or otherwise supplemented from time to time with the consent of the Administrative Agent and each Lender).</w:t>
      </w:r>
    </w:p>
    <w:p>
      <w:pPr>
        <w:spacing w:after="0" w:line="184"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means Lenders that do not wish to receive Non-Public Information with respect to the Borrower or any of its Subsidiaries or their Securities.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Quarterly Dates</w:t>
      </w:r>
      <w:r>
        <w:rPr>
          <w:rFonts w:ascii="Arial" w:cs="Arial" w:eastAsia="Arial" w:hAnsi="Arial"/>
          <w:sz w:val="16"/>
          <w:szCs w:val="16"/>
          <w:color w:val="auto"/>
        </w:rPr>
        <w:t>” means the last Business Day of March, June, September and December in each year, commencing on June 30, 2014.</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Quoted Investment</w:t>
      </w:r>
      <w:r>
        <w:rPr>
          <w:rFonts w:ascii="Arial" w:cs="Arial" w:eastAsia="Arial" w:hAnsi="Arial"/>
          <w:sz w:val="16"/>
          <w:szCs w:val="16"/>
          <w:color w:val="auto"/>
        </w:rPr>
        <w:t xml:space="preserve">” means a Portfolio Investment with a value that may be assigned by the Borrower pursuant to </w:t>
      </w:r>
      <w:r>
        <w:rPr>
          <w:rFonts w:ascii="Arial" w:cs="Arial" w:eastAsia="Arial" w:hAnsi="Arial"/>
          <w:sz w:val="16"/>
          <w:szCs w:val="16"/>
          <w:u w:val="single" w:color="auto"/>
          <w:color w:val="auto"/>
        </w:rPr>
        <w:t>Section 5.12(b)(ii)(A)</w:t>
      </w:r>
      <w:r>
        <w:rPr>
          <w:rFonts w:ascii="Arial" w:cs="Arial" w:eastAsia="Arial" w:hAnsi="Arial"/>
          <w:sz w:val="16"/>
          <w:szCs w:val="16"/>
          <w:color w:val="auto"/>
        </w:rPr>
        <w:t>.</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225"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Registration Statement filed by the Borrower with the Securities and Exchange Commission on April 19, 2007.</w:t>
      </w:r>
    </w:p>
    <w:p>
      <w:pPr>
        <w:spacing w:after="0" w:line="170"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Regulations D, T, U and X</w:t>
      </w:r>
      <w:r>
        <w:rPr>
          <w:rFonts w:ascii="Arial" w:cs="Arial" w:eastAsia="Arial" w:hAnsi="Arial"/>
          <w:sz w:val="18"/>
          <w:szCs w:val="18"/>
          <w:color w:val="auto"/>
        </w:rPr>
        <w:t>” means, respectively, Regulations D, T, U and X of the Board of Governors of the Federal Reserve System (or any successor), as the same may be modified and supplemented and in effect from time to time.</w:t>
      </w:r>
    </w:p>
    <w:p>
      <w:pPr>
        <w:spacing w:after="0" w:line="170"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partners, directors, officers, employees, agents and advisors of such Person and such Person’s Affiliates.</w:t>
      </w:r>
    </w:p>
    <w:p>
      <w:pPr>
        <w:spacing w:after="0" w:line="170" w:lineRule="exact"/>
        <w:rPr>
          <w:sz w:val="20"/>
          <w:szCs w:val="20"/>
          <w:color w:val="auto"/>
        </w:rPr>
      </w:pPr>
    </w:p>
    <w:p>
      <w:pPr>
        <w:ind w:right="8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xml:space="preserve">” means, at any time, Lenders having Revolving Credit Exposures and unused Commitments representing more than 50% of the sum of the total Revolving Credit Exposures and unused Commitments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Revolving Credit Exposures and unused Commitments of any Defaulting Lender shall be disregarded in the determination of Required Lenders. The Required Lenders of a Class (which shall include the terms “Required Dollar Lenders” and “Required Multicurrency Lenders”) means, at any time, Lenders having Revolving Credit Exposures and unused Commitments of such Class representing more than 50% of the sum of the total Revolving Credit Exposures and unused Commitments of such Class at such time; provided that the Revolving Credit Exposures and unused Commitments of any Defaulting Lenders shall be disregarded in the determination of the Required Lenders of a Class.</w:t>
      </w:r>
    </w:p>
    <w:p>
      <w:pPr>
        <w:spacing w:after="0" w:line="110"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28</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58" w:name="page59"/>
    <w:bookmarkEnd w:id="58"/>
    <w:p>
      <w:pPr>
        <w:ind w:left="4" w:right="18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financial officer, treasurer, assistant treasurer or controller of an Obligor. Any document delivered hereunder that is signed by a Responsible Officer of an Obligor shall be conclusively presumed to have been authorized by all necessary corporate, partnership and/or other action on the part of such Obligor and such Responsible Officer shall be conclusively presumed to have acted on behalf of such Obligor.</w:t>
      </w:r>
    </w:p>
    <w:p>
      <w:pPr>
        <w:spacing w:after="0" w:line="187" w:lineRule="exact"/>
        <w:rPr>
          <w:sz w:val="20"/>
          <w:szCs w:val="20"/>
          <w:color w:val="auto"/>
        </w:rPr>
      </w:pPr>
    </w:p>
    <w:p>
      <w:pPr>
        <w:ind w:left="4" w:right="2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 option, warrant or other right to acquire any such shares of capital stock of the Borrower (it being understood that none of: (w) the conversion features under convertible notes; (x) the triggering and/or settlement thereof; or (y) any cash payment made by the Borrower in respect thereof, shall constitute a Restricted Payment hereunder).</w:t>
      </w:r>
    </w:p>
    <w:p>
      <w:pPr>
        <w:spacing w:after="0" w:line="192" w:lineRule="exact"/>
        <w:rPr>
          <w:sz w:val="20"/>
          <w:szCs w:val="20"/>
          <w:color w:val="auto"/>
        </w:rPr>
      </w:pPr>
    </w:p>
    <w:p>
      <w:pPr>
        <w:ind w:left="4" w:right="40" w:firstLine="99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Return of Capital</w:t>
      </w:r>
      <w:r>
        <w:rPr>
          <w:rFonts w:ascii="Arial" w:cs="Arial" w:eastAsia="Arial" w:hAnsi="Arial"/>
          <w:sz w:val="16"/>
          <w:szCs w:val="16"/>
          <w:color w:val="auto"/>
        </w:rPr>
        <w:t xml:space="preserve">” means (a) any cash amount (and net cash proceeds of any noncash amount) received by any Obligor in respect of the outstanding principal of any Portfolio Investment (whether at stated maturity, by acceleration or otherwise), (b) without duplication of amounts received under </w:t>
      </w:r>
      <w:r>
        <w:rPr>
          <w:rFonts w:ascii="Arial" w:cs="Arial" w:eastAsia="Arial" w:hAnsi="Arial"/>
          <w:sz w:val="16"/>
          <w:szCs w:val="16"/>
          <w:u w:val="single" w:color="auto"/>
          <w:color w:val="auto"/>
        </w:rPr>
        <w:t>clause (a)</w:t>
      </w:r>
      <w:r>
        <w:rPr>
          <w:rFonts w:ascii="Arial" w:cs="Arial" w:eastAsia="Arial" w:hAnsi="Arial"/>
          <w:sz w:val="16"/>
          <w:szCs w:val="16"/>
          <w:color w:val="auto"/>
        </w:rPr>
        <w:t>, any net cash proceeds (including net cash proceeds of any noncash consideration) received by any Obligor from the sale of any property or assets pledged as collateral in respect of any Portfolio Investment to the extent such net cash proceeds are less than or equal to the outstanding principal balance of such Portfolio Investment, (c) any net cash amount (and net cash proceeds of any noncash amount) received by any Obligor in respect of any Portfolio Investment that is an Equity Interest (x) upon the liquidation or dissolution of the issuer of such Portfolio Investment,</w:t>
      </w:r>
    </w:p>
    <w:p>
      <w:pPr>
        <w:spacing w:after="0" w:line="4" w:lineRule="exact"/>
        <w:rPr>
          <w:sz w:val="20"/>
          <w:szCs w:val="20"/>
          <w:color w:val="auto"/>
        </w:rPr>
      </w:pPr>
    </w:p>
    <w:p>
      <w:pPr>
        <w:ind w:left="4" w:right="140" w:hanging="4"/>
        <w:spacing w:after="0" w:line="302" w:lineRule="auto"/>
        <w:tabs>
          <w:tab w:leader="none" w:pos="25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a distribution of capital made on or in respect of such Portfolio Investment, or (z) pursuant to the recapitalization or reclassification of the capital of the issuer of such Portfolio Investment or pursuant to the reorganization of such issuer or (d) any similar return of capital (net of any fees, costs and expenses) received by any Obligor in cash (and net cash proceeds of any noncash amount) in respect of any Portfolio Investment.</w:t>
      </w:r>
    </w:p>
    <w:p>
      <w:pPr>
        <w:spacing w:after="0" w:line="155" w:lineRule="exact"/>
        <w:rPr>
          <w:sz w:val="20"/>
          <w:szCs w:val="20"/>
          <w:color w:val="auto"/>
        </w:rPr>
      </w:pPr>
    </w:p>
    <w:p>
      <w:pPr>
        <w:ind w:left="4"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any Lender at any time, the sum of the outstanding principal amount of such Lender’s Revolving Dollar Credit Exposure and Revolving Multicurrency Credit Exposure at such time.</w:t>
      </w:r>
    </w:p>
    <w:p>
      <w:pPr>
        <w:spacing w:after="0" w:line="170" w:lineRule="exact"/>
        <w:rPr>
          <w:sz w:val="20"/>
          <w:szCs w:val="20"/>
          <w:color w:val="auto"/>
        </w:rPr>
      </w:pPr>
    </w:p>
    <w:p>
      <w:pPr>
        <w:ind w:left="4" w:right="20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Dollar Credit Exposure</w:t>
      </w:r>
      <w:r>
        <w:rPr>
          <w:rFonts w:ascii="Arial" w:cs="Arial" w:eastAsia="Arial" w:hAnsi="Arial"/>
          <w:sz w:val="17"/>
          <w:szCs w:val="17"/>
          <w:color w:val="auto"/>
        </w:rPr>
        <w:t>” means, with respect to any Lender at any time, the sum of the outstanding principal amount of such Lender’s Syndicated Loans, and its LC Exposure and Swingline Exposure, at such time made or incurred under the Dollar Commitments.</w:t>
      </w:r>
    </w:p>
    <w:p>
      <w:pPr>
        <w:spacing w:after="0" w:line="146" w:lineRule="exact"/>
        <w:rPr>
          <w:sz w:val="20"/>
          <w:szCs w:val="20"/>
          <w:color w:val="auto"/>
        </w:rPr>
      </w:pPr>
    </w:p>
    <w:p>
      <w:pPr>
        <w:ind w:left="4"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Multicurrency Credit Exposure</w:t>
      </w:r>
      <w:r>
        <w:rPr>
          <w:rFonts w:ascii="Arial" w:cs="Arial" w:eastAsia="Arial" w:hAnsi="Arial"/>
          <w:sz w:val="16"/>
          <w:szCs w:val="16"/>
          <w:color w:val="auto"/>
        </w:rPr>
        <w:t>” means, with respect to any Lender at any time, the sum of the outstanding principal amount of such Lender’s Syndicated Loans, and its LC Exposure and Swingline Exposure, at such time made or incurred under the Multicurrency Commitments.</w:t>
      </w:r>
    </w:p>
    <w:p>
      <w:pPr>
        <w:spacing w:after="0" w:line="56"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29</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59" w:name="page60"/>
    <w:bookmarkEnd w:id="59"/>
    <w:p>
      <w:pPr>
        <w:ind w:right="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Revolving Percentage</w:t>
      </w:r>
      <w:r>
        <w:rPr>
          <w:rFonts w:ascii="Arial" w:cs="Arial" w:eastAsia="Arial" w:hAnsi="Arial"/>
          <w:sz w:val="18"/>
          <w:szCs w:val="18"/>
          <w:color w:val="auto"/>
        </w:rPr>
        <w:t>” means, as of any date of determination, the result, expressed as a percentage, of the Revolving Credit Exposure on such date divided by the aggregate outstanding Covered Debt Amount on such date.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RIC</w:t>
      </w:r>
      <w:r>
        <w:rPr>
          <w:rFonts w:ascii="Arial" w:cs="Arial" w:eastAsia="Arial" w:hAnsi="Arial"/>
          <w:sz w:val="18"/>
          <w:szCs w:val="18"/>
          <w:color w:val="auto"/>
        </w:rPr>
        <w:t>” means a person qualifying for treatment as a “regulated investment company,” as defined in Section 851 of the Code.</w:t>
      </w:r>
    </w:p>
    <w:p>
      <w:pPr>
        <w:spacing w:after="0" w:line="225"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division of The McGraw Hill Companies, Inc., a New York corporation, or any successor thereto.</w:t>
      </w:r>
    </w:p>
    <w:p>
      <w:pPr>
        <w:spacing w:after="0" w:line="170" w:lineRule="exact"/>
        <w:rPr>
          <w:sz w:val="20"/>
          <w:szCs w:val="20"/>
          <w:color w:val="auto"/>
        </w:rPr>
      </w:pPr>
    </w:p>
    <w:p>
      <w:pPr>
        <w:ind w:right="2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Country</w:t>
      </w:r>
      <w:r>
        <w:rPr>
          <w:rFonts w:ascii="Arial" w:cs="Arial" w:eastAsia="Arial" w:hAnsi="Arial"/>
          <w:sz w:val="16"/>
          <w:szCs w:val="16"/>
          <w:color w:val="auto"/>
        </w:rPr>
        <w:t>” means, at any time, a country, territory or region that is the subject or the target of country-wide or territory-wide Sanctions broadly prohibiting dealings with such country, territory or region (currently, Cuba, Crimea and Sevastopol, Iran, North Korea and Syria).</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3.15</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SBA</w:t>
      </w:r>
      <w:r>
        <w:rPr>
          <w:rFonts w:ascii="Arial" w:cs="Arial" w:eastAsia="Arial" w:hAnsi="Arial"/>
          <w:sz w:val="18"/>
          <w:szCs w:val="18"/>
          <w:color w:val="auto"/>
        </w:rPr>
        <w:t>” means the United States Small Business Administration.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SBIC Equity Commitment</w:t>
      </w:r>
      <w:r>
        <w:rPr>
          <w:rFonts w:ascii="Arial" w:cs="Arial" w:eastAsia="Arial" w:hAnsi="Arial"/>
          <w:sz w:val="17"/>
          <w:szCs w:val="17"/>
          <w:color w:val="auto"/>
        </w:rPr>
        <w:t>” means a commitment by the Borrower to make one or more capital contributions to an SBIC Subsidiary.</w:t>
      </w:r>
    </w:p>
    <w:p>
      <w:pPr>
        <w:spacing w:after="0" w:line="237" w:lineRule="exact"/>
        <w:rPr>
          <w:sz w:val="20"/>
          <w:szCs w:val="20"/>
          <w:color w:val="auto"/>
        </w:rPr>
      </w:pPr>
    </w:p>
    <w:p>
      <w:pPr>
        <w:ind w:right="120" w:firstLine="99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SBIC Subsidiary</w:t>
      </w:r>
      <w:r>
        <w:rPr>
          <w:rFonts w:ascii="Arial" w:cs="Arial" w:eastAsia="Arial" w:hAnsi="Arial"/>
          <w:sz w:val="17"/>
          <w:szCs w:val="17"/>
          <w:color w:val="auto"/>
        </w:rPr>
        <w:t>” means any direct or indirect Subsidiary (including such Subsidiary’s general partner or managing entity to the extent that the only material asset of such general partner or managing entity is its equity interest in the SBIC Subsidiary) of the Borrower licensed as a small business investment company under the Small Business Investment Act of 1958, as amended, (or that has applied for such a license and is actively pursuing the granting thereof by appropriate proceedings promptly instituted and diligently conducted) and which is designated by the Borrower (as provided below) as an SBIC Subsidiary, so long as (a) no portion of the Indebtedness or any other obligations (contingent or otherwise) of such Subsidiary: (i) is Guaranteed by any Obligor (other than a Permitted SBIC Guarantee or analogous commitment), (ii) is recourse to or obligates any Obligor in any way (other than in respect of any SBIC Equity Commitment, Permitted SBIC Guarantee or analogous commitment), or (iii) subjects any property of any Obligor, directly or indirectly, contingently or otherwise, to the satisfaction thereof, other than Equity Interests in any SBIC Subsidiary pledged to secure such Indebtedness, and (b) no Obligor has any obligation to maintain or preserve such Subsidiary’s financial condition or cause such entity to achieve certain levels of operating results (other than in respect of any SBIC Equity Commitment, Permitted SBIC Guarantee or analogous commitment).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means September 4, 2019.</w:t>
      </w:r>
    </w:p>
    <w:p>
      <w:pPr>
        <w:spacing w:after="0" w:line="225" w:lineRule="exact"/>
        <w:rPr>
          <w:sz w:val="20"/>
          <w:szCs w:val="20"/>
          <w:color w:val="auto"/>
        </w:rPr>
      </w:pPr>
    </w:p>
    <w:p>
      <w:pPr>
        <w:ind w:right="2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Debt Amount</w:t>
      </w:r>
      <w:r>
        <w:rPr>
          <w:rFonts w:ascii="Arial" w:cs="Arial" w:eastAsia="Arial" w:hAnsi="Arial"/>
          <w:sz w:val="16"/>
          <w:szCs w:val="16"/>
          <w:color w:val="auto"/>
        </w:rPr>
        <w:t>” means, on any date, the aggregate amount of all Secured Longer-Term Indebtedness and Secured Shorter-Term Indebtedness on such date (other than the obligations owed under the Loan Documents, including the Revolving Credit Exposure).</w:t>
      </w:r>
    </w:p>
    <w:p>
      <w:pPr>
        <w:spacing w:after="0" w:line="56"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30</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60" w:name="page61"/>
    <w:bookmarkEnd w:id="60"/>
    <w:p>
      <w:pPr>
        <w:ind w:left="4" w:right="80" w:firstLine="991"/>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Secured Longer-Term Indebtedness</w:t>
      </w:r>
      <w:r>
        <w:rPr>
          <w:rFonts w:ascii="Arial" w:cs="Arial" w:eastAsia="Arial" w:hAnsi="Arial"/>
          <w:sz w:val="16"/>
          <w:szCs w:val="16"/>
          <w:color w:val="auto"/>
        </w:rPr>
        <w:t xml:space="preserve">” means, as at any date, Indebtedness (other than Indebtedness hereunder) of any Obligor (which may be Guaranteed by any other Obligor) that (a) has no scheduled amortization (other than for amortization in an amount not greater than 1% of the aggregate initial principal amount of such Indebtedness per annum, provided that amortization in excess of 1% per annum shall be permitted so long as the amount of such amortization in excess of 1% is permitted to be incurred pursuant to </w:t>
      </w:r>
      <w:r>
        <w:rPr>
          <w:rFonts w:ascii="Arial" w:cs="Arial" w:eastAsia="Arial" w:hAnsi="Arial"/>
          <w:sz w:val="16"/>
          <w:szCs w:val="16"/>
          <w:u w:val="single" w:color="auto"/>
          <w:color w:val="auto"/>
        </w:rPr>
        <w:t>Section 6.01(g)</w:t>
      </w:r>
      <w:r>
        <w:rPr>
          <w:rFonts w:ascii="Arial" w:cs="Arial" w:eastAsia="Arial" w:hAnsi="Arial"/>
          <w:sz w:val="16"/>
          <w:szCs w:val="16"/>
          <w:color w:val="auto"/>
        </w:rPr>
        <w:t xml:space="preserve">) prior to, and a final maturity date not earlier than, six months after the Extended Final Maturity Date (it being understood that none of: (w) the conversion features under convertible notes; (x) the triggering and/or settlement thereof; or (y) any cash payment made in respect thereof, shall constitute “amortization” for purposes of this </w:t>
      </w:r>
      <w:r>
        <w:rPr>
          <w:rFonts w:ascii="Arial" w:cs="Arial" w:eastAsia="Arial" w:hAnsi="Arial"/>
          <w:sz w:val="16"/>
          <w:szCs w:val="16"/>
          <w:u w:val="single" w:color="auto"/>
          <w:color w:val="auto"/>
        </w:rPr>
        <w:t>clause (a)</w:t>
      </w:r>
      <w:r>
        <w:rPr>
          <w:rFonts w:ascii="Arial" w:cs="Arial" w:eastAsia="Arial" w:hAnsi="Arial"/>
          <w:sz w:val="16"/>
          <w:szCs w:val="16"/>
          <w:color w:val="auto"/>
        </w:rPr>
        <w:t>),</w:t>
      </w:r>
    </w:p>
    <w:p>
      <w:pPr>
        <w:spacing w:after="0" w:line="4" w:lineRule="exact"/>
        <w:rPr>
          <w:sz w:val="20"/>
          <w:szCs w:val="20"/>
          <w:color w:val="auto"/>
        </w:rPr>
      </w:pPr>
    </w:p>
    <w:p>
      <w:pPr>
        <w:ind w:left="4" w:right="20" w:hanging="4"/>
        <w:spacing w:after="0" w:line="284" w:lineRule="auto"/>
        <w:tabs>
          <w:tab w:leader="none" w:pos="259"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is incurred pursuant to documentation containing (i) financial covenants, covenants governing the borrowing base, if any, portfolio valuations and events of default (other than events of default customary in indentures or similar instruments that have no analogous provisions in this Agreement or credit agreements generally) that are no more restrictive upon the Borrower and its Subsidiaries than those set forth in this Agreement and (ii) other terms (other than interest) that are no more restrictive in any material respect upon the Borrower and its Subsidiaries, prior to the Termination Date, than those set forth in this Agreement (it being understood that put rights or repurchase or redemption obligations (x) in the case of convertible securities, in connection with the suspension or delisting of the capital stock of the Borrower or the failure of the Borrower to satisfy a continued listing rule with respect to its capital stock or (y) arising out of circumstances that would constitute a “fundamental change” (as such term is customarily defined in convertible note offerings) or an Event of Default under this Agreement shall not be deemed to be more restrictive for purposes of this definition));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Borrower’s written request in connection with the incurrence of any Secured Longer-Term Indebtedness that otherwise would not meet the requirements of this clause (b), this Agreement will be deemed automatically amended (and, upon the request of the Administrative Agent or the Required Lenders, the Borrower shall promptly enter into a written amendment evidencing such amendment), </w:t>
      </w:r>
      <w:r>
        <w:rPr>
          <w:rFonts w:ascii="Arial" w:cs="Arial" w:eastAsia="Arial" w:hAnsi="Arial"/>
          <w:sz w:val="16"/>
          <w:szCs w:val="16"/>
          <w:i w:val="1"/>
          <w:iCs w:val="1"/>
          <w:color w:val="auto"/>
        </w:rPr>
        <w:t>mutatis mutandis</w:t>
      </w:r>
      <w:r>
        <w:rPr>
          <w:rFonts w:ascii="Arial" w:cs="Arial" w:eastAsia="Arial" w:hAnsi="Arial"/>
          <w:sz w:val="16"/>
          <w:szCs w:val="16"/>
          <w:color w:val="auto"/>
        </w:rPr>
        <w:t>, solely to the extent necessary such that the financial covenants, covenants governing the borrowing base, if any, portfolio valuations, events of default (other than events of default customary in indentures or similar instruments that have no analogous provisions in this Agreement or credit agreements generally) or other terms, as applicable, in this Agreement shall be as restrictive as such covenants in the Secured Longer-Term Indebtedness, and (c) is not secured by any assets of any Obligor other than pursuant to this Agreement or the Security Documents and the holders of which (or an authorized agent, representative or trustee of such holders) have either executed (i) a joinder agreement to the Guarantee and Security Agreement or (ii) such other document or agreement, in a form reasonably satisfactory to the Administrative Agent and the Collateral Agent, pursuant to which the holders (or an authorized agent, representative or trustee of such holders) of such Secured Longer-Term Indebtedness shall have become a party to the Guarantee and Security Agreement and assumed the obligations of a Financing Agent or Designated Indebtedness Holder (in each case, as defined in the Guarantee and Security Agreement).</w:t>
      </w:r>
    </w:p>
    <w:p>
      <w:pPr>
        <w:spacing w:after="0" w:line="385" w:lineRule="exact"/>
        <w:rPr>
          <w:sz w:val="20"/>
          <w:szCs w:val="20"/>
          <w:color w:val="auto"/>
        </w:rPr>
      </w:pPr>
    </w:p>
    <w:p>
      <w:pPr>
        <w:ind w:left="4" w:right="8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Shorter-Term Indebtedness</w:t>
      </w:r>
      <w:r>
        <w:rPr>
          <w:rFonts w:ascii="Arial" w:cs="Arial" w:eastAsia="Arial" w:hAnsi="Arial"/>
          <w:sz w:val="16"/>
          <w:szCs w:val="16"/>
          <w:color w:val="auto"/>
        </w:rPr>
        <w:t>” means, collectively, (a) any Indebtedness of the Borrower or any Subsidiary (other than a Financing Subsidiary) that is (x) secured by any assets of any Obligor and that does not constitute Secured Longer-Term Indebtedness and (y) not secured by any assets of any Obligor other than pursuant to this Agreement or the Security Documents and the holders of which (or an authorized agent, representative or trustee of such holders) have either executed (i) a joinder agreement to the Guarantee and Security Agreement or</w:t>
      </w:r>
    </w:p>
    <w:p>
      <w:pPr>
        <w:spacing w:after="0" w:line="90"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31</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61" w:name="page62"/>
    <w:bookmarkEnd w:id="61"/>
    <w:p>
      <w:pPr>
        <w:ind w:left="4" w:right="20" w:hanging="4"/>
        <w:spacing w:after="0" w:line="301" w:lineRule="auto"/>
        <w:tabs>
          <w:tab w:leader="none" w:pos="269" w:val="left"/>
        </w:tabs>
        <w:numPr>
          <w:ilvl w:val="0"/>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such other document or agreement, in a form reasonably satisfactory to the Administrative Agent and the Collateral Agent, pursuant to which the holders (or an authorized agent, representative or trustee of such holders) of such Secured Shorter-Term Indebtedness shall have become a party to the Guarantee and Security Agreement and assumed the obligations of a Financing Agent or Designated Indebtedness Holder (in each case, as defined in the Guarantee and Security Agreement) and (b) any Indebtedness that is designated as “Secured Shorter-Term Indebtedness” pursuant to </w:t>
      </w:r>
      <w:r>
        <w:rPr>
          <w:rFonts w:ascii="Arial" w:cs="Arial" w:eastAsia="Arial" w:hAnsi="Arial"/>
          <w:sz w:val="16"/>
          <w:szCs w:val="16"/>
          <w:u w:val="single" w:color="auto"/>
          <w:color w:val="auto"/>
        </w:rPr>
        <w:t>Section 6.11(a)</w:t>
      </w:r>
      <w:r>
        <w:rPr>
          <w:rFonts w:ascii="Arial" w:cs="Arial" w:eastAsia="Arial" w:hAnsi="Arial"/>
          <w:sz w:val="16"/>
          <w:szCs w:val="16"/>
          <w:color w:val="auto"/>
        </w:rPr>
        <w:t>.</w:t>
      </w:r>
    </w:p>
    <w:p>
      <w:pPr>
        <w:spacing w:after="0" w:line="157" w:lineRule="exact"/>
        <w:rPr>
          <w:sz w:val="20"/>
          <w:szCs w:val="20"/>
          <w:color w:val="auto"/>
        </w:rPr>
      </w:pPr>
    </w:p>
    <w:p>
      <w:pPr>
        <w:ind w:left="4" w:right="28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means, collectively, the Guarantee and Security Agreement, all Uniform Commercial Code financing statements filed with respect to the security interests in personal property created pursuant to the Guarantee and Security Agreement and all other assignments, pledge agreements, security agreements, control agreements and other instruments 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spacing w:after="0" w:line="188" w:lineRule="exact"/>
        <w:rPr>
          <w:sz w:val="20"/>
          <w:szCs w:val="20"/>
          <w:color w:val="auto"/>
        </w:rPr>
      </w:pPr>
    </w:p>
    <w:p>
      <w:pPr>
        <w:ind w:left="4"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 Equity</w:t>
      </w:r>
      <w:r>
        <w:rPr>
          <w:rFonts w:ascii="Arial" w:cs="Arial" w:eastAsia="Arial" w:hAnsi="Arial"/>
          <w:sz w:val="18"/>
          <w:szCs w:val="18"/>
          <w:color w:val="auto"/>
        </w:rPr>
        <w:t>” means, at any date, the amount determined on a consolidated basis, without duplication, in accordance with GAAP, of shareholders equity for the Borrower and its Subsidiaries at such date.</w:t>
      </w:r>
    </w:p>
    <w:p>
      <w:pPr>
        <w:spacing w:after="0" w:line="170" w:lineRule="exact"/>
        <w:rPr>
          <w:sz w:val="20"/>
          <w:szCs w:val="20"/>
          <w:color w:val="auto"/>
        </w:rPr>
      </w:pPr>
    </w:p>
    <w:p>
      <w:pPr>
        <w:ind w:left="4" w:right="52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 Subsidiary</w:t>
      </w:r>
      <w:r>
        <w:rPr>
          <w:rFonts w:ascii="Arial" w:cs="Arial" w:eastAsia="Arial" w:hAnsi="Arial"/>
          <w:sz w:val="16"/>
          <w:szCs w:val="16"/>
          <w:color w:val="auto"/>
        </w:rPr>
        <w:t>” means a direct or indirect Subsidiary of the Borrower to which any Obligor sells, conveys or otherwise transfers (whether directly or indirectly) Portfolio Investments, which engages in no material activities other than in connection with the purchase, holding, disposition or financing of such assets and which is designated by the Borrower (as provided below) as an SPE Subsidiary:</w:t>
      </w:r>
    </w:p>
    <w:p>
      <w:pPr>
        <w:spacing w:after="0" w:line="41" w:lineRule="exact"/>
        <w:rPr>
          <w:sz w:val="20"/>
          <w:szCs w:val="20"/>
          <w:color w:val="auto"/>
        </w:rPr>
      </w:pPr>
    </w:p>
    <w:p>
      <w:pPr>
        <w:ind w:left="4" w:right="280" w:firstLine="987"/>
        <w:spacing w:after="0" w:line="279" w:lineRule="auto"/>
        <w:tabs>
          <w:tab w:leader="none" w:pos="1375"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spacing w:after="0" w:line="63" w:lineRule="exact"/>
        <w:rPr>
          <w:rFonts w:ascii="Arial" w:cs="Arial" w:eastAsia="Arial" w:hAnsi="Arial"/>
          <w:sz w:val="17"/>
          <w:szCs w:val="17"/>
          <w:color w:val="auto"/>
        </w:rPr>
      </w:pPr>
    </w:p>
    <w:p>
      <w:pPr>
        <w:jc w:val="both"/>
        <w:ind w:left="4" w:right="20" w:firstLine="987"/>
        <w:spacing w:after="0" w:line="263" w:lineRule="auto"/>
        <w:tabs>
          <w:tab w:leader="none" w:pos="13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 which no Obligor has any material contract, agreement, arrangement or understanding other than on terms, taken as a whole, not materially less favorable to such Obligor than those that might be obtained at the time from Persons that are not Affiliates of any Obligor, other than fees payable in the ordinary course of business in connection with servicing receivables, and</w:t>
      </w:r>
    </w:p>
    <w:p>
      <w:pPr>
        <w:spacing w:after="0" w:line="75" w:lineRule="exact"/>
        <w:rPr>
          <w:rFonts w:ascii="Arial" w:cs="Arial" w:eastAsia="Arial" w:hAnsi="Arial"/>
          <w:sz w:val="18"/>
          <w:szCs w:val="18"/>
          <w:color w:val="auto"/>
        </w:rPr>
      </w:pPr>
    </w:p>
    <w:p>
      <w:pPr>
        <w:ind w:left="4" w:right="520" w:firstLine="987"/>
        <w:spacing w:after="0" w:line="277" w:lineRule="auto"/>
        <w:tabs>
          <w:tab w:leader="none" w:pos="13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which no Obligor has any obligation to maintain or preserve such entity’s financial condition or cause such entity to achieve certain levels of operating results.</w:t>
      </w:r>
    </w:p>
    <w:p>
      <w:pPr>
        <w:spacing w:after="0" w:line="170" w:lineRule="exact"/>
        <w:rPr>
          <w:sz w:val="20"/>
          <w:szCs w:val="20"/>
          <w:color w:val="auto"/>
        </w:rPr>
      </w:pPr>
    </w:p>
    <w:p>
      <w:pPr>
        <w:ind w:left="4" w:right="60" w:firstLine="991"/>
        <w:spacing w:after="0" w:line="259" w:lineRule="auto"/>
        <w:rPr>
          <w:sz w:val="20"/>
          <w:szCs w:val="20"/>
          <w:color w:val="auto"/>
        </w:rPr>
      </w:pPr>
      <w:r>
        <w:rPr>
          <w:rFonts w:ascii="Arial" w:cs="Arial" w:eastAsia="Arial" w:hAnsi="Arial"/>
          <w:sz w:val="18"/>
          <w:szCs w:val="18"/>
          <w:color w:val="auto"/>
        </w:rPr>
        <w:t>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 Each Subsidiary of an SPE Subsidiary shall be deemed to be an SPE Subsidiary and shall comply with the foregoing requirements of this definition.</w:t>
      </w:r>
    </w:p>
    <w:p>
      <w:pPr>
        <w:spacing w:after="0" w:line="119"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32</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62" w:name="page63"/>
    <w:bookmarkEnd w:id="62"/>
    <w:p>
      <w:pPr>
        <w:ind w:left="4" w:right="180"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Special Equity Interest</w:t>
      </w:r>
      <w:r>
        <w:rPr>
          <w:rFonts w:ascii="Arial" w:cs="Arial" w:eastAsia="Arial" w:hAnsi="Arial"/>
          <w:sz w:val="16"/>
          <w:szCs w:val="16"/>
          <w:color w:val="auto"/>
        </w:rPr>
        <w:t xml:space="preserve">” means any Equity Interest that is subject to a Lien in favor of creditors of the issuer of such Equity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Lien was created to secure Indebtedness owing by such issuer to such creditors, (b) such Indebtedness was (i) in existence at the time the Obligors acquired such Equity Interest, (ii) incurred or assumed by such issuer substantially contemporaneously with such acquisition or</w:t>
      </w:r>
    </w:p>
    <w:p>
      <w:pPr>
        <w:spacing w:after="0" w:line="2" w:lineRule="exact"/>
        <w:rPr>
          <w:sz w:val="20"/>
          <w:szCs w:val="20"/>
          <w:color w:val="auto"/>
        </w:rPr>
      </w:pPr>
    </w:p>
    <w:p>
      <w:pPr>
        <w:ind w:left="4" w:right="920" w:hanging="4"/>
        <w:spacing w:after="0" w:line="290" w:lineRule="auto"/>
        <w:tabs>
          <w:tab w:leader="none" w:pos="319"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already subject to a Lien granted to such creditors and (c) unless such Equity Interest is not intended to be included in the Collateral, the documentation creating or governing such Lien does not prohibit the inclusion of such Equity Interest in the Collateral.</w:t>
      </w:r>
    </w:p>
    <w:p>
      <w:pPr>
        <w:spacing w:after="0" w:line="161" w:lineRule="exact"/>
        <w:rPr>
          <w:sz w:val="20"/>
          <w:szCs w:val="20"/>
          <w:color w:val="auto"/>
        </w:rPr>
      </w:pPr>
    </w:p>
    <w:p>
      <w:pPr>
        <w:ind w:left="4"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Permitted Indebtedness</w:t>
      </w:r>
      <w:r>
        <w:rPr>
          <w:rFonts w:ascii="Arial" w:cs="Arial" w:eastAsia="Arial" w:hAnsi="Arial"/>
          <w:sz w:val="18"/>
          <w:szCs w:val="18"/>
          <w:color w:val="auto"/>
        </w:rPr>
        <w:t xml:space="preserve">” means Indebtedness of any Obligor (which may be Guaranteed by any other Obligor) incurred after the Effective Date which (a) has a final maturity date not earlier than five years after the incurrence thereof and (b) satisfies all of the criteria specified in the definition of “Unsecured Longer-Term Indebtedness” other than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thereof.</w:t>
      </w:r>
    </w:p>
    <w:p>
      <w:pPr>
        <w:spacing w:after="0" w:line="184" w:lineRule="exact"/>
        <w:rPr>
          <w:sz w:val="20"/>
          <w:szCs w:val="20"/>
          <w:color w:val="auto"/>
        </w:rPr>
      </w:pPr>
    </w:p>
    <w:p>
      <w:pPr>
        <w:ind w:left="4" w:right="38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Countries</w:t>
      </w:r>
      <w:r>
        <w:rPr>
          <w:rFonts w:ascii="Arial" w:cs="Arial" w:eastAsia="Arial" w:hAnsi="Arial"/>
          <w:sz w:val="17"/>
          <w:szCs w:val="17"/>
          <w:color w:val="auto"/>
        </w:rPr>
        <w:t>” means the United States and U.S. Territories, Canada, Australia, the United Kingdom, Ireland, Germany, Spain, France, Belgium, the Netherlands, Luxembourg, Switzerland, Denmark, Finland, Norway, Sweden, Austria, Iceland and Lichtenstein.</w:t>
      </w:r>
    </w:p>
    <w:p>
      <w:pPr>
        <w:spacing w:after="0" w:line="146" w:lineRule="exact"/>
        <w:rPr>
          <w:sz w:val="20"/>
          <w:szCs w:val="20"/>
          <w:color w:val="auto"/>
        </w:rPr>
      </w:pPr>
    </w:p>
    <w:p>
      <w:pPr>
        <w:ind w:left="4"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Tax Jurisdictions</w:t>
      </w:r>
      <w:r>
        <w:rPr>
          <w:rFonts w:ascii="Arial" w:cs="Arial" w:eastAsia="Arial" w:hAnsi="Arial"/>
          <w:sz w:val="18"/>
          <w:szCs w:val="18"/>
          <w:color w:val="auto"/>
        </w:rPr>
        <w:t>” shall mean Bermuda, the British Virgin Islands, the Cayman Islands, the Channel Islands, the Isle of Man and the Netherlands Antilles.</w:t>
      </w:r>
    </w:p>
    <w:p>
      <w:pPr>
        <w:spacing w:after="0" w:line="170" w:lineRule="exact"/>
        <w:rPr>
          <w:sz w:val="20"/>
          <w:szCs w:val="20"/>
          <w:color w:val="auto"/>
        </w:rPr>
      </w:pPr>
    </w:p>
    <w:p>
      <w:pPr>
        <w:ind w:left="4" w:right="10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Securitization Undertakings</w:t>
      </w:r>
      <w:r>
        <w:rPr>
          <w:rFonts w:ascii="Arial" w:cs="Arial" w:eastAsia="Arial" w:hAnsi="Arial"/>
          <w:sz w:val="18"/>
          <w:szCs w:val="18"/>
          <w:color w:val="auto"/>
        </w:rPr>
        <w:t>” 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collectability of the assets sold or the creditworthiness of the associated account debtors) and (c) representations, warranties, covenants and indemnities (together with any related performance guarantees) of a type that are reasonably customary in accounts receivable securitizations.</w:t>
      </w:r>
    </w:p>
    <w:p>
      <w:pPr>
        <w:spacing w:after="0" w:line="188" w:lineRule="exact"/>
        <w:rPr>
          <w:sz w:val="20"/>
          <w:szCs w:val="20"/>
          <w:color w:val="auto"/>
        </w:rPr>
      </w:pPr>
    </w:p>
    <w:p>
      <w:pPr>
        <w:ind w:left="4" w:right="100"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Reserve Rate</w:t>
      </w:r>
      <w:r>
        <w:rPr>
          <w:rFonts w:ascii="Arial" w:cs="Arial" w:eastAsia="Arial" w:hAnsi="Arial"/>
          <w:sz w:val="17"/>
          <w:szCs w:val="17"/>
          <w:color w:val="auto"/>
        </w:rPr>
        <w:t xml:space="preserve">” means, for the Interest Period for any Eurocurrency Borrowing, a fraction (expressed as a decimal), the numerator of which is the number one and the denominator of which is the number one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arithmetic mean, taken over each day in such Interest Period, of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Such reserve percentages shall include those imposed pursuant to Regulation D. Eurocurrency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78" w:lineRule="exact"/>
        <w:rPr>
          <w:sz w:val="20"/>
          <w:szCs w:val="20"/>
          <w:color w:val="auto"/>
        </w:rPr>
      </w:pPr>
    </w:p>
    <w:p>
      <w:pPr>
        <w:ind w:left="4"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(the “</w:t>
      </w:r>
      <w:r>
        <w:rPr>
          <w:rFonts w:ascii="Arial" w:cs="Arial" w:eastAsia="Arial" w:hAnsi="Arial"/>
          <w:sz w:val="18"/>
          <w:szCs w:val="18"/>
          <w:u w:val="single" w:color="auto"/>
          <w:color w:val="auto"/>
        </w:rPr>
        <w:t>parent</w:t>
      </w:r>
      <w:r>
        <w:rPr>
          <w:rFonts w:ascii="Arial" w:cs="Arial" w:eastAsia="Arial" w:hAnsi="Arial"/>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w:t>
      </w:r>
    </w:p>
    <w:p>
      <w:pPr>
        <w:spacing w:after="0" w:line="116"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33</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63" w:name="page64"/>
    <w:bookmarkEnd w:id="63"/>
    <w:p>
      <w:pPr>
        <w:ind w:right="1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 the term “Subsidiary” shall not include any Person that constitutes an Investment held by the Borrower in the ordinary course of business and that is not, under GAAP, consolidated on the financial statements of the Borrower and its Subsidiaries. Unless otherwise specified, “Subsidiary” means a Subsidiary of the Borrower.</w:t>
      </w:r>
    </w:p>
    <w:p>
      <w:pPr>
        <w:spacing w:after="0" w:line="195"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means any Subsidiary that is a Guarantor under the Guarantee and Security Agreement. It is understood and agreed that no Financing Subsidiary or Foreign Subsidiary shall be a Subsidiary Guarantor. As of the Second Amendment Effective Date, the Subsidiary Guarantors are PNNT CI (GALLS) Prime Investment Holdings, LLC, PNNT Investment Holdings, LLC, PNNT New Gulf Resources, LLC, PNNT ecoserve, LLC and PNNT Cascade Environmental Holdings, LLC.</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SunTrust</w:t>
      </w:r>
      <w:r>
        <w:rPr>
          <w:rFonts w:ascii="Arial" w:cs="Arial" w:eastAsia="Arial" w:hAnsi="Arial"/>
          <w:sz w:val="18"/>
          <w:szCs w:val="18"/>
          <w:color w:val="auto"/>
        </w:rPr>
        <w:t>” means SunTrust Bank.</w:t>
      </w:r>
    </w:p>
    <w:p>
      <w:pPr>
        <w:spacing w:after="0" w:line="225" w:lineRule="exact"/>
        <w:rPr>
          <w:sz w:val="20"/>
          <w:szCs w:val="20"/>
          <w:color w:val="auto"/>
        </w:rPr>
      </w:pPr>
    </w:p>
    <w:p>
      <w:pPr>
        <w:jc w:val="both"/>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means, at any time, the aggregate principal amount of all Swingline Loans outstanding at such time. The Swingline Exposure of any Lender at any time shall be the sum of (i) its Applicable Dollar Percentage of the total Swingline Exposure at such time incurred under the Dollar Commitments and (ii) its Applicable Multicurrency Percentage of the total Swingline Exposure at such time incurred under the Multicurrency Commitments.</w:t>
      </w:r>
    </w:p>
    <w:p>
      <w:pPr>
        <w:spacing w:after="0" w:line="187" w:lineRule="exact"/>
        <w:rPr>
          <w:sz w:val="20"/>
          <w:szCs w:val="20"/>
          <w:color w:val="auto"/>
        </w:rPr>
      </w:pPr>
    </w:p>
    <w:p>
      <w:pPr>
        <w:ind w:right="6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xml:space="preserve">” means SunTrust, in its capacity as lender of Swingline Loans hereunder, and its successors in such capacity as provided in </w:t>
      </w:r>
      <w:r>
        <w:rPr>
          <w:rFonts w:ascii="Arial" w:cs="Arial" w:eastAsia="Arial" w:hAnsi="Arial"/>
          <w:sz w:val="18"/>
          <w:szCs w:val="18"/>
          <w:u w:val="single" w:color="auto"/>
          <w:color w:val="auto"/>
        </w:rPr>
        <w:t>Section 2.04(d)</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Syndicated</w:t>
      </w:r>
      <w:r>
        <w:rPr>
          <w:rFonts w:ascii="Arial" w:cs="Arial" w:eastAsia="Arial" w:hAnsi="Arial"/>
          <w:sz w:val="18"/>
          <w:szCs w:val="18"/>
          <w:color w:val="auto"/>
        </w:rPr>
        <w:t xml:space="preserve">”, when used in reference to any Loan or Borrowing, refers to whether such Loan, or the Loans constituting such Borrowing, are made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70" w:lineRule="exact"/>
        <w:rPr>
          <w:sz w:val="20"/>
          <w:szCs w:val="20"/>
          <w:color w:val="auto"/>
        </w:rPr>
      </w:pPr>
    </w:p>
    <w:p>
      <w:pPr>
        <w:jc w:val="both"/>
        <w:ind w:right="7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84" w:lineRule="exact"/>
        <w:rPr>
          <w:sz w:val="20"/>
          <w:szCs w:val="20"/>
          <w:color w:val="auto"/>
        </w:rPr>
      </w:pPr>
    </w:p>
    <w:p>
      <w:pPr>
        <w:ind w:right="10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means the earliest to occur of (i) the Extended Final Maturity Date, (ii) the date of the termination of the Commitments in full pursuant to Section 2.08(c), or (iii) the date on which the Commitments are terminated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w:t>
      </w:r>
    </w:p>
    <w:p>
      <w:pPr>
        <w:spacing w:after="0" w:line="106"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6980" w:type="dxa"/>
            <w:vAlign w:val="bottom"/>
            <w:gridSpan w:val="5"/>
          </w:tcPr>
          <w:p>
            <w:pPr>
              <w:spacing w:after="0"/>
              <w:rPr>
                <w:sz w:val="20"/>
                <w:szCs w:val="20"/>
                <w:color w:val="auto"/>
              </w:rPr>
            </w:pPr>
            <w:r>
              <w:rPr>
                <w:rFonts w:ascii="Arial" w:cs="Arial" w:eastAsia="Arial" w:hAnsi="Arial"/>
                <w:sz w:val="18"/>
                <w:szCs w:val="18"/>
                <w:color w:val="auto"/>
              </w:rPr>
              <w:t>“Testing Quarter” has the meaning assigned to such term in Section 5.12(b)(ii)(E)(x).</w:t>
            </w:r>
          </w:p>
        </w:tc>
        <w:tc>
          <w:tcPr>
            <w:tcW w:w="3060" w:type="dxa"/>
            <w:vAlign w:val="bottom"/>
          </w:tcPr>
          <w:p>
            <w:pPr>
              <w:spacing w:after="0"/>
              <w:rPr>
                <w:sz w:val="18"/>
                <w:szCs w:val="18"/>
                <w:color w:val="auto"/>
              </w:rPr>
            </w:pPr>
          </w:p>
        </w:tc>
      </w:tr>
      <w:tr>
        <w:trPr>
          <w:trHeight w:val="371"/>
        </w:trPr>
        <w:tc>
          <w:tcPr>
            <w:tcW w:w="8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140" w:type="dxa"/>
            <w:vAlign w:val="bottom"/>
          </w:tcPr>
          <w:p>
            <w:pPr>
              <w:spacing w:after="0"/>
              <w:rPr>
                <w:sz w:val="24"/>
                <w:szCs w:val="24"/>
                <w:color w:val="auto"/>
              </w:rPr>
            </w:pPr>
          </w:p>
        </w:tc>
        <w:tc>
          <w:tcPr>
            <w:tcW w:w="1760" w:type="dxa"/>
            <w:vAlign w:val="bottom"/>
            <w:tcBorders>
              <w:top w:val="single" w:sz="8" w:color="auto"/>
            </w:tcBorders>
          </w:tcPr>
          <w:p>
            <w:pPr>
              <w:jc w:val="right"/>
              <w:ind w:right="1330"/>
              <w:spacing w:after="0"/>
              <w:rPr>
                <w:sz w:val="20"/>
                <w:szCs w:val="20"/>
                <w:color w:val="auto"/>
              </w:rPr>
            </w:pPr>
            <w:r>
              <w:rPr>
                <w:rFonts w:ascii="Arial" w:cs="Arial" w:eastAsia="Arial" w:hAnsi="Arial"/>
                <w:sz w:val="18"/>
                <w:szCs w:val="18"/>
                <w:color w:val="auto"/>
              </w:rPr>
              <w:t>34</w:t>
            </w:r>
          </w:p>
        </w:tc>
        <w:tc>
          <w:tcPr>
            <w:tcW w:w="880" w:type="dxa"/>
            <w:vAlign w:val="bottom"/>
          </w:tcPr>
          <w:p>
            <w:pPr>
              <w:spacing w:after="0"/>
              <w:rPr>
                <w:sz w:val="24"/>
                <w:szCs w:val="24"/>
                <w:color w:val="auto"/>
              </w:rPr>
            </w:pPr>
          </w:p>
        </w:tc>
        <w:tc>
          <w:tcPr>
            <w:tcW w:w="306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6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64" w:name="page65"/>
    <w:bookmarkEnd w:id="64"/>
    <w:p>
      <w:pPr>
        <w:ind w:right="7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Total Assets</w:t>
      </w:r>
      <w:r>
        <w:rPr>
          <w:rFonts w:ascii="Arial" w:cs="Arial" w:eastAsia="Arial" w:hAnsi="Arial"/>
          <w:sz w:val="18"/>
          <w:szCs w:val="18"/>
          <w:color w:val="auto"/>
        </w:rPr>
        <w:t>” means, as of any date of determination, the value of the total assets of the Obligors on a consolidated basis, less all liabilities and indebtedness not represented by senior securities, in each case, as of such date of determination.</w:t>
      </w:r>
    </w:p>
    <w:p>
      <w:pPr>
        <w:spacing w:after="0" w:line="170" w:lineRule="exact"/>
        <w:rPr>
          <w:sz w:val="20"/>
          <w:szCs w:val="20"/>
          <w:color w:val="auto"/>
        </w:rPr>
      </w:pPr>
    </w:p>
    <w:p>
      <w:pPr>
        <w:ind w:right="5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Assets Concentration Limitation</w:t>
      </w:r>
      <w:r>
        <w:rPr>
          <w:rFonts w:ascii="Arial" w:cs="Arial" w:eastAsia="Arial" w:hAnsi="Arial"/>
          <w:sz w:val="18"/>
          <w:szCs w:val="18"/>
          <w:color w:val="auto"/>
        </w:rPr>
        <w:t>” means, as of any date of determination, the amount by which the aggregate value of Equity Interests in Financing Subsidiaries held by the Obligors as of such date of determination exceeds 12.5% of the Total Assets as of such date of determination.</w:t>
      </w:r>
    </w:p>
    <w:p>
      <w:pPr>
        <w:spacing w:after="0" w:line="184"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Secured Debt</w:t>
      </w:r>
      <w:r>
        <w:rPr>
          <w:rFonts w:ascii="Arial" w:cs="Arial" w:eastAsia="Arial" w:hAnsi="Arial"/>
          <w:sz w:val="18"/>
          <w:szCs w:val="18"/>
          <w:color w:val="auto"/>
        </w:rPr>
        <w:t>” means, as of any date of determination, the aggregate amount of senior securities representing secured indebtedness of the Obligors as of such date of determination.</w:t>
      </w:r>
    </w:p>
    <w:p>
      <w:pPr>
        <w:spacing w:after="0" w:line="170"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execution, delivery and performance by the Borrower of this Agreement and the other Loan Documents, the borrowing of Loans, the use of the proceeds thereof and the issuance of Letters of Credit hereunder.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Assets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6.03(h)</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constituting such Borrowing, is determined by reference to the Adjusted LIBO Rate or the Alternate Base Rate.</w:t>
      </w:r>
    </w:p>
    <w:p>
      <w:pPr>
        <w:spacing w:after="0" w:line="170" w:lineRule="exact"/>
        <w:rPr>
          <w:sz w:val="20"/>
          <w:szCs w:val="20"/>
          <w:color w:val="auto"/>
        </w:rPr>
      </w:pPr>
    </w:p>
    <w:p>
      <w:pPr>
        <w:ind w:right="4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Undisclosed Administration</w:t>
      </w:r>
      <w:r>
        <w:rPr>
          <w:rFonts w:ascii="Arial" w:cs="Arial" w:eastAsia="Arial" w:hAnsi="Arial"/>
          <w:sz w:val="17"/>
          <w:szCs w:val="17"/>
          <w:color w:val="auto"/>
        </w:rPr>
        <w:t>” 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means the Uniform Commercial Code as in effect from time to time in the State of New York.</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Unquoted Investment</w:t>
      </w:r>
      <w:r>
        <w:rPr>
          <w:rFonts w:ascii="Arial" w:cs="Arial" w:eastAsia="Arial" w:hAnsi="Arial"/>
          <w:sz w:val="16"/>
          <w:szCs w:val="16"/>
          <w:color w:val="auto"/>
        </w:rPr>
        <w:t xml:space="preserve">” means a Portfolio Investment with a value that may be assigned by the Borrower pursuant to </w:t>
      </w:r>
      <w:r>
        <w:rPr>
          <w:rFonts w:ascii="Arial" w:cs="Arial" w:eastAsia="Arial" w:hAnsi="Arial"/>
          <w:sz w:val="16"/>
          <w:szCs w:val="16"/>
          <w:u w:val="single" w:color="auto"/>
          <w:color w:val="auto"/>
        </w:rPr>
        <w:t>Section 5.12(b)(ii)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211" w:lineRule="exact"/>
        <w:rPr>
          <w:sz w:val="20"/>
          <w:szCs w:val="20"/>
          <w:color w:val="auto"/>
        </w:rPr>
      </w:pPr>
    </w:p>
    <w:p>
      <w:pPr>
        <w:ind w:right="40"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Unsecured Longer-Term Indebtedness</w:t>
      </w:r>
      <w:r>
        <w:rPr>
          <w:rFonts w:ascii="Arial" w:cs="Arial" w:eastAsia="Arial" w:hAnsi="Arial"/>
          <w:sz w:val="17"/>
          <w:szCs w:val="17"/>
          <w:color w:val="auto"/>
        </w:rPr>
        <w:t>” means Indebtedness of any Obligor (which may be Guaranteed by any other Obligor) that (a) has no amortization prior to, and a final maturity date not earlier than, six months after the Extended Final Maturity Date (it being understood that (A) none of: (w) the conversion features under convertible notes; (x) the triggering and/or settlement thereof; and (y) any cash payment made in respect thereof shall constitute “amortization” for the purposes of this definition); (B) any mandatory amortization that is contingent upon the happening of an event that is not certain to occur (including, without limitation, a change of control or bankruptcy) shall not in and of itself be deemed to disqualify such Indebtedness under this clause (a); and (C) any mandatory amortization under any Permitted Amortizing Unsecured Longer-Term Indebtedness shall not in and of itself be deemed to disqualify such Indebtedness under this clause (a); provided, with respect to clause (a)(B) and clause (a)(C), the Borrower acknowledges that any payment prior to the Extended Final Maturity Date in respect of any such obligation or right shall only be made to the extent permitted by this Agreement and</w:t>
      </w:r>
    </w:p>
    <w:p>
      <w:pPr>
        <w:spacing w:after="0" w:line="113"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35</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65" w:name="page66"/>
    <w:bookmarkEnd w:id="65"/>
    <w:p>
      <w:pPr>
        <w:ind w:left="4" w:right="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immediately upon such contingent event occurring the amount of such mandatory amortization shall be included in the Covered Debt Amount), (b) is incurred pursuant to terms that are substantially comparable to market terms for substantially similar debt of other similarly situated borrowers as reasonably determined in good faith by the Borrower or, if such transaction is not one in which there are market terms for substantially similar debt of other similarly situated borrowers, on terms that are negotiated in good faith on an arm’s length basis (except, in each case, other than financial covenants and events of default (other than events of default customary in indentures or similar instruments that have no analogous provisions in this Agreement or credit agreements generally), which shall be no more restrictive upon the Borrower and its Subsidiaries, while any Loans or the Commitments are outstanding, than those set forth in the Loan Documents; provided that, upon the Borrower’s written request in connection with the incurrence of any Unsecured Longer-Term Indebtedness that otherwise would not meet the requirements set forth in this parenthetical of this clause (b), this Agreement will be deemed automatically amended (and, upon the request of the Administrative Agent or the Required Lenders, the Borrower shall promptly enter into a written amendment evidencing such amendment), </w:t>
      </w:r>
      <w:r>
        <w:rPr>
          <w:rFonts w:ascii="Arial" w:cs="Arial" w:eastAsia="Arial" w:hAnsi="Arial"/>
          <w:sz w:val="16"/>
          <w:szCs w:val="16"/>
          <w:i w:val="1"/>
          <w:iCs w:val="1"/>
          <w:color w:val="auto"/>
        </w:rPr>
        <w:t>mutatis mutandis</w:t>
      </w:r>
      <w:r>
        <w:rPr>
          <w:rFonts w:ascii="Arial" w:cs="Arial" w:eastAsia="Arial" w:hAnsi="Arial"/>
          <w:sz w:val="16"/>
          <w:szCs w:val="16"/>
          <w:color w:val="auto"/>
        </w:rPr>
        <w:t>, solely to the extent necessary such that the financial covenants and events of default, as applicable, in this Agreement shall be as restrictive as such provisions in the Unsecured Longer-Term Indebtedness) (it being understood that put rights or repurchase or redemption obligations (x) in the case of convertible securities, in connection with the suspension or delisting of the capital stock of the Borrower or the failure of the Borrower to satisfy a continued listing rule with respect to its capital stock or</w:t>
      </w:r>
    </w:p>
    <w:p>
      <w:pPr>
        <w:spacing w:after="0" w:line="2" w:lineRule="exact"/>
        <w:rPr>
          <w:sz w:val="20"/>
          <w:szCs w:val="20"/>
          <w:color w:val="auto"/>
        </w:rPr>
      </w:pPr>
    </w:p>
    <w:p>
      <w:pPr>
        <w:ind w:left="4" w:right="60" w:hanging="4"/>
        <w:spacing w:after="0" w:line="253" w:lineRule="auto"/>
        <w:tabs>
          <w:tab w:leader="none" w:pos="2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arising out of circumstances that would constitute a “fundamental change” (as such term is customarily defined in convertible note offerings) or be Events of Default under this Agreement shall not be deemed to be more restrictive for purposes of this definition) and (c) is not secured by any assets of any Obligor. For the avoidance of doubt, the conversion of all or any portion of any Permitted Convertible Indebtedness constituting Unsecured Longer-Term Indebtedness into Permitted Equity Interests in accordance with </w:t>
      </w:r>
      <w:r>
        <w:rPr>
          <w:rFonts w:ascii="Arial" w:cs="Arial" w:eastAsia="Arial" w:hAnsi="Arial"/>
          <w:sz w:val="18"/>
          <w:szCs w:val="18"/>
          <w:u w:val="single" w:color="auto"/>
          <w:color w:val="auto"/>
        </w:rPr>
        <w:t>Section 6.12(a)</w:t>
      </w:r>
      <w:r>
        <w:rPr>
          <w:rFonts w:ascii="Arial" w:cs="Arial" w:eastAsia="Arial" w:hAnsi="Arial"/>
          <w:sz w:val="18"/>
          <w:szCs w:val="18"/>
          <w:color w:val="auto"/>
        </w:rPr>
        <w:t>, shall not cause such Indebtedness to be designated as Unsecured Shorter-Term Indebtedness hereunder.</w:t>
      </w:r>
    </w:p>
    <w:p>
      <w:pPr>
        <w:spacing w:after="0" w:line="191" w:lineRule="exact"/>
        <w:rPr>
          <w:sz w:val="20"/>
          <w:szCs w:val="20"/>
          <w:color w:val="auto"/>
        </w:rPr>
      </w:pPr>
    </w:p>
    <w:p>
      <w:pPr>
        <w:ind w:left="4" w:right="2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Unsecured Shorter-Term Indebtedness</w:t>
      </w:r>
      <w:r>
        <w:rPr>
          <w:rFonts w:ascii="Arial" w:cs="Arial" w:eastAsia="Arial" w:hAnsi="Arial"/>
          <w:sz w:val="18"/>
          <w:szCs w:val="18"/>
          <w:color w:val="auto"/>
        </w:rPr>
        <w:t xml:space="preserve">” means, collectively, (a) any Indebtedness of the Borrower or any Subsidiary (other than a Financing Subsidiary) that is not secured by any assets of any Obligor and that does not constitute Unsecured Longer-Term Indebtedness and (b) any Indebtedness that is designated as “Unsecured Shorter-Term Indebtedness” pursuant to </w:t>
      </w:r>
      <w:r>
        <w:rPr>
          <w:rFonts w:ascii="Arial" w:cs="Arial" w:eastAsia="Arial" w:hAnsi="Arial"/>
          <w:sz w:val="18"/>
          <w:szCs w:val="18"/>
          <w:u w:val="single" w:color="auto"/>
          <w:color w:val="auto"/>
        </w:rPr>
        <w:t>Section 6.11(a)</w:t>
      </w:r>
      <w:r>
        <w:rPr>
          <w:rFonts w:ascii="Arial" w:cs="Arial" w:eastAsia="Arial" w:hAnsi="Arial"/>
          <w:sz w:val="18"/>
          <w:szCs w:val="18"/>
          <w:color w:val="auto"/>
        </w:rPr>
        <w:t>. For clarity, Special Permitted Indebtedness and Permitted Amortizing Unsecured Longer-Term Indebtedness shall not be Unsecured Shorter-Term Indebtedness so long as the final maturity date thereof is after the Extended Final Maturity Date.</w:t>
      </w:r>
    </w:p>
    <w:p>
      <w:pPr>
        <w:spacing w:after="0" w:line="188" w:lineRule="exact"/>
        <w:rPr>
          <w:sz w:val="20"/>
          <w:szCs w:val="20"/>
          <w:color w:val="auto"/>
        </w:rPr>
      </w:pPr>
    </w:p>
    <w:p>
      <w:pPr>
        <w:jc w:val="both"/>
        <w:ind w:left="4"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w:t>
      </w:r>
      <w:r>
        <w:rPr>
          <w:rFonts w:ascii="Arial" w:cs="Arial" w:eastAsia="Arial" w:hAnsi="Arial"/>
          <w:sz w:val="18"/>
          <w:szCs w:val="18"/>
          <w:color w:val="auto"/>
        </w:rPr>
        <w:t>”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08" w:lineRule="exact"/>
        <w:rPr>
          <w:sz w:val="20"/>
          <w:szCs w:val="20"/>
          <w:color w:val="auto"/>
        </w:rPr>
      </w:pPr>
    </w:p>
    <w:tbl>
      <w:tblPr>
        <w:tblLayout w:type="fixed"/>
        <w:tblInd w:w="984" w:type="dxa"/>
        <w:tblCellMar>
          <w:top w:w="0" w:type="dxa"/>
          <w:left w:w="0" w:type="dxa"/>
          <w:bottom w:w="0" w:type="dxa"/>
          <w:right w:w="0" w:type="dxa"/>
        </w:tblCellMar>
      </w:tblPr>
      <w:tr>
        <w:trPr>
          <w:trHeight w:val="207"/>
        </w:trPr>
        <w:tc>
          <w:tcPr>
            <w:tcW w:w="6240" w:type="dxa"/>
            <w:vAlign w:val="bottom"/>
            <w:gridSpan w:val="5"/>
          </w:tcPr>
          <w:p>
            <w:pPr>
              <w:jc w:val="right"/>
              <w:ind w:right="1680"/>
              <w:spacing w:after="0"/>
              <w:rPr>
                <w:sz w:val="20"/>
                <w:szCs w:val="20"/>
                <w:color w:val="auto"/>
              </w:rPr>
            </w:pPr>
            <w:r>
              <w:rPr>
                <w:rFonts w:ascii="Arial" w:cs="Arial" w:eastAsia="Arial" w:hAnsi="Arial"/>
                <w:sz w:val="18"/>
                <w:szCs w:val="18"/>
                <w:color w:val="auto"/>
                <w:w w:val="89"/>
              </w:rPr>
              <w:t>“Value” has the meaning assigned to such term in Section 5.13.</w:t>
            </w:r>
          </w:p>
        </w:tc>
        <w:tc>
          <w:tcPr>
            <w:tcW w:w="380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371"/>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20" w:type="dxa"/>
            <w:vAlign w:val="bottom"/>
            <w:gridSpan w:val="2"/>
          </w:tcPr>
          <w:p>
            <w:pPr>
              <w:jc w:val="right"/>
              <w:ind w:right="1560"/>
              <w:spacing w:after="0"/>
              <w:rPr>
                <w:sz w:val="20"/>
                <w:szCs w:val="20"/>
                <w:color w:val="auto"/>
              </w:rPr>
            </w:pPr>
            <w:r>
              <w:rPr>
                <w:rFonts w:ascii="Arial" w:cs="Arial" w:eastAsia="Arial" w:hAnsi="Arial"/>
                <w:sz w:val="18"/>
                <w:szCs w:val="18"/>
                <w:color w:val="auto"/>
              </w:rPr>
              <w:t>36</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66" w:name="page67"/>
    <w:bookmarkEnd w:id="66"/>
    <w:p>
      <w:pPr>
        <w:ind w:right="2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4"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Class (e.g., a “Syndicated Dollar Loan” or “Syndicated Multicurrency Loan”), by Type (e.g., an “ABR Loan”) or by Class and Type (e.g., a “Syndicated Multicurrency LIBOR Loan”). Borrowings also may be classified and referred to by Class (e.g., a “Dollar Borrowing”, “Multicurrency Borrowing” or “Syndicated Borrowing”), by Type (e.g., an “ABR Borrowing”) or by Class and Type (e.g., a “Syndicated ABR Borrowing” or “Syndicated Multicurrency LIBOR Borrowing”). Loans and Borrowings may also be identified by Currency.</w:t>
      </w:r>
    </w:p>
    <w:p>
      <w:pPr>
        <w:spacing w:after="0" w:line="188"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Terms Generally</w:t>
      </w:r>
      <w:r>
        <w:rPr>
          <w:rFonts w:ascii="Arial" w:cs="Arial" w:eastAsia="Arial" w:hAnsi="Arial"/>
          <w:sz w:val="17"/>
          <w:szCs w:val="17"/>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82" w:lineRule="exact"/>
        <w:rPr>
          <w:sz w:val="20"/>
          <w:szCs w:val="20"/>
          <w:color w:val="auto"/>
        </w:rPr>
      </w:pPr>
    </w:p>
    <w:p>
      <w:pPr>
        <w:ind w:right="80" w:firstLine="991"/>
        <w:spacing w:after="0" w:line="291"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Accounting Terms; GAAP</w:t>
      </w:r>
      <w:r>
        <w:rPr>
          <w:rFonts w:ascii="Arial" w:cs="Arial" w:eastAsia="Arial" w:hAnsi="Arial"/>
          <w:sz w:val="16"/>
          <w:szCs w:val="16"/>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(b) all leases that would</w:t>
      </w:r>
    </w:p>
    <w:p>
      <w:pPr>
        <w:spacing w:after="0" w:line="99"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37</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67" w:name="page68"/>
    <w:bookmarkEnd w:id="67"/>
    <w:p>
      <w:pPr>
        <w:ind w:left="4"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be treated as operating leases for purposes of GAAP on the date hereof shall continue to be accounted for as operating leases for purposes of all financial definitions and calculations hereunder regardless of any change to GAAP following the date hereof that would otherwise require such leases to be treated as Capital Lease Obligations. The Borrower covenants and agrees with the Lenders that whether or not the Borrower may at any time adopt Financial Accounting Standards Board (“</w:t>
      </w:r>
      <w:r>
        <w:rPr>
          <w:rFonts w:ascii="Arial" w:cs="Arial" w:eastAsia="Arial" w:hAnsi="Arial"/>
          <w:sz w:val="16"/>
          <w:szCs w:val="16"/>
          <w:u w:val="single" w:color="auto"/>
          <w:color w:val="auto"/>
        </w:rPr>
        <w:t>FASB</w:t>
      </w:r>
      <w:r>
        <w:rPr>
          <w:rFonts w:ascii="Arial" w:cs="Arial" w:eastAsia="Arial" w:hAnsi="Arial"/>
          <w:sz w:val="16"/>
          <w:szCs w:val="16"/>
          <w:color w:val="auto"/>
        </w:rPr>
        <w:t>”) Statement of Financial Accounting Standard No. 159 (or successor standard solely as it relates to fair valuing liabilities) or accounts for liabilities acquired in an acquisition on a fair value basis pursuant to FASB Statement of Financial Accounting Standard No. 141(R) (or successor standard solely as it relates to fair valuing liabilities), all determinations of compliance with the terms and conditions of this Agreement shall be made on the basis that the Borrower has not adopted FASB Statement of Financial Accounting Standard No. 159 (or such successor standard solely as it relates to fair valuing liabilities) or, in the case of liabilities acquired in an acquisition, FASB Statement of Financial Accounting Standard No. 141(R) (or such successor standard solely as it relates to fair valuing liabilities).</w:t>
      </w:r>
    </w:p>
    <w:p>
      <w:pPr>
        <w:spacing w:after="0" w:line="16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Currencies; Currency Equivalents</w:t>
      </w:r>
      <w:r>
        <w:rPr>
          <w:rFonts w:ascii="Arial" w:cs="Arial" w:eastAsia="Arial" w:hAnsi="Arial"/>
          <w:sz w:val="18"/>
          <w:szCs w:val="18"/>
          <w:color w:val="auto"/>
        </w:rPr>
        <w:t>.</w:t>
      </w:r>
    </w:p>
    <w:p>
      <w:pPr>
        <w:spacing w:after="0" w:line="117" w:lineRule="exact"/>
        <w:rPr>
          <w:sz w:val="20"/>
          <w:szCs w:val="20"/>
          <w:color w:val="auto"/>
        </w:rPr>
      </w:pPr>
    </w:p>
    <w:p>
      <w:pPr>
        <w:jc w:val="both"/>
        <w:ind w:left="4" w:right="20" w:firstLine="987"/>
        <w:spacing w:after="0" w:line="287" w:lineRule="auto"/>
        <w:tabs>
          <w:tab w:leader="none" w:pos="1375"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Currencies Generally</w:t>
      </w:r>
      <w:r>
        <w:rPr>
          <w:rFonts w:ascii="Arial" w:cs="Arial" w:eastAsia="Arial" w:hAnsi="Arial"/>
          <w:sz w:val="16"/>
          <w:szCs w:val="16"/>
          <w:color w:val="auto"/>
        </w:rPr>
        <w:t xml:space="preserve">. At any time, any reference in the definition of the term “Agreed Foreign Currency” or in any other provision of this Agreement to the Currency of any particular nation means the lawful currency of such nation at such time whether or not the name of such Currency is the same as it was on the date hereof. Except as provided in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and the last sentence of </w:t>
      </w:r>
      <w:r>
        <w:rPr>
          <w:rFonts w:ascii="Arial" w:cs="Arial" w:eastAsia="Arial" w:hAnsi="Arial"/>
          <w:sz w:val="16"/>
          <w:szCs w:val="16"/>
          <w:u w:val="single" w:color="auto"/>
          <w:color w:val="auto"/>
        </w:rPr>
        <w:t>Section 2.17(a)</w:t>
      </w:r>
      <w:r>
        <w:rPr>
          <w:rFonts w:ascii="Arial" w:cs="Arial" w:eastAsia="Arial" w:hAnsi="Arial"/>
          <w:sz w:val="16"/>
          <w:szCs w:val="16"/>
          <w:color w:val="auto"/>
        </w:rPr>
        <w:t>, for purposes of determining</w:t>
      </w:r>
    </w:p>
    <w:p>
      <w:pPr>
        <w:spacing w:after="0" w:line="2" w:lineRule="exact"/>
        <w:rPr>
          <w:rFonts w:ascii="Arial" w:cs="Arial" w:eastAsia="Arial" w:hAnsi="Arial"/>
          <w:sz w:val="16"/>
          <w:szCs w:val="16"/>
          <w:color w:val="auto"/>
        </w:rPr>
      </w:pPr>
    </w:p>
    <w:p>
      <w:pPr>
        <w:ind w:left="4" w:right="20" w:hanging="4"/>
        <w:spacing w:after="0" w:line="285" w:lineRule="auto"/>
        <w:tabs>
          <w:tab w:leader="none" w:pos="219" w:val="left"/>
        </w:tabs>
        <w:numPr>
          <w:ilvl w:val="0"/>
          <w:numId w:val="29"/>
        </w:numPr>
        <w:rPr>
          <w:rFonts w:ascii="Arial" w:cs="Arial" w:eastAsia="Arial" w:hAnsi="Arial"/>
          <w:sz w:val="16"/>
          <w:szCs w:val="16"/>
          <w:color w:val="auto"/>
        </w:rPr>
      </w:pPr>
      <w:r>
        <w:rPr>
          <w:rFonts w:ascii="Arial" w:cs="Arial" w:eastAsia="Arial" w:hAnsi="Arial"/>
          <w:sz w:val="16"/>
          <w:szCs w:val="16"/>
          <w:color w:val="auto"/>
        </w:rPr>
        <w:t>whether the amount of any Borrowing or Letter of Credit under the Multicurrency Commitments, together with all other Borrowings and Letters of Credit under the Multicurrency Commitments then outstanding or to be borrowed at the same time as such Borrowing, would exceed the aggregate amount of the Multicurrency Commitments, (ii) the aggregate unutilized amount of the Multicurrency Commitments, (iii) the Revolving Credit Exposure, (iv) the Multicurrency LC Exposure, (v) the Covered Debt Amount and (vi) the Borrowing Base or the Value or the fair market value of any Portfolio Investment, the outstanding principal amount of any Borrowing or Letter of Credit that is denominated in any Foreign Currency or the Value or the fair market value of any Portfolio Investment that is denominated in any Foreign Currency shall be deemed to be 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units of such Foreign Currency). Without limiting the generality of the foregoing, for purposes of determining compliance with any basket in Sections 6.03(g) and 6.04(f), in no event shall the Borrower or any of its Subsidiaries be deemed to not be in compliance with any such basket solely as a result of a change in exchange rates.</w:t>
      </w:r>
    </w:p>
    <w:p>
      <w:pPr>
        <w:spacing w:after="0" w:line="61" w:lineRule="exact"/>
        <w:rPr>
          <w:rFonts w:ascii="Arial" w:cs="Arial" w:eastAsia="Arial" w:hAnsi="Arial"/>
          <w:sz w:val="16"/>
          <w:szCs w:val="16"/>
          <w:color w:val="auto"/>
        </w:rPr>
      </w:pPr>
    </w:p>
    <w:p>
      <w:pPr>
        <w:jc w:val="both"/>
        <w:ind w:left="4" w:right="20" w:firstLine="987"/>
        <w:spacing w:after="0" w:line="263" w:lineRule="auto"/>
        <w:tabs>
          <w:tab w:leader="none" w:pos="1385"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Special Provisions Relating to Euro</w:t>
      </w:r>
      <w:r>
        <w:rPr>
          <w:rFonts w:ascii="Arial" w:cs="Arial" w:eastAsia="Arial" w:hAnsi="Arial"/>
          <w:sz w:val="18"/>
          <w:szCs w:val="18"/>
          <w:color w:val="auto"/>
        </w:rPr>
        <w:t>. Each obligation hereunder of any party hereto that is denominated in the National Currency of a state that is not a Participating Member State on the date hereof shall, effective from the date on which such state becomes a Participating Member State, be redenominated in Euro in accordance with the legislation of the European Union</w:t>
      </w:r>
    </w:p>
    <w:p>
      <w:pPr>
        <w:spacing w:after="0" w:line="116"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38</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68" w:name="page69"/>
    <w:bookmarkEnd w:id="68"/>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applicable to the European Monetary Union;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and to the extent that any such legislation provides that any such obligation of any such party payable within such Participating Member State by crediting an account of the creditor can be paid by the debtor either in Euros or such National Currency, such party shall be entitled to pay or repay such amount either in Euros or in such National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Borrowing denominated in such currency that is outstanding immediately prior to such date, such replacement shall take effect at the end of the Interest Period therefor.</w:t>
      </w:r>
    </w:p>
    <w:p>
      <w:pPr>
        <w:spacing w:after="0" w:line="165"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 xml:space="preserve">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 Borrower, reasonably specify to be necessary or appropriate to reflect the introduction or changeover to the Euro in any country that becomes a Participating Member State after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provide the Borrower and the Lenders with prior notice of the proposed change with an explanation of such change in sufficient time to permit the Borrower and the Lenders an opportunity to respond to such proposed change.</w:t>
      </w:r>
    </w:p>
    <w:p>
      <w:pPr>
        <w:spacing w:after="0" w:line="192"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The Commitments</w:t>
      </w:r>
      <w:r>
        <w:rPr>
          <w:rFonts w:ascii="Arial" w:cs="Arial" w:eastAsia="Arial" w:hAnsi="Arial"/>
          <w:sz w:val="18"/>
          <w:szCs w:val="18"/>
          <w:color w:val="auto"/>
        </w:rPr>
        <w:t>. Subject to the terms and conditions set forth herein:</w:t>
      </w:r>
    </w:p>
    <w:p>
      <w:pPr>
        <w:spacing w:after="0" w:line="117" w:lineRule="exact"/>
        <w:rPr>
          <w:sz w:val="20"/>
          <w:szCs w:val="20"/>
          <w:color w:val="auto"/>
        </w:rPr>
      </w:pPr>
    </w:p>
    <w:p>
      <w:pPr>
        <w:ind w:right="80" w:firstLine="987"/>
        <w:spacing w:after="0" w:line="301" w:lineRule="auto"/>
        <w:tabs>
          <w:tab w:leader="none" w:pos="1371" w:val="left"/>
        </w:tabs>
        <w:numPr>
          <w:ilvl w:val="0"/>
          <w:numId w:val="30"/>
        </w:numPr>
        <w:rPr>
          <w:rFonts w:ascii="Arial" w:cs="Arial" w:eastAsia="Arial" w:hAnsi="Arial"/>
          <w:sz w:val="16"/>
          <w:szCs w:val="16"/>
          <w:color w:val="auto"/>
        </w:rPr>
      </w:pPr>
      <w:r>
        <w:rPr>
          <w:rFonts w:ascii="Arial" w:cs="Arial" w:eastAsia="Arial" w:hAnsi="Arial"/>
          <w:sz w:val="16"/>
          <w:szCs w:val="16"/>
          <w:color w:val="auto"/>
        </w:rPr>
        <w:t>each Dollar Lender severally agrees to make Syndicated Loans in Dollars to the Borrower from time to time during such Dollar Lender’s Availability Period in an aggregate principal amount that will not result in (i) such Lender’s Revolving Dollar Credit Exposure exceeding such Lender’s Dollar Commitment, (ii) the aggregate Revolving Dollar Credit Exposure of all of the Dollar Lenders with Dollar Commitments then in effect exceeding the aggregate Dollar Commitments at such time or (iii) the total Covered Debt Amount exceeding the Borrowing Base then in effect; and</w:t>
      </w:r>
    </w:p>
    <w:p>
      <w:pPr>
        <w:spacing w:after="0" w:line="90"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39</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69" w:name="page70"/>
    <w:bookmarkEnd w:id="69"/>
    <w:p>
      <w:pPr>
        <w:ind w:right="100" w:firstLine="987"/>
        <w:spacing w:after="0" w:line="257" w:lineRule="auto"/>
        <w:tabs>
          <w:tab w:leader="none" w:pos="1381"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Multicurrency Lender severally agrees to make Syndicated Loans in Dollars and in Agreed Foreign Currencies to the Borrower from time to time during such Multicurrency Lender’s Availability Period in an aggregate principal amount that will not result in (i) such Lender’s Revolving Multicurrency Credit Exposure exceeding such Lender’s Multicurrency Commitment, (ii) the aggregate Revolving Multicurrency Credit Exposure of all of the Multicurrency Lenders with Multicurrency Commitments then in effect exceeding the aggregate Multicurrency Commitments at such time or (iii) the total Covered Debt Amount exceeding the Borrowing Base then in effect.</w:t>
      </w:r>
    </w:p>
    <w:p>
      <w:pPr>
        <w:spacing w:after="0" w:line="188"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Within the foregoing limits and subject to the terms and conditions set forth herein, the Borrower may borrow, prepay and reborrow Syndicated Loans.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257" w:lineRule="auto"/>
        <w:tabs>
          <w:tab w:leader="none" w:pos="137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Obligations of Lenders</w:t>
      </w:r>
      <w:r>
        <w:rPr>
          <w:rFonts w:ascii="Arial" w:cs="Arial" w:eastAsia="Arial" w:hAnsi="Arial"/>
          <w:sz w:val="18"/>
          <w:szCs w:val="18"/>
          <w:color w:val="auto"/>
        </w:rPr>
        <w:t xml:space="preserve">. Each Syndicated Loan shall be made as part of a Borrowing consisting of Loans of the same Class (other than with respect to any Syndicated Loan requested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Currency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of the Lenders are several and no Lender shall be responsible for any other Lender’s failure to make Loans as required.</w:t>
      </w:r>
    </w:p>
    <w:p>
      <w:pPr>
        <w:spacing w:after="0" w:line="79" w:lineRule="exact"/>
        <w:rPr>
          <w:rFonts w:ascii="Arial" w:cs="Arial" w:eastAsia="Arial" w:hAnsi="Arial"/>
          <w:sz w:val="18"/>
          <w:szCs w:val="18"/>
          <w:color w:val="auto"/>
        </w:rPr>
      </w:pPr>
    </w:p>
    <w:p>
      <w:pPr>
        <w:ind w:right="240" w:firstLine="987"/>
        <w:spacing w:after="0" w:line="257" w:lineRule="auto"/>
        <w:tabs>
          <w:tab w:leader="none" w:pos="138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Type of Loans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each Syndicated Borrowing of a Class shall be constituted entirely of ABR Loans or of Eurocurrency Loans of such Class denominated in a single Currency as the Borrower may request in accordance herewith. Each ABR Loan shall be denominated in Dollars. Each Lender at its option may make any Eurocurrency Loan by causing any domestic or foreign branch or Affiliate of such Lender to make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the Borrower to repay such Loan in accordance with the terms of this Agreement.</w:t>
      </w:r>
    </w:p>
    <w:p>
      <w:pPr>
        <w:spacing w:after="0" w:line="79" w:lineRule="exact"/>
        <w:rPr>
          <w:rFonts w:ascii="Arial" w:cs="Arial" w:eastAsia="Arial" w:hAnsi="Arial"/>
          <w:sz w:val="18"/>
          <w:szCs w:val="18"/>
          <w:color w:val="auto"/>
        </w:rPr>
      </w:pPr>
    </w:p>
    <w:p>
      <w:pPr>
        <w:ind w:right="40" w:firstLine="987"/>
        <w:spacing w:after="0" w:line="257" w:lineRule="auto"/>
        <w:tabs>
          <w:tab w:leader="none" w:pos="137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 xml:space="preserve">. Each Eurocurrency Borrowing shall be in an aggregate amount of $1,000,000 or a larger multiple of $1,000,000, and each ABR Borrowing (whether Syndicated or Swingline) shall be in an aggregate amount of $1,000,000 or a larger multiple of $100,000;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Syndicated ABR Borrowing of a Class may be in an aggregate amount that is equal to the entire unused balance of the total Commitments of such Class or that is required to finance the reimbursement of an LC Disbursement of such Class as contemplated by </w:t>
      </w:r>
      <w:r>
        <w:rPr>
          <w:rFonts w:ascii="Arial" w:cs="Arial" w:eastAsia="Arial" w:hAnsi="Arial"/>
          <w:sz w:val="18"/>
          <w:szCs w:val="18"/>
          <w:u w:val="single" w:color="auto"/>
          <w:color w:val="auto"/>
        </w:rPr>
        <w:t>Section 2.05(f)</w:t>
      </w:r>
      <w:r>
        <w:rPr>
          <w:rFonts w:ascii="Arial" w:cs="Arial" w:eastAsia="Arial" w:hAnsi="Arial"/>
          <w:sz w:val="18"/>
          <w:szCs w:val="18"/>
          <w:color w:val="auto"/>
        </w:rPr>
        <w:t>. Borrowings of more than one Class, Currency and Type may be outstanding at the same time.</w:t>
      </w:r>
    </w:p>
    <w:p>
      <w:pPr>
        <w:spacing w:after="0" w:line="79" w:lineRule="exact"/>
        <w:rPr>
          <w:rFonts w:ascii="Arial" w:cs="Arial" w:eastAsia="Arial" w:hAnsi="Arial"/>
          <w:sz w:val="18"/>
          <w:szCs w:val="18"/>
          <w:color w:val="auto"/>
        </w:rPr>
      </w:pPr>
    </w:p>
    <w:p>
      <w:pPr>
        <w:jc w:val="both"/>
        <w:ind w:right="40" w:firstLine="987"/>
        <w:spacing w:after="0" w:line="275" w:lineRule="auto"/>
        <w:tabs>
          <w:tab w:leader="none" w:pos="1381"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Limitations on Interest Periods</w:t>
      </w:r>
      <w:r>
        <w:rPr>
          <w:rFonts w:ascii="Arial" w:cs="Arial" w:eastAsia="Arial" w:hAnsi="Arial"/>
          <w:sz w:val="17"/>
          <w:szCs w:val="17"/>
          <w:color w:val="auto"/>
        </w:rPr>
        <w:t xml:space="preserve">. Notwithstanding any other provision of this Agreement, the Borrower shall not be entitled to request (or to elect to convert to or continue as a Eurocurrency Borrowing) any Borrowing if the Interest Period requested therefor would end after the Extended Final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request (or election to convert or continue as a Eurocurrency Borrowing) that would extend past an applicable Non-Extended Final Maturity Date may only be made with respect to the portion of the Eurocurrency Borrowing held by the Extending Lenders and Non-Extending Lenders for which the Non-Extended Final Maturity Date shall not have occurred.</w:t>
      </w:r>
    </w:p>
    <w:p>
      <w:pPr>
        <w:spacing w:after="0" w:line="109"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40</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70" w:name="page71"/>
    <w:bookmarkEnd w:id="70"/>
    <w:p>
      <w:pPr>
        <w:ind w:left="-440" w:right="240" w:firstLine="987"/>
        <w:spacing w:after="0" w:line="257" w:lineRule="auto"/>
        <w:tabs>
          <w:tab w:leader="none" w:pos="931"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Treatment of Classes</w:t>
      </w:r>
      <w:r>
        <w:rPr>
          <w:rFonts w:ascii="Arial" w:cs="Arial" w:eastAsia="Arial" w:hAnsi="Arial"/>
          <w:sz w:val="18"/>
          <w:szCs w:val="18"/>
          <w:color w:val="auto"/>
        </w:rPr>
        <w:t xml:space="preserve">. Notwithstanding anything to the contrary contained herein, with respect to each Syndicated Loan, Swingline Loan or Letter of Credit designated in Dollars (including any Loan requested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 the Administrative Agent shall deem the Borrower to have requested that such Syndicated Loan, Swingline Loan or Letter of Credit be applied ratably to each of the Dollar Commitments and the Multicurrency Commitments, based upon the percentage of the aggregate Commitments represented by the Dollar Commitments and the Multicurrency Commitments, respectively.</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Requests for Syndicated Borrowings</w:t>
      </w:r>
      <w:r>
        <w:rPr>
          <w:rFonts w:ascii="Arial" w:cs="Arial" w:eastAsia="Arial" w:hAnsi="Arial"/>
          <w:sz w:val="18"/>
          <w:szCs w:val="18"/>
          <w:color w:val="auto"/>
        </w:rPr>
        <w:t>.</w:t>
      </w:r>
    </w:p>
    <w:p>
      <w:pPr>
        <w:spacing w:after="0" w:line="117" w:lineRule="exact"/>
        <w:rPr>
          <w:sz w:val="20"/>
          <w:szCs w:val="20"/>
          <w:color w:val="auto"/>
        </w:rPr>
      </w:pPr>
    </w:p>
    <w:p>
      <w:pPr>
        <w:ind w:left="-440" w:right="120" w:firstLine="987"/>
        <w:spacing w:after="0" w:line="272" w:lineRule="auto"/>
        <w:tabs>
          <w:tab w:leader="none" w:pos="931"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Notice by the Borrower</w:t>
      </w:r>
      <w:r>
        <w:rPr>
          <w:rFonts w:ascii="Arial" w:cs="Arial" w:eastAsia="Arial" w:hAnsi="Arial"/>
          <w:sz w:val="17"/>
          <w:szCs w:val="17"/>
          <w:color w:val="auto"/>
        </w:rPr>
        <w:t>. To request a Syndicated Borrowing, the Borrower shall notify the Administrative Agent of such request by telephone (i) in the case of a Eurocurrency Borrowing denominated in Dollars, not later than 11:00 a.m., Atlanta, Georgia time, two Business Days before the date of the proposed Borrowing, (ii) in the case of a Eurocurrency Borrowing denominated in a Foreign Currency, not later than 11:00 a.m., Atlanta, Georgia time, four Business Days before the date of the proposed Borrowing or (iii) in the case of a Syndicated ABR Borrowing, not later than 11:00 a.m., Atlanta, Georgia time, one Business Day before the date of the proposed Borrowing. Each such telephonic Borrowing Request shall be irrevocable and shall be confirmed promptly by hand delivery or telecopy to the Administrative Agent of a written Borrowing Request in a form approved by the Administrative Agent and signed by the Borrower.</w:t>
      </w:r>
    </w:p>
    <w:p>
      <w:pPr>
        <w:spacing w:after="0" w:line="69" w:lineRule="exact"/>
        <w:rPr>
          <w:rFonts w:ascii="Arial" w:cs="Arial" w:eastAsia="Arial" w:hAnsi="Arial"/>
          <w:sz w:val="17"/>
          <w:szCs w:val="17"/>
          <w:color w:val="auto"/>
        </w:rPr>
      </w:pPr>
    </w:p>
    <w:p>
      <w:pPr>
        <w:ind w:left="-440" w:right="760" w:firstLine="987"/>
        <w:spacing w:after="0" w:line="277" w:lineRule="auto"/>
        <w:tabs>
          <w:tab w:leader="none" w:pos="941"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Content of Borrowing Requests</w:t>
      </w:r>
      <w:r>
        <w:rPr>
          <w:rFonts w:ascii="Arial" w:cs="Arial" w:eastAsia="Arial" w:hAnsi="Arial"/>
          <w:sz w:val="18"/>
          <w:szCs w:val="18"/>
          <w:color w:val="auto"/>
        </w:rPr>
        <w:t xml:space="preserve">. Each telephonic and written Borrowing Request shall specify the following information in compliance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760" w:hanging="341"/>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such Borrowing is to be made under the Dollar Commitments or the Multicurrency Commitments;</w:t>
      </w:r>
    </w:p>
    <w:p>
      <w:pPr>
        <w:spacing w:after="0" w:line="117" w:lineRule="exact"/>
        <w:rPr>
          <w:rFonts w:ascii="Arial" w:cs="Arial" w:eastAsia="Arial" w:hAnsi="Arial"/>
          <w:sz w:val="18"/>
          <w:szCs w:val="18"/>
          <w:color w:val="auto"/>
        </w:rPr>
      </w:pPr>
    </w:p>
    <w:p>
      <w:pPr>
        <w:ind w:left="820" w:hanging="401"/>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aggregate amount and Currency of the requested Borrowing;</w:t>
      </w:r>
    </w:p>
    <w:p>
      <w:pPr>
        <w:spacing w:after="0" w:line="117" w:lineRule="exact"/>
        <w:rPr>
          <w:rFonts w:ascii="Arial" w:cs="Arial" w:eastAsia="Arial" w:hAnsi="Arial"/>
          <w:sz w:val="18"/>
          <w:szCs w:val="18"/>
          <w:color w:val="auto"/>
        </w:rPr>
      </w:pPr>
    </w:p>
    <w:p>
      <w:pPr>
        <w:ind w:left="860" w:hanging="441"/>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117" w:lineRule="exact"/>
        <w:rPr>
          <w:rFonts w:ascii="Arial" w:cs="Arial" w:eastAsia="Arial" w:hAnsi="Arial"/>
          <w:sz w:val="18"/>
          <w:szCs w:val="18"/>
          <w:color w:val="auto"/>
        </w:rPr>
      </w:pPr>
    </w:p>
    <w:p>
      <w:pPr>
        <w:ind w:left="860" w:hanging="441"/>
        <w:spacing w:after="0"/>
        <w:tabs>
          <w:tab w:leader="none" w:pos="8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the case of a Syndicated Borrowing denominated in Dollars, whether such Borrowing is to be an ABR Borrowing or a Eurocurrency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Borrowing;</w:t>
      </w:r>
    </w:p>
    <w:p>
      <w:pPr>
        <w:spacing w:after="0" w:line="102" w:lineRule="exact"/>
        <w:rPr>
          <w:rFonts w:ascii="Arial" w:cs="Arial" w:eastAsia="Arial" w:hAnsi="Arial"/>
          <w:sz w:val="16"/>
          <w:szCs w:val="16"/>
          <w:color w:val="auto"/>
        </w:rPr>
      </w:pPr>
    </w:p>
    <w:p>
      <w:pPr>
        <w:ind w:right="360" w:firstLine="419"/>
        <w:spacing w:after="0" w:line="277" w:lineRule="auto"/>
        <w:tabs>
          <w:tab w:leader="none" w:pos="813"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in the case of a Eurocurrency Borrowing, the Interest Period therefor, which shall be a period contemplated by the definition of the term “Interest Period” and permitted under </w:t>
      </w:r>
      <w:r>
        <w:rPr>
          <w:rFonts w:ascii="Arial" w:cs="Arial" w:eastAsia="Arial" w:hAnsi="Arial"/>
          <w:sz w:val="18"/>
          <w:szCs w:val="18"/>
          <w:u w:val="single" w:color="auto"/>
          <w:color w:val="auto"/>
        </w:rPr>
        <w:t>Section 2.02(d)</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right="240" w:firstLine="419"/>
        <w:spacing w:after="0" w:line="277" w:lineRule="auto"/>
        <w:tabs>
          <w:tab w:leader="none" w:pos="863"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location and number of the Borrower’s account to which funds are to be disbursed, which shall comply with the requirements of </w:t>
      </w:r>
      <w:r>
        <w:rPr>
          <w:rFonts w:ascii="Arial" w:cs="Arial" w:eastAsia="Arial" w:hAnsi="Arial"/>
          <w:sz w:val="18"/>
          <w:szCs w:val="18"/>
          <w:u w:val="single" w:color="auto"/>
          <w:color w:val="auto"/>
        </w:rPr>
        <w:t>Section 2.06</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right="320" w:firstLine="987"/>
        <w:spacing w:after="0" w:line="263" w:lineRule="auto"/>
        <w:tabs>
          <w:tab w:leader="none" w:pos="931"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Notice by the Administrative Agent to the Lenders</w:t>
      </w:r>
      <w:r>
        <w:rPr>
          <w:rFonts w:ascii="Arial" w:cs="Arial" w:eastAsia="Arial" w:hAnsi="Arial"/>
          <w:sz w:val="18"/>
          <w:szCs w:val="18"/>
          <w:color w:val="auto"/>
        </w:rPr>
        <w:t>. Promptly following receipt of a Borrowing Request in accordance with this Section, the Administrative Agent shall advise each applicable Lender of the details thereof and of the amounts of such Lender’s Loan to be made as part of the requested Borrowing.</w:t>
      </w:r>
    </w:p>
    <w:p>
      <w:pPr>
        <w:spacing w:after="0" w:line="116" w:lineRule="exact"/>
        <w:rPr>
          <w:sz w:val="20"/>
          <w:szCs w:val="20"/>
          <w:color w:val="auto"/>
        </w:rPr>
      </w:pPr>
    </w:p>
    <w:tbl>
      <w:tblPr>
        <w:tblLayout w:type="fixed"/>
        <w:tblInd w:w="504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41</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0580"/>
          </w:cols>
          <w:pgMar w:left="880" w:top="274" w:right="439" w:bottom="1440" w:gutter="0" w:footer="0" w:header="0"/>
        </w:sectPr>
      </w:pPr>
    </w:p>
    <w:bookmarkStart w:id="71" w:name="page72"/>
    <w:bookmarkEnd w:id="71"/>
    <w:p>
      <w:pPr>
        <w:ind w:left="-980" w:right="20" w:firstLine="987"/>
        <w:spacing w:after="0" w:line="270" w:lineRule="auto"/>
        <w:tabs>
          <w:tab w:leader="none" w:pos="401"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Failure to Elect</w:t>
      </w:r>
      <w:r>
        <w:rPr>
          <w:rFonts w:ascii="Arial" w:cs="Arial" w:eastAsia="Arial" w:hAnsi="Arial"/>
          <w:sz w:val="17"/>
          <w:szCs w:val="17"/>
          <w:color w:val="auto"/>
        </w:rPr>
        <w:t>. If no election as to the Class of a Syndicated Borrowing is specified, then the requested Syndicated Borrowing shall be deemed to be under the Multicurrency Commitments. If no election as to the Currency of a Syndicated Borrowing is specified, then the requested Syndicated Borrowing shall be denominated in Dollars. If no election as to the Type of a Syndicated Borrowing is specified, then the requested Borrowing shall be a Eurocurrency Borrowing having an Interest Period of one month and, if an Agreed Foreign Currency has been specified, the requested Syndicated Borrowing shall be a Eurocurrency Borrowing denominated in such Agreed Foreign Currency and having an Interest Period of one month. If a Eurocurrency Borrowing is requested but no Interest Period is specified, (i) if the Currency specified for such Borrowing is Dollars (or if no Currency has been so specified), the requested Borrowing shall be a Eurocurrency Borrowing denominated in Dollars having an Interest Period of one month’s duration, and (ii) if the Currency specified for such Borrowing is an Agreed Foreign Currency, the Borrower shall be deemed to have selected an Interest Period of one month’s duration.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Swingline Loans</w:t>
      </w:r>
      <w:r>
        <w:rPr>
          <w:rFonts w:ascii="Arial" w:cs="Arial" w:eastAsia="Arial" w:hAnsi="Arial"/>
          <w:sz w:val="18"/>
          <w:szCs w:val="18"/>
          <w:color w:val="auto"/>
        </w:rPr>
        <w:t>.</w:t>
      </w:r>
    </w:p>
    <w:p>
      <w:pPr>
        <w:spacing w:after="0" w:line="117" w:lineRule="exact"/>
        <w:rPr>
          <w:sz w:val="20"/>
          <w:szCs w:val="20"/>
          <w:color w:val="auto"/>
        </w:rPr>
      </w:pPr>
    </w:p>
    <w:p>
      <w:pPr>
        <w:ind w:left="-980" w:right="120" w:firstLine="987"/>
        <w:spacing w:after="0" w:line="253" w:lineRule="auto"/>
        <w:tabs>
          <w:tab w:leader="none" w:pos="39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Agreement to Make Swingline Loans</w:t>
      </w:r>
      <w:r>
        <w:rPr>
          <w:rFonts w:ascii="Arial" w:cs="Arial" w:eastAsia="Arial" w:hAnsi="Arial"/>
          <w:sz w:val="18"/>
          <w:szCs w:val="18"/>
          <w:color w:val="auto"/>
        </w:rPr>
        <w:t xml:space="preserve">. Subject to the terms and conditions set forth herein, the Swingline Lender agrees to make Swingline Loans under each Commitment to the Borrower from time to time during the Extended Availability Period in Dollars, in an aggregate principal amount at any time outstanding that will not result in (i) the aggregate principal amount of outstanding Swingline Loans of both Classes of Commitments exceeding $70,000,000, (ii) the total Revolving Dollar Credit Exposures of Dollar Lenders with Dollar Commitments then in effect exceeding the aggregate Dollar Commitments at such time, (iii) the total Revolving Multicurrency Credit Exposures of Multicurrency Lenders with Multicurrency Commitments then in effect exceeding the aggregate Multicurrency Commitments at such time or (iv) the total Covered Debt Amount exceeding the Borrowing Base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88" w:lineRule="exact"/>
        <w:rPr>
          <w:rFonts w:ascii="Arial" w:cs="Arial" w:eastAsia="Arial" w:hAnsi="Arial"/>
          <w:sz w:val="18"/>
          <w:szCs w:val="18"/>
          <w:color w:val="auto"/>
        </w:rPr>
      </w:pPr>
    </w:p>
    <w:p>
      <w:pPr>
        <w:ind w:left="-980" w:right="40" w:firstLine="987"/>
        <w:spacing w:after="0" w:line="272" w:lineRule="auto"/>
        <w:tabs>
          <w:tab w:leader="none" w:pos="401"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Notice of Swingline Loans by the Borrower</w:t>
      </w:r>
      <w:r>
        <w:rPr>
          <w:rFonts w:ascii="Arial" w:cs="Arial" w:eastAsia="Arial" w:hAnsi="Arial"/>
          <w:sz w:val="17"/>
          <w:szCs w:val="17"/>
          <w:color w:val="auto"/>
        </w:rPr>
        <w:t xml:space="preserve">. To request a Swingline Loan, the Borrower shall notify the Administrative Agent of such request by telephone (confirmed by telecopy) not later than 2:00 p.m., Atlanta, Georgia time, on the day of such proposed Swingline Loan. Each such notice shall be irrevocable and shall specify the requested date (which shall be a Business Day) and the amount of the requested Swingline Loan. The Administrative Agent will promptly advise the Swingline Lender of any such notice received from the Borrower. The Swingline Lender shall make each Swingline Loan available to the Borrower by means of a credit to the general deposit account of the Borrower with the Swingline Lender (or, in the case of a Swingline Loan made to finance the reimbursement of an LC Disbursement as provided in </w:t>
      </w:r>
      <w:r>
        <w:rPr>
          <w:rFonts w:ascii="Arial" w:cs="Arial" w:eastAsia="Arial" w:hAnsi="Arial"/>
          <w:sz w:val="17"/>
          <w:szCs w:val="17"/>
          <w:u w:val="single" w:color="auto"/>
          <w:color w:val="auto"/>
        </w:rPr>
        <w:t>Section 2.05(f)</w:t>
      </w:r>
      <w:r>
        <w:rPr>
          <w:rFonts w:ascii="Arial" w:cs="Arial" w:eastAsia="Arial" w:hAnsi="Arial"/>
          <w:sz w:val="17"/>
          <w:szCs w:val="17"/>
          <w:color w:val="auto"/>
        </w:rPr>
        <w:t>, by remittance to the Issuing Bank) by 3:00 p.m., Atlanta, Georgia time, on the requested date of such Swingline Loan.</w:t>
      </w:r>
    </w:p>
    <w:p>
      <w:pPr>
        <w:spacing w:after="0" w:line="69" w:lineRule="exact"/>
        <w:rPr>
          <w:rFonts w:ascii="Arial" w:cs="Arial" w:eastAsia="Arial" w:hAnsi="Arial"/>
          <w:sz w:val="17"/>
          <w:szCs w:val="17"/>
          <w:color w:val="auto"/>
        </w:rPr>
      </w:pPr>
    </w:p>
    <w:p>
      <w:pPr>
        <w:ind w:left="-980" w:right="280" w:firstLine="987"/>
        <w:spacing w:after="0" w:line="277" w:lineRule="auto"/>
        <w:tabs>
          <w:tab w:leader="none" w:pos="39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Participations by Lenders in Swingline Loans</w:t>
      </w:r>
      <w:r>
        <w:rPr>
          <w:rFonts w:ascii="Arial" w:cs="Arial" w:eastAsia="Arial" w:hAnsi="Arial"/>
          <w:sz w:val="18"/>
          <w:szCs w:val="18"/>
          <w:color w:val="auto"/>
        </w:rPr>
        <w:t>. The Swingline Lender may by written notice given to the Administrative Agent not later than 10:00 a.m., Atlanta, Georgia</w:t>
      </w:r>
    </w:p>
    <w:p>
      <w:pPr>
        <w:spacing w:after="0" w:line="103" w:lineRule="exact"/>
        <w:rPr>
          <w:sz w:val="20"/>
          <w:szCs w:val="20"/>
          <w:color w:val="auto"/>
        </w:rPr>
      </w:pPr>
    </w:p>
    <w:tbl>
      <w:tblPr>
        <w:tblLayout w:type="fixed"/>
        <w:tblInd w:w="450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42</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0040"/>
          </w:cols>
          <w:pgMar w:left="1420" w:top="274" w:right="439" w:bottom="1440" w:gutter="0" w:footer="0" w:header="0"/>
        </w:sectPr>
      </w:pPr>
    </w:p>
    <w:bookmarkStart w:id="72" w:name="page73"/>
    <w:bookmarkEnd w:id="72"/>
    <w:p>
      <w:pPr>
        <w:ind w:right="1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time on any Business Day, require the Lenders of the applicable Class (other than Non-Extending Lenders for which such Non-Extending Lender’s applicable Non-Extending Commitment Termination Date shall have occurred) to acquire participations on such Business Day in all or a portion of the Swingline Loans of such Class outstanding. Such notice to the Administrative Agent shall specify the aggregate amount of Swingline Loans in which the applicable Lenders will participate. Promptly upon receipt of such notice, the Administrative Agent will give notice thereof to each applicable Lender, specifying in such notice such Lender’s Applicable Percentage of such Swingline Loan or Loans. Each Lender hereby absolutely and unconditionally agrees, upon receipt of notice as provided above in this paragraph, to pay to the Administrative Agent, for account of the Swingline Lender, such Lender’s Applicable Percentage, as the case may be, of such Swingline Loan or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be required to purchase a participation in a Swingline Loan pursuant to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if (x)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would not be satisfied in respect of a Borrowing at the time such Swingline Loan was made and (y) the Required Lenders of the respective Class shall have so notified the Swingline Lender in writing and shall not have subsequently determined that the circumstances giving rise to such conditions not being satisfied no longer exist.</w:t>
      </w:r>
    </w:p>
    <w:p>
      <w:pPr>
        <w:spacing w:after="0" w:line="182" w:lineRule="exact"/>
        <w:rPr>
          <w:sz w:val="20"/>
          <w:szCs w:val="20"/>
          <w:color w:val="auto"/>
        </w:rPr>
      </w:pPr>
    </w:p>
    <w:p>
      <w:pPr>
        <w:ind w:right="20" w:firstLine="991"/>
        <w:spacing w:after="0" w:line="268" w:lineRule="auto"/>
        <w:rPr>
          <w:sz w:val="20"/>
          <w:szCs w:val="20"/>
          <w:color w:val="auto"/>
        </w:rPr>
      </w:pPr>
      <w:r>
        <w:rPr>
          <w:rFonts w:ascii="Arial" w:cs="Arial" w:eastAsia="Arial" w:hAnsi="Arial"/>
          <w:sz w:val="17"/>
          <w:szCs w:val="17"/>
          <w:color w:val="auto"/>
        </w:rPr>
        <w:t xml:space="preserve">Subject to the foregoing, each Lender acknowledges and agrees that its obligation to acquire participations in Swingline Loans pursuant to this </w:t>
      </w:r>
      <w:r>
        <w:rPr>
          <w:rFonts w:ascii="Arial" w:cs="Arial" w:eastAsia="Arial" w:hAnsi="Arial"/>
          <w:sz w:val="17"/>
          <w:szCs w:val="17"/>
          <w:u w:val="single" w:color="auto"/>
          <w:color w:val="auto"/>
        </w:rPr>
        <w:t>paragraph (c)</w:t>
      </w:r>
      <w:r>
        <w:rPr>
          <w:rFonts w:ascii="Arial" w:cs="Arial" w:eastAsia="Arial" w:hAnsi="Arial"/>
          <w:sz w:val="17"/>
          <w:szCs w:val="17"/>
          <w:color w:val="auto"/>
        </w:rPr>
        <w:t xml:space="preserve"> is absolute and unconditional and shall not be affected by any circumstance whatsoever, including the occurrence and continuance of a Default or reduction or termination of the Commitments of the respective Class,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with respect to Loans made by such Lender (and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shall apply, </w:t>
      </w:r>
      <w:r>
        <w:rPr>
          <w:rFonts w:ascii="Arial" w:cs="Arial" w:eastAsia="Arial" w:hAnsi="Arial"/>
          <w:sz w:val="17"/>
          <w:szCs w:val="17"/>
          <w:u w:val="single" w:color="auto"/>
          <w:color w:val="auto"/>
        </w:rPr>
        <w:t>mutatis</w:t>
      </w:r>
      <w:r>
        <w:rPr>
          <w:rFonts w:ascii="Arial" w:cs="Arial" w:eastAsia="Arial" w:hAnsi="Arial"/>
          <w:sz w:val="17"/>
          <w:szCs w:val="17"/>
          <w:color w:val="auto"/>
        </w:rPr>
        <w:t xml:space="preserve"> </w:t>
      </w:r>
      <w:r>
        <w:rPr>
          <w:rFonts w:ascii="Arial" w:cs="Arial" w:eastAsia="Arial" w:hAnsi="Arial"/>
          <w:sz w:val="17"/>
          <w:szCs w:val="17"/>
          <w:u w:val="single" w:color="auto"/>
          <w:color w:val="auto"/>
        </w:rPr>
        <w:t>mutandis</w:t>
      </w:r>
      <w:r>
        <w:rPr>
          <w:rFonts w:ascii="Arial" w:cs="Arial" w:eastAsia="Arial" w:hAnsi="Arial"/>
          <w:sz w:val="17"/>
          <w:szCs w:val="17"/>
          <w:color w:val="auto"/>
        </w:rPr>
        <w:t>,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The purchase of participations in a Swingline Loan pursuant to this paragraph shall not relieve the Borrower of any default in the payment thereof.</w:t>
      </w:r>
    </w:p>
    <w:p>
      <w:pPr>
        <w:spacing w:after="0" w:line="78" w:lineRule="exact"/>
        <w:rPr>
          <w:sz w:val="20"/>
          <w:szCs w:val="20"/>
          <w:color w:val="auto"/>
        </w:rPr>
      </w:pPr>
    </w:p>
    <w:p>
      <w:pPr>
        <w:ind w:right="140" w:firstLine="987"/>
        <w:spacing w:after="0" w:line="273" w:lineRule="auto"/>
        <w:tabs>
          <w:tab w:leader="none" w:pos="1381"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Resignation and Replacement of Swingline Lender</w:t>
      </w:r>
      <w:r>
        <w:rPr>
          <w:rFonts w:ascii="Arial" w:cs="Arial" w:eastAsia="Arial" w:hAnsi="Arial"/>
          <w:sz w:val="17"/>
          <w:szCs w:val="17"/>
          <w:color w:val="auto"/>
        </w:rPr>
        <w:t xml:space="preserve">. The Swingline Lender may resign and be replaced at any time by written agreement among the Borrower, the Administrative Agent, the resigning Swingline Lender and the successor Swingline Lender. The Administrative Agent shall notify the Lenders of any such resignation and replacement of the Swingline Lender. In addition to the foregoing, if a Lender becomes, and during the period it remains, a Defaulting Lender, and if any Default has arisen from a failure of the Borrower to comply with </w:t>
      </w:r>
      <w:r>
        <w:rPr>
          <w:rFonts w:ascii="Arial" w:cs="Arial" w:eastAsia="Arial" w:hAnsi="Arial"/>
          <w:sz w:val="17"/>
          <w:szCs w:val="17"/>
          <w:u w:val="single" w:color="auto"/>
          <w:color w:val="auto"/>
        </w:rPr>
        <w:t>Section 2.19(a)</w:t>
      </w:r>
      <w:r>
        <w:rPr>
          <w:rFonts w:ascii="Arial" w:cs="Arial" w:eastAsia="Arial" w:hAnsi="Arial"/>
          <w:sz w:val="17"/>
          <w:szCs w:val="17"/>
          <w:color w:val="auto"/>
        </w:rPr>
        <w:t>, then the Swingline Lender may, upon prior written notice to the Borrower and the Administrative Agent, resign as Swingline Lender, effective at the close of business Atlanta, Georgia time on a date specified in such notice (which date may not be less than</w:t>
      </w:r>
    </w:p>
    <w:p>
      <w:pPr>
        <w:spacing w:after="0" w:line="110"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43</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73" w:name="page74"/>
    <w:bookmarkEnd w:id="73"/>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five (5) Business Days after the date of such notice). On or after the effective date of any such resignation, the Borrower and the Administrative Agent may, by written agreement, appoint a successor Swingline Lender. The Administrative Agent shall notify the Lenders of any such appointment of a successor Swingline Lender. Upon the effectiveness of any resignation of the Swingline Lender, the Borrower shall repay in full all outstanding Swingline Loans together with all accrued interest thereon. From and after the effective date of the appointment of a successor Swingline Lender, (i) the successor Swingline Lender shall have all the rights and obligations of the replaced Swingline Lender under this Agreement with respect to Swingline Loans to be made thereafter and (ii)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have no obligation to make additional Swingline Loans.</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96" w:lineRule="auto"/>
        <w:tabs>
          <w:tab w:leader="none" w:pos="1371"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Subject to the terms and conditions set forth herein, in addition to the Loans provided for in </w:t>
      </w:r>
      <w:r>
        <w:rPr>
          <w:rFonts w:ascii="Arial" w:cs="Arial" w:eastAsia="Arial" w:hAnsi="Arial"/>
          <w:sz w:val="16"/>
          <w:szCs w:val="16"/>
          <w:u w:val="single" w:color="auto"/>
          <w:color w:val="auto"/>
        </w:rPr>
        <w:t>Section 2.01</w:t>
      </w:r>
      <w:r>
        <w:rPr>
          <w:rFonts w:ascii="Arial" w:cs="Arial" w:eastAsia="Arial" w:hAnsi="Arial"/>
          <w:sz w:val="16"/>
          <w:szCs w:val="16"/>
          <w:color w:val="auto"/>
        </w:rPr>
        <w:t>, the Borrower may request the Issuing Bank to issue, at any time and from time to time during the Extended Availability Period and under either the Dollar Commitments or Multicurrency Commitments, Letters of Credit denominated in Dollars or (in the case of Letters of Credit under the Multicurrency Commitments) in any Agreed Foreign Currency for its own account in such form as is acceptable to the Issuing Bank in its reasonable determination. Letters of Credit issued hereunder shall constitute utilization of the Commitments up to the aggregate amount available to be drawn thereunder.</w:t>
      </w:r>
    </w:p>
    <w:p>
      <w:pPr>
        <w:spacing w:after="0" w:line="53" w:lineRule="exact"/>
        <w:rPr>
          <w:rFonts w:ascii="Arial" w:cs="Arial" w:eastAsia="Arial" w:hAnsi="Arial"/>
          <w:sz w:val="16"/>
          <w:szCs w:val="16"/>
          <w:color w:val="auto"/>
        </w:rPr>
      </w:pPr>
    </w:p>
    <w:p>
      <w:pPr>
        <w:ind w:right="100" w:firstLine="987"/>
        <w:spacing w:after="0" w:line="269" w:lineRule="auto"/>
        <w:tabs>
          <w:tab w:leader="none" w:pos="1381"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Notice of Issuance, Amendment, Renewal or Extension</w:t>
      </w:r>
      <w:r>
        <w:rPr>
          <w:rFonts w:ascii="Arial" w:cs="Arial" w:eastAsia="Arial" w:hAnsi="Arial"/>
          <w:sz w:val="17"/>
          <w:szCs w:val="17"/>
          <w:color w:val="auto"/>
        </w:rPr>
        <w:t xml:space="preserve">. To request the issuance of a Letter of Credit (or the amendment, renewal or extension of an outstanding Letter of Credit), the Borrower shall hand deliver or telecopy (or transmit by electronic communication, if arrangements for doing so have been approved by the Issuing Bank) to the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7"/>
          <w:szCs w:val="17"/>
          <w:u w:val="single" w:color="auto"/>
          <w:color w:val="auto"/>
        </w:rPr>
        <w:t>paragraph (d)</w:t>
      </w:r>
      <w:r>
        <w:rPr>
          <w:rFonts w:ascii="Arial" w:cs="Arial" w:eastAsia="Arial" w:hAnsi="Arial"/>
          <w:sz w:val="17"/>
          <w:szCs w:val="17"/>
          <w:color w:val="auto"/>
        </w:rPr>
        <w:t xml:space="preserve"> of this Section), the amount and Currency of such Letter of Credit, whether such Letter of Credit is to be issued under the Dollar Commitments or the Multicurrency Commitments, the name and address of the beneficiary thereof and such other information as shall be necessary to prepare, amend, renew or extend such Letter of Credit. If requested by the Issuing Bank, the Borrower also shall submit a letter of credit application on the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the Issuing Bank relating to any Letter of Credit, the terms and conditions of this Agreement shall control.</w:t>
      </w:r>
    </w:p>
    <w:p>
      <w:pPr>
        <w:spacing w:after="0" w:line="70" w:lineRule="exact"/>
        <w:rPr>
          <w:rFonts w:ascii="Arial" w:cs="Arial" w:eastAsia="Arial" w:hAnsi="Arial"/>
          <w:sz w:val="17"/>
          <w:szCs w:val="17"/>
          <w:color w:val="auto"/>
        </w:rPr>
      </w:pPr>
    </w:p>
    <w:p>
      <w:pPr>
        <w:ind w:right="160" w:firstLine="987"/>
        <w:spacing w:after="0" w:line="342" w:lineRule="auto"/>
        <w:tabs>
          <w:tab w:leader="none" w:pos="1371"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Limitations on Amounts</w:t>
      </w:r>
      <w:r>
        <w:rPr>
          <w:rFonts w:ascii="Arial" w:cs="Arial" w:eastAsia="Arial" w:hAnsi="Arial"/>
          <w:sz w:val="16"/>
          <w:szCs w:val="16"/>
          <w:color w:val="auto"/>
        </w:rPr>
        <w:t>. A Letter of Credit shall be issued, amended, renewed or extended only if (and upon issuance, amendment, renewal or extension of each Letter of Credit the Borrower shall be deemed to represent and warrant that), after giving effect to such</w:t>
      </w:r>
    </w:p>
    <w:p>
      <w:pPr>
        <w:spacing w:after="0" w:line="56"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44</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74" w:name="page75"/>
    <w:bookmarkEnd w:id="74"/>
    <w:p>
      <w:pPr>
        <w:ind w:right="2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issuance, amendment, renewal or extension (i) the aggregate LC Exposure of the Issuing Bank (determined for these purposes without giving effect to the participations therein of the Lenders pursuant to </w:t>
      </w:r>
      <w:r>
        <w:rPr>
          <w:rFonts w:ascii="Arial" w:cs="Arial" w:eastAsia="Arial" w:hAnsi="Arial"/>
          <w:sz w:val="16"/>
          <w:szCs w:val="16"/>
          <w:u w:val="single" w:color="auto"/>
          <w:color w:val="auto"/>
        </w:rPr>
        <w:t>paragraph (e)</w:t>
      </w:r>
      <w:r>
        <w:rPr>
          <w:rFonts w:ascii="Arial" w:cs="Arial" w:eastAsia="Arial" w:hAnsi="Arial"/>
          <w:sz w:val="16"/>
          <w:szCs w:val="16"/>
          <w:color w:val="auto"/>
        </w:rPr>
        <w:t xml:space="preserve"> of this Section) shall not exceed $50,000,000; (ii) the total Revolving Dollar Credit Exposure of Dollar Lenders with Dollar Commitments then in effect shall not exceed the aggregate Dollar Commitments at such time; (iii) the total Revolving Multicurrency Credit Exposure of Multicurrency Lenders with Multicurrency Commitments then in effect shall not exceed the aggregate Multicurrency Commitments at such time; and (iv) the total Covered Debt Amount shall not exceed the Borrowing Base then in effect.</w:t>
      </w:r>
    </w:p>
    <w:p>
      <w:pPr>
        <w:spacing w:after="0" w:line="53" w:lineRule="exact"/>
        <w:rPr>
          <w:sz w:val="20"/>
          <w:szCs w:val="20"/>
          <w:color w:val="auto"/>
        </w:rPr>
      </w:pPr>
    </w:p>
    <w:p>
      <w:pPr>
        <w:ind w:right="100" w:firstLine="987"/>
        <w:spacing w:after="0" w:line="291" w:lineRule="auto"/>
        <w:tabs>
          <w:tab w:leader="none" w:pos="1381"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Expiration Date</w:t>
      </w:r>
      <w:r>
        <w:rPr>
          <w:rFonts w:ascii="Arial" w:cs="Arial" w:eastAsia="Arial" w:hAnsi="Arial"/>
          <w:sz w:val="16"/>
          <w:szCs w:val="16"/>
          <w:color w:val="auto"/>
        </w:rPr>
        <w:t xml:space="preserve">.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Letter of Credit with a one-year term may provide for the renewal thereof for additional one-year periods. No Letter of Credit may be renewed following the earlier to occur of the Extended Commitment Termination Date and the Termination Date, except to the extent that the relevant Letter of Credit is Cash Collateralized no later than five (5) Business Days prior to the Extended Commitment Termination Date or Termination Date, as applicable, or supported by another letter of credit, in each case pursuant to arrangements reasonably satisfactory to the Issuing Bank and the Administrative Agent.</w:t>
      </w:r>
    </w:p>
    <w:p>
      <w:pPr>
        <w:spacing w:after="0" w:line="58" w:lineRule="exact"/>
        <w:rPr>
          <w:rFonts w:ascii="Arial" w:cs="Arial" w:eastAsia="Arial" w:hAnsi="Arial"/>
          <w:sz w:val="16"/>
          <w:szCs w:val="16"/>
          <w:color w:val="auto"/>
        </w:rPr>
      </w:pPr>
    </w:p>
    <w:p>
      <w:pPr>
        <w:ind w:left="1360" w:hanging="373"/>
        <w:spacing w:after="0"/>
        <w:tabs>
          <w:tab w:leader="none" w:pos="136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By the issuance of a Letter of Credit of a Class (or an amendment to a Letter of Credit increasing the amount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thereof) by the Issuing Bank, and without any further action on the part of the Issuing Bank or the Lenders, the Issuing Bank hereby grants to each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Lender (other than any Non-Extending Lender for which such Non-Extending Lender’s applicable Non-Extending Commitment Termination Date has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occurred) of such Class, and each Lender of such Class hereby acquires from the Issuing Bank, a participation in such Letter of Credit equal to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Lender’s Applicable Dollar Percentage or Applicable Multicurrency Percentage, as the case may be, of the aggregate amount available to be drawn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such Letter of Credit. Each Lender acknowledges and agrees that its obligation to acquire participations pursuant to this paragraph in respect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Letters of Credit is absolute and unconditional and shall not be affected by any circumstance whatsoever, including any amendment, renewal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extension of any Letter of Credit or the occurrence and continuance of a Default or reduction or termination of the applicable Commitments; </w:t>
      </w:r>
      <w:r>
        <w:rPr>
          <w:rFonts w:ascii="Arial" w:cs="Arial" w:eastAsia="Arial" w:hAnsi="Arial"/>
          <w:sz w:val="16"/>
          <w:szCs w:val="16"/>
          <w:u w:val="single" w:color="auto"/>
          <w:color w:val="auto"/>
        </w:rPr>
        <w:t>provided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that no Lender shall be required to purchase a participation in a Letter of Credit pursuant to this </w:t>
      </w:r>
      <w:r>
        <w:rPr>
          <w:rFonts w:ascii="Arial" w:cs="Arial" w:eastAsia="Arial" w:hAnsi="Arial"/>
          <w:sz w:val="17"/>
          <w:szCs w:val="17"/>
          <w:u w:val="single" w:color="auto"/>
          <w:color w:val="auto"/>
        </w:rPr>
        <w:t>Section 2.05(e)</w:t>
      </w:r>
      <w:r>
        <w:rPr>
          <w:rFonts w:ascii="Arial" w:cs="Arial" w:eastAsia="Arial" w:hAnsi="Arial"/>
          <w:sz w:val="17"/>
          <w:szCs w:val="17"/>
          <w:color w:val="auto"/>
        </w:rPr>
        <w:t xml:space="preserve"> if (x) the conditions set forth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would not be satisfied in respect of a Borrowing at the time such Letter of Credit was issued and (y) the Required Lenders of the respective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shall have so notified the Issuing Bank in writing and shall not have subsequently determined that the circumstances giving rise to such conditions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being satisfied no longer exist.</w:t>
      </w:r>
    </w:p>
    <w:p>
      <w:pPr>
        <w:spacing w:after="0" w:line="211" w:lineRule="exact"/>
        <w:rPr>
          <w:sz w:val="20"/>
          <w:szCs w:val="20"/>
          <w:color w:val="auto"/>
        </w:rPr>
      </w:pPr>
    </w:p>
    <w:p>
      <w:pPr>
        <w:ind w:right="180" w:firstLine="991"/>
        <w:spacing w:after="0" w:line="257" w:lineRule="auto"/>
        <w:rPr>
          <w:sz w:val="20"/>
          <w:szCs w:val="20"/>
          <w:color w:val="auto"/>
        </w:rPr>
      </w:pPr>
      <w:r>
        <w:rPr>
          <w:rFonts w:ascii="Arial" w:cs="Arial" w:eastAsia="Arial" w:hAnsi="Arial"/>
          <w:sz w:val="18"/>
          <w:szCs w:val="18"/>
          <w:color w:val="auto"/>
        </w:rPr>
        <w:t>In consideration and in furtherance of the foregoing, each Lender of a Class (other than any Non-Extending Lender for which such Non-Extending Lender’s applicable Non-Extending Commitment Termination Date has occurred) hereby absolutely and unconditionally agrees to pay to the Administrative Agent, for account of the Issuing Bank, such Lender’s Applicable Dollar Percentage or Applicable Multicurrency Percentage, as the case may be, of each LC Disbursement made by the Issuing Bank in respect of Letters of Credit of such Class promptly upon the request of the Issuing Bank at any time from the time of such LC Disbursement until such</w:t>
      </w:r>
    </w:p>
    <w:p>
      <w:pPr>
        <w:spacing w:after="0" w:line="120"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45</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75" w:name="page76"/>
    <w:bookmarkEnd w:id="75"/>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LC Disbursement is reimbursed by the Borrower or at any time after any reimbursement payment is required to be refunded to the Borrower for any reason. Such payment shall be made without any offset, abatement, withholding or reduction whatsoever. Each such payment shall be made in the same manner as provided in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with respect to Loans made by such Lender (and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shall apply, </w:t>
      </w:r>
      <w:r>
        <w:rPr>
          <w:rFonts w:ascii="Arial" w:cs="Arial" w:eastAsia="Arial" w:hAnsi="Arial"/>
          <w:sz w:val="18"/>
          <w:szCs w:val="18"/>
          <w:u w:val="single" w:color="auto"/>
          <w:color w:val="auto"/>
        </w:rPr>
        <w:t>mutatis mutandis</w:t>
      </w:r>
      <w:r>
        <w:rPr>
          <w:rFonts w:ascii="Arial" w:cs="Arial" w:eastAsia="Arial" w:hAnsi="Arial"/>
          <w:sz w:val="18"/>
          <w:szCs w:val="18"/>
          <w:color w:val="auto"/>
        </w:rPr>
        <w:t>, to the payment obligations of the Lenders), and the Administrative Agent shall promptly pay to the Issuing Bank the amounts so received by it from the Lenders. Promptly following receipt by the Administrative Agent of any payment from the Borrower pursuant to the next following paragraph, the Administrative Agent shall distribute such payment to the Issuing Bank or, to the extent that the Lenders have made payments pursuant to this paragraph to reimburse the Issuing Bank, then to such Lenders and the Issuing Bank as their interests may appear. Any payment made by a Lender pursuant to this paragraph to reimburse the Issuing Bank for any LC Disbursement shall not constitute a Loan and shall not relieve the Borrower of its obligation to reimburse such LC Disbursement.</w:t>
      </w:r>
    </w:p>
    <w:p>
      <w:pPr>
        <w:spacing w:after="0" w:line="88" w:lineRule="exact"/>
        <w:rPr>
          <w:sz w:val="20"/>
          <w:szCs w:val="20"/>
          <w:color w:val="auto"/>
        </w:rPr>
      </w:pPr>
    </w:p>
    <w:p>
      <w:pPr>
        <w:ind w:right="60" w:firstLine="987"/>
        <w:spacing w:after="0" w:line="290" w:lineRule="auto"/>
        <w:tabs>
          <w:tab w:leader="none" w:pos="1351"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Reimbursement</w:t>
      </w:r>
      <w:r>
        <w:rPr>
          <w:rFonts w:ascii="Arial" w:cs="Arial" w:eastAsia="Arial" w:hAnsi="Arial"/>
          <w:sz w:val="16"/>
          <w:szCs w:val="16"/>
          <w:color w:val="auto"/>
        </w:rPr>
        <w:t xml:space="preserve">. If the Issuing Bank shall make any LC Disbursement in respect of a Letter of Credit, the Borrower shall reimburse the Issuing Bank in respect of such LC Disbursement by paying to the Administrative Agent an amount equal to such LC Disbursement not later than 11:00 a.m., Atlanta, Georgia time, on (i) the Business Day that the Borrower receives notice of such LC Disbursement, if such notice is received prior to 10:00 a.m., Atlanta, Georgia time, or (ii) the Business Day immediately following the day that the Borrower receives such notice, if such notice is not received prior to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LC Disbursement is not less than $1,000,000 and is denominated in Dollars, the Borrower may, subject to the conditions to borrowing set forth herein, request in accordance with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2.04</w:t>
      </w:r>
      <w:r>
        <w:rPr>
          <w:rFonts w:ascii="Arial" w:cs="Arial" w:eastAsia="Arial" w:hAnsi="Arial"/>
          <w:sz w:val="16"/>
          <w:szCs w:val="16"/>
          <w:color w:val="auto"/>
        </w:rPr>
        <w:t xml:space="preserve"> that such payment be financed with a Syndicated ABR Borrowing or a Swingline Loan of the respective Class in an equivalent amount and, to the extent so financed, the Borrower’s obligation to make such payment shall be discharged and replaced by the resulting Syndicated ABR Borrowing or Swingline Loan.</w:t>
      </w:r>
    </w:p>
    <w:p>
      <w:pPr>
        <w:spacing w:after="0" w:line="165"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If the Borrower fails to make such payment when due, the Administrative Agent shall notify each applicable Lender with a Commitment then in effect of the applicable LC Disbursement, the payment then due from the Borrower in respect thereof and such Lender’s Applicable Dollar Percentage or Applicable Multicurrency Percentage, as the case may be, thereof.</w:t>
      </w:r>
    </w:p>
    <w:p>
      <w:pPr>
        <w:spacing w:after="0" w:line="76" w:lineRule="exact"/>
        <w:rPr>
          <w:sz w:val="20"/>
          <w:szCs w:val="20"/>
          <w:color w:val="auto"/>
        </w:rPr>
      </w:pPr>
    </w:p>
    <w:p>
      <w:pPr>
        <w:ind w:right="20" w:firstLine="987"/>
        <w:spacing w:after="0" w:line="291" w:lineRule="auto"/>
        <w:tabs>
          <w:tab w:leader="none" w:pos="1381"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xml:space="preserve">. The Borrower’s obligation to reimburse LC Disbursements as provided in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 (iii) payment by the Issuing Bank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w:t>
      </w:r>
    </w:p>
    <w:p>
      <w:pPr>
        <w:spacing w:after="0" w:line="166" w:lineRule="exact"/>
        <w:rPr>
          <w:sz w:val="20"/>
          <w:szCs w:val="20"/>
          <w:color w:val="auto"/>
        </w:rPr>
      </w:pPr>
    </w:p>
    <w:p>
      <w:pPr>
        <w:ind w:right="900" w:firstLine="991"/>
        <w:spacing w:after="0" w:line="277" w:lineRule="auto"/>
        <w:rPr>
          <w:sz w:val="20"/>
          <w:szCs w:val="20"/>
          <w:color w:val="auto"/>
        </w:rPr>
      </w:pPr>
      <w:r>
        <w:rPr>
          <w:rFonts w:ascii="Arial" w:cs="Arial" w:eastAsia="Arial" w:hAnsi="Arial"/>
          <w:sz w:val="18"/>
          <w:szCs w:val="18"/>
          <w:color w:val="auto"/>
        </w:rPr>
        <w:t>Neither the Administrative Agent, the Lenders nor the Issuing Bank, nor any of their Related Parties, shall have any liability or responsibility by reason of or in connection with</w:t>
      </w:r>
    </w:p>
    <w:p>
      <w:pPr>
        <w:spacing w:after="0" w:line="103"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46</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76" w:name="page77"/>
    <w:bookmarkEnd w:id="76"/>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issuance or transfer of any Letter of Credit by the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be construed to excuse the Issuing Bank from liability to the Borrower to the extent of any direct damages (as opposed to consequential damages, claims in respect of which are hereby waived by the Borrower to the extent permitted by applicable law) suffered by the Borrower that are caused by the Issuing Bank’s gross negligence or willful misconduct when determining whether drafts and other documents presented under a Letter of Credit comply with the terms thereof. The parties hereto expressly agree that:</w:t>
      </w:r>
    </w:p>
    <w:p>
      <w:pPr>
        <w:spacing w:after="0" w:line="70" w:lineRule="exact"/>
        <w:rPr>
          <w:sz w:val="20"/>
          <w:szCs w:val="20"/>
          <w:color w:val="auto"/>
        </w:rPr>
      </w:pPr>
    </w:p>
    <w:p>
      <w:pPr>
        <w:ind w:left="440" w:right="140" w:firstLine="419"/>
        <w:spacing w:after="0" w:line="286" w:lineRule="auto"/>
        <w:tabs>
          <w:tab w:leader="none" w:pos="1213"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Issuing Bank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57" w:lineRule="exact"/>
        <w:rPr>
          <w:rFonts w:ascii="Arial" w:cs="Arial" w:eastAsia="Arial" w:hAnsi="Arial"/>
          <w:sz w:val="17"/>
          <w:szCs w:val="17"/>
          <w:color w:val="auto"/>
        </w:rPr>
      </w:pPr>
    </w:p>
    <w:p>
      <w:pPr>
        <w:ind w:left="440" w:right="420" w:firstLine="419"/>
        <w:spacing w:after="0" w:line="277" w:lineRule="auto"/>
        <w:tabs>
          <w:tab w:leader="none" w:pos="126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Issuing Bank shall have the right, in its sole discretion, to decline to accept such documents and to make such payment if such documents are not in strict compliance with the terms of such Letter of Credit; and</w:t>
      </w:r>
    </w:p>
    <w:p>
      <w:pPr>
        <w:spacing w:after="0" w:line="62" w:lineRule="exact"/>
        <w:rPr>
          <w:rFonts w:ascii="Arial" w:cs="Arial" w:eastAsia="Arial" w:hAnsi="Arial"/>
          <w:sz w:val="18"/>
          <w:szCs w:val="18"/>
          <w:color w:val="auto"/>
        </w:rPr>
      </w:pPr>
    </w:p>
    <w:p>
      <w:pPr>
        <w:jc w:val="both"/>
        <w:ind w:left="440" w:right="520" w:firstLine="419"/>
        <w:spacing w:after="0" w:line="263" w:lineRule="auto"/>
        <w:tabs>
          <w:tab w:leader="none" w:pos="131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sentence shall establish the standard of care to be exercised by the Issuing Bank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75" w:lineRule="exact"/>
        <w:rPr>
          <w:rFonts w:ascii="Arial" w:cs="Arial" w:eastAsia="Arial" w:hAnsi="Arial"/>
          <w:sz w:val="18"/>
          <w:szCs w:val="18"/>
          <w:color w:val="auto"/>
        </w:rPr>
      </w:pPr>
    </w:p>
    <w:p>
      <w:pPr>
        <w:ind w:right="200" w:firstLine="987"/>
        <w:spacing w:after="0" w:line="275" w:lineRule="auto"/>
        <w:tabs>
          <w:tab w:leader="none" w:pos="1381"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Disbursement Procedures</w:t>
      </w:r>
      <w:r>
        <w:rPr>
          <w:rFonts w:ascii="Arial" w:cs="Arial" w:eastAsia="Arial" w:hAnsi="Arial"/>
          <w:sz w:val="17"/>
          <w:szCs w:val="17"/>
          <w:color w:val="auto"/>
        </w:rPr>
        <w:t xml:space="preserve">. The Issuing Bank shall, within a reasonable time following its receipt thereof, examine all documents purporting to represent a demand for payment under a Letter of Credit. The Issuing Bank shall promptly after such examination notify the Administrative Agent and the Borrower by telephone (confirmed by telecopy) of such demand for payment and whether the Issuing Bank has made or will make an LC Disbursement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failure to give or delay in giving such notice shall not relieve the Borrower of its obligation to reimburse the Issuing Bank and the applicable Lenders with respect to any such LC Disbursement.</w:t>
      </w:r>
    </w:p>
    <w:p>
      <w:pPr>
        <w:spacing w:after="0" w:line="68" w:lineRule="exact"/>
        <w:rPr>
          <w:rFonts w:ascii="Arial" w:cs="Arial" w:eastAsia="Arial" w:hAnsi="Arial"/>
          <w:sz w:val="17"/>
          <w:szCs w:val="17"/>
          <w:color w:val="auto"/>
        </w:rPr>
      </w:pPr>
    </w:p>
    <w:p>
      <w:pPr>
        <w:ind w:right="60" w:firstLine="987"/>
        <w:spacing w:after="0" w:line="272" w:lineRule="auto"/>
        <w:tabs>
          <w:tab w:leader="none" w:pos="1341"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Interim Interest</w:t>
      </w:r>
      <w:r>
        <w:rPr>
          <w:rFonts w:ascii="Arial" w:cs="Arial" w:eastAsia="Arial" w:hAnsi="Arial"/>
          <w:sz w:val="17"/>
          <w:szCs w:val="17"/>
          <w:color w:val="auto"/>
        </w:rPr>
        <w:t xml:space="preserve">. If the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Syndicated ABR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fails to reimburse such LC Disbursement within two Business Days following the date when due pursuant to </w:t>
      </w:r>
      <w:r>
        <w:rPr>
          <w:rFonts w:ascii="Arial" w:cs="Arial" w:eastAsia="Arial" w:hAnsi="Arial"/>
          <w:sz w:val="17"/>
          <w:szCs w:val="17"/>
          <w:u w:val="single" w:color="auto"/>
          <w:color w:val="auto"/>
        </w:rPr>
        <w:t>paragraph (f)</w:t>
      </w:r>
      <w:r>
        <w:rPr>
          <w:rFonts w:ascii="Arial" w:cs="Arial" w:eastAsia="Arial" w:hAnsi="Arial"/>
          <w:sz w:val="17"/>
          <w:szCs w:val="17"/>
          <w:color w:val="auto"/>
        </w:rPr>
        <w:t xml:space="preserve"> of this Section, then the provisions of </w:t>
      </w:r>
      <w:r>
        <w:rPr>
          <w:rFonts w:ascii="Arial" w:cs="Arial" w:eastAsia="Arial" w:hAnsi="Arial"/>
          <w:sz w:val="17"/>
          <w:szCs w:val="17"/>
          <w:u w:val="single" w:color="auto"/>
          <w:color w:val="auto"/>
        </w:rPr>
        <w:t>Section 2.12(c)</w:t>
      </w:r>
      <w:r>
        <w:rPr>
          <w:rFonts w:ascii="Arial" w:cs="Arial" w:eastAsia="Arial" w:hAnsi="Arial"/>
          <w:sz w:val="17"/>
          <w:szCs w:val="17"/>
          <w:color w:val="auto"/>
        </w:rPr>
        <w:t xml:space="preserve"> shall apply. Interest accrued pursuant to this paragraph shall be for account of the Issuing Bank, except that interest accrued on and after the date of payment by any Lender pursuant to </w:t>
      </w:r>
      <w:r>
        <w:rPr>
          <w:rFonts w:ascii="Arial" w:cs="Arial" w:eastAsia="Arial" w:hAnsi="Arial"/>
          <w:sz w:val="17"/>
          <w:szCs w:val="17"/>
          <w:u w:val="single" w:color="auto"/>
          <w:color w:val="auto"/>
        </w:rPr>
        <w:t>paragraph (f)</w:t>
      </w:r>
      <w:r>
        <w:rPr>
          <w:rFonts w:ascii="Arial" w:cs="Arial" w:eastAsia="Arial" w:hAnsi="Arial"/>
          <w:sz w:val="17"/>
          <w:szCs w:val="17"/>
          <w:color w:val="auto"/>
        </w:rPr>
        <w:t xml:space="preserve"> of this Section to reimburse the Issuing Bank shall be for account of such Lender to the extent of such payment.</w:t>
      </w:r>
    </w:p>
    <w:p>
      <w:pPr>
        <w:spacing w:after="0" w:line="110"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47</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77" w:name="page78"/>
    <w:bookmarkEnd w:id="77"/>
    <w:p>
      <w:pPr>
        <w:ind w:left="-980" w:right="40" w:firstLine="987"/>
        <w:spacing w:after="0" w:line="288" w:lineRule="auto"/>
        <w:tabs>
          <w:tab w:leader="none" w:pos="361"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Resignation and/or Replacement of Issuing Bank</w:t>
      </w:r>
      <w:r>
        <w:rPr>
          <w:rFonts w:ascii="Arial" w:cs="Arial" w:eastAsia="Arial" w:hAnsi="Arial"/>
          <w:sz w:val="16"/>
          <w:szCs w:val="16"/>
          <w:color w:val="auto"/>
        </w:rPr>
        <w:t xml:space="preserve">. The Issuing Bank may resign and be replaced at any time by written agreement among the Borrower, the Administrative Agent, the resigning Issuing Bank and the successor Issuing Bank. The Administrative Agent shall notify the Lenders of any such resignation and replacement of the Issuing Bank. Upon the effectiveness of any resignation or replacement of the Issuing Bank, the Borrower shall pay all unpaid fees accrued for account of the resigning or replaced Issuing Bank pursuant to </w:t>
      </w:r>
      <w:r>
        <w:rPr>
          <w:rFonts w:ascii="Arial" w:cs="Arial" w:eastAsia="Arial" w:hAnsi="Arial"/>
          <w:sz w:val="16"/>
          <w:szCs w:val="16"/>
          <w:u w:val="single" w:color="auto"/>
          <w:color w:val="auto"/>
        </w:rPr>
        <w:t>Section 2.11(b)</w:t>
      </w:r>
      <w:r>
        <w:rPr>
          <w:rFonts w:ascii="Arial" w:cs="Arial" w:eastAsia="Arial" w:hAnsi="Arial"/>
          <w:sz w:val="16"/>
          <w:szCs w:val="16"/>
          <w:color w:val="auto"/>
        </w:rPr>
        <w:t>. From and after the effective date of the appointment of a successor Issuing Bank, (i) the successor Issuing Bank shall have all the rights and obligations of the replaced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effective replacement or resignation of the Issuing Bank hereunder, the replaced or resigning Issuing Bank, as the case may be, shall remain a party hereto and shall continue to have all the rights and obligations of the Issuing Bank under this Agreement with respect to Letters of Credit issued by it prior to such resignation or replacement, but shall not be required to issue additional Letters of Credit.</w:t>
      </w:r>
    </w:p>
    <w:p>
      <w:pPr>
        <w:spacing w:after="0" w:line="60" w:lineRule="exact"/>
        <w:rPr>
          <w:rFonts w:ascii="Arial" w:cs="Arial" w:eastAsia="Arial" w:hAnsi="Arial"/>
          <w:sz w:val="16"/>
          <w:szCs w:val="16"/>
          <w:color w:val="auto"/>
        </w:rPr>
      </w:pPr>
    </w:p>
    <w:p>
      <w:pPr>
        <w:ind w:left="-980" w:right="100" w:firstLine="987"/>
        <w:spacing w:after="0" w:line="270" w:lineRule="auto"/>
        <w:tabs>
          <w:tab w:leader="none" w:pos="401"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Cash Collateralization</w:t>
      </w:r>
      <w:r>
        <w:rPr>
          <w:rFonts w:ascii="Arial" w:cs="Arial" w:eastAsia="Arial" w:hAnsi="Arial"/>
          <w:sz w:val="17"/>
          <w:szCs w:val="17"/>
          <w:color w:val="auto"/>
        </w:rPr>
        <w:t xml:space="preserve">. If the Borrower shall be required to provide Cash Collateral for LC Exposure pursuant to </w:t>
      </w:r>
      <w:r>
        <w:rPr>
          <w:rFonts w:ascii="Arial" w:cs="Arial" w:eastAsia="Arial" w:hAnsi="Arial"/>
          <w:sz w:val="17"/>
          <w:szCs w:val="17"/>
          <w:u w:val="single" w:color="auto"/>
          <w:color w:val="auto"/>
        </w:rPr>
        <w:t>Section 2.05(d)</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2.09(a)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2.10(b)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2.20(b)</w:t>
      </w:r>
      <w:r>
        <w:rPr>
          <w:rFonts w:ascii="Arial" w:cs="Arial" w:eastAsia="Arial" w:hAnsi="Arial"/>
          <w:sz w:val="17"/>
          <w:szCs w:val="17"/>
          <w:color w:val="auto"/>
        </w:rPr>
        <w:t xml:space="preserve"> or the penultimate paragraph of </w:t>
      </w:r>
      <w:r>
        <w:rPr>
          <w:rFonts w:ascii="Arial" w:cs="Arial" w:eastAsia="Arial" w:hAnsi="Arial"/>
          <w:sz w:val="17"/>
          <w:szCs w:val="17"/>
          <w:u w:val="single" w:color="auto"/>
          <w:color w:val="auto"/>
        </w:rPr>
        <w:t>Article VII</w:t>
      </w:r>
      <w:r>
        <w:rPr>
          <w:rFonts w:ascii="Arial" w:cs="Arial" w:eastAsia="Arial" w:hAnsi="Arial"/>
          <w:sz w:val="17"/>
          <w:szCs w:val="17"/>
          <w:color w:val="auto"/>
        </w:rPr>
        <w:t>, the Borrower shall immediately deposit into a segregated collateral account or accounts (herein, collectively, the “</w:t>
      </w:r>
      <w:r>
        <w:rPr>
          <w:rFonts w:ascii="Arial" w:cs="Arial" w:eastAsia="Arial" w:hAnsi="Arial"/>
          <w:sz w:val="17"/>
          <w:szCs w:val="17"/>
          <w:u w:val="single" w:color="auto"/>
          <w:color w:val="auto"/>
        </w:rPr>
        <w:t>Letter of Credit Collateral Account</w:t>
      </w:r>
      <w:r>
        <w:rPr>
          <w:rFonts w:ascii="Arial" w:cs="Arial" w:eastAsia="Arial" w:hAnsi="Arial"/>
          <w:sz w:val="17"/>
          <w:szCs w:val="17"/>
          <w:color w:val="auto"/>
        </w:rPr>
        <w:t xml:space="preserve">”) in the name and under the dominion and control of the Administrative Agent Cash denominated in the Currency of the Letter of Credit under which such LC Exposure arises in an amount equal to the amount required under </w:t>
      </w:r>
      <w:r>
        <w:rPr>
          <w:rFonts w:ascii="Arial" w:cs="Arial" w:eastAsia="Arial" w:hAnsi="Arial"/>
          <w:sz w:val="17"/>
          <w:szCs w:val="17"/>
          <w:u w:val="single" w:color="auto"/>
          <w:color w:val="auto"/>
        </w:rPr>
        <w:t>Section 2.05(d)</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2.09(a)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2.10(b)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2.20(b)</w:t>
      </w:r>
      <w:r>
        <w:rPr>
          <w:rFonts w:ascii="Arial" w:cs="Arial" w:eastAsia="Arial" w:hAnsi="Arial"/>
          <w:sz w:val="17"/>
          <w:szCs w:val="17"/>
          <w:color w:val="auto"/>
        </w:rPr>
        <w:t xml:space="preserve"> or the penultimate paragraph of </w:t>
      </w:r>
      <w:r>
        <w:rPr>
          <w:rFonts w:ascii="Arial" w:cs="Arial" w:eastAsia="Arial" w:hAnsi="Arial"/>
          <w:sz w:val="17"/>
          <w:szCs w:val="17"/>
          <w:u w:val="single" w:color="auto"/>
          <w:color w:val="auto"/>
        </w:rPr>
        <w:t>Article VII</w:t>
      </w:r>
      <w:r>
        <w:rPr>
          <w:rFonts w:ascii="Arial" w:cs="Arial" w:eastAsia="Arial" w:hAnsi="Arial"/>
          <w:sz w:val="17"/>
          <w:szCs w:val="17"/>
          <w:color w:val="auto"/>
        </w:rPr>
        <w:t>, as applicable. Such deposit shall be held by the Administrative Agent as collateral in the first instance for the LC Exposure under this Agreement and thereafter for the payment of the “Secured Obligations” under and as defined in the Guarantee and Security Agreement, and for these purposes the Borrower hereby grants a security interest to the Administrative Agent for the benefit of the Lenders in the Letter of Credit Collateral Account and in any financial assets (as defined in the Uniform Commercial Code) or other property held therein.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Funding of Borrowings</w:t>
      </w:r>
      <w:r>
        <w:rPr>
          <w:rFonts w:ascii="Arial" w:cs="Arial" w:eastAsia="Arial" w:hAnsi="Arial"/>
          <w:sz w:val="18"/>
          <w:szCs w:val="18"/>
          <w:color w:val="auto"/>
        </w:rPr>
        <w:t>.</w:t>
      </w:r>
    </w:p>
    <w:p>
      <w:pPr>
        <w:spacing w:after="0" w:line="117" w:lineRule="exact"/>
        <w:rPr>
          <w:sz w:val="20"/>
          <w:szCs w:val="20"/>
          <w:color w:val="auto"/>
        </w:rPr>
      </w:pPr>
    </w:p>
    <w:p>
      <w:pPr>
        <w:ind w:left="-980" w:right="40" w:firstLine="987"/>
        <w:spacing w:after="0" w:line="273" w:lineRule="auto"/>
        <w:tabs>
          <w:tab w:leader="none" w:pos="391"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Funding by Lenders</w:t>
      </w:r>
      <w:r>
        <w:rPr>
          <w:rFonts w:ascii="Arial" w:cs="Arial" w:eastAsia="Arial" w:hAnsi="Arial"/>
          <w:sz w:val="17"/>
          <w:szCs w:val="17"/>
          <w:color w:val="auto"/>
        </w:rPr>
        <w:t xml:space="preserve">. Each Lender shall make each Loan to be made by it hereunder on the proposed date thereof by wire transfer of immediately available funds by 11:00 a.m., Atlanta, Georgia time, to the account of the Administrative Agent most recently designated by it for such purpose by notice to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Swingline Loans shall be made as provided in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The Administrative Agent will make such Loans available to the Borrower by promptly crediting the amounts so received, in like funds, to an account of the Borrower designated by the Borrower in the applicable Borrowing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Syndicated ABR Borrowings made to finance the reimbursement of an LC Disbursement as provided in </w:t>
      </w:r>
      <w:r>
        <w:rPr>
          <w:rFonts w:ascii="Arial" w:cs="Arial" w:eastAsia="Arial" w:hAnsi="Arial"/>
          <w:sz w:val="17"/>
          <w:szCs w:val="17"/>
          <w:u w:val="single" w:color="auto"/>
          <w:color w:val="auto"/>
        </w:rPr>
        <w:t>Section 2.05(f)</w:t>
      </w:r>
      <w:r>
        <w:rPr>
          <w:rFonts w:ascii="Arial" w:cs="Arial" w:eastAsia="Arial" w:hAnsi="Arial"/>
          <w:sz w:val="17"/>
          <w:szCs w:val="17"/>
          <w:color w:val="auto"/>
        </w:rPr>
        <w:t xml:space="preserve"> shall be remitted by the Administrative Agent to the Issuing Bank.</w:t>
      </w:r>
    </w:p>
    <w:p>
      <w:pPr>
        <w:spacing w:after="0" w:line="110" w:lineRule="exact"/>
        <w:rPr>
          <w:sz w:val="20"/>
          <w:szCs w:val="20"/>
          <w:color w:val="auto"/>
        </w:rPr>
      </w:pPr>
    </w:p>
    <w:tbl>
      <w:tblPr>
        <w:tblLayout w:type="fixed"/>
        <w:tblInd w:w="450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48</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0040"/>
          </w:cols>
          <w:pgMar w:left="1420" w:top="274" w:right="439" w:bottom="1440" w:gutter="0" w:footer="0" w:header="0"/>
        </w:sectPr>
      </w:pPr>
    </w:p>
    <w:bookmarkStart w:id="78" w:name="page79"/>
    <w:bookmarkEnd w:id="78"/>
    <w:p>
      <w:pPr>
        <w:ind w:left="-980" w:right="40" w:firstLine="987"/>
        <w:spacing w:after="0" w:line="269" w:lineRule="auto"/>
        <w:tabs>
          <w:tab w:leader="none" w:pos="401"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Presumption by the Administrative Agent</w:t>
      </w:r>
      <w:r>
        <w:rPr>
          <w:rFonts w:ascii="Arial" w:cs="Arial" w:eastAsia="Arial" w:hAnsi="Arial"/>
          <w:sz w:val="17"/>
          <w:szCs w:val="17"/>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Effective Rate or (ii) in the case of the Borrower, the interest rate applicable to ABR Loans. If such Lender pays such amount to the Administrative Agent, then such amount shall constitute such Lender’s Loan included in such Borrowing. Nothing in this paragraph shall relieve any Lender of its obligation to fulfill its commitments hereunder, and this paragraph shall be without prejudice to any claim the Borrower may have against a Lender that shall have failed to make such payment to the Administrative Agent.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Interest Elections</w:t>
      </w:r>
      <w:r>
        <w:rPr>
          <w:rFonts w:ascii="Arial" w:cs="Arial" w:eastAsia="Arial" w:hAnsi="Arial"/>
          <w:sz w:val="18"/>
          <w:szCs w:val="18"/>
          <w:color w:val="auto"/>
        </w:rPr>
        <w:t>.</w:t>
      </w:r>
    </w:p>
    <w:p>
      <w:pPr>
        <w:spacing w:after="0" w:line="117" w:lineRule="exact"/>
        <w:rPr>
          <w:sz w:val="20"/>
          <w:szCs w:val="20"/>
          <w:color w:val="auto"/>
        </w:rPr>
      </w:pPr>
    </w:p>
    <w:p>
      <w:pPr>
        <w:ind w:left="-980" w:right="40" w:firstLine="987"/>
        <w:spacing w:after="0" w:line="269" w:lineRule="auto"/>
        <w:tabs>
          <w:tab w:leader="none" w:pos="391"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Elections by the Borrower for Syndicated Borrowings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2.03(d)</w:t>
      </w:r>
      <w:r>
        <w:rPr>
          <w:rFonts w:ascii="Arial" w:cs="Arial" w:eastAsia="Arial" w:hAnsi="Arial"/>
          <w:sz w:val="17"/>
          <w:szCs w:val="17"/>
          <w:color w:val="auto"/>
        </w:rPr>
        <w:t xml:space="preserve">, the Loans constituting each Syndicated Borrowing initially shall be of the Type specified in the applicable Borrowing Request and, in the case of a Eurocurrency Borrowing, shall have the Interest Period specified in such Borrowing Request. Thereafter, the Borrower may elect to convert such Borrowing to a Borrowing of a different Type or to continue such Borrowing as a Borrowing of the same Type and, in the case of a Eurocurrency Borrowing, may elect the Interest Period therefor, all as provided in this Section;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a Syndicated Borrowing of a Class may only be continued or converted into a Syndicated Borrowing of the same Class, (ii) a Syndicated Borrowing denominated in one Currency may not be continued as, or converted to, a Syndicated Borrowing in a different Currency, (iii) no Eurocurrency Borrowing denominated in a Foreign Currency may be continued if, after giving effect thereto, the aggregate Revolving Multicurrency Credit Exposures would exceed the aggregate Multicurrency Commitments, and (iv) a Eurocurrency Borrowing denominated in a Foreign Currency may not be converted to a 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Section shall not apply to Swingline Loans, which may not be converted or continued.</w:t>
      </w:r>
    </w:p>
    <w:p>
      <w:pPr>
        <w:spacing w:after="0" w:line="70" w:lineRule="exact"/>
        <w:rPr>
          <w:rFonts w:ascii="Arial" w:cs="Arial" w:eastAsia="Arial" w:hAnsi="Arial"/>
          <w:sz w:val="17"/>
          <w:szCs w:val="17"/>
          <w:color w:val="auto"/>
        </w:rPr>
      </w:pPr>
    </w:p>
    <w:p>
      <w:pPr>
        <w:ind w:left="-980" w:right="20" w:firstLine="987"/>
        <w:spacing w:after="0" w:line="296" w:lineRule="auto"/>
        <w:tabs>
          <w:tab w:leader="none" w:pos="401"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Notice of Elections</w:t>
      </w:r>
      <w:r>
        <w:rPr>
          <w:rFonts w:ascii="Arial" w:cs="Arial" w:eastAsia="Arial" w:hAnsi="Arial"/>
          <w:sz w:val="16"/>
          <w:szCs w:val="16"/>
          <w:color w:val="auto"/>
        </w:rPr>
        <w:t xml:space="preserve">. To make an election pursuant to this Section, the Borrower shall notify the Administrative Agent of such election by telephone by the time that a Borrowing Request would be required under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if the Borrower were requesting 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to the Administrative Agent of a written Interest Election Request in a form approved by the Administrative Agent and signed by the Borrower.</w:t>
      </w:r>
    </w:p>
    <w:p>
      <w:pPr>
        <w:spacing w:after="0" w:line="94" w:lineRule="exact"/>
        <w:rPr>
          <w:sz w:val="20"/>
          <w:szCs w:val="20"/>
          <w:color w:val="auto"/>
        </w:rPr>
      </w:pPr>
    </w:p>
    <w:tbl>
      <w:tblPr>
        <w:tblLayout w:type="fixed"/>
        <w:tblInd w:w="450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49</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0040"/>
          </w:cols>
          <w:pgMar w:left="1420" w:top="274" w:right="439" w:bottom="1440" w:gutter="0" w:footer="0" w:header="0"/>
        </w:sectPr>
      </w:pPr>
    </w:p>
    <w:bookmarkStart w:id="79" w:name="page80"/>
    <w:bookmarkEnd w:id="79"/>
    <w:p>
      <w:pPr>
        <w:ind w:left="4" w:right="160" w:firstLine="987"/>
        <w:spacing w:after="0" w:line="277" w:lineRule="auto"/>
        <w:tabs>
          <w:tab w:leader="none" w:pos="1375" w:val="left"/>
        </w:tabs>
        <w:numPr>
          <w:ilvl w:val="2"/>
          <w:numId w:val="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Content of Interest Election Requests</w:t>
      </w:r>
      <w:r>
        <w:rPr>
          <w:rFonts w:ascii="Arial" w:cs="Arial" w:eastAsia="Arial" w:hAnsi="Arial"/>
          <w:sz w:val="18"/>
          <w:szCs w:val="18"/>
          <w:color w:val="auto"/>
        </w:rPr>
        <w:t xml:space="preserve">. Each telephonic and written Interest Election Request shall specify the following information in compliance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4" w:right="40" w:firstLine="419"/>
        <w:spacing w:after="0" w:line="263" w:lineRule="auto"/>
        <w:tabs>
          <w:tab w:leader="none" w:pos="1217"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the Borrowing (including the Class)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of this paragraph shall be specified for each resulting Borrowing);</w:t>
      </w:r>
    </w:p>
    <w:p>
      <w:pPr>
        <w:spacing w:after="0" w:line="75" w:lineRule="exact"/>
        <w:rPr>
          <w:rFonts w:ascii="Arial" w:cs="Arial" w:eastAsia="Arial" w:hAnsi="Arial"/>
          <w:sz w:val="18"/>
          <w:szCs w:val="18"/>
          <w:color w:val="auto"/>
        </w:rPr>
      </w:pPr>
    </w:p>
    <w:p>
      <w:pPr>
        <w:ind w:left="1264" w:hanging="401"/>
        <w:spacing w:after="0"/>
        <w:tabs>
          <w:tab w:leader="none" w:pos="1264"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117" w:lineRule="exact"/>
        <w:rPr>
          <w:rFonts w:ascii="Arial" w:cs="Arial" w:eastAsia="Arial" w:hAnsi="Arial"/>
          <w:sz w:val="18"/>
          <w:szCs w:val="18"/>
          <w:color w:val="auto"/>
        </w:rPr>
      </w:pPr>
    </w:p>
    <w:p>
      <w:pPr>
        <w:ind w:left="444" w:right="240" w:firstLine="419"/>
        <w:spacing w:after="0" w:line="277" w:lineRule="auto"/>
        <w:tabs>
          <w:tab w:leader="none" w:pos="1317" w:val="left"/>
        </w:tabs>
        <w:numPr>
          <w:ilvl w:val="1"/>
          <w:numId w:val="49"/>
        </w:numPr>
        <w:rPr>
          <w:rFonts w:ascii="Arial" w:cs="Arial" w:eastAsia="Arial" w:hAnsi="Arial"/>
          <w:sz w:val="18"/>
          <w:szCs w:val="18"/>
          <w:color w:val="auto"/>
        </w:rPr>
      </w:pPr>
      <w:r>
        <w:rPr>
          <w:rFonts w:ascii="Arial" w:cs="Arial" w:eastAsia="Arial" w:hAnsi="Arial"/>
          <w:sz w:val="18"/>
          <w:szCs w:val="18"/>
          <w:color w:val="auto"/>
        </w:rPr>
        <w:t>whether, in the case of a Borrowing denominated in Dollars, the resulting Borrowing is to be an ABR Borrowing or a Eurocurrency Borrowing; and</w:t>
      </w:r>
    </w:p>
    <w:p>
      <w:pPr>
        <w:spacing w:after="0" w:line="62" w:lineRule="exact"/>
        <w:rPr>
          <w:rFonts w:ascii="Arial" w:cs="Arial" w:eastAsia="Arial" w:hAnsi="Arial"/>
          <w:sz w:val="18"/>
          <w:szCs w:val="18"/>
          <w:color w:val="auto"/>
        </w:rPr>
      </w:pPr>
    </w:p>
    <w:p>
      <w:pPr>
        <w:ind w:left="444" w:right="60" w:firstLine="419"/>
        <w:spacing w:after="0" w:line="277" w:lineRule="auto"/>
        <w:tabs>
          <w:tab w:leader="none" w:pos="1307"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if the resulting Borrowing is a Eurocurrency Borrowing, the Interest Period therefor after giving effect to such election, which shall be a period contemplated by the definition of the term “Interest Period” and permitted under </w:t>
      </w:r>
      <w:r>
        <w:rPr>
          <w:rFonts w:ascii="Arial" w:cs="Arial" w:eastAsia="Arial" w:hAnsi="Arial"/>
          <w:sz w:val="18"/>
          <w:szCs w:val="18"/>
          <w:u w:val="single" w:color="auto"/>
          <w:color w:val="auto"/>
        </w:rPr>
        <w:t>Section 2.02(d)</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 w:right="260" w:firstLine="987"/>
        <w:spacing w:after="0" w:line="308" w:lineRule="auto"/>
        <w:tabs>
          <w:tab w:leader="none" w:pos="1385" w:val="left"/>
        </w:tabs>
        <w:numPr>
          <w:ilvl w:val="2"/>
          <w:numId w:val="49"/>
        </w:numPr>
        <w:rPr>
          <w:rFonts w:ascii="Arial" w:cs="Arial" w:eastAsia="Arial" w:hAnsi="Arial"/>
          <w:sz w:val="17"/>
          <w:szCs w:val="17"/>
          <w:color w:val="auto"/>
        </w:rPr>
      </w:pPr>
      <w:r>
        <w:rPr>
          <w:rFonts w:ascii="Arial" w:cs="Arial" w:eastAsia="Arial" w:hAnsi="Arial"/>
          <w:sz w:val="17"/>
          <w:szCs w:val="17"/>
          <w:u w:val="single" w:color="auto"/>
          <w:color w:val="auto"/>
        </w:rPr>
        <w:t>Notice by the Administrative Agent to the Lenders</w:t>
      </w:r>
      <w:r>
        <w:rPr>
          <w:rFonts w:ascii="Arial" w:cs="Arial" w:eastAsia="Arial" w:hAnsi="Arial"/>
          <w:sz w:val="17"/>
          <w:szCs w:val="17"/>
          <w:color w:val="auto"/>
        </w:rPr>
        <w:t>. Promptly following receipt of an Interest Election Request, the Administrative Agent shall advise each applicable Lender of the details thereof and of such Lender’s portion of each resulting Borrowing.</w:t>
      </w:r>
    </w:p>
    <w:p>
      <w:pPr>
        <w:spacing w:after="0" w:line="38" w:lineRule="exact"/>
        <w:rPr>
          <w:rFonts w:ascii="Arial" w:cs="Arial" w:eastAsia="Arial" w:hAnsi="Arial"/>
          <w:sz w:val="17"/>
          <w:szCs w:val="17"/>
          <w:color w:val="auto"/>
        </w:rPr>
      </w:pPr>
    </w:p>
    <w:p>
      <w:pPr>
        <w:ind w:left="4" w:right="20" w:firstLine="987"/>
        <w:spacing w:after="0" w:line="284" w:lineRule="auto"/>
        <w:tabs>
          <w:tab w:leader="none" w:pos="1375" w:val="left"/>
        </w:tabs>
        <w:numPr>
          <w:ilvl w:val="2"/>
          <w:numId w:val="49"/>
        </w:numPr>
        <w:rPr>
          <w:rFonts w:ascii="Arial" w:cs="Arial" w:eastAsia="Arial" w:hAnsi="Arial"/>
          <w:sz w:val="16"/>
          <w:szCs w:val="16"/>
          <w:color w:val="auto"/>
        </w:rPr>
      </w:pPr>
      <w:r>
        <w:rPr>
          <w:rFonts w:ascii="Arial" w:cs="Arial" w:eastAsia="Arial" w:hAnsi="Arial"/>
          <w:sz w:val="16"/>
          <w:szCs w:val="16"/>
          <w:u w:val="single" w:color="auto"/>
          <w:color w:val="auto"/>
        </w:rPr>
        <w:t>Failure to Elect; Events of Default</w:t>
      </w:r>
      <w:r>
        <w:rPr>
          <w:rFonts w:ascii="Arial" w:cs="Arial" w:eastAsia="Arial" w:hAnsi="Arial"/>
          <w:sz w:val="16"/>
          <w:szCs w:val="16"/>
          <w:color w:val="auto"/>
        </w:rPr>
        <w:t>. If the Borrower fails to deliver a timely and complete Interest Election Request with respect to a Eurocurrency Borrowing prior to the end of the Interest Period therefor, then, unless such Borrowing is repaid as provided herein, (i) if such Borrowing is denominated in Dollars, at the end of such Interest Period such Borrowing shall be converted to a Syndicated Eurocurrency Borrowing of the same Class having an Interest Period of one month, and (ii) if such Borrowing is denominated in a Foreign Currency, the Borrower shall be deemed to have selected an Interest Period of one month’s duration. Notwithstanding any contrary provision hereof, if an Event of Default has occurred and is continuing and the Administrative Agent, at the request of the Required Lenders, so notifies the Borrower, (i) any Eurocurrency Borrowing denominated in Dollars shall, at the end of the applicable Interest Period for such Eurocurrency Borrowing, be automatically converted to an ABR Borrowing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Eurocurrency Borrowing denominated in a Foreign Currency shall not have an Interest Period of more than one month’s duration.</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Termination, Reduction or Increase of the Commitments</w:t>
      </w:r>
      <w:r>
        <w:rPr>
          <w:rFonts w:ascii="Arial" w:cs="Arial" w:eastAsia="Arial" w:hAnsi="Arial"/>
          <w:sz w:val="18"/>
          <w:szCs w:val="18"/>
          <w:color w:val="auto"/>
        </w:rPr>
        <w:t>.</w:t>
      </w:r>
    </w:p>
    <w:p>
      <w:pPr>
        <w:spacing w:after="0" w:line="117" w:lineRule="exact"/>
        <w:rPr>
          <w:sz w:val="20"/>
          <w:szCs w:val="20"/>
          <w:color w:val="auto"/>
        </w:rPr>
      </w:pPr>
    </w:p>
    <w:p>
      <w:pPr>
        <w:jc w:val="both"/>
        <w:ind w:left="4" w:right="240" w:firstLine="987"/>
        <w:spacing w:after="0" w:line="259" w:lineRule="auto"/>
        <w:tabs>
          <w:tab w:leader="none" w:pos="137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Scheduled Termination</w:t>
      </w:r>
      <w:r>
        <w:rPr>
          <w:rFonts w:ascii="Arial" w:cs="Arial" w:eastAsia="Arial" w:hAnsi="Arial"/>
          <w:sz w:val="18"/>
          <w:szCs w:val="18"/>
          <w:color w:val="auto"/>
        </w:rPr>
        <w:t>. Unless previously terminated, the Commitments of each Extending Lender with respect to such Extending Lender’s Extended Loans shall terminate on the Extended Commitment Termination Date and the Commitments of each Non-Extending Lender with respect to such Non-Extending Lender’s Non-Extended Loans shall terminate on the Non-Extended Commitment Termination Date for such Non-Extending Lender.</w:t>
      </w:r>
    </w:p>
    <w:p>
      <w:pPr>
        <w:spacing w:after="0" w:line="78" w:lineRule="exact"/>
        <w:rPr>
          <w:rFonts w:ascii="Arial" w:cs="Arial" w:eastAsia="Arial" w:hAnsi="Arial"/>
          <w:sz w:val="18"/>
          <w:szCs w:val="18"/>
          <w:color w:val="auto"/>
        </w:rPr>
      </w:pPr>
    </w:p>
    <w:p>
      <w:pPr>
        <w:ind w:left="4" w:right="360" w:firstLine="987"/>
        <w:spacing w:after="0" w:line="342" w:lineRule="auto"/>
        <w:tabs>
          <w:tab w:leader="none" w:pos="1385"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Voluntary Termination or Reduction</w:t>
      </w:r>
      <w:r>
        <w:rPr>
          <w:rFonts w:ascii="Arial" w:cs="Arial" w:eastAsia="Arial" w:hAnsi="Arial"/>
          <w:sz w:val="16"/>
          <w:szCs w:val="16"/>
          <w:color w:val="auto"/>
        </w:rPr>
        <w:t xml:space="preserve">. The Borrower may at any time terminate, or from time to time reduce, the Commitments of either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reduction of the Commitments of a Class shall be in an amount that is $25,000,000 or a larger</w:t>
      </w:r>
    </w:p>
    <w:p>
      <w:pPr>
        <w:spacing w:after="0" w:line="56"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50</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80" w:name="page81"/>
    <w:bookmarkEnd w:id="80"/>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multiple of $5,000,000 in excess thereof and (ii) the Borrower shall not terminate or reduce the Commitments of either Class if, after giving effect to any concurrent prepayment of the Syndicated Loans of such Class in accordance with </w:t>
      </w:r>
      <w:r>
        <w:rPr>
          <w:rFonts w:ascii="Arial" w:cs="Arial" w:eastAsia="Arial" w:hAnsi="Arial"/>
          <w:sz w:val="16"/>
          <w:szCs w:val="16"/>
          <w:u w:val="single" w:color="auto"/>
          <w:color w:val="auto"/>
        </w:rPr>
        <w:t>Section 2.10</w:t>
      </w:r>
      <w:r>
        <w:rPr>
          <w:rFonts w:ascii="Arial" w:cs="Arial" w:eastAsia="Arial" w:hAnsi="Arial"/>
          <w:sz w:val="16"/>
          <w:szCs w:val="16"/>
          <w:color w:val="auto"/>
        </w:rPr>
        <w:t>, the total Revolving Credit Exposures of such</w:t>
      </w:r>
    </w:p>
    <w:p>
      <w:pPr>
        <w:ind w:right="140"/>
        <w:spacing w:after="0" w:line="255" w:lineRule="auto"/>
        <w:rPr>
          <w:sz w:val="20"/>
          <w:szCs w:val="20"/>
          <w:color w:val="auto"/>
        </w:rPr>
      </w:pPr>
      <w:r>
        <w:rPr>
          <w:rFonts w:ascii="Arial" w:cs="Arial" w:eastAsia="Arial" w:hAnsi="Arial"/>
          <w:sz w:val="18"/>
          <w:szCs w:val="18"/>
          <w:color w:val="auto"/>
        </w:rPr>
        <w:t xml:space="preserve">Class would exceed the total Commitments of such Class. Any such reduction of the Commitments below the principal amount of the Swingline Loans permitted under </w:t>
      </w:r>
      <w:r>
        <w:rPr>
          <w:rFonts w:ascii="Arial" w:cs="Arial" w:eastAsia="Arial" w:hAnsi="Arial"/>
          <w:sz w:val="18"/>
          <w:szCs w:val="18"/>
          <w:u w:val="single" w:color="auto"/>
          <w:color w:val="auto"/>
        </w:rPr>
        <w:t>Section 2.04(a)(i)</w:t>
      </w:r>
      <w:r>
        <w:rPr>
          <w:rFonts w:ascii="Arial" w:cs="Arial" w:eastAsia="Arial" w:hAnsi="Arial"/>
          <w:sz w:val="18"/>
          <w:szCs w:val="18"/>
          <w:color w:val="auto"/>
        </w:rPr>
        <w:t xml:space="preserve"> and the Letters of Credit permitted under </w:t>
      </w:r>
      <w:r>
        <w:rPr>
          <w:rFonts w:ascii="Arial" w:cs="Arial" w:eastAsia="Arial" w:hAnsi="Arial"/>
          <w:sz w:val="18"/>
          <w:szCs w:val="18"/>
          <w:u w:val="single" w:color="auto"/>
          <w:color w:val="auto"/>
        </w:rPr>
        <w:t>Section 2.05(c)(i)</w:t>
      </w:r>
      <w:r>
        <w:rPr>
          <w:rFonts w:ascii="Arial" w:cs="Arial" w:eastAsia="Arial" w:hAnsi="Arial"/>
          <w:sz w:val="18"/>
          <w:szCs w:val="18"/>
          <w:color w:val="auto"/>
        </w:rPr>
        <w:t xml:space="preserve"> shall result in a dollar-for-dollar reduction of such amounts as applicable.</w:t>
      </w:r>
    </w:p>
    <w:p>
      <w:pPr>
        <w:spacing w:after="0" w:line="82" w:lineRule="exact"/>
        <w:rPr>
          <w:sz w:val="20"/>
          <w:szCs w:val="20"/>
          <w:color w:val="auto"/>
        </w:rPr>
      </w:pPr>
    </w:p>
    <w:p>
      <w:pPr>
        <w:ind w:right="40" w:firstLine="987"/>
        <w:spacing w:after="0" w:line="254" w:lineRule="auto"/>
        <w:tabs>
          <w:tab w:leader="none" w:pos="1371"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Notice of Voluntary Termination or Reduction</w:t>
      </w:r>
      <w:r>
        <w:rPr>
          <w:rFonts w:ascii="Arial" w:cs="Arial" w:eastAsia="Arial" w:hAnsi="Arial"/>
          <w:sz w:val="18"/>
          <w:szCs w:val="18"/>
          <w:color w:val="auto"/>
        </w:rPr>
        <w:t xml:space="preserve">. The Borrower shall notify the Administrative Agent of any election to terminate or reduce the Commitments under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at least two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Borrower pursuant to this Section 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termination of the Commitments of a Class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w:t>
      </w:r>
    </w:p>
    <w:p>
      <w:pPr>
        <w:spacing w:after="0" w:line="86" w:lineRule="exact"/>
        <w:rPr>
          <w:rFonts w:ascii="Arial" w:cs="Arial" w:eastAsia="Arial" w:hAnsi="Arial"/>
          <w:sz w:val="18"/>
          <w:szCs w:val="18"/>
          <w:color w:val="auto"/>
        </w:rPr>
      </w:pPr>
    </w:p>
    <w:p>
      <w:pPr>
        <w:ind w:right="60" w:firstLine="987"/>
        <w:spacing w:after="0" w:line="259" w:lineRule="auto"/>
        <w:tabs>
          <w:tab w:leader="none" w:pos="1381"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Effect of Termination or Reduction</w:t>
      </w:r>
      <w:r>
        <w:rPr>
          <w:rFonts w:ascii="Arial" w:cs="Arial" w:eastAsia="Arial" w:hAnsi="Arial"/>
          <w:sz w:val="18"/>
          <w:szCs w:val="18"/>
          <w:color w:val="auto"/>
        </w:rPr>
        <w:t xml:space="preserve">. Any termination or reduction of the Commitments of a Class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be permanent. Each reduction of the Commitments of a Class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be made ratably among the Lenders of such Class (including with respect to (x) Dollar Lenders and Multicurrency Lenders and (y) Extending Lenders and Non-Extending Lenders) in accordance with their respective Commitments.</w:t>
      </w:r>
    </w:p>
    <w:p>
      <w:pPr>
        <w:spacing w:after="0" w:line="78" w:lineRule="exact"/>
        <w:rPr>
          <w:rFonts w:ascii="Arial" w:cs="Arial" w:eastAsia="Arial" w:hAnsi="Arial"/>
          <w:sz w:val="18"/>
          <w:szCs w:val="18"/>
          <w:color w:val="auto"/>
        </w:rPr>
      </w:pPr>
    </w:p>
    <w:p>
      <w:pPr>
        <w:ind w:left="1360" w:hanging="373"/>
        <w:spacing w:after="0"/>
        <w:tabs>
          <w:tab w:leader="none" w:pos="1360"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Increase of the Commitments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80" w:firstLine="419"/>
        <w:spacing w:after="0" w:line="273" w:lineRule="auto"/>
        <w:tabs>
          <w:tab w:leader="none" w:pos="1213"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Requests for Increase by Borrower</w:t>
      </w:r>
      <w:r>
        <w:rPr>
          <w:rFonts w:ascii="Arial" w:cs="Arial" w:eastAsia="Arial" w:hAnsi="Arial"/>
          <w:sz w:val="17"/>
          <w:szCs w:val="17"/>
          <w:color w:val="auto"/>
        </w:rPr>
        <w:t>. The Borrower may, at any time, request that the Commitments hereunder of a Class be increased (each such proposed increase being a “</w:t>
      </w:r>
      <w:r>
        <w:rPr>
          <w:rFonts w:ascii="Arial" w:cs="Arial" w:eastAsia="Arial" w:hAnsi="Arial"/>
          <w:sz w:val="17"/>
          <w:szCs w:val="17"/>
          <w:u w:val="single" w:color="auto"/>
          <w:color w:val="auto"/>
        </w:rPr>
        <w:t>Commitment Increase</w:t>
      </w:r>
      <w:r>
        <w:rPr>
          <w:rFonts w:ascii="Arial" w:cs="Arial" w:eastAsia="Arial" w:hAnsi="Arial"/>
          <w:sz w:val="17"/>
          <w:szCs w:val="17"/>
          <w:color w:val="auto"/>
        </w:rPr>
        <w:t>”), upon notice to the Administrative Agent (who shall promptly notify the Lenders), which notice shall specify each existing Lender (each an “</w:t>
      </w:r>
      <w:r>
        <w:rPr>
          <w:rFonts w:ascii="Arial" w:cs="Arial" w:eastAsia="Arial" w:hAnsi="Arial"/>
          <w:sz w:val="17"/>
          <w:szCs w:val="17"/>
          <w:u w:val="single" w:color="auto"/>
          <w:color w:val="auto"/>
        </w:rPr>
        <w:t>Increasing Lender</w:t>
      </w:r>
      <w:r>
        <w:rPr>
          <w:rFonts w:ascii="Arial" w:cs="Arial" w:eastAsia="Arial" w:hAnsi="Arial"/>
          <w:sz w:val="17"/>
          <w:szCs w:val="17"/>
          <w:color w:val="auto"/>
        </w:rPr>
        <w:t>”) and/or each additional lender (each an “</w:t>
      </w:r>
      <w:r>
        <w:rPr>
          <w:rFonts w:ascii="Arial" w:cs="Arial" w:eastAsia="Arial" w:hAnsi="Arial"/>
          <w:sz w:val="17"/>
          <w:szCs w:val="17"/>
          <w:u w:val="single" w:color="auto"/>
          <w:color w:val="auto"/>
        </w:rPr>
        <w:t>Assuming Lender</w:t>
      </w:r>
      <w:r>
        <w:rPr>
          <w:rFonts w:ascii="Arial" w:cs="Arial" w:eastAsia="Arial" w:hAnsi="Arial"/>
          <w:sz w:val="17"/>
          <w:szCs w:val="17"/>
          <w:color w:val="auto"/>
        </w:rPr>
        <w:t>”) that shall have agreed to an additional Commitment and the date on which such increase is to be effective (the “</w:t>
      </w:r>
      <w:r>
        <w:rPr>
          <w:rFonts w:ascii="Arial" w:cs="Arial" w:eastAsia="Arial" w:hAnsi="Arial"/>
          <w:sz w:val="17"/>
          <w:szCs w:val="17"/>
          <w:u w:val="single" w:color="auto"/>
          <w:color w:val="auto"/>
        </w:rPr>
        <w:t>Commitment Increase Date</w:t>
      </w:r>
      <w:r>
        <w:rPr>
          <w:rFonts w:ascii="Arial" w:cs="Arial" w:eastAsia="Arial" w:hAnsi="Arial"/>
          <w:sz w:val="17"/>
          <w:szCs w:val="17"/>
          <w:color w:val="auto"/>
        </w:rPr>
        <w:t xml:space="preserve">”), which shall be a Business Day at least three Business Days (or such lesser period as the Administrative Agent may reasonably agree) after delivery of such notice and 30 days prior to the Extended Commitment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69" w:lineRule="exact"/>
        <w:rPr>
          <w:rFonts w:ascii="Arial" w:cs="Arial" w:eastAsia="Arial" w:hAnsi="Arial"/>
          <w:sz w:val="17"/>
          <w:szCs w:val="17"/>
          <w:color w:val="auto"/>
        </w:rPr>
      </w:pPr>
    </w:p>
    <w:p>
      <w:pPr>
        <w:ind w:left="980" w:right="260" w:firstLine="408"/>
        <w:spacing w:after="0" w:line="263" w:lineRule="auto"/>
        <w:tabs>
          <w:tab w:leader="none" w:pos="1810"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minimum amount of the Commitment of any Assuming Lender, and the minimum amount of the increase of the Commitment of any Increasing Lender, as part of such Commitment Increase shall be $10,000,000 or a larger multiple of $5,000,000 in excess thereof (or such lesser amount as the Administrative Agent may reasonably agree);</w:t>
      </w:r>
    </w:p>
    <w:p>
      <w:pPr>
        <w:spacing w:after="0" w:line="75" w:lineRule="exact"/>
        <w:rPr>
          <w:rFonts w:ascii="Arial" w:cs="Arial" w:eastAsia="Arial" w:hAnsi="Arial"/>
          <w:sz w:val="18"/>
          <w:szCs w:val="18"/>
          <w:color w:val="auto"/>
        </w:rPr>
      </w:pPr>
    </w:p>
    <w:p>
      <w:pPr>
        <w:ind w:left="1800" w:hanging="412"/>
        <w:spacing w:after="0"/>
        <w:tabs>
          <w:tab w:leader="none" w:pos="1800" w:val="left"/>
        </w:tabs>
        <w:numPr>
          <w:ilvl w:val="2"/>
          <w:numId w:val="53"/>
        </w:numPr>
        <w:rPr>
          <w:rFonts w:ascii="Arial" w:cs="Arial" w:eastAsia="Arial" w:hAnsi="Arial"/>
          <w:sz w:val="16"/>
          <w:szCs w:val="16"/>
          <w:color w:val="auto"/>
        </w:rPr>
      </w:pPr>
      <w:r>
        <w:rPr>
          <w:rFonts w:ascii="Arial" w:cs="Arial" w:eastAsia="Arial" w:hAnsi="Arial"/>
          <w:sz w:val="16"/>
          <w:szCs w:val="16"/>
          <w:color w:val="auto"/>
        </w:rPr>
        <w:t>immediately after giving effect to such Commitment Increase (including, if applicable, the substantially concurrent reduction of</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the</w:t>
      </w:r>
    </w:p>
    <w:p>
      <w:pPr>
        <w:spacing w:after="0" w:line="143"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51</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81" w:name="page82"/>
    <w:bookmarkEnd w:id="81"/>
    <w:p>
      <w:pPr>
        <w:ind w:left="540"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Commitments of a Non-Extending Lender in accordance with </w:t>
      </w:r>
      <w:r>
        <w:rPr>
          <w:rFonts w:ascii="Arial" w:cs="Arial" w:eastAsia="Arial" w:hAnsi="Arial"/>
          <w:sz w:val="18"/>
          <w:szCs w:val="18"/>
          <w:u w:val="single" w:color="auto"/>
          <w:color w:val="auto"/>
        </w:rPr>
        <w:t>Section 2.08(f)</w:t>
      </w:r>
      <w:r>
        <w:rPr>
          <w:rFonts w:ascii="Arial" w:cs="Arial" w:eastAsia="Arial" w:hAnsi="Arial"/>
          <w:sz w:val="18"/>
          <w:szCs w:val="18"/>
          <w:color w:val="auto"/>
        </w:rPr>
        <w:t>), the total Commitments of all of the Lenders hereunder shall not exceed $750,000,000;</w:t>
      </w:r>
    </w:p>
    <w:p>
      <w:pPr>
        <w:spacing w:after="0" w:line="62" w:lineRule="exact"/>
        <w:rPr>
          <w:sz w:val="20"/>
          <w:szCs w:val="20"/>
          <w:color w:val="auto"/>
        </w:rPr>
      </w:pPr>
    </w:p>
    <w:p>
      <w:pPr>
        <w:ind w:left="540" w:right="640" w:firstLine="408"/>
        <w:spacing w:after="0" w:line="277" w:lineRule="auto"/>
        <w:tabs>
          <w:tab w:leader="none" w:pos="1361" w:val="left"/>
        </w:tabs>
        <w:numPr>
          <w:ilvl w:val="1"/>
          <w:numId w:val="54"/>
        </w:numPr>
        <w:rPr>
          <w:rFonts w:ascii="Arial" w:cs="Arial" w:eastAsia="Arial" w:hAnsi="Arial"/>
          <w:sz w:val="18"/>
          <w:szCs w:val="18"/>
          <w:color w:val="auto"/>
        </w:rPr>
      </w:pPr>
      <w:r>
        <w:rPr>
          <w:rFonts w:ascii="Arial" w:cs="Arial" w:eastAsia="Arial" w:hAnsi="Arial"/>
          <w:sz w:val="18"/>
          <w:szCs w:val="18"/>
          <w:color w:val="auto"/>
        </w:rPr>
        <w:t>each Assuming Lender shall be consented to by the Administrative Agent and the Issuing Bank (such consent not to be unreasonably withheld);</w:t>
      </w:r>
    </w:p>
    <w:p>
      <w:pPr>
        <w:spacing w:after="0" w:line="62" w:lineRule="exact"/>
        <w:rPr>
          <w:rFonts w:ascii="Arial" w:cs="Arial" w:eastAsia="Arial" w:hAnsi="Arial"/>
          <w:sz w:val="18"/>
          <w:szCs w:val="18"/>
          <w:color w:val="auto"/>
        </w:rPr>
      </w:pPr>
    </w:p>
    <w:p>
      <w:pPr>
        <w:ind w:left="540" w:right="640" w:firstLine="408"/>
        <w:spacing w:after="0" w:line="277" w:lineRule="auto"/>
        <w:tabs>
          <w:tab w:leader="none" w:pos="1370" w:val="left"/>
        </w:tabs>
        <w:numPr>
          <w:ilvl w:val="1"/>
          <w:numId w:val="54"/>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on such Commitment Increase Date or shall result from the proposed Commitment Increase; and</w:t>
      </w:r>
    </w:p>
    <w:p>
      <w:pPr>
        <w:spacing w:after="0" w:line="62" w:lineRule="exact"/>
        <w:rPr>
          <w:rFonts w:ascii="Arial" w:cs="Arial" w:eastAsia="Arial" w:hAnsi="Arial"/>
          <w:sz w:val="18"/>
          <w:szCs w:val="18"/>
          <w:color w:val="auto"/>
        </w:rPr>
      </w:pPr>
    </w:p>
    <w:p>
      <w:pPr>
        <w:jc w:val="both"/>
        <w:ind w:left="540" w:right="160" w:firstLine="408"/>
        <w:spacing w:after="0" w:line="259" w:lineRule="auto"/>
        <w:tabs>
          <w:tab w:leader="none" w:pos="135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representations and warranties contained in this Agreement shall be true and correct in all material respects (or, in the case of any portion of the representations and warranties already subject to a materiality qualifier, true and correct in all respects) on and as of the Commitment Increase Date as if made on and as of such date (or, if any such representation or warranty is expressly stated to have been made as of a specific date, as of such specific date).</w:t>
      </w:r>
    </w:p>
    <w:p>
      <w:pPr>
        <w:spacing w:after="0" w:line="78" w:lineRule="exact"/>
        <w:rPr>
          <w:rFonts w:ascii="Arial" w:cs="Arial" w:eastAsia="Arial" w:hAnsi="Arial"/>
          <w:sz w:val="18"/>
          <w:szCs w:val="18"/>
          <w:color w:val="auto"/>
        </w:rPr>
      </w:pPr>
    </w:p>
    <w:p>
      <w:pPr>
        <w:ind w:right="200" w:firstLine="419"/>
        <w:spacing w:after="0" w:line="263" w:lineRule="auto"/>
        <w:tabs>
          <w:tab w:leader="none" w:pos="823"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Effectiveness of Commitment Increase by Borrower</w:t>
      </w:r>
      <w:r>
        <w:rPr>
          <w:rFonts w:ascii="Arial" w:cs="Arial" w:eastAsia="Arial" w:hAnsi="Arial"/>
          <w:sz w:val="18"/>
          <w:szCs w:val="18"/>
          <w:color w:val="auto"/>
        </w:rPr>
        <w:t xml:space="preserve">. An Assuming Lender, if any, shall become a Lender hereunder as of such Commitment Increase Date and the Commitment of the respective Class of any Increasing Lender and such Assuming Lender shall be increased as of such Commitment Increase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6" w:lineRule="exact"/>
        <w:rPr>
          <w:sz w:val="20"/>
          <w:szCs w:val="20"/>
          <w:color w:val="auto"/>
        </w:rPr>
      </w:pPr>
    </w:p>
    <w:p>
      <w:pPr>
        <w:ind w:left="540" w:right="260" w:firstLine="408"/>
        <w:spacing w:after="0" w:line="259" w:lineRule="auto"/>
        <w:tabs>
          <w:tab w:leader="none" w:pos="1331"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on or prior to 11:00 a.m., Atlanta, Georgia time, on such Commitment Increase Date (or on or prior to a time on an earlier date specified by the Administrative Agent) a certificate of a duly authorized officer of the Borrower stating that each of the applicable conditions to such Commitment Increase set forth in the foregoing </w:t>
      </w:r>
      <w:r>
        <w:rPr>
          <w:rFonts w:ascii="Arial" w:cs="Arial" w:eastAsia="Arial" w:hAnsi="Arial"/>
          <w:sz w:val="18"/>
          <w:szCs w:val="18"/>
          <w:u w:val="single" w:color="auto"/>
          <w:color w:val="auto"/>
        </w:rPr>
        <w:t>paragraph (i)</w:t>
      </w:r>
      <w:r>
        <w:rPr>
          <w:rFonts w:ascii="Arial" w:cs="Arial" w:eastAsia="Arial" w:hAnsi="Arial"/>
          <w:sz w:val="18"/>
          <w:szCs w:val="18"/>
          <w:color w:val="auto"/>
        </w:rPr>
        <w:t xml:space="preserve"> has been satisfied; and</w:t>
      </w:r>
    </w:p>
    <w:p>
      <w:pPr>
        <w:spacing w:after="0" w:line="78" w:lineRule="exact"/>
        <w:rPr>
          <w:rFonts w:ascii="Arial" w:cs="Arial" w:eastAsia="Arial" w:hAnsi="Arial"/>
          <w:sz w:val="18"/>
          <w:szCs w:val="18"/>
          <w:color w:val="auto"/>
        </w:rPr>
      </w:pPr>
    </w:p>
    <w:p>
      <w:pPr>
        <w:ind w:left="540" w:right="260" w:firstLine="408"/>
        <w:spacing w:after="0" w:line="296" w:lineRule="auto"/>
        <w:tabs>
          <w:tab w:leader="none" w:pos="1331" w:val="left"/>
        </w:tabs>
        <w:numPr>
          <w:ilvl w:val="0"/>
          <w:numId w:val="56"/>
        </w:numPr>
        <w:rPr>
          <w:rFonts w:ascii="Arial" w:cs="Arial" w:eastAsia="Arial" w:hAnsi="Arial"/>
          <w:sz w:val="16"/>
          <w:szCs w:val="16"/>
          <w:color w:val="auto"/>
        </w:rPr>
      </w:pPr>
      <w:r>
        <w:rPr>
          <w:rFonts w:ascii="Arial" w:cs="Arial" w:eastAsia="Arial" w:hAnsi="Arial"/>
          <w:sz w:val="16"/>
          <w:szCs w:val="16"/>
          <w:color w:val="auto"/>
        </w:rPr>
        <w:t>each Assuming Lender or Increasing Lender shall have delivered to the Administrative Agent, on or prior to 11:00 a.m., Atlanta, Georgia time on such Commitment Increase Date (or on or prior to a time on an earlier date specified by the Administrative Agent), an agreement, in form and substance satisfactory to the Borrower and the Administrative Agent, pursuant to which such Lender shall, effective as of such Commitment Increase Date, undertake a Commitment or an increase of Commitment in each case of the respective Class, duly executed by such Assuming Lender and the Borrower and acknowledged by the Administrative Agent.</w:t>
      </w:r>
    </w:p>
    <w:p>
      <w:pPr>
        <w:spacing w:after="0" w:line="53"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spacing w:after="0" w:line="16" w:lineRule="exact"/>
        <w:rPr>
          <w:sz w:val="20"/>
          <w:szCs w:val="20"/>
          <w:color w:val="auto"/>
        </w:rPr>
      </w:pPr>
    </w:p>
    <w:p>
      <w:pPr>
        <w:ind w:right="40" w:firstLine="419"/>
        <w:spacing w:after="0" w:line="259" w:lineRule="auto"/>
        <w:tabs>
          <w:tab w:leader="none" w:pos="873"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Recordation into Register</w:t>
      </w:r>
      <w:r>
        <w:rPr>
          <w:rFonts w:ascii="Arial" w:cs="Arial" w:eastAsia="Arial" w:hAnsi="Arial"/>
          <w:sz w:val="18"/>
          <w:szCs w:val="18"/>
          <w:color w:val="auto"/>
        </w:rPr>
        <w:t xml:space="preserve">. Upon its receipt of an agreement referred to in </w:t>
      </w:r>
      <w:r>
        <w:rPr>
          <w:rFonts w:ascii="Arial" w:cs="Arial" w:eastAsia="Arial" w:hAnsi="Arial"/>
          <w:sz w:val="18"/>
          <w:szCs w:val="18"/>
          <w:u w:val="single" w:color="auto"/>
          <w:color w:val="auto"/>
        </w:rPr>
        <w:t>clause (ii)(y)</w:t>
      </w:r>
      <w:r>
        <w:rPr>
          <w:rFonts w:ascii="Arial" w:cs="Arial" w:eastAsia="Arial" w:hAnsi="Arial"/>
          <w:sz w:val="18"/>
          <w:szCs w:val="18"/>
          <w:color w:val="auto"/>
        </w:rPr>
        <w:t xml:space="preserve"> above executed by an Assuming Lender or any Increasing Lender, together with the certificate referred to in </w:t>
      </w:r>
      <w:r>
        <w:rPr>
          <w:rFonts w:ascii="Arial" w:cs="Arial" w:eastAsia="Arial" w:hAnsi="Arial"/>
          <w:sz w:val="18"/>
          <w:szCs w:val="18"/>
          <w:u w:val="single" w:color="auto"/>
          <w:color w:val="auto"/>
        </w:rPr>
        <w:t>clause (ii)(x)</w:t>
      </w:r>
      <w:r>
        <w:rPr>
          <w:rFonts w:ascii="Arial" w:cs="Arial" w:eastAsia="Arial" w:hAnsi="Arial"/>
          <w:sz w:val="18"/>
          <w:szCs w:val="18"/>
          <w:color w:val="auto"/>
        </w:rPr>
        <w:t xml:space="preserve"> above, the Administrative Agent shall, if such agreement has been completed, (x) accept such agreement, (y) record the information contained therein in the Register and (z) give prompt notice thereof to the Borrower.</w:t>
      </w:r>
    </w:p>
    <w:p>
      <w:pPr>
        <w:spacing w:after="0" w:line="119" w:lineRule="exact"/>
        <w:rPr>
          <w:sz w:val="20"/>
          <w:szCs w:val="20"/>
          <w:color w:val="auto"/>
        </w:rPr>
      </w:pPr>
    </w:p>
    <w:tbl>
      <w:tblPr>
        <w:tblLayout w:type="fixed"/>
        <w:tblInd w:w="504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52</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0580"/>
          </w:cols>
          <w:pgMar w:left="880" w:top="274" w:right="439" w:bottom="1440" w:gutter="0" w:footer="0" w:header="0"/>
        </w:sectPr>
      </w:pPr>
    </w:p>
    <w:bookmarkStart w:id="82" w:name="page83"/>
    <w:bookmarkEnd w:id="82"/>
    <w:p>
      <w:pPr>
        <w:ind w:left="4" w:right="80" w:firstLine="419"/>
        <w:spacing w:after="0" w:line="286" w:lineRule="auto"/>
        <w:tabs>
          <w:tab w:leader="none" w:pos="866"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Adjustments of Borrowings upon Effectiveness of Increase</w:t>
      </w:r>
      <w:r>
        <w:rPr>
          <w:rFonts w:ascii="Arial" w:cs="Arial" w:eastAsia="Arial" w:hAnsi="Arial"/>
          <w:sz w:val="16"/>
          <w:szCs w:val="16"/>
          <w:color w:val="auto"/>
        </w:rPr>
        <w:t xml:space="preserve">. On the Commitment Increase Date, the Borrower shall (A) prepay the outstanding Loans (if any) of the affected Class in full, (B) simultaneously borrow new Loans of such Class hereunder in an amount equal to such prepayment;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w:t>
      </w:r>
      <w:r>
        <w:rPr>
          <w:rFonts w:ascii="Arial" w:cs="Arial" w:eastAsia="Arial" w:hAnsi="Arial"/>
          <w:sz w:val="16"/>
          <w:szCs w:val="16"/>
          <w:u w:val="single" w:color="auto"/>
          <w:color w:val="auto"/>
        </w:rPr>
        <w:t>subclauses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 the prepayment to, and borrowing from, any existing Lender shall be effected by book entry to the extent that any portion of the amount prepaid to such Lender will be subsequently borrowed from such Lender and</w:t>
      </w:r>
    </w:p>
    <w:p>
      <w:pPr>
        <w:spacing w:after="0" w:line="1" w:lineRule="exact"/>
        <w:rPr>
          <w:rFonts w:ascii="Arial" w:cs="Arial" w:eastAsia="Arial" w:hAnsi="Arial"/>
          <w:sz w:val="16"/>
          <w:szCs w:val="16"/>
          <w:color w:val="auto"/>
        </w:rPr>
      </w:pPr>
    </w:p>
    <w:p>
      <w:pPr>
        <w:ind w:left="4" w:right="20" w:hanging="4"/>
        <w:spacing w:after="0" w:line="270" w:lineRule="auto"/>
        <w:tabs>
          <w:tab w:leader="none" w:pos="258"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the existing Lenders, the Increasing Lenders and the Assuming Lenders shall make and receive payments among themselves, in a manner acceptable to the Administrative Agent, so that, after giving effect thereto, the Loans of such Class are held ratably by the Lenders of such Class in accordance with the respective Commitments of such Class of such Lenders (after giving effect to such Commitment Increase) and (C) pay to the Lenders of such Class the amounts, if any, payable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as a result of any such prepayment. Concurrently therewith, the Lenders of such Class shall be deemed to have adjusted their participation interests in any outstanding Letters of Credit of such Class so that such interests are held ratably in accordance with their commitments of such Class as so increased.</w:t>
      </w:r>
    </w:p>
    <w:p>
      <w:pPr>
        <w:spacing w:after="0" w:line="70" w:lineRule="exact"/>
        <w:rPr>
          <w:rFonts w:ascii="Arial" w:cs="Arial" w:eastAsia="Arial" w:hAnsi="Arial"/>
          <w:sz w:val="17"/>
          <w:szCs w:val="17"/>
          <w:color w:val="auto"/>
        </w:rPr>
      </w:pPr>
    </w:p>
    <w:p>
      <w:pPr>
        <w:ind w:left="904" w:hanging="353"/>
        <w:spacing w:after="0"/>
        <w:tabs>
          <w:tab w:leader="none" w:pos="904" w:val="left"/>
        </w:tabs>
        <w:numPr>
          <w:ilvl w:val="2"/>
          <w:numId w:val="59"/>
        </w:numPr>
        <w:rPr>
          <w:rFonts w:ascii="Arial" w:cs="Arial" w:eastAsia="Arial" w:hAnsi="Arial"/>
          <w:sz w:val="17"/>
          <w:szCs w:val="17"/>
          <w:color w:val="auto"/>
        </w:rPr>
      </w:pPr>
      <w:r>
        <w:rPr>
          <w:rFonts w:ascii="Arial" w:cs="Arial" w:eastAsia="Arial" w:hAnsi="Arial"/>
          <w:sz w:val="17"/>
          <w:szCs w:val="17"/>
          <w:u w:val="single" w:color="auto"/>
          <w:color w:val="auto"/>
        </w:rPr>
        <w:t>Reduction of Non-Extending Lenders’ Commitment</w:t>
      </w:r>
      <w:r>
        <w:rPr>
          <w:rFonts w:ascii="Arial" w:cs="Arial" w:eastAsia="Arial" w:hAnsi="Arial"/>
          <w:sz w:val="17"/>
          <w:szCs w:val="17"/>
          <w:color w:val="auto"/>
        </w:rPr>
        <w:t xml:space="preserve">. Notwithstanding anything to the contrary herein (including </w:t>
      </w:r>
      <w:r>
        <w:rPr>
          <w:rFonts w:ascii="Arial" w:cs="Arial" w:eastAsia="Arial" w:hAnsi="Arial"/>
          <w:sz w:val="17"/>
          <w:szCs w:val="17"/>
          <w:u w:val="single" w:color="auto"/>
          <w:color w:val="auto"/>
        </w:rPr>
        <w:t>Section 2.08(d)</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764" w:hanging="341"/>
        <w:spacing w:after="0"/>
        <w:tabs>
          <w:tab w:leader="none" w:pos="764"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Borrower may at any time no Default or Event of Default exists (x) in connection with any Commitment Increase under</w:t>
      </w:r>
    </w:p>
    <w:p>
      <w:pPr>
        <w:spacing w:after="0" w:line="23" w:lineRule="exact"/>
        <w:rPr>
          <w:sz w:val="20"/>
          <w:szCs w:val="20"/>
          <w:color w:val="auto"/>
        </w:rPr>
      </w:pPr>
    </w:p>
    <w:p>
      <w:pPr>
        <w:ind w:left="4" w:right="20"/>
        <w:spacing w:after="0" w:line="252" w:lineRule="auto"/>
        <w:rPr>
          <w:sz w:val="20"/>
          <w:szCs w:val="20"/>
          <w:color w:val="auto"/>
        </w:rPr>
      </w:pPr>
      <w:r>
        <w:rPr>
          <w:rFonts w:ascii="Arial" w:cs="Arial" w:eastAsia="Arial" w:hAnsi="Arial"/>
          <w:sz w:val="18"/>
          <w:szCs w:val="18"/>
          <w:color w:val="auto"/>
        </w:rPr>
        <w:t xml:space="preserve">Section 2.08(e), terminate, or from time to time reduce, the Commitment of any Non-Extending Lender (by an amount not to exceed the amount of such Commitment Increase) without reducing the Commitments of any other Lender or (y) at any time after a Non-Extending Lender’s Non-Extended Commitment Termination Date, prepay the Loans of such Non-Extending Lender without prepaying the Loans of any other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reduction of the Commitment or prepayment of Loans of a Non-Extending Lender hereunder shall be in an amount that is $10,000,000 or a larger multiple of $5,000,000 in excess thereof (or, in each case, the entire Commitment or outstanding Loans of such Non-Extending Lender, as applicable).</w:t>
      </w:r>
    </w:p>
    <w:p>
      <w:pPr>
        <w:spacing w:after="0" w:line="86" w:lineRule="exact"/>
        <w:rPr>
          <w:sz w:val="20"/>
          <w:szCs w:val="20"/>
          <w:color w:val="auto"/>
        </w:rPr>
      </w:pPr>
    </w:p>
    <w:p>
      <w:pPr>
        <w:ind w:left="4" w:right="40" w:firstLine="419"/>
        <w:spacing w:after="0" w:line="291" w:lineRule="auto"/>
        <w:tabs>
          <w:tab w:leader="none" w:pos="823"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The Borrower shall notify the Administrative Agent of any election to terminate or reduce the Commitment or prepay the Loans of any Non-Extending Lender under this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at least two Business Days prior to (x) the related Commitment Increase Date in the case of any termination or reduction or (y) the effective date of such prepayment, in each case, specifying such election and the related Commitment Increase Date or effective date thereof, as applicable. Promptly following receipt of any notice, the Administrative Agent shall advise each Lender of the contents thereof. Each notice delivered by the Borrower pursuant to this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termination may state that such notice is conditioned upon the effectiveness of the related Commitment Increase, in which case such notice may be revoked by the Borrower (by notice to the Administrative Agent on or prior to the specified effective date) if such condition is not satisfied.</w:t>
      </w:r>
    </w:p>
    <w:p>
      <w:pPr>
        <w:spacing w:after="0" w:line="99" w:lineRule="exact"/>
        <w:rPr>
          <w:sz w:val="20"/>
          <w:szCs w:val="20"/>
          <w:color w:val="auto"/>
        </w:rPr>
      </w:pPr>
    </w:p>
    <w:tbl>
      <w:tblPr>
        <w:tblLayout w:type="fixed"/>
        <w:tblInd w:w="5044"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53</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0584"/>
          </w:cols>
          <w:pgMar w:left="876" w:top="274" w:right="439" w:bottom="1440" w:gutter="0" w:footer="0" w:header="0"/>
        </w:sectPr>
      </w:pPr>
    </w:p>
    <w:bookmarkStart w:id="83" w:name="page84"/>
    <w:bookmarkEnd w:id="83"/>
    <w:p>
      <w:pPr>
        <w:ind w:left="440" w:right="320" w:firstLine="419"/>
        <w:spacing w:after="0" w:line="263" w:lineRule="auto"/>
        <w:tabs>
          <w:tab w:leader="none" w:pos="1303"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termination or reduction of the Commitment or prepayment of Loans of any Non-Extending Lender pursuant to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shall be permanent and, if applicable in connection with any termination or reduction of Commitments, shall be made concurrently with all required reallocation prepayments and cash collateralizations required under </w:t>
      </w:r>
      <w:r>
        <w:rPr>
          <w:rFonts w:ascii="Arial" w:cs="Arial" w:eastAsia="Arial" w:hAnsi="Arial"/>
          <w:sz w:val="18"/>
          <w:szCs w:val="18"/>
          <w:u w:val="single" w:color="auto"/>
          <w:color w:val="auto"/>
        </w:rPr>
        <w:t>Section 2.20</w:t>
      </w:r>
      <w:r>
        <w:rPr>
          <w:rFonts w:ascii="Arial" w:cs="Arial" w:eastAsia="Arial" w:hAnsi="Arial"/>
          <w:sz w:val="18"/>
          <w:szCs w:val="18"/>
          <w:color w:val="auto"/>
        </w:rPr>
        <w: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w:t>
      </w:r>
    </w:p>
    <w:p>
      <w:pPr>
        <w:spacing w:after="0" w:line="117" w:lineRule="exact"/>
        <w:rPr>
          <w:sz w:val="20"/>
          <w:szCs w:val="20"/>
          <w:color w:val="auto"/>
        </w:rPr>
      </w:pPr>
    </w:p>
    <w:p>
      <w:pPr>
        <w:ind w:left="1360" w:hanging="373"/>
        <w:spacing w:after="0"/>
        <w:tabs>
          <w:tab w:leader="none" w:pos="136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Repayment</w:t>
      </w:r>
      <w:r>
        <w:rPr>
          <w:rFonts w:ascii="Arial" w:cs="Arial" w:eastAsia="Arial" w:hAnsi="Arial"/>
          <w:sz w:val="18"/>
          <w:szCs w:val="18"/>
          <w:color w:val="auto"/>
        </w:rPr>
        <w:t>. The Borrower hereby unconditionally promises to pay the Loans of each Class as follows:</w:t>
      </w:r>
    </w:p>
    <w:p>
      <w:pPr>
        <w:spacing w:after="0" w:line="117" w:lineRule="exact"/>
        <w:rPr>
          <w:rFonts w:ascii="Arial" w:cs="Arial" w:eastAsia="Arial" w:hAnsi="Arial"/>
          <w:sz w:val="18"/>
          <w:szCs w:val="18"/>
          <w:color w:val="auto"/>
        </w:rPr>
      </w:pPr>
    </w:p>
    <w:p>
      <w:pPr>
        <w:ind w:left="440" w:right="180" w:firstLine="419"/>
        <w:spacing w:after="0" w:line="263" w:lineRule="auto"/>
        <w:tabs>
          <w:tab w:leader="none" w:pos="121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the Administrative Agent for account of the Lenders of such Class the outstanding principal amount of the Syndicated Loans of the Lenders of such Class and all other amounts due and owing hereunder and under the other Loan Documents on such Lender’s applicable Final Maturity Date; and</w:t>
      </w:r>
    </w:p>
    <w:p>
      <w:pPr>
        <w:spacing w:after="0" w:line="75" w:lineRule="exact"/>
        <w:rPr>
          <w:rFonts w:ascii="Arial" w:cs="Arial" w:eastAsia="Arial" w:hAnsi="Arial"/>
          <w:sz w:val="18"/>
          <w:szCs w:val="18"/>
          <w:color w:val="auto"/>
        </w:rPr>
      </w:pPr>
    </w:p>
    <w:p>
      <w:pPr>
        <w:ind w:left="440" w:right="60" w:firstLine="419"/>
        <w:spacing w:after="0" w:line="259" w:lineRule="auto"/>
        <w:tabs>
          <w:tab w:leader="none" w:pos="1263"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to the Swingline Lender the then unpaid principal amount of each Swingline Loan of such Class denominated in Dollars, on the earlier of the Extended Commitment Termination Date and the first date after such Swingline Loan is made that is the 15th or last day of a calendar month and is at least ten Business Days after such Swingline Loan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each date that a Syndicated Borrowing of such Class is made, the Borrower shall repay all Swingline Loans of such Class then outstanding.</w:t>
      </w:r>
    </w:p>
    <w:p>
      <w:pPr>
        <w:spacing w:after="0" w:line="187" w:lineRule="exact"/>
        <w:rPr>
          <w:sz w:val="20"/>
          <w:szCs w:val="20"/>
          <w:color w:val="auto"/>
        </w:rPr>
      </w:pPr>
    </w:p>
    <w:p>
      <w:pPr>
        <w:jc w:val="both"/>
        <w:ind w:right="100" w:firstLine="991"/>
        <w:spacing w:after="0" w:line="301" w:lineRule="auto"/>
        <w:rPr>
          <w:sz w:val="20"/>
          <w:szCs w:val="20"/>
          <w:color w:val="auto"/>
        </w:rPr>
      </w:pPr>
      <w:r>
        <w:rPr>
          <w:rFonts w:ascii="Arial" w:cs="Arial" w:eastAsia="Arial" w:hAnsi="Arial"/>
          <w:sz w:val="16"/>
          <w:szCs w:val="16"/>
          <w:color w:val="auto"/>
        </w:rPr>
        <w:t>In addition, on the Extended Commitment Termination Date, the Borrower shall deposit Cash into the Letter of Credit Collateral Account (denominated in the Currency of the Letter of Credit under which such LC Exposure arises) in an amount equal to 100% of the undrawn face amount of all Letters of Credit outstanding on the close of business on the Extended Commitment Termination Date, such deposit to be held by the Administrative Agent as collateral security for the LC Exposure under this Agreement in respect of the undrawn portion of such Letters of Credit.</w:t>
      </w:r>
    </w:p>
    <w:p>
      <w:pPr>
        <w:spacing w:after="0" w:line="49" w:lineRule="exact"/>
        <w:rPr>
          <w:sz w:val="20"/>
          <w:szCs w:val="20"/>
          <w:color w:val="auto"/>
        </w:rPr>
      </w:pPr>
    </w:p>
    <w:p>
      <w:pPr>
        <w:ind w:right="120" w:firstLine="987"/>
        <w:spacing w:after="0" w:line="269" w:lineRule="auto"/>
        <w:tabs>
          <w:tab w:leader="none" w:pos="1381"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Manner of Payment</w:t>
      </w:r>
      <w:r>
        <w:rPr>
          <w:rFonts w:ascii="Arial" w:cs="Arial" w:eastAsia="Arial" w:hAnsi="Arial"/>
          <w:sz w:val="17"/>
          <w:szCs w:val="17"/>
          <w:color w:val="auto"/>
        </w:rPr>
        <w:t xml:space="preserve">. Prior to any repayment or prepayment of any Borrowings to any Lenders of any Class hereunder, the Borrower shall select the Borrowing or Borrowings of such Class to be paid and shall notify the Administrative Agent by telephone (confirmed by telecopy) of such selection not later than the time set forth in </w:t>
      </w:r>
      <w:r>
        <w:rPr>
          <w:rFonts w:ascii="Arial" w:cs="Arial" w:eastAsia="Arial" w:hAnsi="Arial"/>
          <w:sz w:val="17"/>
          <w:szCs w:val="17"/>
          <w:u w:val="single" w:color="auto"/>
          <w:color w:val="auto"/>
        </w:rPr>
        <w:t>Section 2.10(f)</w:t>
      </w:r>
      <w:r>
        <w:rPr>
          <w:rFonts w:ascii="Arial" w:cs="Arial" w:eastAsia="Arial" w:hAnsi="Arial"/>
          <w:sz w:val="17"/>
          <w:szCs w:val="17"/>
          <w:color w:val="auto"/>
        </w:rPr>
        <w:t xml:space="preserve"> prior to the scheduled date of such repayment;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repayment of Borrowings to any Lenders of a Class shall be applied to repay any outstanding ABR Borrowings of such Class 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 Periods (the Borrowing with the shortest remaining Interest Period to be repaid first). Other than in connection with a reduction or termination of Commitments or prepayment of Loans pursuant to </w:t>
      </w:r>
      <w:r>
        <w:rPr>
          <w:rFonts w:ascii="Arial" w:cs="Arial" w:eastAsia="Arial" w:hAnsi="Arial"/>
          <w:sz w:val="17"/>
          <w:szCs w:val="17"/>
          <w:u w:val="single" w:color="auto"/>
          <w:color w:val="auto"/>
        </w:rPr>
        <w:t>Section 2.08(f)</w:t>
      </w:r>
      <w:r>
        <w:rPr>
          <w:rFonts w:ascii="Arial" w:cs="Arial" w:eastAsia="Arial" w:hAnsi="Arial"/>
          <w:sz w:val="17"/>
          <w:szCs w:val="17"/>
          <w:color w:val="auto"/>
        </w:rPr>
        <w:t xml:space="preserve">, the occurrence of the Final Maturity Date with respect to any Lender pursuant to </w:t>
      </w:r>
      <w:r>
        <w:rPr>
          <w:rFonts w:ascii="Arial" w:cs="Arial" w:eastAsia="Arial" w:hAnsi="Arial"/>
          <w:sz w:val="17"/>
          <w:szCs w:val="17"/>
          <w:u w:val="single" w:color="auto"/>
          <w:color w:val="auto"/>
        </w:rPr>
        <w:t>Section 2.09(a)</w:t>
      </w:r>
      <w:r>
        <w:rPr>
          <w:rFonts w:ascii="Arial" w:cs="Arial" w:eastAsia="Arial" w:hAnsi="Arial"/>
          <w:sz w:val="17"/>
          <w:szCs w:val="17"/>
          <w:color w:val="auto"/>
        </w:rPr>
        <w:t xml:space="preserve"> or a mandatory prepayment pursuant to </w:t>
      </w:r>
      <w:r>
        <w:rPr>
          <w:rFonts w:ascii="Arial" w:cs="Arial" w:eastAsia="Arial" w:hAnsi="Arial"/>
          <w:sz w:val="17"/>
          <w:szCs w:val="17"/>
          <w:u w:val="single" w:color="auto"/>
          <w:color w:val="auto"/>
        </w:rPr>
        <w:t>Section 2.10(e)</w:t>
      </w:r>
      <w:r>
        <w:rPr>
          <w:rFonts w:ascii="Arial" w:cs="Arial" w:eastAsia="Arial" w:hAnsi="Arial"/>
          <w:sz w:val="17"/>
          <w:szCs w:val="17"/>
          <w:color w:val="auto"/>
        </w:rPr>
        <w:t>, each payment of a Syndicated Borrowing to Lenders of a Class shall be applied ratably (both with respect to (x) Dollar Loans and Multicurrency Loans and (y) Extended Loans and Non-Extended Loans) to the Loans included in such Borrowing.</w:t>
      </w:r>
    </w:p>
    <w:p>
      <w:pPr>
        <w:spacing w:after="0" w:line="114"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54</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84" w:name="page85"/>
    <w:bookmarkEnd w:id="84"/>
    <w:p>
      <w:pPr>
        <w:ind w:left="4" w:right="460" w:firstLine="987"/>
        <w:spacing w:after="0" w:line="263" w:lineRule="auto"/>
        <w:tabs>
          <w:tab w:leader="none" w:pos="1375"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Maintenance of Records by Lenders</w:t>
      </w:r>
      <w:r>
        <w:rPr>
          <w:rFonts w:ascii="Arial" w:cs="Arial" w:eastAsia="Arial" w:hAnsi="Arial"/>
          <w:sz w:val="18"/>
          <w:szCs w:val="18"/>
          <w:color w:val="auto"/>
        </w:rPr>
        <w: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w:t>
      </w:r>
    </w:p>
    <w:p>
      <w:pPr>
        <w:spacing w:after="0" w:line="75" w:lineRule="exact"/>
        <w:rPr>
          <w:rFonts w:ascii="Arial" w:cs="Arial" w:eastAsia="Arial" w:hAnsi="Arial"/>
          <w:sz w:val="18"/>
          <w:szCs w:val="18"/>
          <w:color w:val="auto"/>
        </w:rPr>
      </w:pPr>
    </w:p>
    <w:p>
      <w:pPr>
        <w:ind w:left="1384" w:hanging="393"/>
        <w:spacing w:after="0"/>
        <w:tabs>
          <w:tab w:leader="none" w:pos="1384"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Maintenance of Records by the Administrative Agent</w:t>
      </w:r>
      <w:r>
        <w:rPr>
          <w:rFonts w:ascii="Arial" w:cs="Arial" w:eastAsia="Arial" w:hAnsi="Arial"/>
          <w:sz w:val="17"/>
          <w:szCs w:val="17"/>
          <w:color w:val="auto"/>
        </w:rPr>
        <w:t>. The Administrative Agent shall maintain records in which it shall record</w:t>
      </w:r>
    </w:p>
    <w:p>
      <w:pPr>
        <w:spacing w:after="0" w:line="34" w:lineRule="exact"/>
        <w:rPr>
          <w:rFonts w:ascii="Arial" w:cs="Arial" w:eastAsia="Arial" w:hAnsi="Arial"/>
          <w:sz w:val="17"/>
          <w:szCs w:val="17"/>
          <w:color w:val="auto"/>
        </w:rPr>
      </w:pPr>
    </w:p>
    <w:p>
      <w:pPr>
        <w:ind w:left="4" w:right="40" w:hanging="4"/>
        <w:spacing w:after="0" w:line="302" w:lineRule="auto"/>
        <w:tabs>
          <w:tab w:leader="none" w:pos="219"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amount and Currency of each Loan made hereunder, the Class and Type thereof and each Interest Period therefor, (ii) the amount and Currency of any principal or interest due and payable or to become due and payable from the Borrower to each Lender of such Class hereunder and (iii) the amount and Currency of any sum received by the Administrative Agent hereunder for account of the Lenders and each Lender’s share thereof.</w:t>
      </w:r>
    </w:p>
    <w:p>
      <w:pPr>
        <w:spacing w:after="0" w:line="47" w:lineRule="exact"/>
        <w:rPr>
          <w:rFonts w:ascii="Arial" w:cs="Arial" w:eastAsia="Arial" w:hAnsi="Arial"/>
          <w:sz w:val="16"/>
          <w:szCs w:val="16"/>
          <w:color w:val="auto"/>
        </w:rPr>
      </w:pPr>
    </w:p>
    <w:p>
      <w:pPr>
        <w:ind w:left="4" w:right="220" w:firstLine="987"/>
        <w:spacing w:after="0" w:line="259" w:lineRule="auto"/>
        <w:tabs>
          <w:tab w:leader="none" w:pos="1375"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Effect of Entries</w:t>
      </w:r>
      <w:r>
        <w:rPr>
          <w:rFonts w:ascii="Arial" w:cs="Arial" w:eastAsia="Arial" w:hAnsi="Arial"/>
          <w:sz w:val="18"/>
          <w:szCs w:val="18"/>
          <w:color w:val="auto"/>
        </w:rPr>
        <w:t xml:space="preserve">. The entries made in the records maintained pursuant to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Section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absent obvious error, of the existence and amounts of the obligations recorded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records or any error therein shall not in any manner affect the obligation of the Borrower to repay the Loans in accordance with the terms of this Agreement.</w:t>
      </w:r>
    </w:p>
    <w:p>
      <w:pPr>
        <w:spacing w:after="0" w:line="78" w:lineRule="exact"/>
        <w:rPr>
          <w:rFonts w:ascii="Arial" w:cs="Arial" w:eastAsia="Arial" w:hAnsi="Arial"/>
          <w:sz w:val="18"/>
          <w:szCs w:val="18"/>
          <w:color w:val="auto"/>
        </w:rPr>
      </w:pPr>
    </w:p>
    <w:p>
      <w:pPr>
        <w:ind w:left="4" w:right="80" w:firstLine="987"/>
        <w:spacing w:after="0" w:line="296" w:lineRule="auto"/>
        <w:tabs>
          <w:tab w:leader="none" w:pos="1355"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Promissory Notes</w:t>
      </w:r>
      <w:r>
        <w:rPr>
          <w:rFonts w:ascii="Arial" w:cs="Arial" w:eastAsia="Arial" w:hAnsi="Arial"/>
          <w:sz w:val="16"/>
          <w:szCs w:val="16"/>
          <w:color w:val="auto"/>
        </w:rPr>
        <w:t xml:space="preserve">.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Arial" w:cs="Arial" w:eastAsia="Arial" w:hAnsi="Arial"/>
          <w:sz w:val="16"/>
          <w:szCs w:val="16"/>
          <w:u w:val="single" w:color="auto"/>
          <w:color w:val="auto"/>
        </w:rPr>
        <w:t>Section 9.04</w:t>
      </w:r>
      <w:r>
        <w:rPr>
          <w:rFonts w:ascii="Arial" w:cs="Arial" w:eastAsia="Arial" w:hAnsi="Arial"/>
          <w:sz w:val="16"/>
          <w:szCs w:val="16"/>
          <w:color w:val="auto"/>
        </w:rPr>
        <w:t>) be represented by one or more promissory notes in such form payable to the payee named therein (or, if such promissory note is a registered note, to such payee and its registered assigns).</w:t>
      </w:r>
    </w:p>
    <w:p>
      <w:pPr>
        <w:spacing w:after="0" w:line="16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Prepayment of Loans</w:t>
      </w:r>
      <w:r>
        <w:rPr>
          <w:rFonts w:ascii="Arial" w:cs="Arial" w:eastAsia="Arial" w:hAnsi="Arial"/>
          <w:sz w:val="18"/>
          <w:szCs w:val="18"/>
          <w:color w:val="auto"/>
        </w:rPr>
        <w:t>.</w:t>
      </w:r>
    </w:p>
    <w:p>
      <w:pPr>
        <w:spacing w:after="0" w:line="117" w:lineRule="exact"/>
        <w:rPr>
          <w:sz w:val="20"/>
          <w:szCs w:val="20"/>
          <w:color w:val="auto"/>
        </w:rPr>
      </w:pPr>
    </w:p>
    <w:p>
      <w:pPr>
        <w:ind w:left="4" w:right="120" w:firstLine="987"/>
        <w:spacing w:after="0" w:line="257" w:lineRule="auto"/>
        <w:tabs>
          <w:tab w:leader="none" w:pos="1375"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Optional Prepayments</w:t>
      </w:r>
      <w:r>
        <w:rPr>
          <w:rFonts w:ascii="Arial" w:cs="Arial" w:eastAsia="Arial" w:hAnsi="Arial"/>
          <w:sz w:val="18"/>
          <w:szCs w:val="18"/>
          <w:color w:val="auto"/>
        </w:rPr>
        <w:t xml:space="preserve">. The Borrower shall have the right at any time and from time to time to prepay any Borrowing in whole or in part, without premium or penalty except for payments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subject to the requirements of this Section. Any prepayment of a Borrowing made in accordance with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shall be applied ratably among the Lenders unless such prepayment is made in connection with the reduction of Commitments or the prepayment of Loans in accordance with </w:t>
      </w:r>
      <w:r>
        <w:rPr>
          <w:rFonts w:ascii="Arial" w:cs="Arial" w:eastAsia="Arial" w:hAnsi="Arial"/>
          <w:sz w:val="18"/>
          <w:szCs w:val="18"/>
          <w:u w:val="single" w:color="auto"/>
          <w:color w:val="auto"/>
        </w:rPr>
        <w:t>Section 2.08(f)</w:t>
      </w:r>
      <w:r>
        <w:rPr>
          <w:rFonts w:ascii="Arial" w:cs="Arial" w:eastAsia="Arial" w:hAnsi="Arial"/>
          <w:sz w:val="18"/>
          <w:szCs w:val="18"/>
          <w:color w:val="auto"/>
        </w:rPr>
        <w:t xml:space="preserve"> in which case such prepayment shall be applied in accordance with </w:t>
      </w:r>
      <w:r>
        <w:rPr>
          <w:rFonts w:ascii="Arial" w:cs="Arial" w:eastAsia="Arial" w:hAnsi="Arial"/>
          <w:sz w:val="18"/>
          <w:szCs w:val="18"/>
          <w:u w:val="single" w:color="auto"/>
          <w:color w:val="auto"/>
        </w:rPr>
        <w:t>Section 2.08(f)</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left="1384" w:hanging="393"/>
        <w:spacing w:after="0"/>
        <w:tabs>
          <w:tab w:leader="none" w:pos="1384"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Mandatory Prepayments due to Changes in Exchange Rates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20" w:firstLine="419"/>
        <w:spacing w:after="0" w:line="263" w:lineRule="auto"/>
        <w:tabs>
          <w:tab w:leader="none" w:pos="121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Determination of Amount Outstanding</w:t>
      </w:r>
      <w:r>
        <w:rPr>
          <w:rFonts w:ascii="Arial" w:cs="Arial" w:eastAsia="Arial" w:hAnsi="Arial"/>
          <w:sz w:val="18"/>
          <w:szCs w:val="18"/>
          <w:color w:val="auto"/>
        </w:rPr>
        <w:t>. On each Quarterly Date and, in addition, promptly upon the receipt by the Administrative Agent of a Currency Valuation Notice (as defined below), the Administrative Agent shall determine the aggregate Revolving Multicurrency Credit Exposure. For the purpose of this determination, the</w:t>
      </w:r>
    </w:p>
    <w:p>
      <w:pPr>
        <w:spacing w:after="0" w:line="116"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55</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85" w:name="page86"/>
    <w:bookmarkEnd w:id="85"/>
    <w:p>
      <w:pPr>
        <w:ind w:left="440"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outstanding principal amount of any Loan that is denominated in any Foreign Currency shall be deemed to be the Dollar Equivalent of the amount in the Foreign Currency of such Loan, determined as of such Quarterly Date or, in the case of a Currency Valuation Notice received by the Administrative Agent prior to 11:00 a.m., Atlanta, Georgia time, on a Business Day, on such Business Day or, in the case of a Currency Valuation Notice otherwise received, on the first Business Day after such Currency Valuation Notice is received. Upon making such determination, the Administrative Agent shall promptly notify the Multicurrency Lenders and the Borrower thereof.</w:t>
      </w:r>
    </w:p>
    <w:p>
      <w:pPr>
        <w:spacing w:after="0" w:line="68" w:lineRule="exact"/>
        <w:rPr>
          <w:sz w:val="20"/>
          <w:szCs w:val="20"/>
          <w:color w:val="auto"/>
        </w:rPr>
      </w:pPr>
    </w:p>
    <w:p>
      <w:pPr>
        <w:ind w:left="440" w:right="40" w:firstLine="419"/>
        <w:spacing w:after="0" w:line="293" w:lineRule="auto"/>
        <w:tabs>
          <w:tab w:leader="none" w:pos="1263"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Prepayment</w:t>
      </w:r>
      <w:r>
        <w:rPr>
          <w:rFonts w:ascii="Arial" w:cs="Arial" w:eastAsia="Arial" w:hAnsi="Arial"/>
          <w:sz w:val="16"/>
          <w:szCs w:val="16"/>
          <w:color w:val="auto"/>
        </w:rPr>
        <w:t xml:space="preserve">. If on the date of such determination the aggregate Revolving Multicurrency Credit Exposure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Multicurrency LC Exposure fully Cash Collateralized on such date exceeds 105% of the aggregate amount of the Multicurrency Commitments as then in effect, the Borrower shall, if requested by the Required Multicurrency Lenders (through the Administrative Agent), prepay the Syndicated Multicurrency Loans and Swingline Multicurrency Loans (and/or provide Cash Collateral for Multicurrency LC Exposure as specified in </w:t>
      </w:r>
      <w:r>
        <w:rPr>
          <w:rFonts w:ascii="Arial" w:cs="Arial" w:eastAsia="Arial" w:hAnsi="Arial"/>
          <w:sz w:val="16"/>
          <w:szCs w:val="16"/>
          <w:u w:val="single" w:color="auto"/>
          <w:color w:val="auto"/>
        </w:rPr>
        <w:t>Section 2.05(k)</w:t>
      </w:r>
      <w:r>
        <w:rPr>
          <w:rFonts w:ascii="Arial" w:cs="Arial" w:eastAsia="Arial" w:hAnsi="Arial"/>
          <w:sz w:val="16"/>
          <w:szCs w:val="16"/>
          <w:color w:val="auto"/>
        </w:rPr>
        <w:t>) within 15 Business Days following the Borrower’s receipt of such request in such amounts as shall be necessary so that after giving effect thereto the aggregate Revolving Multicurrency Credit Exposure does not exceed the Multicurrency Commitments.</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purposes hereof “</w:t>
      </w:r>
      <w:r>
        <w:rPr>
          <w:rFonts w:ascii="Arial" w:cs="Arial" w:eastAsia="Arial" w:hAnsi="Arial"/>
          <w:sz w:val="18"/>
          <w:szCs w:val="18"/>
          <w:u w:val="single" w:color="auto"/>
          <w:color w:val="auto"/>
        </w:rPr>
        <w:t>Currency Valuation Notice</w:t>
      </w:r>
      <w:r>
        <w:rPr>
          <w:rFonts w:ascii="Arial" w:cs="Arial" w:eastAsia="Arial" w:hAnsi="Arial"/>
          <w:sz w:val="18"/>
          <w:szCs w:val="18"/>
          <w:color w:val="auto"/>
        </w:rPr>
        <w:t>” means a notice given by the Required Multicurrency Lenders to the Administrative Agent stating that such notice is a “Currency Valuation Notice” and requesting that the Administrative Agent determine the aggregate Revolving Multicurrency Credit Exposure. The Administrative Agent shall not be required to make more than one valuation determination pursuant to Currency Valuation Notices within any rolling three month period.</w:t>
      </w:r>
    </w:p>
    <w:p>
      <w:pPr>
        <w:spacing w:after="0" w:line="187"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 xml:space="preserve">Any prepayment pursuant to this paragraph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Swingline Multicurrency Loans outstanding,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Syndicated Multicurrency Loans outstanding and </w:t>
      </w:r>
      <w:r>
        <w:rPr>
          <w:rFonts w:ascii="Arial" w:cs="Arial" w:eastAsia="Arial" w:hAnsi="Arial"/>
          <w:sz w:val="18"/>
          <w:szCs w:val="18"/>
          <w:u w:val="single" w:color="auto"/>
          <w:color w:val="auto"/>
        </w:rPr>
        <w:t>third</w:t>
      </w:r>
      <w:r>
        <w:rPr>
          <w:rFonts w:ascii="Arial" w:cs="Arial" w:eastAsia="Arial" w:hAnsi="Arial"/>
          <w:sz w:val="18"/>
          <w:szCs w:val="18"/>
          <w:color w:val="auto"/>
        </w:rPr>
        <w:t>, as cover for Multicurrency LC Exposure.</w:t>
      </w:r>
    </w:p>
    <w:p>
      <w:pPr>
        <w:spacing w:after="0" w:line="62" w:lineRule="exact"/>
        <w:rPr>
          <w:sz w:val="20"/>
          <w:szCs w:val="20"/>
          <w:color w:val="auto"/>
        </w:rPr>
      </w:pPr>
    </w:p>
    <w:p>
      <w:pPr>
        <w:ind w:right="40" w:firstLine="987"/>
        <w:spacing w:after="0" w:line="288" w:lineRule="auto"/>
        <w:tabs>
          <w:tab w:leader="none" w:pos="1371"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Mandatory Prepayments due to Borrowing Base Deficiency</w:t>
      </w:r>
      <w:r>
        <w:rPr>
          <w:rFonts w:ascii="Arial" w:cs="Arial" w:eastAsia="Arial" w:hAnsi="Arial"/>
          <w:sz w:val="16"/>
          <w:szCs w:val="16"/>
          <w:color w:val="auto"/>
        </w:rPr>
        <w:t xml:space="preserve">. In the event that at any time any Borrowing Base Deficiency shall exist, the Borrower shall, within five Business Days after delivery of the applicable Borrowing Base Certificate, prepay the Loans (or provide Cash Collateral for Letters of Credit as contemplated by </w:t>
      </w:r>
      <w:r>
        <w:rPr>
          <w:rFonts w:ascii="Arial" w:cs="Arial" w:eastAsia="Arial" w:hAnsi="Arial"/>
          <w:sz w:val="16"/>
          <w:szCs w:val="16"/>
          <w:u w:val="single" w:color="auto"/>
          <w:color w:val="auto"/>
        </w:rPr>
        <w:t>Section 2.05(k)</w:t>
      </w:r>
      <w:r>
        <w:rPr>
          <w:rFonts w:ascii="Arial" w:cs="Arial" w:eastAsia="Arial" w:hAnsi="Arial"/>
          <w:sz w:val="16"/>
          <w:szCs w:val="16"/>
          <w:color w:val="auto"/>
        </w:rPr>
        <w:t xml:space="preserve">) or reduce Other Covered Indebtedness in such amounts as shall be necessary so that such Borrowing Base Deficiency is cured;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aggregate amount of such prepayment of Loans (and Cash Collateral for Letters of Credit) shall be at least equal to the Revolving Percentage times the aggregate prepayment of the Covered Debt Amount, and (ii) if, within five Business Days after delivery of a Borrowing Base Certificate demonstrating such Borrowing Base Deficiency, the Borrower shall present the Administrative Agent with a reasonably feasible plan acceptable to the Administrative Agent in its sole discretion to enable such Borrowing Base Deficiency to be cured within 30 Business Days (which 30-Business Day period shall include the five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w:t>
      </w:r>
    </w:p>
    <w:p>
      <w:pPr>
        <w:spacing w:after="0" w:line="101"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56</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86" w:name="page87"/>
    <w:bookmarkEnd w:id="86"/>
    <w:p>
      <w:pPr>
        <w:ind w:left="1380" w:hanging="393"/>
        <w:spacing w:after="0"/>
        <w:tabs>
          <w:tab w:leader="none" w:pos="1380" w:val="left"/>
        </w:tabs>
        <w:numPr>
          <w:ilvl w:val="1"/>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[Reserved].</w:t>
      </w:r>
    </w:p>
    <w:p>
      <w:pPr>
        <w:spacing w:after="0" w:line="117" w:lineRule="exact"/>
        <w:rPr>
          <w:rFonts w:ascii="Arial" w:cs="Arial" w:eastAsia="Arial" w:hAnsi="Arial"/>
          <w:sz w:val="18"/>
          <w:szCs w:val="18"/>
          <w:color w:val="auto"/>
        </w:rPr>
      </w:pPr>
    </w:p>
    <w:p>
      <w:pPr>
        <w:ind w:right="140" w:firstLine="987"/>
        <w:spacing w:after="0" w:line="263" w:lineRule="auto"/>
        <w:tabs>
          <w:tab w:leader="none" w:pos="1371"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Mandatory Prepayments During Amortization Period</w:t>
      </w:r>
      <w:r>
        <w:rPr>
          <w:rFonts w:ascii="Arial" w:cs="Arial" w:eastAsia="Arial" w:hAnsi="Arial"/>
          <w:sz w:val="18"/>
          <w:szCs w:val="18"/>
          <w:color w:val="auto"/>
        </w:rPr>
        <w:t>. During the period commencing on the date immediately following the Commitment Termination Date with respect to any Loans of any Lender or Lenders and ending on the Final Maturity Date with respect to the Loans of such Lender or Lenders:</w:t>
      </w:r>
    </w:p>
    <w:p>
      <w:pPr>
        <w:spacing w:after="0" w:line="75" w:lineRule="exact"/>
        <w:rPr>
          <w:rFonts w:ascii="Arial" w:cs="Arial" w:eastAsia="Arial" w:hAnsi="Arial"/>
          <w:sz w:val="18"/>
          <w:szCs w:val="18"/>
          <w:color w:val="auto"/>
        </w:rPr>
      </w:pPr>
    </w:p>
    <w:p>
      <w:pPr>
        <w:ind w:left="440" w:right="60" w:firstLine="419"/>
        <w:spacing w:after="0" w:line="257" w:lineRule="auto"/>
        <w:tabs>
          <w:tab w:leader="none" w:pos="1213"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Asset Disposition</w:t>
      </w:r>
      <w:r>
        <w:rPr>
          <w:rFonts w:ascii="Arial" w:cs="Arial" w:eastAsia="Arial" w:hAnsi="Arial"/>
          <w:sz w:val="18"/>
          <w:szCs w:val="18"/>
          <w:color w:val="auto"/>
        </w:rPr>
        <w:t>. If the Borrower or any of its Subsidiaries (other than a Financing Subsidiary) Disposes of any property which results in the receipt by such Person of Net Cash Proceeds in excess of $3,000,000 in the aggregate since the applicable Commitment Termination Date (which aggregate amount shall reset to $0 on the Extended Commitment Termination Date), the Borrower shall prepay an aggregate principal amount of such Loans owed to such Lender or Lenders equal to 100% of such Net Cash Proceeds no later than the fifth Business Day following the receipt of such Net Cash Proceeds.</w:t>
      </w:r>
    </w:p>
    <w:p>
      <w:pPr>
        <w:spacing w:after="0" w:line="79" w:lineRule="exact"/>
        <w:rPr>
          <w:rFonts w:ascii="Arial" w:cs="Arial" w:eastAsia="Arial" w:hAnsi="Arial"/>
          <w:sz w:val="18"/>
          <w:szCs w:val="18"/>
          <w:color w:val="auto"/>
        </w:rPr>
      </w:pPr>
    </w:p>
    <w:p>
      <w:pPr>
        <w:jc w:val="both"/>
        <w:ind w:left="440" w:right="20" w:firstLine="419"/>
        <w:spacing w:after="0" w:line="259" w:lineRule="auto"/>
        <w:tabs>
          <w:tab w:leader="none" w:pos="1263"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Equity Issuance</w:t>
      </w:r>
      <w:r>
        <w:rPr>
          <w:rFonts w:ascii="Arial" w:cs="Arial" w:eastAsia="Arial" w:hAnsi="Arial"/>
          <w:sz w:val="18"/>
          <w:szCs w:val="18"/>
          <w:color w:val="auto"/>
        </w:rPr>
        <w:t>. Upon the sale or issuance by the Borrower or any of its Subsidiaries (other than a Financing Subsidiary) of any of its Equity Interests (other than any sales or issuances of Equity Interests to the Borrower or any Subsidiary Guarantor), the Borrower shall prepay an aggregate principal amount of such Loans owed to such Lender or Lenders equal to 75% of all Net Cash Proceeds received therefrom no later than the fifth Business Day following the receipt of such Net Cash Proceeds.</w:t>
      </w:r>
    </w:p>
    <w:p>
      <w:pPr>
        <w:spacing w:after="0" w:line="78" w:lineRule="exact"/>
        <w:rPr>
          <w:rFonts w:ascii="Arial" w:cs="Arial" w:eastAsia="Arial" w:hAnsi="Arial"/>
          <w:sz w:val="18"/>
          <w:szCs w:val="18"/>
          <w:color w:val="auto"/>
        </w:rPr>
      </w:pPr>
    </w:p>
    <w:p>
      <w:pPr>
        <w:ind w:left="440" w:right="60" w:firstLine="419"/>
        <w:spacing w:after="0" w:line="259" w:lineRule="auto"/>
        <w:tabs>
          <w:tab w:leader="none" w:pos="1313"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Indebtedness</w:t>
      </w:r>
      <w:r>
        <w:rPr>
          <w:rFonts w:ascii="Arial" w:cs="Arial" w:eastAsia="Arial" w:hAnsi="Arial"/>
          <w:sz w:val="18"/>
          <w:szCs w:val="18"/>
          <w:color w:val="auto"/>
        </w:rPr>
        <w:t>. Upon the incurrence or issuance by the Borrower or any of its Subsidiaries (other than a Financing Subsidiary) of any Indebtedness (other than the making of any Loans or issuance of any Letters of Credit hereunder), the Borrower shall prepay an aggregate principal amount of such Loans owed to such Lender or Lenders equal to 100% of all Net Cash Proceeds received therefrom no later than the fifth Business Day following the receipt of such Net Cash Proceeds.</w:t>
      </w:r>
    </w:p>
    <w:p>
      <w:pPr>
        <w:spacing w:after="0" w:line="78" w:lineRule="exact"/>
        <w:rPr>
          <w:rFonts w:ascii="Arial" w:cs="Arial" w:eastAsia="Arial" w:hAnsi="Arial"/>
          <w:sz w:val="18"/>
          <w:szCs w:val="18"/>
          <w:color w:val="auto"/>
        </w:rPr>
      </w:pPr>
    </w:p>
    <w:p>
      <w:pPr>
        <w:ind w:left="440" w:right="100" w:firstLine="419"/>
        <w:spacing w:after="0" w:line="255" w:lineRule="auto"/>
        <w:tabs>
          <w:tab w:leader="none" w:pos="1303"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Extraordinary Receipt</w:t>
      </w:r>
      <w:r>
        <w:rPr>
          <w:rFonts w:ascii="Arial" w:cs="Arial" w:eastAsia="Arial" w:hAnsi="Arial"/>
          <w:sz w:val="18"/>
          <w:szCs w:val="18"/>
          <w:color w:val="auto"/>
        </w:rPr>
        <w:t xml:space="preserve">. Upon any Extraordinary Receipt (which, when taken with all other Extraordinary Receipts received after the applicable Commitment Termination Date, exceeds $7,500,000 in the aggregate (which aggregate amount shall reset to $0 on the Extended Commitment Termination Date)) received by or paid to or for the account of the Borrower or any of its Subsidiaries (other than a Financing Subsidiary), and not otherwise included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2.10(e)</w:t>
      </w:r>
      <w:r>
        <w:rPr>
          <w:rFonts w:ascii="Arial" w:cs="Arial" w:eastAsia="Arial" w:hAnsi="Arial"/>
          <w:sz w:val="18"/>
          <w:szCs w:val="18"/>
          <w:color w:val="auto"/>
        </w:rPr>
        <w:t>, the Borrower shall prepay an aggregate principal amount of such Loans owed to such Lender or Lenders equal to 100% of all Net Cash Proceeds received therefrom no later than the fifth Business Day following the receipt of such Net Cash Proceeds.</w:t>
      </w:r>
    </w:p>
    <w:p>
      <w:pPr>
        <w:spacing w:after="0" w:line="84" w:lineRule="exact"/>
        <w:rPr>
          <w:rFonts w:ascii="Arial" w:cs="Arial" w:eastAsia="Arial" w:hAnsi="Arial"/>
          <w:sz w:val="18"/>
          <w:szCs w:val="18"/>
          <w:color w:val="auto"/>
        </w:rPr>
      </w:pPr>
    </w:p>
    <w:p>
      <w:pPr>
        <w:ind w:left="440" w:right="120" w:firstLine="419"/>
        <w:spacing w:after="0" w:line="311" w:lineRule="auto"/>
        <w:tabs>
          <w:tab w:leader="none" w:pos="1253"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Return of Capital</w:t>
      </w:r>
      <w:r>
        <w:rPr>
          <w:rFonts w:ascii="Arial" w:cs="Arial" w:eastAsia="Arial" w:hAnsi="Arial"/>
          <w:sz w:val="16"/>
          <w:szCs w:val="16"/>
          <w:color w:val="auto"/>
        </w:rPr>
        <w:t xml:space="preserve">. If any Obligor shall receive any Return of Capital (other than from any Financing Subsidiary), the Borrower shall prepay an aggregate principal amount of such Loans owed to such Lender or Lenders equal to 90% of such Return of Capital (excluding amounts payable by the Borrower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 no later than the fifth Business Day following the receipt of such Return of Capital.</w:t>
      </w:r>
    </w:p>
    <w:p>
      <w:pPr>
        <w:spacing w:after="0" w:line="149"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Notwithstanding the foregoing, Net Cash Proceeds and Return of Capital required to be applied to the prepayment of the Loans pursuant to this </w:t>
      </w:r>
      <w:r>
        <w:rPr>
          <w:rFonts w:ascii="Arial" w:cs="Arial" w:eastAsia="Arial" w:hAnsi="Arial"/>
          <w:sz w:val="18"/>
          <w:szCs w:val="18"/>
          <w:u w:val="single" w:color="auto"/>
          <w:color w:val="auto"/>
        </w:rPr>
        <w:t>Section 2.10(e)</w:t>
      </w:r>
      <w:r>
        <w:rPr>
          <w:rFonts w:ascii="Arial" w:cs="Arial" w:eastAsia="Arial" w:hAnsi="Arial"/>
          <w:sz w:val="18"/>
          <w:szCs w:val="18"/>
          <w:color w:val="auto"/>
        </w:rPr>
        <w:t xml:space="preserve"> shall (A) (I) from the period</w:t>
      </w:r>
    </w:p>
    <w:p>
      <w:pPr>
        <w:spacing w:after="0" w:line="103"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57</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87" w:name="page88"/>
    <w:bookmarkEnd w:id="87"/>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commencing on the Non-Extended Commitment Termination Date and ending on the Extended Commitment Termination Date, be applied ratably among the Non-Extending Lenders for which the Non-Extending Lender Commitment Termination Date shall have occurred and (II) from the Extended Commitment Termination Date to the Extended Final Maturity Date, be applied ratably among the Extending Lenders and shall be made in the manner specified in </w:t>
      </w:r>
      <w:r>
        <w:rPr>
          <w:rFonts w:ascii="Arial" w:cs="Arial" w:eastAsia="Arial" w:hAnsi="Arial"/>
          <w:sz w:val="16"/>
          <w:szCs w:val="16"/>
          <w:u w:val="single" w:color="auto"/>
          <w:color w:val="auto"/>
        </w:rPr>
        <w:t>Section 2.09(b)</w:t>
      </w:r>
      <w:r>
        <w:rPr>
          <w:rFonts w:ascii="Arial" w:cs="Arial" w:eastAsia="Arial" w:hAnsi="Arial"/>
          <w:sz w:val="16"/>
          <w:szCs w:val="16"/>
          <w:color w:val="auto"/>
        </w:rPr>
        <w:t xml:space="preserve">, (B) exclude the amount necessary for the Borrower to make all required distributions (which shall be no less than the amount estimated in good faith by Borrower under </w:t>
      </w:r>
      <w:r>
        <w:rPr>
          <w:rFonts w:ascii="Arial" w:cs="Arial" w:eastAsia="Arial" w:hAnsi="Arial"/>
          <w:sz w:val="16"/>
          <w:szCs w:val="16"/>
          <w:u w:val="single" w:color="auto"/>
          <w:color w:val="auto"/>
        </w:rPr>
        <w:t>Section 6.05(b)</w:t>
      </w:r>
      <w:r>
        <w:rPr>
          <w:rFonts w:ascii="Arial" w:cs="Arial" w:eastAsia="Arial" w:hAnsi="Arial"/>
          <w:sz w:val="16"/>
          <w:szCs w:val="16"/>
          <w:color w:val="auto"/>
        </w:rPr>
        <w:t xml:space="preserve"> herein) to maintain its ability to be subject to Tax as a RIC under Section 852 of the Code and its election to be treated as a “business development company” under the Investment Company Act for so long as the Borrower retains such status and to avoid payment by the Borrower of federal excise Taxes imposed by Section 4982 of the Code for so long as the Borrower retains the status of a RIC under the Code and (C) if the Loans to be prepaid are Eurocurrency Loans, the Borrower may defer such prepayment until the last day of the Interest Period applicable to such Loans, so long as the Borrower deposits an amount equal to such Net Cash Proceeds, no later than the fifth Business Day following the receipt of such Net Cash Proceeds, into a segregated collateral account in the name and under the dominion and control of the Administrative Agent, pending application of such amount to the prepayment of the Loans on the last day of such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Administrative Agent may direct the application of such deposits as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 xml:space="preserve"> at any time and if the Administrative Agent does so, no amounts will be payable by the Borrower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w:t>
      </w:r>
    </w:p>
    <w:p>
      <w:pPr>
        <w:spacing w:after="0" w:line="66" w:lineRule="exact"/>
        <w:rPr>
          <w:sz w:val="20"/>
          <w:szCs w:val="20"/>
          <w:color w:val="auto"/>
        </w:rPr>
      </w:pPr>
    </w:p>
    <w:p>
      <w:pPr>
        <w:ind w:right="20" w:firstLine="987"/>
        <w:spacing w:after="0" w:line="285" w:lineRule="auto"/>
        <w:tabs>
          <w:tab w:leader="none" w:pos="1351"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Notices, Etc</w:t>
      </w:r>
      <w:r>
        <w:rPr>
          <w:rFonts w:ascii="Arial" w:cs="Arial" w:eastAsia="Arial" w:hAnsi="Arial"/>
          <w:sz w:val="16"/>
          <w:szCs w:val="16"/>
          <w:color w:val="auto"/>
        </w:rPr>
        <w:t xml:space="preserve">. The Borrower shall notify the Administrative Agent (and, in the case of prepayment of a Swingline Loan, the Swingline Lender) by telephone (confirmed by telecopy) of any prepayment hereunder (i) in the case of prepayment of a Eurocurrency Borrowing denominated in Dollars (other than in the case of a prepayment pursuant to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not later than 11:00 a.m., Atlanta, Georgia time, two Business Days before the date of prepayment, (ii) in the case of prepayment of a Eurocurrency Borrowing denominated in a Foreign Currency (other than in the case of a prepayment pursuant to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not later than 11:00 a.m., London time, four Business Days before the date of prepayment, (iii) in the case of prepayment of a Syndicated ABR Borrowing (other than in the case of a prepayment pursuant to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not later than 11:00 a.m., Atlanta, Georgia time, one Business Day before the date of prepayment, (iv) in the case of prepayment of a Swingline Loan, not later than 11:00 a.m., Atlanta, Georgia time, on the date of prepayment, or (v) in the case of any prepayment pursuant to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not later than 11:00 a.m., Atlanta, Georgia time, one Business Day before the date of prepayment. Each such notice shall be irrevocable and shall specify the prepayment date, the principal amount of each Borrowing or portion thereof to be prepaid and, in the case of a mandatory prepayment, a reasonably detailed calculation of the amount of such prepayment;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 a notice of prepayment is given in connection with a conditional notice of termination of the Commitments of a Class as contemplated by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then such notice of prepayment may be revoked if such notice of termination is revoked in accordance with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and (ii) any notice given in connection with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may be conditioned on the consummation of the applicable transaction contemplated by such Section and the receipt by 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Swingline Loan, as provided in </w:t>
      </w:r>
      <w:r>
        <w:rPr>
          <w:rFonts w:ascii="Arial" w:cs="Arial" w:eastAsia="Arial" w:hAnsi="Arial"/>
          <w:sz w:val="16"/>
          <w:szCs w:val="16"/>
          <w:u w:val="single" w:color="auto"/>
          <w:color w:val="auto"/>
        </w:rPr>
        <w:t>Section 2.04</w:t>
      </w:r>
      <w:r>
        <w:rPr>
          <w:rFonts w:ascii="Arial" w:cs="Arial" w:eastAsia="Arial" w:hAnsi="Arial"/>
          <w:sz w:val="16"/>
          <w:szCs w:val="16"/>
          <w:color w:val="auto"/>
        </w:rPr>
        <w:t>, except as necessary to apply fully</w:t>
      </w:r>
    </w:p>
    <w:p>
      <w:pPr>
        <w:spacing w:after="0" w:line="106"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58</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88" w:name="page89"/>
    <w:bookmarkEnd w:id="88"/>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required amount of a mandatory prepayment. Each prepayment of a Syndicated Borrowing shall be applied ratably to the Loans held by the Lenders of such Class included in the prepaid Borrowing. Prepayments shall be accompanied by accrued interest to the extent required by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and shall be made in the manner specified in </w:t>
      </w:r>
      <w:r>
        <w:rPr>
          <w:rFonts w:ascii="Arial" w:cs="Arial" w:eastAsia="Arial" w:hAnsi="Arial"/>
          <w:sz w:val="18"/>
          <w:szCs w:val="18"/>
          <w:u w:val="single" w:color="auto"/>
          <w:color w:val="auto"/>
        </w:rPr>
        <w:t>Section 2.09(b)</w:t>
      </w:r>
      <w:r>
        <w:rPr>
          <w:rFonts w:ascii="Arial" w:cs="Arial" w:eastAsia="Arial" w:hAnsi="Arial"/>
          <w:sz w:val="18"/>
          <w:szCs w:val="18"/>
          <w:color w:val="auto"/>
        </w:rPr>
        <w:t xml:space="preserve"> unless such prepayment is made in connection with the reduction of Commitments or the prepayment of Loans in accordance with </w:t>
      </w:r>
      <w:r>
        <w:rPr>
          <w:rFonts w:ascii="Arial" w:cs="Arial" w:eastAsia="Arial" w:hAnsi="Arial"/>
          <w:sz w:val="18"/>
          <w:szCs w:val="18"/>
          <w:u w:val="single" w:color="auto"/>
          <w:color w:val="auto"/>
        </w:rPr>
        <w:t>Section 2.08(f)</w:t>
      </w:r>
      <w:r>
        <w:rPr>
          <w:rFonts w:ascii="Arial" w:cs="Arial" w:eastAsia="Arial" w:hAnsi="Arial"/>
          <w:sz w:val="18"/>
          <w:szCs w:val="18"/>
          <w:color w:val="auto"/>
        </w:rPr>
        <w:t xml:space="preserve"> or a mandatory prepayment pursuant to </w:t>
      </w:r>
      <w:r>
        <w:rPr>
          <w:rFonts w:ascii="Arial" w:cs="Arial" w:eastAsia="Arial" w:hAnsi="Arial"/>
          <w:sz w:val="18"/>
          <w:szCs w:val="18"/>
          <w:u w:val="single" w:color="auto"/>
          <w:color w:val="auto"/>
        </w:rPr>
        <w:t>Section 2.10(e)</w:t>
      </w:r>
      <w:r>
        <w:rPr>
          <w:rFonts w:ascii="Arial" w:cs="Arial" w:eastAsia="Arial" w:hAnsi="Arial"/>
          <w:sz w:val="18"/>
          <w:szCs w:val="18"/>
          <w:color w:val="auto"/>
        </w:rPr>
        <w:t xml:space="preserve"> in which case such prepayment shall be applied in accordance with Section 2.08(f) or </w:t>
      </w:r>
      <w:r>
        <w:rPr>
          <w:rFonts w:ascii="Arial" w:cs="Arial" w:eastAsia="Arial" w:hAnsi="Arial"/>
          <w:sz w:val="18"/>
          <w:szCs w:val="18"/>
          <w:u w:val="single" w:color="auto"/>
          <w:color w:val="auto"/>
        </w:rPr>
        <w:t>Section 2.10(e)</w:t>
      </w:r>
      <w:r>
        <w:rPr>
          <w:rFonts w:ascii="Arial" w:cs="Arial" w:eastAsia="Arial" w:hAnsi="Arial"/>
          <w:sz w:val="18"/>
          <w:szCs w:val="18"/>
          <w:color w:val="auto"/>
        </w:rPr>
        <w: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1596390</wp:posOffset>
            </wp:positionH>
            <wp:positionV relativeFrom="paragraph">
              <wp:posOffset>-33655</wp:posOffset>
            </wp:positionV>
            <wp:extent cx="3429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70" w:lineRule="auto"/>
        <w:tabs>
          <w:tab w:leader="none" w:pos="1371"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The Borrower agrees to pay to the Administrative Agent for account of each Lender a commitment fee, which shall accrue at a rate per annum equal to 0.375% on the average daily unused amount of the Dollar Commitment and Multicurrency Commitment, as applicable, of such Lender during the period from and including the date hereof to but excluding the earlier of the date such commitment terminates and such Lender’s Commitment Termination Date. Accrued commitment fees shall be payable within one Business Day after each Quarterly Date and on the earlier of the date the Commitments of the respective Class terminate and the Commitment Termination Date of such Class,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the Commitment of any Class of a Lender shall be deemed to be used to the extent of the outstanding Syndicated Loans and LC Exposure of such Class of such Lender (and the Swingline Exposure of such Class of such Lender shall be disregarded for such purpose).</w:t>
      </w:r>
    </w:p>
    <w:p>
      <w:pPr>
        <w:spacing w:after="0" w:line="72" w:lineRule="exact"/>
        <w:rPr>
          <w:rFonts w:ascii="Arial" w:cs="Arial" w:eastAsia="Arial" w:hAnsi="Arial"/>
          <w:sz w:val="17"/>
          <w:szCs w:val="17"/>
          <w:color w:val="auto"/>
        </w:rPr>
      </w:pPr>
    </w:p>
    <w:p>
      <w:pPr>
        <w:ind w:right="40" w:firstLine="987"/>
        <w:spacing w:after="0" w:line="268" w:lineRule="auto"/>
        <w:tabs>
          <w:tab w:leader="none" w:pos="1381"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Letter of Credit Fees</w:t>
      </w:r>
      <w:r>
        <w:rPr>
          <w:rFonts w:ascii="Arial" w:cs="Arial" w:eastAsia="Arial" w:hAnsi="Arial"/>
          <w:sz w:val="17"/>
          <w:szCs w:val="17"/>
          <w:color w:val="auto"/>
        </w:rPr>
        <w:t xml:space="preserve">. The Borrower agrees to pay (i) to the Administrative Agent for account of each Lender a participation fee with respect to its participations in Letters of Credit of each Class, which shall accrue at a rate per annum equal to the Applicable Margin applicable to interest on Eurocurrency Loans on the average daily amount of such Lender’s LC Exposure of such Class (excluding any portion thereof attributable to unreimbursed LC Disbursements) during the period from and including the Effective Date to but excluding the later of the date on which such Lender’s Commitment of such Class terminates and the date on which such Lender ceases to have any LC Exposure of such Class, and (ii) to the Issuing Bank a fronting fee, which shall accrue at the rate of 0.125% per annum on the average daily amount of the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the Issuing Bank’s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such fees with respect to the Letters of Credit shall be payable (i) with respect to the Issuing Bank, on the Termination Date and (ii) with respect to any Lender, on the earlier to occur of such Lender’s Final Maturity Date and the Termination Date and the Borrower shall pay any such fees that have accrued and that are unpaid on such date and, in the event any Letters of Credit shall be outstanding that have expiration dates after the Termination</w:t>
      </w:r>
    </w:p>
    <w:p>
      <w:pPr>
        <w:spacing w:after="0" w:line="117"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59</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89" w:name="page90"/>
    <w:bookmarkEnd w:id="89"/>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 the Borrower shall prepay on the Termination Date the full amount of the participation and fronting fees that will accrue on such Letters of Credit subsequent to the Termination Date through but not including the date such outstanding Letters of Credit are scheduled to expire (and, in that connection, the Lenders agree not later than the date two Business Days after the date upon which the last such Letter of Credit shall expire or be terminated to rebate to the Borrower the excess, if any, of the aggregate participation and fronting fees that have been prepaid by the Borrower over the sum of the amount of such fees that ultimately accrue through the date of such expiration or termination and the aggregate amount of all other unpaid obligations hereunder at such time). Any other fees payable to the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70" w:lineRule="exact"/>
        <w:rPr>
          <w:sz w:val="20"/>
          <w:szCs w:val="20"/>
          <w:color w:val="auto"/>
        </w:rPr>
      </w:pPr>
    </w:p>
    <w:p>
      <w:pPr>
        <w:ind w:right="640" w:firstLine="987"/>
        <w:spacing w:after="0" w:line="277" w:lineRule="auto"/>
        <w:tabs>
          <w:tab w:leader="none" w:pos="1371"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Administrative Agent Fees</w:t>
      </w:r>
      <w:r>
        <w:rPr>
          <w:rFonts w:ascii="Arial" w:cs="Arial" w:eastAsia="Arial" w:hAnsi="Arial"/>
          <w:sz w:val="18"/>
          <w:szCs w:val="18"/>
          <w:color w:val="auto"/>
        </w:rPr>
        <w:t>. The Borrower agrees to pay to the Administrative Agent, for its own account, fees payable in the amounts and at the times separately agreed upon between the Borrower and the Administrative Agent.</w:t>
      </w:r>
    </w:p>
    <w:p>
      <w:pPr>
        <w:spacing w:after="0" w:line="62" w:lineRule="exact"/>
        <w:rPr>
          <w:rFonts w:ascii="Arial" w:cs="Arial" w:eastAsia="Arial" w:hAnsi="Arial"/>
          <w:sz w:val="18"/>
          <w:szCs w:val="18"/>
          <w:color w:val="auto"/>
        </w:rPr>
      </w:pPr>
    </w:p>
    <w:p>
      <w:pPr>
        <w:ind w:right="80" w:firstLine="987"/>
        <w:spacing w:after="0" w:line="301" w:lineRule="auto"/>
        <w:tabs>
          <w:tab w:leader="none" w:pos="1381"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Payment of Fees</w:t>
      </w:r>
      <w:r>
        <w:rPr>
          <w:rFonts w:ascii="Arial" w:cs="Arial" w:eastAsia="Arial" w:hAnsi="Arial"/>
          <w:sz w:val="16"/>
          <w:szCs w:val="16"/>
          <w:color w:val="auto"/>
        </w:rPr>
        <w:t>. All fees payable hereunder shall be paid on the dates due, in Dollars (or, at the election of the Borrower with respect to any fees payable to the Issuing Bank on account of Letters of Credit issued in any Foreign Currency, in such Foreign Currency) and immediately available funds, to the Administrative Agent (or to the Issuing Bank, in the case of fees payable to it) for distribution, in the case of facility fees and participation fees, to the Lenders entitled thereto. Fees paid shall not be refundable under any circumstances absent obvious error.</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117" w:lineRule="exact"/>
        <w:rPr>
          <w:sz w:val="20"/>
          <w:szCs w:val="20"/>
          <w:color w:val="auto"/>
        </w:rPr>
      </w:pPr>
    </w:p>
    <w:p>
      <w:pPr>
        <w:ind w:right="280" w:firstLine="987"/>
        <w:spacing w:after="0" w:line="277" w:lineRule="auto"/>
        <w:tabs>
          <w:tab w:leader="none" w:pos="1371"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ABR Loans</w:t>
      </w:r>
      <w:r>
        <w:rPr>
          <w:rFonts w:ascii="Arial" w:cs="Arial" w:eastAsia="Arial" w:hAnsi="Arial"/>
          <w:sz w:val="18"/>
          <w:szCs w:val="18"/>
          <w:color w:val="auto"/>
        </w:rPr>
        <w:t xml:space="preserve">. The Loans constituting each ABR Borrowing (including each Swingline Loan) shall bear interest at a rate per annum equal to the Alternate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62" w:lineRule="exact"/>
        <w:rPr>
          <w:rFonts w:ascii="Arial" w:cs="Arial" w:eastAsia="Arial" w:hAnsi="Arial"/>
          <w:sz w:val="18"/>
          <w:szCs w:val="18"/>
          <w:color w:val="auto"/>
        </w:rPr>
      </w:pPr>
    </w:p>
    <w:p>
      <w:pPr>
        <w:ind w:right="580" w:firstLine="987"/>
        <w:spacing w:after="0" w:line="277" w:lineRule="auto"/>
        <w:tabs>
          <w:tab w:leader="none" w:pos="1381"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Eurocurrency Loans</w:t>
      </w:r>
      <w:r>
        <w:rPr>
          <w:rFonts w:ascii="Arial" w:cs="Arial" w:eastAsia="Arial" w:hAnsi="Arial"/>
          <w:sz w:val="18"/>
          <w:szCs w:val="18"/>
          <w:color w:val="auto"/>
        </w:rPr>
        <w:t xml:space="preserve">. The Loans constituting each Eurocurrency Borrowing shall bear interest at a rate per annum equal to the Adjusted LIBO Rate for the related Interest Period for such Borrowing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62" w:lineRule="exact"/>
        <w:rPr>
          <w:rFonts w:ascii="Arial" w:cs="Arial" w:eastAsia="Arial" w:hAnsi="Arial"/>
          <w:sz w:val="18"/>
          <w:szCs w:val="18"/>
          <w:color w:val="auto"/>
        </w:rPr>
      </w:pPr>
    </w:p>
    <w:p>
      <w:pPr>
        <w:ind w:right="20" w:firstLine="987"/>
        <w:spacing w:after="0" w:line="270" w:lineRule="auto"/>
        <w:tabs>
          <w:tab w:leader="none" w:pos="1371"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Default Interest</w:t>
      </w:r>
      <w:r>
        <w:rPr>
          <w:rFonts w:ascii="Arial" w:cs="Arial" w:eastAsia="Arial" w:hAnsi="Arial"/>
          <w:sz w:val="17"/>
          <w:szCs w:val="17"/>
          <w:color w:val="auto"/>
        </w:rPr>
        <w:t xml:space="preserve">. Notwithstanding the foregoing, (i) if any amount of principal of any Loan or any fee or other amount payable by the Borrower hereunder is not paid when due (without regard to any applicable grace periods), whether at stated maturity, by acceleration or otherwise, such amount shall thereafter bear interest at a fluctuating interest rate per annum at all times equal to (A) in the case of principal of any Loan, 2%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rate otherwise applicable to such Loan as provided above, (B) in the case of any Letter of Credit, 2%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fee otherwise applicable to such Letter of Credit as provided in </w:t>
      </w:r>
      <w:r>
        <w:rPr>
          <w:rFonts w:ascii="Arial" w:cs="Arial" w:eastAsia="Arial" w:hAnsi="Arial"/>
          <w:sz w:val="17"/>
          <w:szCs w:val="17"/>
          <w:u w:val="single" w:color="auto"/>
          <w:color w:val="auto"/>
        </w:rPr>
        <w:t>Section 2.11(b)(i)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in the case of any fee or other amount, 2%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rate applicable to ABR Loans as provided in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of this Section and (ii) if any Event of Default has occurred and is continuing for any Eurocurrency Loan, at the end of the current applicable Interest Period, interest shall (if requested by the Administrative Agent upon instructions of the Required Lenders) accrue (A) in the case of Dollar Loans, at the Alternate Base Rate plus the Applicable Margin plus 2% per annum and (B) for Loans in any Foreign Currency, at the one month LIBO Rate plus the Applicable Margin plus 2% per annum.</w:t>
      </w:r>
    </w:p>
    <w:p>
      <w:pPr>
        <w:spacing w:after="0" w:line="113"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60</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90" w:name="page91"/>
    <w:bookmarkEnd w:id="90"/>
    <w:p>
      <w:pPr>
        <w:ind w:left="4" w:right="160" w:firstLine="987"/>
        <w:spacing w:after="0" w:line="272" w:lineRule="auto"/>
        <w:tabs>
          <w:tab w:leader="none" w:pos="1385"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of Interest</w:t>
      </w:r>
      <w:r>
        <w:rPr>
          <w:rFonts w:ascii="Arial" w:cs="Arial" w:eastAsia="Arial" w:hAnsi="Arial"/>
          <w:sz w:val="17"/>
          <w:szCs w:val="17"/>
          <w:color w:val="auto"/>
        </w:rPr>
        <w:t xml:space="preserve">. Accrued interest on each Loan shall be payable in arrears on each Interest Payment Date for such Loan in the Currency in which such Loan is denominated and, in the case of Syndicated Loans, with respect to any Lender, upon the earlier of such Lender’s Final Maturity Date and the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interest accrued pursuant to </w:t>
      </w:r>
      <w:r>
        <w:rPr>
          <w:rFonts w:ascii="Arial" w:cs="Arial" w:eastAsia="Arial" w:hAnsi="Arial"/>
          <w:sz w:val="17"/>
          <w:szCs w:val="17"/>
          <w:u w:val="single" w:color="auto"/>
          <w:color w:val="auto"/>
        </w:rPr>
        <w:t>paragraph (c)</w:t>
      </w:r>
      <w:r>
        <w:rPr>
          <w:rFonts w:ascii="Arial" w:cs="Arial" w:eastAsia="Arial" w:hAnsi="Arial"/>
          <w:sz w:val="17"/>
          <w:szCs w:val="17"/>
          <w:color w:val="auto"/>
        </w:rPr>
        <w:t xml:space="preserve"> of this Section shall be payable on demand, (ii) in the event of any repayment or prepayment of any Loan (other than a prepayment of a Syndicated ABR Loan prior to such Lender’s Final Maturity Date), accrued interest on the principal amount repaid or prepaid shall be payable on the date of such repayment or prepayment and (iii) in the event of any conversion of any Eurocurrency Borrowing denominated in Dollars prior to the end of the Interest Period therefor, accrued interest on such Borrowing shall be payable on the effective date of such conversion.</w:t>
      </w:r>
    </w:p>
    <w:p>
      <w:pPr>
        <w:spacing w:after="0" w:line="69" w:lineRule="exact"/>
        <w:rPr>
          <w:rFonts w:ascii="Arial" w:cs="Arial" w:eastAsia="Arial" w:hAnsi="Arial"/>
          <w:sz w:val="17"/>
          <w:szCs w:val="17"/>
          <w:color w:val="auto"/>
        </w:rPr>
      </w:pPr>
    </w:p>
    <w:p>
      <w:pPr>
        <w:ind w:left="4" w:right="80" w:firstLine="987"/>
        <w:spacing w:after="0" w:line="296" w:lineRule="auto"/>
        <w:tabs>
          <w:tab w:leader="none" w:pos="1375"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Computation</w:t>
      </w:r>
      <w:r>
        <w:rPr>
          <w:rFonts w:ascii="Arial" w:cs="Arial" w:eastAsia="Arial" w:hAnsi="Arial"/>
          <w:sz w:val="16"/>
          <w:szCs w:val="16"/>
          <w:color w:val="auto"/>
        </w:rPr>
        <w:t>. All interest hereunder shall be computed on the basis of a year of 360 days, except that interest computed (i) by reference to the Alternate Base Rate at times when the Alternate Base Rate is based on the Prime Rate and (ii) on Multicurrency Loans denominated in Canadian Dollars or English Pounds Sterling shall be computed on the basis of a year of 365 days (or 366 days in a leap year), and in each case shall be payable for the actual number of days elapsed (including the first day but excluding the last day). The applicable Alternate Base Rate or Adjusted LIBO Rate shall be determined by the Administrative Agent and such determination shall be conclusive absent manifest error.</w:t>
      </w:r>
    </w:p>
    <w:p>
      <w:pPr>
        <w:spacing w:after="0" w:line="16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Inability to Determine Interest Rates</w:t>
      </w:r>
      <w:r>
        <w:rPr>
          <w:rFonts w:ascii="Arial" w:cs="Arial" w:eastAsia="Arial" w:hAnsi="Arial"/>
          <w:sz w:val="18"/>
          <w:szCs w:val="18"/>
          <w:color w:val="auto"/>
        </w:rPr>
        <w:t>.</w:t>
      </w:r>
    </w:p>
    <w:p>
      <w:pPr>
        <w:spacing w:after="0" w:line="117" w:lineRule="exact"/>
        <w:rPr>
          <w:sz w:val="20"/>
          <w:szCs w:val="20"/>
          <w:color w:val="auto"/>
        </w:rPr>
      </w:pPr>
    </w:p>
    <w:p>
      <w:pPr>
        <w:ind w:left="4" w:right="260" w:firstLine="987"/>
        <w:spacing w:after="0" w:line="277" w:lineRule="auto"/>
        <w:tabs>
          <w:tab w:leader="none" w:pos="1375" w:val="left"/>
        </w:tabs>
        <w:numPr>
          <w:ilvl w:val="1"/>
          <w:numId w:val="78"/>
        </w:numPr>
        <w:rPr>
          <w:rFonts w:ascii="Arial" w:cs="Arial" w:eastAsia="Arial" w:hAnsi="Arial"/>
          <w:sz w:val="18"/>
          <w:szCs w:val="18"/>
          <w:color w:val="auto"/>
        </w:rPr>
      </w:pPr>
      <w:r>
        <w:rPr>
          <w:rFonts w:ascii="Arial" w:cs="Arial" w:eastAsia="Arial" w:hAnsi="Arial"/>
          <w:sz w:val="18"/>
          <w:szCs w:val="18"/>
          <w:color w:val="auto"/>
        </w:rPr>
        <w:t>If, prior to the commencement of any Interest Period for any Eurocurrency Borrowing of a Class (the Currency of such Borrowing herein called the “</w:t>
      </w:r>
      <w:r>
        <w:rPr>
          <w:rFonts w:ascii="Arial" w:cs="Arial" w:eastAsia="Arial" w:hAnsi="Arial"/>
          <w:sz w:val="18"/>
          <w:szCs w:val="18"/>
          <w:u w:val="single" w:color="auto"/>
          <w:color w:val="auto"/>
        </w:rPr>
        <w:t>Affected Currency</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4" w:right="400" w:firstLine="419"/>
        <w:spacing w:after="0" w:line="308" w:lineRule="auto"/>
        <w:tabs>
          <w:tab w:leader="none" w:pos="1217"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Administrative Agent determines (which determination shall be conclusive absent manifest error) that adequate and reasonable means do not exist for ascertaining the Adjusted LIBO Rate for the Affected Currency for such Interest Period; or</w:t>
      </w:r>
    </w:p>
    <w:p>
      <w:pPr>
        <w:spacing w:after="0" w:line="38" w:lineRule="exact"/>
        <w:rPr>
          <w:rFonts w:ascii="Arial" w:cs="Arial" w:eastAsia="Arial" w:hAnsi="Arial"/>
          <w:sz w:val="17"/>
          <w:szCs w:val="17"/>
          <w:color w:val="auto"/>
        </w:rPr>
      </w:pPr>
    </w:p>
    <w:p>
      <w:pPr>
        <w:ind w:left="444" w:right="80" w:firstLine="419"/>
        <w:spacing w:after="0" w:line="263" w:lineRule="auto"/>
        <w:tabs>
          <w:tab w:leader="none" w:pos="126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of such Class that the Adjusted LIBO Rate for the Affected Currency for such Interest Period will not adequately and fairly reflect the cost to such Lenders of making or maintaining their respective Loans included in such Borrowing for such Interest Period;</w:t>
      </w:r>
    </w:p>
    <w:p>
      <w:pPr>
        <w:spacing w:after="0" w:line="184" w:lineRule="exact"/>
        <w:rPr>
          <w:sz w:val="20"/>
          <w:szCs w:val="20"/>
          <w:color w:val="auto"/>
        </w:rPr>
      </w:pPr>
    </w:p>
    <w:p>
      <w:pPr>
        <w:ind w:left="4" w:right="200"/>
        <w:spacing w:after="0" w:line="291" w:lineRule="auto"/>
        <w:rPr>
          <w:sz w:val="20"/>
          <w:szCs w:val="20"/>
          <w:color w:val="auto"/>
        </w:rPr>
      </w:pPr>
      <w:r>
        <w:rPr>
          <w:rFonts w:ascii="Arial" w:cs="Arial" w:eastAsia="Arial" w:hAnsi="Arial"/>
          <w:sz w:val="16"/>
          <w:szCs w:val="16"/>
          <w:color w:val="auto"/>
        </w:rPr>
        <w:t>then the Administrative Agent shall give notice thereof to the Borrower and the affected Lenders by telephone or telecopy as promptly as practicable thereafter and, until the Administrative Agent notifies the Borrower and such Lenders that the circumstances giving rise to such notice no longer exist,</w:t>
      </w:r>
    </w:p>
    <w:p>
      <w:pPr>
        <w:ind w:left="4" w:right="20" w:hanging="4"/>
        <w:spacing w:after="0" w:line="253" w:lineRule="auto"/>
        <w:tabs>
          <w:tab w:leader="none" w:pos="219"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Interest Election Request that requests the conversion of any Syndicated Borrowing to, or the continuation of any Syndicated Borrowing as, a Eurocurrency Borrowing denominated in the Affected Currency shall be ineffective and, if the Affected Currency is Dollars, such Syndicated Borrowing (unless prepaid) shall be continued as, or converted to, a Syndicated ABR Borrowing, (ii) if the Affected Currency is Dollars and any Borrowing Request requests a</w:t>
      </w:r>
    </w:p>
    <w:p>
      <w:pPr>
        <w:spacing w:after="0" w:line="125"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61</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91" w:name="page92"/>
    <w:bookmarkEnd w:id="91"/>
    <w:p>
      <w:pPr>
        <w:ind w:left="4"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Eurocurrency Borrowing denominated in Dollars, such Borrowing shall be made as a Syndicated ABR Borrowing and (iii) if the Affected Currency is a Foreign Currency, then either, at the Borrower’s election, (A), any Borrowing Request that requests a Eurocurrency Borrowing denominated in the Affected Currency shall be ineffective, or (B) the LIBO Rate for such Eurocurrency Borrowing shall be the cost to each Lender to fund its pro rata share of such Eurocurrency Borrowing (from whatever source and using whatever methodologies as such Lender may select in its reasonable discretion), which each Lender shall provide to the Administrative Agent, and the Administrative Agent shall provide to the Borrower, within five (5) Business Days of the Borrower’s request to the Administrative Agent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rate provided under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expire, to the extent the Borrower has not elected to use such rate, on the date that is five (5) Business Days after the delivery by the Administrative Agent thereof.</w:t>
      </w:r>
    </w:p>
    <w:p>
      <w:pPr>
        <w:spacing w:after="0" w:line="58" w:lineRule="exact"/>
        <w:rPr>
          <w:sz w:val="20"/>
          <w:szCs w:val="20"/>
          <w:color w:val="auto"/>
        </w:rPr>
      </w:pPr>
    </w:p>
    <w:p>
      <w:pPr>
        <w:ind w:left="4" w:right="20" w:firstLine="987"/>
        <w:spacing w:after="0" w:line="283" w:lineRule="auto"/>
        <w:tabs>
          <w:tab w:leader="none" w:pos="1385"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If at any time the Administrative Agent determines (which determination shall be conclusive absent manifest error) that (i) the circumstances set forth in </w:t>
      </w:r>
      <w:r>
        <w:rPr>
          <w:rFonts w:ascii="Arial" w:cs="Arial" w:eastAsia="Arial" w:hAnsi="Arial"/>
          <w:sz w:val="16"/>
          <w:szCs w:val="16"/>
          <w:u w:val="single" w:color="auto"/>
          <w:color w:val="auto"/>
        </w:rPr>
        <w:t>clause (a)(i)</w:t>
      </w:r>
      <w:r>
        <w:rPr>
          <w:rFonts w:ascii="Arial" w:cs="Arial" w:eastAsia="Arial" w:hAnsi="Arial"/>
          <w:sz w:val="16"/>
          <w:szCs w:val="16"/>
          <w:color w:val="auto"/>
        </w:rPr>
        <w:t xml:space="preserve"> above have arisen and such circumstances are unlikely to be temporary or (ii) the circumstances set forth in </w:t>
      </w:r>
      <w:r>
        <w:rPr>
          <w:rFonts w:ascii="Arial" w:cs="Arial" w:eastAsia="Arial" w:hAnsi="Arial"/>
          <w:sz w:val="16"/>
          <w:szCs w:val="16"/>
          <w:u w:val="single" w:color="auto"/>
          <w:color w:val="auto"/>
        </w:rPr>
        <w:t>clause (a)(i)</w:t>
      </w:r>
      <w:r>
        <w:rPr>
          <w:rFonts w:ascii="Arial" w:cs="Arial" w:eastAsia="Arial" w:hAnsi="Arial"/>
          <w:sz w:val="16"/>
          <w:szCs w:val="16"/>
          <w:color w:val="auto"/>
        </w:rPr>
        <w:t xml:space="preserve"> above have not arisen but the supervisor for the administrator of the Screen Rate or a Governmental Authority having jurisdiction over the Administrative Agent has made a public statement identifying a specific date after which the Screen Rate shall no longer be used for determining interest rates for loans, then the Administrative Agent and the Borrower may, or in the case of the preceding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shall, endeavor to agree upon an alternate rate of interest to the Screen Rate that gives due consideration to the then prevailing market convention for determining a rate of interest for syndicated loans in the United States at such time, and if an alternate rate of interest is agreed, shall enter into an amendment to this Agreement to reflect such alternate rate of interest and such other related changes to this Agreement as may be applicable (but for the avoidance of doubt, such related changes shall not include a reduction of the Applicable Margin);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alternate rate of interest as so determined would be less than zero</w:t>
      </w:r>
    </w:p>
    <w:p>
      <w:pPr>
        <w:spacing w:after="0" w:line="5" w:lineRule="exact"/>
        <w:rPr>
          <w:rFonts w:ascii="Arial" w:cs="Arial" w:eastAsia="Arial" w:hAnsi="Arial"/>
          <w:sz w:val="16"/>
          <w:szCs w:val="16"/>
          <w:color w:val="auto"/>
        </w:rPr>
      </w:pPr>
    </w:p>
    <w:p>
      <w:pPr>
        <w:ind w:left="4" w:right="20" w:hanging="4"/>
        <w:spacing w:after="0" w:line="273" w:lineRule="auto"/>
        <w:tabs>
          <w:tab w:leader="none" w:pos="259"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percent, such rate shall be deemed to be zero (0) percent for purposes of this Agreement and the other Loan Documents. Notwithstanding anything to the contrary in </w:t>
      </w:r>
      <w:r>
        <w:rPr>
          <w:rFonts w:ascii="Arial" w:cs="Arial" w:eastAsia="Arial" w:hAnsi="Arial"/>
          <w:sz w:val="17"/>
          <w:szCs w:val="17"/>
          <w:u w:val="single" w:color="auto"/>
          <w:color w:val="auto"/>
        </w:rPr>
        <w:t>Section 9.02</w:t>
      </w:r>
      <w:r>
        <w:rPr>
          <w:rFonts w:ascii="Arial" w:cs="Arial" w:eastAsia="Arial" w:hAnsi="Arial"/>
          <w:sz w:val="17"/>
          <w:szCs w:val="17"/>
          <w:color w:val="auto"/>
        </w:rPr>
        <w:t>, such amendment shall become effective without any further action or consent of any other party to this Agreement so long as the Administrative Agent shall not have received, within five (5) Business Days of the date a copy of such amendment is provided to the Lenders, a written notice from the Required Lenders stating that such Required Lenders object to such amendment.</w:t>
      </w:r>
    </w:p>
    <w:p>
      <w:pPr>
        <w:spacing w:after="0" w:line="17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117" w:lineRule="exact"/>
        <w:rPr>
          <w:sz w:val="20"/>
          <w:szCs w:val="20"/>
          <w:color w:val="auto"/>
        </w:rPr>
      </w:pPr>
    </w:p>
    <w:p>
      <w:pPr>
        <w:ind w:left="1364" w:hanging="373"/>
        <w:spacing w:after="0"/>
        <w:tabs>
          <w:tab w:leader="none" w:pos="1364"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117" w:lineRule="exact"/>
        <w:rPr>
          <w:rFonts w:ascii="Arial" w:cs="Arial" w:eastAsia="Arial" w:hAnsi="Arial"/>
          <w:sz w:val="18"/>
          <w:szCs w:val="18"/>
          <w:color w:val="auto"/>
        </w:rPr>
      </w:pPr>
    </w:p>
    <w:p>
      <w:pPr>
        <w:ind w:left="444" w:right="40" w:firstLine="419"/>
        <w:spacing w:after="0" w:line="342" w:lineRule="auto"/>
        <w:tabs>
          <w:tab w:leader="none" w:pos="1217" w:val="left"/>
        </w:tabs>
        <w:numPr>
          <w:ilvl w:val="0"/>
          <w:numId w:val="84"/>
        </w:numPr>
        <w:rPr>
          <w:rFonts w:ascii="Arial" w:cs="Arial" w:eastAsia="Arial" w:hAnsi="Arial"/>
          <w:sz w:val="16"/>
          <w:szCs w:val="16"/>
          <w:color w:val="auto"/>
        </w:rPr>
      </w:pPr>
      <w:r>
        <w:rPr>
          <w:rFonts w:ascii="Arial" w:cs="Arial" w:eastAsia="Arial" w:hAnsi="Arial"/>
          <w:sz w:val="16"/>
          <w:szCs w:val="16"/>
          <w:color w:val="auto"/>
        </w:rPr>
        <w:t>impose, modify or deem applicable any reserve, special deposit or similar requirement against assets of, deposits with or for account of, or credit extended by, any Lender (except any such reserve requirement reflected in the Adjusted LIBO Rate) or the Issuing Bank; or</w:t>
      </w:r>
    </w:p>
    <w:p>
      <w:pPr>
        <w:spacing w:after="0" w:line="15" w:lineRule="exact"/>
        <w:rPr>
          <w:rFonts w:ascii="Arial" w:cs="Arial" w:eastAsia="Arial" w:hAnsi="Arial"/>
          <w:sz w:val="16"/>
          <w:szCs w:val="16"/>
          <w:color w:val="auto"/>
        </w:rPr>
      </w:pPr>
    </w:p>
    <w:p>
      <w:pPr>
        <w:ind w:left="444" w:right="380" w:firstLine="419"/>
        <w:spacing w:after="0" w:line="308" w:lineRule="auto"/>
        <w:tabs>
          <w:tab w:leader="none" w:pos="1267" w:val="left"/>
        </w:tabs>
        <w:numPr>
          <w:ilvl w:val="0"/>
          <w:numId w:val="84"/>
        </w:numPr>
        <w:rPr>
          <w:rFonts w:ascii="Arial" w:cs="Arial" w:eastAsia="Arial" w:hAnsi="Arial"/>
          <w:sz w:val="17"/>
          <w:szCs w:val="17"/>
          <w:color w:val="auto"/>
        </w:rPr>
      </w:pPr>
      <w:r>
        <w:rPr>
          <w:rFonts w:ascii="Arial" w:cs="Arial" w:eastAsia="Arial" w:hAnsi="Arial"/>
          <w:sz w:val="17"/>
          <w:szCs w:val="17"/>
          <w:color w:val="auto"/>
        </w:rPr>
        <w:t>impose on any Lender or the Issuing Bank or the London interbank market any other condition, cost or expense (other than Taxes) affecting this Agreement or Eurocurrency Loans made by such Lender or any Letter of Credit or participation therein;</w:t>
      </w:r>
    </w:p>
    <w:p>
      <w:pPr>
        <w:spacing w:after="0" w:line="79"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62</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92" w:name="page93"/>
    <w:bookmarkEnd w:id="92"/>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and the result of any of the foregoing shall be to increase the cost to such Lenders of making, converting to, continuing or maintaining any Eurocurrency Loan (or of maintaining its obligation to make any such Loan) or to increase the cost to such Lender or the Issuing Bank of participating in, issuing or maintaining any Letter of Credit or to reduce the amount of any sum received or receivable by such Lender or the Issuing Bank hereunder (whether of principal, interest or otherwise), then the Borrower will pay to such Lender or the Issuing Bank, as the case may be, in Dollars, such additional amount or amounts as will compensate such Lender or the Issuing Bank, as the case may be, for such additional costs incurred or reduction suffered.</w:t>
      </w:r>
    </w:p>
    <w:p>
      <w:pPr>
        <w:spacing w:after="0" w:line="53" w:lineRule="exact"/>
        <w:rPr>
          <w:sz w:val="20"/>
          <w:szCs w:val="20"/>
          <w:color w:val="auto"/>
        </w:rPr>
      </w:pPr>
    </w:p>
    <w:p>
      <w:pPr>
        <w:ind w:right="20" w:firstLine="987"/>
        <w:spacing w:after="0" w:line="270" w:lineRule="auto"/>
        <w:tabs>
          <w:tab w:leader="none" w:pos="1381"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Capital or Liquidity Requirements</w:t>
      </w:r>
      <w:r>
        <w:rPr>
          <w:rFonts w:ascii="Arial" w:cs="Arial" w:eastAsia="Arial" w:hAnsi="Arial"/>
          <w:sz w:val="17"/>
          <w:szCs w:val="17"/>
          <w:color w:val="auto"/>
        </w:rPr>
        <w:t>. 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or the Loans made by, or participations in Swingline Loans and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by an amount deemed to be material by such Lender or the Issuing Bank, then from time to time the Borrower will pay to such Lender or the Issuing Bank, as the case may be, in Dollars, such additional amount or amounts as will compensate such Lender or the Issuing Bank or such Lender’s or the Issuing Bank’s holding company for any such reduction suffered.</w:t>
      </w:r>
    </w:p>
    <w:p>
      <w:pPr>
        <w:spacing w:after="0" w:line="72" w:lineRule="exact"/>
        <w:rPr>
          <w:rFonts w:ascii="Arial" w:cs="Arial" w:eastAsia="Arial" w:hAnsi="Arial"/>
          <w:sz w:val="17"/>
          <w:szCs w:val="17"/>
          <w:color w:val="auto"/>
        </w:rPr>
      </w:pPr>
    </w:p>
    <w:p>
      <w:pPr>
        <w:ind w:right="20" w:firstLine="987"/>
        <w:spacing w:after="0" w:line="255" w:lineRule="auto"/>
        <w:tabs>
          <w:tab w:leader="none" w:pos="1371"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Certificates from Lenders</w:t>
      </w:r>
      <w:r>
        <w:rPr>
          <w:rFonts w:ascii="Arial" w:cs="Arial" w:eastAsia="Arial" w:hAnsi="Arial"/>
          <w:sz w:val="18"/>
          <w:szCs w:val="18"/>
          <w:color w:val="auto"/>
        </w:rPr>
        <w:t xml:space="preserve">. A certificate of a Lender or the Issuing Bank setting forth in reasonable detail the basis for and the calculation of the amount or amounts, in Dollars, necessary to compensate such Lender or the Issuing Bank or its holding company, as the case may be, as specified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shall be promptly delivered to the Borrower and shall be conclusive absent manifest error (it being understood that no Lender shall be required to disclose (i) any confidential or price sensitive information or (ii) any information to the extent prohibited by applicable law). The Borrower shall pay such Lender or the Issuing Bank, as the case may be, the amount shown as due on any such certificate within 10 days after receipt thereof.</w:t>
      </w:r>
    </w:p>
    <w:p>
      <w:pPr>
        <w:spacing w:after="0" w:line="84" w:lineRule="exact"/>
        <w:rPr>
          <w:rFonts w:ascii="Arial" w:cs="Arial" w:eastAsia="Arial" w:hAnsi="Arial"/>
          <w:sz w:val="18"/>
          <w:szCs w:val="18"/>
          <w:color w:val="auto"/>
        </w:rPr>
      </w:pPr>
    </w:p>
    <w:p>
      <w:pPr>
        <w:ind w:left="1380" w:hanging="393"/>
        <w:spacing w:after="0"/>
        <w:tabs>
          <w:tab w:leader="none" w:pos="1380"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Delay in Requests</w:t>
      </w:r>
      <w:r>
        <w:rPr>
          <w:rFonts w:ascii="Arial" w:cs="Arial" w:eastAsia="Arial" w:hAnsi="Arial"/>
          <w:sz w:val="17"/>
          <w:szCs w:val="17"/>
          <w:color w:val="auto"/>
        </w:rPr>
        <w:t>. Failure or delay on the part of any Lender or the Issuing Bank to demand compensation pursuant to this</w:t>
      </w:r>
    </w:p>
    <w:p>
      <w:pPr>
        <w:spacing w:after="0" w:line="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Section shall not constitute a waiver of such Lender’s or the Issuing Bank’s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compensate a Lender or the Issuing Bank pursuant to this Section for any increased costs or reductions incurred more than six months prior to the date that such Lender or the Issuing Bank, as the case may be, notifies the Borrower of the Change in Law giving rise to such increased costs or reductions and of such Lender’s or the Issuing Bank’s intention to claim compensation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Change in Law giving rise to such increased costs or reductions is retroactive, then the six-month period referred to above shall be extended to include the period of retroactive effect thereof.</w:t>
      </w:r>
    </w:p>
    <w:p>
      <w:pPr>
        <w:spacing w:after="0" w:line="194"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Break Funding Payments</w:t>
      </w:r>
      <w:r>
        <w:rPr>
          <w:rFonts w:ascii="Arial" w:cs="Arial" w:eastAsia="Arial" w:hAnsi="Arial"/>
          <w:sz w:val="18"/>
          <w:szCs w:val="18"/>
          <w:color w:val="auto"/>
        </w:rPr>
        <w:t>. In the event of (a) the payment of any principal of any Eurocurrency Loan other than on the last day of an Interest Period therefor</w:t>
      </w:r>
    </w:p>
    <w:p>
      <w:pPr>
        <w:spacing w:after="0" w:line="103"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63</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93" w:name="page94"/>
    <w:bookmarkEnd w:id="93"/>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(including as a result of the occurrence of any Commitment Increase Date or an Event of Default), (b) the conversion of any Eurocurrency Loan other than on the last day of an Interest Period therefor, (c) the failure to borrow, convert, continue or prepay any Syndicated Loan on the date specified in any notice delivered pursuant hereto (including, in connection with any Commitment Increase Date, and regardless of whether such notice is permitted to be revocable under </w:t>
      </w:r>
      <w:r>
        <w:rPr>
          <w:rFonts w:ascii="Arial" w:cs="Arial" w:eastAsia="Arial" w:hAnsi="Arial"/>
          <w:sz w:val="18"/>
          <w:szCs w:val="18"/>
          <w:u w:val="single" w:color="auto"/>
          <w:color w:val="auto"/>
        </w:rPr>
        <w:t>Section 2.10(f)</w:t>
      </w:r>
      <w:r>
        <w:rPr>
          <w:rFonts w:ascii="Arial" w:cs="Arial" w:eastAsia="Arial" w:hAnsi="Arial"/>
          <w:sz w:val="18"/>
          <w:szCs w:val="18"/>
          <w:color w:val="auto"/>
        </w:rPr>
        <w:t xml:space="preserve"> and is revoked in accordance herewith), or (d) the assignment as a result of a request by the Borrower pursuant to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of any Eurocurrency Loan other than on the last day of an Interest Period therefor, then, in any such event, the Borrower shall compensate each Lender for the loss, cost and reasonable expense attributable to such event (excluding loss of anticipated profits). In the case of a Eurocurrency Loan, the loss to any Lender attributable to any such event shall be deemed to include an amount determined by such Lender to be equal to the excess, if any, of</w:t>
      </w:r>
    </w:p>
    <w:p>
      <w:pPr>
        <w:spacing w:after="0" w:line="84" w:lineRule="exact"/>
        <w:rPr>
          <w:sz w:val="20"/>
          <w:szCs w:val="20"/>
          <w:color w:val="auto"/>
        </w:rPr>
      </w:pPr>
    </w:p>
    <w:p>
      <w:pPr>
        <w:ind w:left="440" w:right="140" w:firstLine="419"/>
        <w:spacing w:after="0" w:line="257" w:lineRule="auto"/>
        <w:tabs>
          <w:tab w:leader="none" w:pos="1213"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amount of interest that such Lender would pay for a deposit equal to the principal amount of such Loan denominated in the Currency of such Loan for the period from the date of such payment, conversion, failure or assignment to the last day of the then current Interest Period for such Loan (or, in the case of a failure to borrow, convert or continue, the duration of the Interest Period that would have resulted from such borrowing, conversion or continuation) if the interest rate payable on such deposit were equal to the Adjusted LIBO Rate for such Currency for such Interest Period, </w:t>
      </w:r>
      <w:r>
        <w:rPr>
          <w:rFonts w:ascii="Arial" w:cs="Arial" w:eastAsia="Arial" w:hAnsi="Arial"/>
          <w:sz w:val="18"/>
          <w:szCs w:val="18"/>
          <w:u w:val="single" w:color="auto"/>
          <w:color w:val="auto"/>
        </w:rPr>
        <w:t>over</w:t>
      </w:r>
    </w:p>
    <w:p>
      <w:pPr>
        <w:spacing w:after="0" w:line="79" w:lineRule="exact"/>
        <w:rPr>
          <w:rFonts w:ascii="Arial" w:cs="Arial" w:eastAsia="Arial" w:hAnsi="Arial"/>
          <w:sz w:val="18"/>
          <w:szCs w:val="18"/>
          <w:color w:val="auto"/>
        </w:rPr>
      </w:pPr>
    </w:p>
    <w:p>
      <w:pPr>
        <w:ind w:left="440" w:right="140" w:firstLine="419"/>
        <w:spacing w:after="0" w:line="263" w:lineRule="auto"/>
        <w:tabs>
          <w:tab w:leader="none" w:pos="1263"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Eurocurrency market at the commencement of such period.</w:t>
      </w:r>
    </w:p>
    <w:p>
      <w:pPr>
        <w:spacing w:after="0" w:line="18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Payment under this Section shall be made upon request of a Lender delivered not later than five Business Days following the payment, conversion, or failure to borrow, convert, continue or prepay that gives rise to a claim under this Section accompanied by a certificate of such Lender setting forth in reasonable detail the basis for and the calculation of the amount or amounts that such Lender is entitled to receive pursuant to this Section, which certificate shall be conclusive absent manifest error. The Borrower shall pay such Lender the amount shown as due on any such certificate within 10 days after receipt thereof.</w:t>
      </w:r>
    </w:p>
    <w:p>
      <w:pPr>
        <w:spacing w:after="0" w:line="188"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2.16</w:t>
      </w:r>
      <w:r>
        <w:rPr>
          <w:rFonts w:ascii="Arial" w:cs="Arial" w:eastAsia="Arial" w:hAnsi="Arial"/>
          <w:sz w:val="18"/>
          <w:szCs w:val="18"/>
          <w:color w:val="auto"/>
        </w:rPr>
        <w:t>, the term “Lender” includes the Issuing Bank and the term “applicable law” includes FATCA.</w:t>
      </w:r>
    </w:p>
    <w:p>
      <w:pPr>
        <w:spacing w:after="0" w:line="62" w:lineRule="exact"/>
        <w:rPr>
          <w:sz w:val="20"/>
          <w:szCs w:val="20"/>
          <w:color w:val="auto"/>
        </w:rPr>
      </w:pPr>
    </w:p>
    <w:p>
      <w:pPr>
        <w:ind w:right="20" w:firstLine="987"/>
        <w:spacing w:after="0" w:line="272" w:lineRule="auto"/>
        <w:tabs>
          <w:tab w:leader="none" w:pos="1371"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Payments Free of Taxes</w:t>
      </w:r>
      <w:r>
        <w:rPr>
          <w:rFonts w:ascii="Arial" w:cs="Arial" w:eastAsia="Arial" w:hAnsi="Arial"/>
          <w:sz w:val="17"/>
          <w:szCs w:val="17"/>
          <w:color w:val="auto"/>
        </w:rPr>
        <w:t xml:space="preserve">. Any and all payments by or on account of any obligation of the Borrower hereunder or under any other Loan Document shall be made free and clear of and without deduction for any Taxes, except as required by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shall be required to deduct any Taxes from such payments, then (i) if such Taxes are Indemnified Taxes, the sum payable by the Borrower shall be increased as necessary so that after making all required deductions (including deductions applicable to additional sums payable under this Section) the Administrative Agent, applicable Lender or the Issuing Bank (as the case may be) receives an amount equal to the sum it would have received had no such deductions been made, (ii) the Borrower shall make such deductions and (iii) the Borrower shall pay the full amount deducted to the relevant Governmental Authority in accordance with applicable law.</w:t>
      </w:r>
    </w:p>
    <w:p>
      <w:pPr>
        <w:spacing w:after="0" w:line="110"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64</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94" w:name="page95"/>
    <w:bookmarkEnd w:id="94"/>
    <w:p>
      <w:pPr>
        <w:ind w:left="-987" w:right="700" w:firstLine="987"/>
        <w:spacing w:after="0" w:line="277" w:lineRule="auto"/>
        <w:tabs>
          <w:tab w:leader="none" w:pos="394"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Payment of Other Taxes by the Borrower</w:t>
      </w:r>
      <w:r>
        <w:rPr>
          <w:rFonts w:ascii="Arial" w:cs="Arial" w:eastAsia="Arial" w:hAnsi="Arial"/>
          <w:sz w:val="18"/>
          <w:szCs w:val="18"/>
          <w:color w:val="auto"/>
        </w:rPr>
        <w:t>. In addition, the Borrower shall pay any Other Taxes to the relevant Governmental Authority in accordance with applicable law.</w:t>
      </w:r>
    </w:p>
    <w:p>
      <w:pPr>
        <w:spacing w:after="0" w:line="62" w:lineRule="exact"/>
        <w:rPr>
          <w:rFonts w:ascii="Arial" w:cs="Arial" w:eastAsia="Arial" w:hAnsi="Arial"/>
          <w:sz w:val="18"/>
          <w:szCs w:val="18"/>
          <w:color w:val="auto"/>
        </w:rPr>
      </w:pPr>
    </w:p>
    <w:p>
      <w:pPr>
        <w:ind w:left="-987" w:right="100" w:firstLine="987"/>
        <w:spacing w:after="0" w:line="271" w:lineRule="auto"/>
        <w:tabs>
          <w:tab w:leader="none" w:pos="383"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Indemnification by the Borrower</w:t>
      </w:r>
      <w:r>
        <w:rPr>
          <w:rFonts w:ascii="Arial" w:cs="Arial" w:eastAsia="Arial" w:hAnsi="Arial"/>
          <w:sz w:val="17"/>
          <w:szCs w:val="17"/>
          <w:color w:val="auto"/>
        </w:rPr>
        <w:t>. The Borrower shall indemnify the Administrative Agent, each Lender and the Issuing Bank for and, within 10 Business Days after written demand therefor, pay the full amount of any Indemnified Taxes (including Indemnified Taxes imposed or asserted on or attributable to amounts payable under this Section) paid by the Administrative Agent, such Lender or the Issuing Bank, as the case may be, and any penalties, interest and reasonable expenses arising therefrom or with respect thereto, whether or not such Indemnified Taxes were correctly or legally imposed or asserted by the relevant Governmental Authority, except to the extent that any such Indemnified Taxes arise as the result of the gross negligence or willful misconduct of the Administrative Agent, such Lender or the Issuing Bank. A certificate as to the amount of such payment or liability delivered to the Borrower by a Lender or the Issuing Bank, or by the Administrative Agent on its own behalf or on behalf of a Lender or the Issuing Bank, shall be conclusive absent manifest error.</w:t>
      </w:r>
    </w:p>
    <w:p>
      <w:pPr>
        <w:spacing w:after="0" w:line="70" w:lineRule="exact"/>
        <w:rPr>
          <w:rFonts w:ascii="Arial" w:cs="Arial" w:eastAsia="Arial" w:hAnsi="Arial"/>
          <w:sz w:val="17"/>
          <w:szCs w:val="17"/>
          <w:color w:val="auto"/>
        </w:rPr>
      </w:pPr>
    </w:p>
    <w:p>
      <w:pPr>
        <w:ind w:left="-987" w:right="20" w:firstLine="987"/>
        <w:spacing w:after="0" w:line="269" w:lineRule="auto"/>
        <w:tabs>
          <w:tab w:leader="none" w:pos="394"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Indemnification by the Lenders</w:t>
      </w:r>
      <w:r>
        <w:rPr>
          <w:rFonts w:ascii="Arial" w:cs="Arial" w:eastAsia="Arial" w:hAnsi="Arial"/>
          <w:sz w:val="17"/>
          <w:szCs w:val="17"/>
          <w:color w:val="auto"/>
        </w:rPr>
        <w:t xml:space="preserve">. Each Lender shall severally indemnify the Administrative Agent, within 10 Business Days after written demand therefor, for (i) any Indemnified Taxes or Other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17"/>
          <w:szCs w:val="17"/>
          <w:u w:val="single" w:color="auto"/>
          <w:color w:val="auto"/>
        </w:rPr>
        <w:t>Section 9.04(f)</w:t>
      </w:r>
      <w:r>
        <w:rPr>
          <w:rFonts w:ascii="Arial" w:cs="Arial" w:eastAsia="Arial" w:hAnsi="Arial"/>
          <w:sz w:val="17"/>
          <w:szCs w:val="17"/>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7"/>
          <w:szCs w:val="17"/>
          <w:u w:val="single" w:color="auto"/>
          <w:color w:val="auto"/>
        </w:rPr>
        <w:t>paragraph (d)</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left="-987" w:right="60" w:firstLine="987"/>
        <w:spacing w:after="0" w:line="259" w:lineRule="auto"/>
        <w:tabs>
          <w:tab w:leader="none" w:pos="383"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As soon as practicable after any payment of Indemnified Taxes by the Borrower to a Governmental Authority pursuant to this </w:t>
      </w:r>
      <w:r>
        <w:rPr>
          <w:rFonts w:ascii="Arial" w:cs="Arial" w:eastAsia="Arial" w:hAnsi="Arial"/>
          <w:sz w:val="18"/>
          <w:szCs w:val="18"/>
          <w:u w:val="single" w:color="auto"/>
          <w:color w:val="auto"/>
        </w:rPr>
        <w:t>Section 2.16</w:t>
      </w:r>
      <w:r>
        <w:rPr>
          <w:rFonts w:ascii="Arial" w:cs="Arial" w:eastAsia="Arial" w:hAnsi="Arial"/>
          <w:sz w:val="18"/>
          <w:szCs w:val="18"/>
          <w:color w:val="auto"/>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78" w:lineRule="exact"/>
        <w:rPr>
          <w:rFonts w:ascii="Arial" w:cs="Arial" w:eastAsia="Arial" w:hAnsi="Arial"/>
          <w:sz w:val="18"/>
          <w:szCs w:val="18"/>
          <w:color w:val="auto"/>
        </w:rPr>
      </w:pPr>
    </w:p>
    <w:p>
      <w:pPr>
        <w:jc w:val="both"/>
        <w:ind w:left="-987" w:right="100" w:firstLine="987"/>
        <w:spacing w:after="0" w:line="259" w:lineRule="auto"/>
        <w:tabs>
          <w:tab w:leader="none" w:pos="364"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Tax Documentation</w:t>
      </w:r>
      <w:r>
        <w:rPr>
          <w:rFonts w:ascii="Arial" w:cs="Arial" w:eastAsia="Arial" w:hAnsi="Arial"/>
          <w:sz w:val="18"/>
          <w:szCs w:val="18"/>
          <w:color w:val="auto"/>
        </w:rPr>
        <w:t>. (i) Any Lender that is entitled to an exemption from or reduction of withholding Tax, with respect to payments under any Loan Document shall deliver to the Borrower and the Administrative Agent, at the time or times prescribed by applicable law or reasonably requested by the Borrower or the Administrative Agent, such properly completed and executed documentation reasonably requested by the Borrower or the Administrative Agent</w:t>
      </w:r>
    </w:p>
    <w:p>
      <w:pPr>
        <w:spacing w:after="0" w:line="119" w:lineRule="exact"/>
        <w:rPr>
          <w:sz w:val="20"/>
          <w:szCs w:val="20"/>
          <w:color w:val="auto"/>
        </w:rPr>
      </w:pPr>
    </w:p>
    <w:tbl>
      <w:tblPr>
        <w:tblLayout w:type="fixed"/>
        <w:tblInd w:w="4493"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65</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0033"/>
          </w:cols>
          <w:pgMar w:left="1427" w:top="274" w:right="439" w:bottom="1440" w:gutter="0" w:footer="0" w:header="0"/>
        </w:sectPr>
      </w:pPr>
    </w:p>
    <w:bookmarkStart w:id="95" w:name="page96"/>
    <w:bookmarkEnd w:id="95"/>
    <w:p>
      <w:pPr>
        <w:ind w:right="1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as will permit such payments to be made without withholding or at a reduced rate.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7"/>
          <w:szCs w:val="17"/>
          <w:u w:val="single" w:color="auto"/>
          <w:color w:val="auto"/>
        </w:rPr>
        <w:t>Section 2.16(f)(ii)(A) and (B)</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69" w:lineRule="exact"/>
        <w:rPr>
          <w:sz w:val="20"/>
          <w:szCs w:val="20"/>
          <w:color w:val="auto"/>
        </w:rPr>
      </w:pPr>
    </w:p>
    <w:p>
      <w:pPr>
        <w:ind w:left="1260" w:hanging="401"/>
        <w:spacing w:after="0"/>
        <w:tabs>
          <w:tab w:leader="none" w:pos="1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17" w:lineRule="exact"/>
        <w:rPr>
          <w:rFonts w:ascii="Arial" w:cs="Arial" w:eastAsia="Arial" w:hAnsi="Arial"/>
          <w:sz w:val="18"/>
          <w:szCs w:val="18"/>
          <w:color w:val="auto"/>
        </w:rPr>
      </w:pPr>
    </w:p>
    <w:p>
      <w:pPr>
        <w:ind w:left="980" w:right="120" w:firstLine="408"/>
        <w:spacing w:after="0" w:line="257" w:lineRule="auto"/>
        <w:tabs>
          <w:tab w:leader="none" w:pos="181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(and such additional copies as shall be reasonably requested by the recipient) on or prior to the date on which such Lender becomes a Lender under this Agreement (and from time to time thereafter upon the reasonable request of the Borrower or the Administrative Agent), duly completed and executed copies of Internal Revenue Service Form W-9 or any successor form certifying that such Lender is exempt from U.S. federal backup withholding Tax; and</w:t>
      </w:r>
    </w:p>
    <w:p>
      <w:pPr>
        <w:spacing w:after="0" w:line="79" w:lineRule="exact"/>
        <w:rPr>
          <w:rFonts w:ascii="Arial" w:cs="Arial" w:eastAsia="Arial" w:hAnsi="Arial"/>
          <w:sz w:val="18"/>
          <w:szCs w:val="18"/>
          <w:color w:val="auto"/>
        </w:rPr>
      </w:pPr>
    </w:p>
    <w:p>
      <w:pPr>
        <w:ind w:left="980" w:right="180" w:firstLine="408"/>
        <w:spacing w:after="0" w:line="259" w:lineRule="auto"/>
        <w:tabs>
          <w:tab w:leader="none" w:pos="1801" w:val="left"/>
        </w:tabs>
        <w:numPr>
          <w:ilvl w:val="1"/>
          <w:numId w:val="89"/>
        </w:numPr>
        <w:rPr>
          <w:rFonts w:ascii="Arial" w:cs="Arial" w:eastAsia="Arial" w:hAnsi="Arial"/>
          <w:sz w:val="18"/>
          <w:szCs w:val="18"/>
          <w:color w:val="auto"/>
        </w:rPr>
      </w:pPr>
      <w:r>
        <w:rPr>
          <w:rFonts w:ascii="Arial" w:cs="Arial" w:eastAsia="Arial" w:hAnsi="Arial"/>
          <w:sz w:val="18"/>
          <w:szCs w:val="18"/>
          <w:color w:val="auto"/>
        </w:rPr>
        <w:t>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only if such Foreign Lender is legally entitled to do so), whichever of the following is applicable:</w:t>
      </w:r>
    </w:p>
    <w:p>
      <w:pPr>
        <w:spacing w:after="0" w:line="78" w:lineRule="exact"/>
        <w:rPr>
          <w:rFonts w:ascii="Arial" w:cs="Arial" w:eastAsia="Arial" w:hAnsi="Arial"/>
          <w:sz w:val="18"/>
          <w:szCs w:val="18"/>
          <w:color w:val="auto"/>
        </w:rPr>
      </w:pPr>
    </w:p>
    <w:p>
      <w:pPr>
        <w:jc w:val="both"/>
        <w:ind w:left="1420" w:right="20" w:firstLine="391"/>
        <w:spacing w:after="0" w:line="279" w:lineRule="auto"/>
        <w:tabs>
          <w:tab w:leader="none" w:pos="2233" w:val="left"/>
        </w:tabs>
        <w:numPr>
          <w:ilvl w:val="2"/>
          <w:numId w:val="89"/>
        </w:numPr>
        <w:rPr>
          <w:rFonts w:ascii="Arial" w:cs="Arial" w:eastAsia="Arial" w:hAnsi="Arial"/>
          <w:sz w:val="17"/>
          <w:szCs w:val="17"/>
          <w:color w:val="auto"/>
        </w:rPr>
      </w:pPr>
      <w:r>
        <w:rPr>
          <w:rFonts w:ascii="Arial" w:cs="Arial" w:eastAsia="Arial" w:hAnsi="Arial"/>
          <w:sz w:val="17"/>
          <w:szCs w:val="17"/>
          <w:color w:val="auto"/>
        </w:rPr>
        <w:t>duly completed and executed copies of Internal Revenue Service Form W-8BEN, W-8BEN-E or any applicable successor form claiming eligibility for benefits of an income tax treaty to which the United States is a party pursuant to the “interest” article of such tax treaty (for payments of interest) or establishing an exemption from or reduction of U.S. federal withholding Tax pursuant to the “business profits” or “other income” article of such tax treaty (for other payments),</w:t>
      </w:r>
    </w:p>
    <w:p>
      <w:pPr>
        <w:spacing w:after="0" w:line="63" w:lineRule="exact"/>
        <w:rPr>
          <w:rFonts w:ascii="Arial" w:cs="Arial" w:eastAsia="Arial" w:hAnsi="Arial"/>
          <w:sz w:val="17"/>
          <w:szCs w:val="17"/>
          <w:color w:val="auto"/>
        </w:rPr>
      </w:pPr>
    </w:p>
    <w:p>
      <w:pPr>
        <w:ind w:left="1420" w:right="540" w:firstLine="391"/>
        <w:spacing w:after="0" w:line="342" w:lineRule="auto"/>
        <w:tabs>
          <w:tab w:leader="none" w:pos="2193" w:val="left"/>
        </w:tabs>
        <w:numPr>
          <w:ilvl w:val="2"/>
          <w:numId w:val="89"/>
        </w:numPr>
        <w:rPr>
          <w:rFonts w:ascii="Arial" w:cs="Arial" w:eastAsia="Arial" w:hAnsi="Arial"/>
          <w:sz w:val="16"/>
          <w:szCs w:val="16"/>
          <w:color w:val="auto"/>
        </w:rPr>
      </w:pPr>
      <w:r>
        <w:rPr>
          <w:rFonts w:ascii="Arial" w:cs="Arial" w:eastAsia="Arial" w:hAnsi="Arial"/>
          <w:sz w:val="16"/>
          <w:szCs w:val="16"/>
          <w:color w:val="auto"/>
        </w:rPr>
        <w:t>duly completed copies of Internal Revenue Service Form W-8ECI or any successor form certifying that the income receivable pursuant to this Agreement is effectively connected with the conduct of a trade or business in the United States,</w:t>
      </w:r>
    </w:p>
    <w:p>
      <w:pPr>
        <w:spacing w:after="0" w:line="15" w:lineRule="exact"/>
        <w:rPr>
          <w:rFonts w:ascii="Arial" w:cs="Arial" w:eastAsia="Arial" w:hAnsi="Arial"/>
          <w:sz w:val="16"/>
          <w:szCs w:val="16"/>
          <w:color w:val="auto"/>
        </w:rPr>
      </w:pPr>
    </w:p>
    <w:p>
      <w:pPr>
        <w:jc w:val="both"/>
        <w:ind w:left="1420" w:right="240" w:firstLine="391"/>
        <w:spacing w:after="0" w:line="286" w:lineRule="auto"/>
        <w:tabs>
          <w:tab w:leader="none" w:pos="2193" w:val="left"/>
        </w:tabs>
        <w:numPr>
          <w:ilvl w:val="2"/>
          <w:numId w:val="89"/>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the exemption for portfolio interest under Section 881(c) of the Code, (1) a certificate to the effect that such Foreign Lender is not (1) a “bank” within the meaning of Section 881(c)(3)(A) of the Code, (2) a “10 percent shareholder” of the Borrower within the meaning of Section 871(h)(3)(B)</w:t>
      </w:r>
    </w:p>
    <w:p>
      <w:pPr>
        <w:spacing w:after="0" w:line="98"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66</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96" w:name="page97"/>
    <w:bookmarkEnd w:id="96"/>
    <w:p>
      <w:pPr>
        <w:ind w:left="561"/>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the Code, or (3) a “controlled foreign corporation” related to the Borrower as described in Section 881(c)(3)(C) of the Code and</w:t>
      </w:r>
    </w:p>
    <w:p>
      <w:pPr>
        <w:spacing w:after="0" w:line="46" w:lineRule="exact"/>
        <w:rPr>
          <w:sz w:val="20"/>
          <w:szCs w:val="20"/>
          <w:color w:val="auto"/>
        </w:rPr>
      </w:pPr>
    </w:p>
    <w:p>
      <w:pPr>
        <w:ind w:left="561" w:right="360" w:firstLine="8"/>
        <w:spacing w:after="0" w:line="260" w:lineRule="auto"/>
        <w:tabs>
          <w:tab w:leader="none" w:pos="815" w:val="left"/>
        </w:tabs>
        <w:numPr>
          <w:ilvl w:val="3"/>
          <w:numId w:val="90"/>
        </w:numPr>
        <w:rPr>
          <w:rFonts w:ascii="Arial" w:cs="Arial" w:eastAsia="Arial" w:hAnsi="Arial"/>
          <w:sz w:val="18"/>
          <w:szCs w:val="18"/>
          <w:color w:val="auto"/>
        </w:rPr>
      </w:pPr>
      <w:r>
        <w:rPr>
          <w:rFonts w:ascii="Arial" w:cs="Arial" w:eastAsia="Arial" w:hAnsi="Arial"/>
          <w:sz w:val="18"/>
          <w:szCs w:val="18"/>
          <w:color w:val="auto"/>
        </w:rPr>
        <w:t>duly completed and executed copies of Internal Revenue Service Form W-8BEN or W-8BEN-E (or any applicable successor form) certifying that the Foreign Lender is not a United States Person, or</w:t>
      </w:r>
    </w:p>
    <w:p>
      <w:pPr>
        <w:spacing w:after="0" w:line="77" w:lineRule="exact"/>
        <w:rPr>
          <w:rFonts w:ascii="Arial" w:cs="Arial" w:eastAsia="Arial" w:hAnsi="Arial"/>
          <w:sz w:val="18"/>
          <w:szCs w:val="18"/>
          <w:color w:val="auto"/>
        </w:rPr>
      </w:pPr>
    </w:p>
    <w:p>
      <w:pPr>
        <w:ind w:left="561" w:right="40" w:firstLine="391"/>
        <w:spacing w:after="0" w:line="279" w:lineRule="auto"/>
        <w:tabs>
          <w:tab w:leader="none" w:pos="1324" w:val="left"/>
        </w:tabs>
        <w:numPr>
          <w:ilvl w:val="4"/>
          <w:numId w:val="90"/>
        </w:numPr>
        <w:rPr>
          <w:rFonts w:ascii="Arial" w:cs="Arial" w:eastAsia="Arial" w:hAnsi="Arial"/>
          <w:sz w:val="17"/>
          <w:szCs w:val="17"/>
          <w:color w:val="auto"/>
        </w:rPr>
      </w:pPr>
      <w:r>
        <w:rPr>
          <w:rFonts w:ascii="Arial" w:cs="Arial" w:eastAsia="Arial" w:hAnsi="Arial"/>
          <w:sz w:val="17"/>
          <w:szCs w:val="17"/>
          <w:color w:val="auto"/>
        </w:rPr>
        <w:t>duly completed and executed originals of Internal Revenue Service Form W-8IMY (or any applicable successor form), accompanied by Internal Revenue Service Form W-8ECI (or any applicable successor form), Internal Revenue Service Form W-8BEN or W-8BEN-E (or any applicable successor form), a U.S. Tax Compliance Certificate, Internal Revenue Service Form W-9 (or any applicable successor form), and/or other certification documents from each beneficial owner, as applicable.</w:t>
      </w:r>
    </w:p>
    <w:p>
      <w:pPr>
        <w:spacing w:after="0" w:line="63" w:lineRule="exact"/>
        <w:rPr>
          <w:rFonts w:ascii="Arial" w:cs="Arial" w:eastAsia="Arial" w:hAnsi="Arial"/>
          <w:sz w:val="17"/>
          <w:szCs w:val="17"/>
          <w:color w:val="auto"/>
        </w:rPr>
      </w:pPr>
    </w:p>
    <w:p>
      <w:pPr>
        <w:ind w:left="121" w:right="180" w:firstLine="408"/>
        <w:spacing w:after="0" w:line="273" w:lineRule="auto"/>
        <w:tabs>
          <w:tab w:leader="none" w:pos="941" w:val="left"/>
        </w:tabs>
        <w:numPr>
          <w:ilvl w:val="2"/>
          <w:numId w:val="91"/>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spacing w:after="0" w:line="69" w:lineRule="exact"/>
        <w:rPr>
          <w:rFonts w:ascii="Arial" w:cs="Arial" w:eastAsia="Arial" w:hAnsi="Arial"/>
          <w:sz w:val="17"/>
          <w:szCs w:val="17"/>
          <w:color w:val="auto"/>
        </w:rPr>
      </w:pPr>
    </w:p>
    <w:p>
      <w:pPr>
        <w:ind w:left="-419" w:right="160" w:firstLine="419"/>
        <w:spacing w:after="0" w:line="301" w:lineRule="auto"/>
        <w:tabs>
          <w:tab w:leader="none" w:pos="453"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In addition, each Lender shall deliver such forms promptly upon the obsolescence, expiration or invalidity of any form previously delivered by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it is legally able to do so at the time. Each Lender shall promptly notify the Borrower and the Administrative Agent at any time the chief tax officer of such Lender becomes aware that it no longer satisfies the legal requirements to provide any previously delivered form or certificate to the Borrower (or any other form of certification adopted by the U.S. or other taxing authorities for such purpose).</w:t>
      </w:r>
    </w:p>
    <w:p>
      <w:pPr>
        <w:spacing w:after="0" w:line="49" w:lineRule="exact"/>
        <w:rPr>
          <w:rFonts w:ascii="Arial" w:cs="Arial" w:eastAsia="Arial" w:hAnsi="Arial"/>
          <w:sz w:val="16"/>
          <w:szCs w:val="16"/>
          <w:color w:val="auto"/>
        </w:rPr>
      </w:pPr>
    </w:p>
    <w:p>
      <w:pPr>
        <w:ind w:left="-859" w:right="40" w:firstLine="987"/>
        <w:spacing w:after="0" w:line="253" w:lineRule="auto"/>
        <w:tabs>
          <w:tab w:leader="none" w:pos="522"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Documentation Required by FATCA</w:t>
      </w:r>
      <w:r>
        <w:rPr>
          <w:rFonts w:ascii="Arial" w:cs="Arial" w:eastAsia="Arial" w:hAnsi="Arial"/>
          <w:sz w:val="18"/>
          <w:szCs w:val="18"/>
          <w:color w:val="auto"/>
        </w:rPr>
        <w:t xml:space="preserve">.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8"/>
          <w:szCs w:val="18"/>
          <w:u w:val="single" w:color="auto"/>
          <w:color w:val="auto"/>
        </w:rPr>
        <w:t>Section 2.16(g)</w:t>
      </w:r>
      <w:r>
        <w:rPr>
          <w:rFonts w:ascii="Arial" w:cs="Arial" w:eastAsia="Arial" w:hAnsi="Arial"/>
          <w:sz w:val="18"/>
          <w:szCs w:val="18"/>
          <w:color w:val="auto"/>
        </w:rPr>
        <w:t>, “FATCA” shall include any amendments made to FATCA after the date of this Agreement.</w:t>
      </w:r>
    </w:p>
    <w:p>
      <w:pPr>
        <w:spacing w:after="0" w:line="129" w:lineRule="exact"/>
        <w:rPr>
          <w:sz w:val="20"/>
          <w:szCs w:val="20"/>
          <w:color w:val="auto"/>
        </w:rPr>
      </w:pPr>
    </w:p>
    <w:tbl>
      <w:tblPr>
        <w:tblLayout w:type="fixed"/>
        <w:tblInd w:w="4621"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67</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0161"/>
          </w:cols>
          <w:pgMar w:left="1299" w:top="274" w:right="439" w:bottom="1440" w:gutter="0" w:footer="0" w:header="0"/>
        </w:sectPr>
      </w:pPr>
    </w:p>
    <w:bookmarkStart w:id="97" w:name="page98"/>
    <w:bookmarkEnd w:id="97"/>
    <w:p>
      <w:pPr>
        <w:ind w:right="20" w:firstLine="987"/>
        <w:spacing w:after="0" w:line="286" w:lineRule="auto"/>
        <w:tabs>
          <w:tab w:leader="none" w:pos="1381"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Treatment of Certain Refunds</w:t>
      </w:r>
      <w:r>
        <w:rPr>
          <w:rFonts w:ascii="Arial" w:cs="Arial" w:eastAsia="Arial" w:hAnsi="Arial"/>
          <w:sz w:val="16"/>
          <w:szCs w:val="16"/>
          <w:color w:val="auto"/>
        </w:rPr>
        <w:t xml:space="preserve">. If the Administrative Agent, any Lender or an Issuing Bank determines, in its sole discretion exercised in good faith, that it has received a refund or credit (in lieu of such refund) of any Taxes or Other Taxes as to which it has been indemnified by the Borrower or with respect to which the Borrower has paid additional amounts pursuant to this Section, it shall pay to the Borrower an amount equal to such refund or credit (but only to the extent of indemnity payments made, or additional amounts paid, by the Borrower under this Section with respect to the Taxes or Other Taxes giving rise to such refund), net of all reasonable out-of-pocket expenses of the Administrative Agent, any Lender or an Issuing Bank, as the case may be,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Administrative Agent, any Lender or an Issuing Bank, agrees to repay the amount paid over to the Borrower (plus any penalties, interest or other charges imposed by the relevant Governmental Authority) to the Administrative Agent, any Lender or an Issuing Bank in the event the Administrative Agent, any Lender or an Issuing Bank is required to repay such refund to such Governmental Authority. Notwithstanding anything to the contrary in this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in no event will the Administrative Agent, any Lender or an Issuing Bank be required to pay any amount to Borrower pursuant to this </w:t>
      </w:r>
      <w:r>
        <w:rPr>
          <w:rFonts w:ascii="Arial" w:cs="Arial" w:eastAsia="Arial" w:hAnsi="Arial"/>
          <w:sz w:val="16"/>
          <w:szCs w:val="16"/>
          <w:u w:val="single" w:color="auto"/>
          <w:color w:val="auto"/>
        </w:rPr>
        <w:t>clause (h)</w:t>
      </w:r>
      <w:r>
        <w:rPr>
          <w:rFonts w:ascii="Arial" w:cs="Arial" w:eastAsia="Arial" w:hAnsi="Arial"/>
          <w:sz w:val="16"/>
          <w:szCs w:val="16"/>
          <w:color w:val="auto"/>
        </w:rPr>
        <w:t>, the payment of which would place such Person in a less favorable net after-Tax position than such Person would have been in if the indemnification payments or additional amounts giving rise to such refund had never been paid. This subsection shall not be construed to require the Administrative Agent, any Lender or an Issuing Bank to make available its Tax returns or its books or records (or any other information relating to its Taxes that it deems confidential) to the Borrower or any other Person.</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Payments Generally; Pro Rata Treatment: Sharing of Set-offs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69" w:lineRule="auto"/>
        <w:tabs>
          <w:tab w:leader="none" w:pos="1371"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Payments by the Borrower</w:t>
      </w:r>
      <w:r>
        <w:rPr>
          <w:rFonts w:ascii="Arial" w:cs="Arial" w:eastAsia="Arial" w:hAnsi="Arial"/>
          <w:sz w:val="17"/>
          <w:szCs w:val="17"/>
          <w:color w:val="auto"/>
        </w:rPr>
        <w:t xml:space="preserve">. The Borrower shall make each payment required to be made by it hereunder (whether of principal, interest, fees or reimbursement of LC Disbursements, or under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or otherwise) or under any other Loan Document (except to the extent otherwise provided therein) prior to 2:00 p.m., Atlanta, Georgia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the Issuing Bank or the Swingline Lender as expressly provided herein and payments pursuant to </w:t>
      </w:r>
      <w:r>
        <w:rPr>
          <w:rFonts w:ascii="Arial" w:cs="Arial" w:eastAsia="Arial" w:hAnsi="Arial"/>
          <w:sz w:val="17"/>
          <w:szCs w:val="17"/>
          <w:u w:val="single" w:color="auto"/>
          <w:color w:val="auto"/>
        </w:rPr>
        <w:t>Sections 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82" w:lineRule="exact"/>
        <w:rPr>
          <w:sz w:val="20"/>
          <w:szCs w:val="20"/>
          <w:color w:val="auto"/>
        </w:rPr>
      </w:pPr>
    </w:p>
    <w:p>
      <w:pPr>
        <w:jc w:val="both"/>
        <w:ind w:right="340" w:firstLine="991"/>
        <w:spacing w:after="0" w:line="263" w:lineRule="auto"/>
        <w:rPr>
          <w:sz w:val="20"/>
          <w:szCs w:val="20"/>
          <w:color w:val="auto"/>
        </w:rPr>
      </w:pPr>
      <w:r>
        <w:rPr>
          <w:rFonts w:ascii="Arial" w:cs="Arial" w:eastAsia="Arial" w:hAnsi="Arial"/>
          <w:sz w:val="18"/>
          <w:szCs w:val="18"/>
          <w:color w:val="auto"/>
        </w:rPr>
        <w:t xml:space="preserve">All amounts owing under this Agreement (including commitment fees, payments required under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and payments required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relating to any Loan denominated in Dollars, but not including principal of and interest on any Loan denominated in any Foreign Currency or payments relating to any such Loan required under </w:t>
      </w:r>
      <w:r>
        <w:rPr>
          <w:rFonts w:ascii="Arial" w:cs="Arial" w:eastAsia="Arial" w:hAnsi="Arial"/>
          <w:sz w:val="18"/>
          <w:szCs w:val="18"/>
          <w:u w:val="single" w:color="auto"/>
          <w:color w:val="auto"/>
        </w:rPr>
        <w:t>Section 2.15</w:t>
      </w:r>
      <w:r>
        <w:rPr>
          <w:rFonts w:ascii="Arial" w:cs="Arial" w:eastAsia="Arial" w:hAnsi="Arial"/>
          <w:sz w:val="18"/>
          <w:szCs w:val="18"/>
          <w:color w:val="auto"/>
        </w:rPr>
        <w:t>, which</w:t>
      </w:r>
    </w:p>
    <w:p>
      <w:pPr>
        <w:spacing w:after="0" w:line="116"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68</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98" w:name="page99"/>
    <w:bookmarkEnd w:id="98"/>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are payable in such Foreign Currency) or under any other Loan Document (except to the extent otherwise provided therein) are payable in Dollars. Notwithstanding the foregoing, if the Borrower shall fail to pay any principal of any Loan when due (whether at stated maturity, by acceleration, 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to the Dollar Equivalent thereof on the date of such redenomination and such principal shall be payable on demand; and if the Borrower shall 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spacing w:after="0" w:line="165"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Notwithstanding the foregoing provisions of this Section, if, after the making of any Borrowing in any Foreign Currency, currency control or exchange regulations are imposed in the country which issues such currency with the result that the type of currency in which the Borrowing was made (the “</w:t>
      </w:r>
      <w:r>
        <w:rPr>
          <w:rFonts w:ascii="Arial" w:cs="Arial" w:eastAsia="Arial" w:hAnsi="Arial"/>
          <w:sz w:val="17"/>
          <w:szCs w:val="17"/>
          <w:u w:val="single" w:color="auto"/>
          <w:color w:val="auto"/>
        </w:rPr>
        <w:t>Original Currency</w:t>
      </w:r>
      <w:r>
        <w:rPr>
          <w:rFonts w:ascii="Arial" w:cs="Arial" w:eastAsia="Arial" w:hAnsi="Arial"/>
          <w:sz w:val="17"/>
          <w:szCs w:val="17"/>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spacing w:after="0" w:line="70" w:lineRule="exact"/>
        <w:rPr>
          <w:sz w:val="20"/>
          <w:szCs w:val="20"/>
          <w:color w:val="auto"/>
        </w:rPr>
      </w:pPr>
    </w:p>
    <w:p>
      <w:pPr>
        <w:ind w:right="80" w:firstLine="987"/>
        <w:spacing w:after="0" w:line="255" w:lineRule="auto"/>
        <w:tabs>
          <w:tab w:leader="none" w:pos="1381"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Application of Insufficient Payments</w:t>
      </w:r>
      <w:r>
        <w:rPr>
          <w:rFonts w:ascii="Arial" w:cs="Arial" w:eastAsia="Arial" w:hAnsi="Arial"/>
          <w:sz w:val="18"/>
          <w:szCs w:val="18"/>
          <w:color w:val="auto"/>
        </w:rPr>
        <w:t>. If at any time insufficient funds are received by and available to the Administrative Agent to pay fully all amounts of principal, unreimbursed LC Disbursements, interest and fees of a Class then due hereunder, such funds shall be applied (i) first, to pay interest and fees of such Class then due hereunder, ratably among the parties entitled thereto in accordance with the amounts of interest and fees of such Class then due to such parties, and (ii) second, to pay principal and unreimbursed LC Disbursements of such Class then due hereunder, ratably among the parties entitled thereto in accordance with the amounts of principal and unreimbursed LC Disbursements of such Class then due to such parties.</w:t>
      </w:r>
    </w:p>
    <w:p>
      <w:pPr>
        <w:spacing w:after="0" w:line="84" w:lineRule="exact"/>
        <w:rPr>
          <w:rFonts w:ascii="Arial" w:cs="Arial" w:eastAsia="Arial" w:hAnsi="Arial"/>
          <w:sz w:val="18"/>
          <w:szCs w:val="18"/>
          <w:color w:val="auto"/>
        </w:rPr>
      </w:pPr>
    </w:p>
    <w:p>
      <w:pPr>
        <w:ind w:right="40" w:firstLine="987"/>
        <w:spacing w:after="0" w:line="269" w:lineRule="auto"/>
        <w:tabs>
          <w:tab w:leader="none" w:pos="1371"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Pro Rata Treatment</w:t>
      </w:r>
      <w:r>
        <w:rPr>
          <w:rFonts w:ascii="Arial" w:cs="Arial" w:eastAsia="Arial" w:hAnsi="Arial"/>
          <w:sz w:val="17"/>
          <w:szCs w:val="17"/>
          <w:color w:val="auto"/>
        </w:rPr>
        <w:t xml:space="preserve">. Except to the extent otherwise provided herein: (i) (x) other than with respect any Syndicated Borrowing requested pursuant to </w:t>
      </w:r>
      <w:r>
        <w:rPr>
          <w:rFonts w:ascii="Arial" w:cs="Arial" w:eastAsia="Arial" w:hAnsi="Arial"/>
          <w:sz w:val="17"/>
          <w:szCs w:val="17"/>
          <w:u w:val="single" w:color="auto"/>
          <w:color w:val="auto"/>
        </w:rPr>
        <w:t>Section 2.20(a)(i)</w:t>
      </w:r>
      <w:r>
        <w:rPr>
          <w:rFonts w:ascii="Arial" w:cs="Arial" w:eastAsia="Arial" w:hAnsi="Arial"/>
          <w:sz w:val="17"/>
          <w:szCs w:val="17"/>
          <w:color w:val="auto"/>
        </w:rPr>
        <w:t xml:space="preserve">, each Syndicated Borrowing of a Class shall be made from the Lenders of such Class of Commitments, (y) other than the payment of a commitment fee to a Non-Extending Lender on its applicable Non-Extending Commitment Termination Date, each payment of commitment fee under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shall be made for account of the Lenders of the applicable Class, and (z) other than with respect to any termination or reduction of Commitments or prepayment of Loans in accordance with </w:t>
      </w:r>
      <w:r>
        <w:rPr>
          <w:rFonts w:ascii="Arial" w:cs="Arial" w:eastAsia="Arial" w:hAnsi="Arial"/>
          <w:sz w:val="17"/>
          <w:szCs w:val="17"/>
          <w:u w:val="single" w:color="auto"/>
          <w:color w:val="auto"/>
        </w:rPr>
        <w:t>Section 2.08(f)</w:t>
      </w:r>
      <w:r>
        <w:rPr>
          <w:rFonts w:ascii="Arial" w:cs="Arial" w:eastAsia="Arial" w:hAnsi="Arial"/>
          <w:sz w:val="17"/>
          <w:szCs w:val="17"/>
          <w:color w:val="auto"/>
        </w:rPr>
        <w:t xml:space="preserve">, each termination or reduction of the amount of the Commitments of a Class under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shall be applied to the respective Commitments of the Lenders of such Class, in each case pro rata according to the amounts of their respective Commitments of such Class; (ii) other than with respect to any Syndicated Borrowing requested pursuant to </w:t>
      </w:r>
      <w:r>
        <w:rPr>
          <w:rFonts w:ascii="Arial" w:cs="Arial" w:eastAsia="Arial" w:hAnsi="Arial"/>
          <w:sz w:val="17"/>
          <w:szCs w:val="17"/>
          <w:u w:val="single" w:color="auto"/>
          <w:color w:val="auto"/>
        </w:rPr>
        <w:t>Section 2.20(a)(i)</w:t>
      </w:r>
      <w:r>
        <w:rPr>
          <w:rFonts w:ascii="Arial" w:cs="Arial" w:eastAsia="Arial" w:hAnsi="Arial"/>
          <w:sz w:val="17"/>
          <w:szCs w:val="17"/>
          <w:color w:val="auto"/>
        </w:rPr>
        <w:t>, each Syndicated Borrowing of a Class shall be allocated pro rata among the Lenders of such Class according to the amounts of their respective Commitments of such Class (in the case of the making of Syndicated Loans) or their respective Loans of such Class that are to be included in such</w:t>
      </w:r>
    </w:p>
    <w:p>
      <w:pPr>
        <w:spacing w:after="0" w:line="118"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69</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99" w:name="page100"/>
    <w:bookmarkEnd w:id="9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Borrowing (in the case of conversions and continuations of Loans); (iii) other than in connection with a termination or reduction of Commitments or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prepayment of Loans in accordance with </w:t>
      </w:r>
      <w:r>
        <w:rPr>
          <w:rFonts w:ascii="Arial" w:cs="Arial" w:eastAsia="Arial" w:hAnsi="Arial"/>
          <w:sz w:val="17"/>
          <w:szCs w:val="17"/>
          <w:u w:val="single" w:color="auto"/>
          <w:color w:val="auto"/>
        </w:rPr>
        <w:t>Section 2.08(f)</w:t>
      </w:r>
      <w:r>
        <w:rPr>
          <w:rFonts w:ascii="Arial" w:cs="Arial" w:eastAsia="Arial" w:hAnsi="Arial"/>
          <w:sz w:val="17"/>
          <w:szCs w:val="17"/>
          <w:color w:val="auto"/>
        </w:rPr>
        <w:t>, the payment of a Non-Extending Lender’s Non-Extending Loans on such Non-Extending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Lender’s Non-Extending Final Maturity Date pursuant to </w:t>
      </w:r>
      <w:r>
        <w:rPr>
          <w:rFonts w:ascii="Arial" w:cs="Arial" w:eastAsia="Arial" w:hAnsi="Arial"/>
          <w:sz w:val="17"/>
          <w:szCs w:val="17"/>
          <w:u w:val="single" w:color="auto"/>
          <w:color w:val="auto"/>
        </w:rPr>
        <w:t>Section 2.09(a)</w:t>
      </w:r>
      <w:r>
        <w:rPr>
          <w:rFonts w:ascii="Arial" w:cs="Arial" w:eastAsia="Arial" w:hAnsi="Arial"/>
          <w:sz w:val="17"/>
          <w:szCs w:val="17"/>
          <w:color w:val="auto"/>
        </w:rPr>
        <w:t xml:space="preserve"> or a mandatory prepayment pursuant to </w:t>
      </w:r>
      <w:r>
        <w:rPr>
          <w:rFonts w:ascii="Arial" w:cs="Arial" w:eastAsia="Arial" w:hAnsi="Arial"/>
          <w:sz w:val="17"/>
          <w:szCs w:val="17"/>
          <w:u w:val="single" w:color="auto"/>
          <w:color w:val="auto"/>
        </w:rPr>
        <w:t>Section 2.10(e)</w:t>
      </w:r>
      <w:r>
        <w:rPr>
          <w:rFonts w:ascii="Arial" w:cs="Arial" w:eastAsia="Arial" w:hAnsi="Arial"/>
          <w:sz w:val="17"/>
          <w:szCs w:val="17"/>
          <w:color w:val="auto"/>
        </w:rPr>
        <w:t>, each payment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prepayment of principal of Syndicated Loans of a Class by the Borrower shall be made for account of the Lenders of such Class pro rata in accordance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the respective unpaid principal amounts of the Syndicated Loans of such Class held by them; and (iv) other than the payment of interest to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Non-Extending Lender on its applicable Non-Extending Final Maturity Date, each payment of interest on Syndicated Loans of a Class by the Borrower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made for account of the Lenders of such Class pro rata in accordance with the amounts of interest on such Loans of such Class then due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payable to the respective Lenders. Each Syndicated Borrowing requested pursuant to </w:t>
      </w:r>
      <w:r>
        <w:rPr>
          <w:rFonts w:ascii="Arial" w:cs="Arial" w:eastAsia="Arial" w:hAnsi="Arial"/>
          <w:sz w:val="16"/>
          <w:szCs w:val="16"/>
          <w:u w:val="single" w:color="auto"/>
          <w:color w:val="auto"/>
        </w:rPr>
        <w:t>Section 2.20(a)(i)</w:t>
      </w:r>
      <w:r>
        <w:rPr>
          <w:rFonts w:ascii="Arial" w:cs="Arial" w:eastAsia="Arial" w:hAnsi="Arial"/>
          <w:sz w:val="16"/>
          <w:szCs w:val="16"/>
          <w:color w:val="auto"/>
        </w:rPr>
        <w:t xml:space="preserve"> shall be made from each Extending Lender on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 rata basis according to the amounts of their respective Commitments. Any termination or reduction of Commitments or prepayment of Loans made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u w:val="single" w:color="auto"/>
          <w:color w:val="auto"/>
        </w:rPr>
        <w:t>Section 2.08(f)</w:t>
      </w:r>
      <w:r>
        <w:rPr>
          <w:rFonts w:ascii="Arial" w:cs="Arial" w:eastAsia="Arial" w:hAnsi="Arial"/>
          <w:sz w:val="16"/>
          <w:szCs w:val="16"/>
          <w:color w:val="auto"/>
        </w:rPr>
        <w:t xml:space="preserve"> (including any payment or prepayment of principal of Syndicated Loans in connection therewith), shall be applied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applicable Non-Extending Lender(s) on a pro rata basis according to the amounts of their respective Commitments or Loans, as applicable, (iii)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payment of Non-Extending Loans on a Non-Extending Final Maturity Date pursuant to </w:t>
      </w:r>
      <w:r>
        <w:rPr>
          <w:rFonts w:ascii="Arial" w:cs="Arial" w:eastAsia="Arial" w:hAnsi="Arial"/>
          <w:sz w:val="17"/>
          <w:szCs w:val="17"/>
          <w:u w:val="single" w:color="auto"/>
          <w:color w:val="auto"/>
        </w:rPr>
        <w:t>Section 2.09(a)</w:t>
      </w:r>
      <w:r>
        <w:rPr>
          <w:rFonts w:ascii="Arial" w:cs="Arial" w:eastAsia="Arial" w:hAnsi="Arial"/>
          <w:sz w:val="17"/>
          <w:szCs w:val="17"/>
          <w:color w:val="auto"/>
        </w:rPr>
        <w:t xml:space="preserve"> shall be made for the account of each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Non-Extending Lender for which the applicable Non-Extending Final Maturity Date shall have occurred pro rata in accordance with the respective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unpaid principal amounts of the Non-Extending Loans held by them and (iv) any mandatory prepayment of Non-Extending Loans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shall be made for account of each Non-Extending Lender for which the applicable Non-Extending Commitment Termination Date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occurred pro rata in accordance with the respective unpaid principal amounts of the Non-Extending Loans held by them. For the avoidance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doubt, no payments shall be allocated solely to Non-Extending Lenders following the occurrence and during the continuance of a Default or Event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Default.</w:t>
      </w:r>
    </w:p>
    <w:p>
      <w:pPr>
        <w:spacing w:after="0" w:line="103" w:lineRule="exact"/>
        <w:rPr>
          <w:sz w:val="20"/>
          <w:szCs w:val="20"/>
          <w:color w:val="auto"/>
        </w:rPr>
      </w:pPr>
    </w:p>
    <w:p>
      <w:pPr>
        <w:ind w:right="40" w:firstLine="987"/>
        <w:spacing w:after="0" w:line="268" w:lineRule="auto"/>
        <w:tabs>
          <w:tab w:leader="none" w:pos="1381"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Sharing of Payments by Lenders</w:t>
      </w:r>
      <w:r>
        <w:rPr>
          <w:rFonts w:ascii="Arial" w:cs="Arial" w:eastAsia="Arial" w:hAnsi="Arial"/>
          <w:sz w:val="17"/>
          <w:szCs w:val="17"/>
          <w:color w:val="auto"/>
        </w:rPr>
        <w:t xml:space="preserve">. If any Lender of any Class shall, by exercising any right of set-off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 Swingline Loans, and accrued interest thereon of such Class then due than the proportion received by any other Lender of such Class, then the Lender receiving such greater proportion shall purchase (for cash at face value) participations in the Syndicated Loans, and participations in LC Disbursements and Swingline Loans, of other Lenders of such Class to the extent necessary so that the benefit of all such payments shall be shared by the Lenders of such Class ratably in accordance with the aggregate amount of principal of and accrued interest on their respective Syndicated Loans, and participations in LC Disbursements and Swingline Loans, of such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w:t>
      </w:r>
    </w:p>
    <w:p>
      <w:pPr>
        <w:spacing w:after="0" w:line="119"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70</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00" w:name="page101"/>
    <w:bookmarkEnd w:id="100"/>
    <w:p>
      <w:pPr>
        <w:ind w:right="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41" w:lineRule="exact"/>
        <w:rPr>
          <w:sz w:val="20"/>
          <w:szCs w:val="20"/>
          <w:color w:val="auto"/>
        </w:rPr>
      </w:pPr>
    </w:p>
    <w:p>
      <w:pPr>
        <w:ind w:right="140" w:firstLine="987"/>
        <w:spacing w:after="0" w:line="291" w:lineRule="auto"/>
        <w:tabs>
          <w:tab w:leader="none" w:pos="1371"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Presumptions of Payment</w:t>
      </w:r>
      <w:r>
        <w:rPr>
          <w:rFonts w:ascii="Arial" w:cs="Arial" w:eastAsia="Arial" w:hAnsi="Arial"/>
          <w:sz w:val="16"/>
          <w:szCs w:val="16"/>
          <w:color w:val="auto"/>
        </w:rPr>
        <w:t>. Unless the Administrative Agent shall have received notice from the Borrower prior to the date on which any payment is due to the Administrative Agent for account of the Lenders or the Issuing Bank hereunder that the Borrower will not make such payment, the Administrative Agent may assume that the Borrower has made such payment on such date in accordance herewith and may, in reliance upon such assumption, distribute to the Lenders or the Issuing Bank, as the case may be, the amount due. In such event, if the Borrower has not in fact made such payment, then each of the Lenders or the Issuing Bank, as the case may be, severally agrees to repay to the Administrative Agent forthwith on demand the amount so distributed to such Lender or the Issuing Bank with interest thereon, for each day from and including the date such amount is distributed to it to but excluding the date of payment to the Administrative Agent at the Federal Funds Effective Rate.</w:t>
      </w:r>
    </w:p>
    <w:p>
      <w:pPr>
        <w:spacing w:after="0" w:line="58" w:lineRule="exact"/>
        <w:rPr>
          <w:rFonts w:ascii="Arial" w:cs="Arial" w:eastAsia="Arial" w:hAnsi="Arial"/>
          <w:sz w:val="16"/>
          <w:szCs w:val="16"/>
          <w:color w:val="auto"/>
        </w:rPr>
      </w:pPr>
    </w:p>
    <w:p>
      <w:pPr>
        <w:jc w:val="both"/>
        <w:ind w:right="100" w:firstLine="987"/>
        <w:spacing w:after="0" w:line="259" w:lineRule="auto"/>
        <w:tabs>
          <w:tab w:leader="none" w:pos="1351"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Certain Deductions by the Administrative Agent</w:t>
      </w:r>
      <w:r>
        <w:rPr>
          <w:rFonts w:ascii="Arial" w:cs="Arial" w:eastAsia="Arial" w:hAnsi="Arial"/>
          <w:sz w:val="18"/>
          <w:szCs w:val="18"/>
          <w:color w:val="auto"/>
        </w:rPr>
        <w:t xml:space="preserve">. If any Lender shall fail to make any payment required to be made by it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2.05(e)</w:t>
      </w:r>
      <w:r>
        <w:rPr>
          <w:rFonts w:ascii="Arial" w:cs="Arial" w:eastAsia="Arial" w:hAnsi="Arial"/>
          <w:sz w:val="18"/>
          <w:szCs w:val="18"/>
          <w:color w:val="auto"/>
        </w:rPr>
        <w:t xml:space="preserve">, </w:t>
      </w:r>
      <w:r>
        <w:rPr>
          <w:rFonts w:ascii="Arial" w:cs="Arial" w:eastAsia="Arial" w:hAnsi="Arial"/>
          <w:sz w:val="18"/>
          <w:szCs w:val="18"/>
          <w:u w:val="single" w:color="auto"/>
          <w:color w:val="auto"/>
        </w:rPr>
        <w:t>2.06(a)</w:t>
      </w:r>
      <w:r>
        <w:rPr>
          <w:rFonts w:ascii="Arial" w:cs="Arial" w:eastAsia="Arial" w:hAnsi="Arial"/>
          <w:sz w:val="18"/>
          <w:szCs w:val="18"/>
          <w:color w:val="auto"/>
        </w:rPr>
        <w:t xml:space="preserve"> or (b) or </w:t>
      </w:r>
      <w:r>
        <w:rPr>
          <w:rFonts w:ascii="Arial" w:cs="Arial" w:eastAsia="Arial" w:hAnsi="Arial"/>
          <w:sz w:val="18"/>
          <w:szCs w:val="18"/>
          <w:u w:val="single" w:color="auto"/>
          <w:color w:val="auto"/>
        </w:rPr>
        <w:t>2.17(e)</w:t>
      </w:r>
      <w:r>
        <w:rPr>
          <w:rFonts w:ascii="Arial" w:cs="Arial" w:eastAsia="Arial" w:hAnsi="Arial"/>
          <w:sz w:val="18"/>
          <w:szCs w:val="18"/>
          <w:color w:val="auto"/>
        </w:rPr>
        <w:t>, then the Administrative Agent may, in its discretion (notwithstanding any contrary provision hereof), apply any amounts thereafter received by the Administrative Agent for account of such Lender to satisfy such Lender’s obligations under such Sections until all such unsatisfied obligations are fully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1586230</wp:posOffset>
            </wp:positionH>
            <wp:positionV relativeFrom="paragraph">
              <wp:posOffset>-309245</wp:posOffset>
            </wp:positionV>
            <wp:extent cx="1619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72" w:lineRule="auto"/>
        <w:tabs>
          <w:tab w:leader="none" w:pos="1371"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Designation of a Different Lending Office</w:t>
      </w:r>
      <w:r>
        <w:rPr>
          <w:rFonts w:ascii="Arial" w:cs="Arial" w:eastAsia="Arial" w:hAnsi="Arial"/>
          <w:sz w:val="17"/>
          <w:szCs w:val="17"/>
          <w:color w:val="auto"/>
        </w:rPr>
        <w:t xml:space="preserve">. If any Lender requests compensation under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if the Borrower is required to pay any additional amount to any Lender or any Governmental Authority for the account of any Lender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2.16</w:t>
      </w:r>
      <w:r>
        <w:rPr>
          <w:rFonts w:ascii="Arial" w:cs="Arial" w:eastAsia="Arial" w:hAnsi="Arial"/>
          <w:sz w:val="17"/>
          <w:szCs w:val="17"/>
          <w:color w:val="auto"/>
        </w:rPr>
        <w:t>, as the case may 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spacing w:after="0" w:line="69" w:lineRule="exact"/>
        <w:rPr>
          <w:rFonts w:ascii="Arial" w:cs="Arial" w:eastAsia="Arial" w:hAnsi="Arial"/>
          <w:sz w:val="17"/>
          <w:szCs w:val="17"/>
          <w:color w:val="auto"/>
        </w:rPr>
      </w:pPr>
    </w:p>
    <w:p>
      <w:pPr>
        <w:ind w:right="80" w:firstLine="987"/>
        <w:spacing w:after="0" w:line="255" w:lineRule="auto"/>
        <w:tabs>
          <w:tab w:leader="none" w:pos="1381"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or if the Borrower is required to pay any additional amount to any Lender or any Governmental Authority for account of any Lender pursuant to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and, in each case, such Lender has declined or is unable to designate a different lending office in accordance with Section 2.18(a), or if any Lender becomes a Defaulting Lender or is a Non-Consenting Lender (as provided in </w:t>
      </w:r>
      <w:r>
        <w:rPr>
          <w:rFonts w:ascii="Arial" w:cs="Arial" w:eastAsia="Arial" w:hAnsi="Arial"/>
          <w:sz w:val="18"/>
          <w:szCs w:val="18"/>
          <w:u w:val="single" w:color="auto"/>
          <w:color w:val="auto"/>
        </w:rPr>
        <w:t>Section 9.02(d)</w:t>
      </w:r>
      <w:r>
        <w:rPr>
          <w:rFonts w:ascii="Arial" w:cs="Arial" w:eastAsia="Arial" w:hAnsi="Arial"/>
          <w:sz w:val="18"/>
          <w:szCs w:val="18"/>
          <w:color w:val="auto"/>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8"/>
          <w:szCs w:val="18"/>
          <w:u w:val="single" w:color="auto"/>
          <w:color w:val="auto"/>
        </w:rPr>
        <w:t>Section 9.04</w:t>
      </w:r>
      <w:r>
        <w:rPr>
          <w:rFonts w:ascii="Arial" w:cs="Arial" w:eastAsia="Arial" w:hAnsi="Arial"/>
          <w:sz w:val="18"/>
          <w:szCs w:val="18"/>
          <w:color w:val="auto"/>
        </w:rPr>
        <w:t>), all its</w:t>
      </w:r>
    </w:p>
    <w:p>
      <w:pPr>
        <w:spacing w:after="0" w:line="125"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71</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01" w:name="page102"/>
    <w:bookmarkEnd w:id="101"/>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interests, rights (other than its existing rights to payments pursuant to Section 2.14 or Section 2.16) and obligations under this Agreement to an assignee that shall assume such obligations (which assignee may be another Lender, if a Lender accepts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Borrower shall have received the prior written consent of the Administrative Agent (and, if a Commitment is being assigned, the Issuing Bank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payments required to be made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117" w:lineRule="exact"/>
        <w:rPr>
          <w:sz w:val="20"/>
          <w:szCs w:val="20"/>
          <w:color w:val="auto"/>
        </w:rPr>
      </w:pPr>
    </w:p>
    <w:p>
      <w:pPr>
        <w:ind w:right="380" w:firstLine="987"/>
        <w:spacing w:after="0" w:line="342" w:lineRule="auto"/>
        <w:tabs>
          <w:tab w:leader="none" w:pos="1371"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Defaulting Lender Adjustments</w:t>
      </w:r>
      <w:r>
        <w:rPr>
          <w:rFonts w:ascii="Arial" w:cs="Arial" w:eastAsia="Arial" w:hAnsi="Arial"/>
          <w:sz w:val="16"/>
          <w:szCs w:val="16"/>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5" w:lineRule="exact"/>
        <w:rPr>
          <w:rFonts w:ascii="Arial" w:cs="Arial" w:eastAsia="Arial" w:hAnsi="Arial"/>
          <w:sz w:val="16"/>
          <w:szCs w:val="16"/>
          <w:color w:val="auto"/>
        </w:rPr>
      </w:pPr>
    </w:p>
    <w:p>
      <w:pPr>
        <w:ind w:left="440" w:right="40" w:firstLine="419"/>
        <w:spacing w:after="0" w:line="268" w:lineRule="auto"/>
        <w:tabs>
          <w:tab w:leader="none" w:pos="1213"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Defaulting Lender Waterfall</w:t>
      </w:r>
      <w:r>
        <w:rPr>
          <w:rFonts w:ascii="Arial" w:cs="Arial" w:eastAsia="Arial" w:hAnsi="Arial"/>
          <w:sz w:val="17"/>
          <w:szCs w:val="17"/>
          <w:color w:val="auto"/>
        </w:rPr>
        <w:t xml:space="preserve">. Any payment of principal, interest, fees or other amounts received by Administrative Agent for the account of such Defaulting Lender (whether voluntary or mandatory, at maturity, pursuant to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or otherwise) or received by Administrative Agent from a Defaulting Lender pursuant to </w:t>
      </w:r>
      <w:r>
        <w:rPr>
          <w:rFonts w:ascii="Arial" w:cs="Arial" w:eastAsia="Arial" w:hAnsi="Arial"/>
          <w:sz w:val="17"/>
          <w:szCs w:val="17"/>
          <w:u w:val="single" w:color="auto"/>
          <w:color w:val="auto"/>
        </w:rPr>
        <w:t>Section 9.08</w:t>
      </w:r>
      <w:r>
        <w:rPr>
          <w:rFonts w:ascii="Arial" w:cs="Arial" w:eastAsia="Arial" w:hAnsi="Arial"/>
          <w:sz w:val="17"/>
          <w:szCs w:val="17"/>
          <w:color w:val="auto"/>
        </w:rPr>
        <w:t xml:space="preserve"> shall be applied at such time or times as may be determined by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Administrative Agent hereunder; </w:t>
      </w:r>
      <w:r>
        <w:rPr>
          <w:rFonts w:ascii="Arial" w:cs="Arial" w:eastAsia="Arial" w:hAnsi="Arial"/>
          <w:sz w:val="17"/>
          <w:szCs w:val="17"/>
          <w:i w:val="1"/>
          <w:iCs w:val="1"/>
          <w:color w:val="auto"/>
        </w:rPr>
        <w:t>second</w:t>
      </w:r>
      <w:r>
        <w:rPr>
          <w:rFonts w:ascii="Arial" w:cs="Arial" w:eastAsia="Arial" w:hAnsi="Arial"/>
          <w:sz w:val="17"/>
          <w:szCs w:val="17"/>
          <w:color w:val="auto"/>
        </w:rPr>
        <w:t>, to the payment on a pro rata basis of any amounts owing by such Defaulting Lender to Issuing Bank or Swingline Lender hereunder;</w:t>
      </w:r>
      <w:r>
        <w:rPr>
          <w:rFonts w:ascii="Arial" w:cs="Arial" w:eastAsia="Arial" w:hAnsi="Arial"/>
          <w:sz w:val="17"/>
          <w:szCs w:val="17"/>
          <w:i w:val="1"/>
          <w:iCs w:val="1"/>
          <w:color w:val="auto"/>
        </w:rPr>
        <w:t xml:space="preserve"> third</w:t>
      </w:r>
      <w:r>
        <w:rPr>
          <w:rFonts w:ascii="Arial" w:cs="Arial" w:eastAsia="Arial" w:hAnsi="Arial"/>
          <w:sz w:val="17"/>
          <w:szCs w:val="17"/>
          <w:color w:val="auto"/>
        </w:rPr>
        <w:t>, to Cash Collateralize Issuing Bank’s Fronting Exposure with respect to such Defaulting Lender in the manner described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2.09(a)</w:t>
      </w:r>
      <w:r>
        <w:rPr>
          <w:rFonts w:ascii="Arial" w:cs="Arial" w:eastAsia="Arial" w:hAnsi="Arial"/>
          <w:sz w:val="17"/>
          <w:szCs w:val="17"/>
          <w:color w:val="auto"/>
        </w:rPr>
        <w:t>;</w:t>
      </w:r>
      <w:r>
        <w:rPr>
          <w:rFonts w:ascii="Arial" w:cs="Arial" w:eastAsia="Arial" w:hAnsi="Arial"/>
          <w:sz w:val="17"/>
          <w:szCs w:val="17"/>
          <w:i w:val="1"/>
          <w:iCs w:val="1"/>
          <w:color w:val="auto"/>
        </w:rPr>
        <w:t xml:space="preserve"> fourth</w:t>
      </w:r>
      <w:r>
        <w:rPr>
          <w:rFonts w:ascii="Arial" w:cs="Arial" w:eastAsia="Arial" w:hAnsi="Arial"/>
          <w:sz w:val="17"/>
          <w:szCs w:val="17"/>
          <w:color w:val="auto"/>
        </w:rPr>
        <w:t>, as Borrower may request (so long as no Default or Event of Default exists), to the funding of any Loan in respect of which such Defaulting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Lender has failed to fund its portion thereof as required by this Agreement, as determined by Administrative Agent; </w:t>
      </w:r>
      <w:r>
        <w:rPr>
          <w:rFonts w:ascii="Arial" w:cs="Arial" w:eastAsia="Arial" w:hAnsi="Arial"/>
          <w:sz w:val="17"/>
          <w:szCs w:val="17"/>
          <w:i w:val="1"/>
          <w:iCs w:val="1"/>
          <w:color w:val="auto"/>
        </w:rPr>
        <w:t>fifth</w:t>
      </w:r>
      <w:r>
        <w:rPr>
          <w:rFonts w:ascii="Arial" w:cs="Arial" w:eastAsia="Arial" w:hAnsi="Arial"/>
          <w:sz w:val="17"/>
          <w:szCs w:val="17"/>
          <w:color w:val="auto"/>
        </w:rPr>
        <w:t xml:space="preserve">, if so determined by Administrative Agent and Borrower, to be held in a deposit account and released pro rata in order to (x) satisfy such Defaulting Lender’s potential future funding obligations with respect to Loans under this Agreement and (y) Cash Collateralize Issuing Bank’s future Fronting Exposure with respect to such Defaulting Lender with respect to future Letters of Credit issued under this Agreement, in the manner described in </w:t>
      </w:r>
      <w:r>
        <w:rPr>
          <w:rFonts w:ascii="Arial" w:cs="Arial" w:eastAsia="Arial" w:hAnsi="Arial"/>
          <w:sz w:val="17"/>
          <w:szCs w:val="17"/>
          <w:u w:val="single" w:color="auto"/>
          <w:color w:val="auto"/>
        </w:rPr>
        <w:t>Section 2.09(a)</w:t>
      </w:r>
      <w:r>
        <w:rPr>
          <w:rFonts w:ascii="Arial" w:cs="Arial" w:eastAsia="Arial" w:hAnsi="Arial"/>
          <w:sz w:val="17"/>
          <w:szCs w:val="17"/>
          <w:color w:val="auto"/>
        </w:rPr>
        <w:t xml:space="preserve">; </w:t>
      </w:r>
      <w:r>
        <w:rPr>
          <w:rFonts w:ascii="Arial" w:cs="Arial" w:eastAsia="Arial" w:hAnsi="Arial"/>
          <w:sz w:val="17"/>
          <w:szCs w:val="17"/>
          <w:i w:val="1"/>
          <w:iCs w:val="1"/>
          <w:color w:val="auto"/>
        </w:rPr>
        <w:t>sixth</w:t>
      </w:r>
      <w:r>
        <w:rPr>
          <w:rFonts w:ascii="Arial" w:cs="Arial" w:eastAsia="Arial" w:hAnsi="Arial"/>
          <w:sz w:val="17"/>
          <w:szCs w:val="17"/>
          <w:color w:val="auto"/>
        </w:rPr>
        <w:t>, to the payment of any amounts owing to the Lenders, Issuing Bank or Swingline Lender as a result of any judgment of a court of competent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jurisdiction obtained by any Lender, the Issuing Bank or the Swingline Lender against such Defaulting Lender as a result of such Defaulting Lender’s breach of its obligations under this Agreement; </w:t>
      </w:r>
      <w:r>
        <w:rPr>
          <w:rFonts w:ascii="Arial" w:cs="Arial" w:eastAsia="Arial" w:hAnsi="Arial"/>
          <w:sz w:val="17"/>
          <w:szCs w:val="17"/>
          <w:i w:val="1"/>
          <w:iCs w:val="1"/>
          <w:color w:val="auto"/>
        </w:rPr>
        <w:t>seventh</w:t>
      </w:r>
      <w:r>
        <w:rPr>
          <w:rFonts w:ascii="Arial" w:cs="Arial" w:eastAsia="Arial" w:hAnsi="Arial"/>
          <w:sz w:val="17"/>
          <w:szCs w:val="17"/>
          <w:color w:val="auto"/>
        </w:rPr>
        <w:t>, so long as no Default or Event of Default exists, to the payment of any amounts owing to Borrower as a result of any judgment of a court of competent jurisdiction obtained by Borrower against such Defaulting Lender as a result of such Defaulting Lender’s breach of its obligations under</w:t>
      </w:r>
    </w:p>
    <w:p>
      <w:pPr>
        <w:spacing w:after="0" w:line="112"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72</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02" w:name="page103"/>
    <w:bookmarkEnd w:id="102"/>
    <w:p>
      <w:pPr>
        <w:ind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reimbursement obligations in respect of any LC Disbursement for which such Defaulting Lender has not fully funded its appropriate share, and (y) such Loans were made or the related Letters of Credit were issued at a time when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were satisfied and waived, such payment shall be applied solely to pay the Loans of, and reimbursement obligations in respect of any LC Disbursement that is owed to, all Non-Defaulting Lenders on a pro rata basis prior to being applied to the payment of any Loans of, or reimbursement obligations in respect of any LC Disbursement that is owed to, such Defaulting Lender until such time as all Loans and funded and unfunded participations in Letters of Credit and Swingline Loans are held by the Lenders pro rata in accordance with the applicable Commitments without giving effect to </w:t>
      </w:r>
      <w:r>
        <w:rPr>
          <w:rFonts w:ascii="Arial" w:cs="Arial" w:eastAsia="Arial" w:hAnsi="Arial"/>
          <w:sz w:val="16"/>
          <w:szCs w:val="16"/>
          <w:u w:val="single" w:color="auto"/>
          <w:color w:val="auto"/>
        </w:rPr>
        <w:t>Section 2.19(a)(iii)</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2.19(a)(i)</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60" w:lineRule="exact"/>
        <w:rPr>
          <w:sz w:val="20"/>
          <w:szCs w:val="20"/>
          <w:color w:val="auto"/>
        </w:rPr>
      </w:pPr>
    </w:p>
    <w:p>
      <w:pPr>
        <w:ind w:left="820" w:hanging="401"/>
        <w:spacing w:after="0"/>
        <w:tabs>
          <w:tab w:leader="none" w:pos="82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0" w:right="100" w:firstLine="408"/>
        <w:spacing w:after="0" w:line="275" w:lineRule="auto"/>
        <w:tabs>
          <w:tab w:leader="none" w:pos="137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 xml:space="preserve">No Defaulting Lender shall be entitled to receive any fee pursuant to </w:t>
      </w:r>
      <w:r>
        <w:rPr>
          <w:rFonts w:ascii="Arial" w:cs="Arial" w:eastAsia="Arial" w:hAnsi="Arial"/>
          <w:sz w:val="17"/>
          <w:szCs w:val="17"/>
          <w:u w:val="single" w:color="auto"/>
          <w:color w:val="auto"/>
        </w:rPr>
        <w:t>Sections 2.11(a)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for any period during which that Lender is a Defaulting Lender (and Borrower shall not be required to pay any such fee that otherwise would have been required to have been paid to that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Defaulting Lender shall be entitled to receive fees pursuant to </w:t>
      </w:r>
      <w:r>
        <w:rPr>
          <w:rFonts w:ascii="Arial" w:cs="Arial" w:eastAsia="Arial" w:hAnsi="Arial"/>
          <w:sz w:val="17"/>
          <w:szCs w:val="17"/>
          <w:u w:val="single" w:color="auto"/>
          <w:color w:val="auto"/>
        </w:rPr>
        <w:t>Section 2.11(b)</w:t>
      </w:r>
      <w:r>
        <w:rPr>
          <w:rFonts w:ascii="Arial" w:cs="Arial" w:eastAsia="Arial" w:hAnsi="Arial"/>
          <w:sz w:val="17"/>
          <w:szCs w:val="17"/>
          <w:color w:val="auto"/>
        </w:rPr>
        <w:t xml:space="preserve"> for any period during which that Lender is a Defaulting Lender only to extent allocable to its Applicable Percentage of the stated amount of Letters of Credit for which it (but not the Borrower) has provided Cash Collateral pursuant to </w:t>
      </w:r>
      <w:r>
        <w:rPr>
          <w:rFonts w:ascii="Arial" w:cs="Arial" w:eastAsia="Arial" w:hAnsi="Arial"/>
          <w:sz w:val="17"/>
          <w:szCs w:val="17"/>
          <w:u w:val="single" w:color="auto"/>
          <w:color w:val="auto"/>
        </w:rPr>
        <w:t>Section 2.19(d)</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540" w:right="80" w:firstLine="408"/>
        <w:spacing w:after="0" w:line="255" w:lineRule="auto"/>
        <w:tabs>
          <w:tab w:leader="none" w:pos="135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With respect to any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fees not required to be paid to any Defaulting Lender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below, (y) pay to Issuing Bank the amount of any such fee otherwise payable to such Defaulting Lender to the extent allocable to Issuing Bank’s Fronting Exposure to such Defaulting Lender, and (z) not be required to pay the remaining amount of any such fee.</w:t>
      </w:r>
    </w:p>
    <w:p>
      <w:pPr>
        <w:spacing w:after="0" w:line="84" w:lineRule="exact"/>
        <w:rPr>
          <w:rFonts w:ascii="Arial" w:cs="Arial" w:eastAsia="Arial" w:hAnsi="Arial"/>
          <w:sz w:val="18"/>
          <w:szCs w:val="18"/>
          <w:color w:val="auto"/>
        </w:rPr>
      </w:pPr>
    </w:p>
    <w:p>
      <w:pPr>
        <w:ind w:right="20" w:firstLine="419"/>
        <w:spacing w:after="0" w:line="296" w:lineRule="auto"/>
        <w:tabs>
          <w:tab w:leader="none" w:pos="873"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Reallocation of Participations to Reduce Fronting Exposure</w:t>
      </w:r>
      <w:r>
        <w:rPr>
          <w:rFonts w:ascii="Arial" w:cs="Arial" w:eastAsia="Arial" w:hAnsi="Arial"/>
          <w:sz w:val="16"/>
          <w:szCs w:val="16"/>
          <w:color w:val="auto"/>
        </w:rPr>
        <w:t xml:space="preserve">. All or any part of such Defaulting Lender’s participation in Letters of Credit and Swingline Loans shall be reallocated (effective no later than one (1) Business Day after the Administrative Agent has actual knowledge that such Lender has become a Defaulting Lender) among the Non-Defaulting Lenders in accordance with their respective Applicable Dollar Percentages and Applicable Multicurrency Percentages, as the case may be (in each case, calculated without regard to such Defaulting Lender’s Commitment) but only to the extent that (x)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are satisfied at the time of such reallocation (and, unless</w:t>
      </w:r>
    </w:p>
    <w:p>
      <w:pPr>
        <w:spacing w:after="0" w:line="94" w:lineRule="exact"/>
        <w:rPr>
          <w:sz w:val="20"/>
          <w:szCs w:val="20"/>
          <w:color w:val="auto"/>
        </w:rPr>
      </w:pPr>
    </w:p>
    <w:tbl>
      <w:tblPr>
        <w:tblLayout w:type="fixed"/>
        <w:tblInd w:w="504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73</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0580"/>
          </w:cols>
          <w:pgMar w:left="880" w:top="274" w:right="439" w:bottom="1440" w:gutter="0" w:footer="0" w:header="0"/>
        </w:sectPr>
      </w:pPr>
    </w:p>
    <w:bookmarkStart w:id="103" w:name="page104"/>
    <w:bookmarkEnd w:id="103"/>
    <w:p>
      <w:pPr>
        <w:ind w:right="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Borrower shall have otherwise notified Administrative Agent at such time, Borrower shall be deemed to have represented and warranted that such conditions are satisfied at such time), and (y) such reallocation does not cause the aggregate Revolving Credit Exposure of any Non-Defaulting Lender to exceed such Non-Defaulting Lender’s Commitment. Subject to </w:t>
      </w:r>
      <w:r>
        <w:rPr>
          <w:rFonts w:ascii="Arial" w:cs="Arial" w:eastAsia="Arial" w:hAnsi="Arial"/>
          <w:sz w:val="16"/>
          <w:szCs w:val="16"/>
          <w:u w:val="single" w:color="auto"/>
          <w:color w:val="auto"/>
        </w:rPr>
        <w:t>Section 9.16</w:t>
      </w:r>
      <w:r>
        <w:rPr>
          <w:rFonts w:ascii="Arial" w:cs="Arial" w:eastAsia="Arial" w:hAnsi="Arial"/>
          <w:sz w:val="16"/>
          <w:szCs w:val="16"/>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53" w:lineRule="exact"/>
        <w:rPr>
          <w:sz w:val="20"/>
          <w:szCs w:val="20"/>
          <w:color w:val="auto"/>
        </w:rPr>
      </w:pPr>
    </w:p>
    <w:p>
      <w:pPr>
        <w:ind w:right="80" w:firstLine="419"/>
        <w:spacing w:after="0" w:line="270" w:lineRule="auto"/>
        <w:tabs>
          <w:tab w:leader="none" w:pos="863"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Cash Collateral; Repayment of Swingline Loans</w:t>
      </w:r>
      <w:r>
        <w:rPr>
          <w:rFonts w:ascii="Arial" w:cs="Arial" w:eastAsia="Arial" w:hAnsi="Arial"/>
          <w:sz w:val="17"/>
          <w:szCs w:val="17"/>
          <w:color w:val="auto"/>
        </w:rPr>
        <w:t xml:space="preserve">. If the reallocation described in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above cannot, or can only partially, be effected, the Borrower shall not later than two (2) Business Days after demand by the Administrative Agent (at the direction of the Issuing Bank and/or the Swingline Lender), without prejudice to any right or remedy available to it hereunder or under law, (x) first, prepay Swingline Loans in an amount equal to the Swingline Lender’s Swingline Exposure (which exposure shall be deemed equal to the applicable Defaulting Lender’s Applicable Percentage of the total outstanding Swingline Exposure (other than Swingline Exposure as to which such Defaulting Lender’s participation obligation has been reallocated to other Lenders or Cash Collateralized in accordance with the terms hereof)) and (y) second, Cash Collateralize the Issuing Bank’s Fronting Exposure in accordance with the procedures set forth in </w:t>
      </w:r>
      <w:r>
        <w:rPr>
          <w:rFonts w:ascii="Arial" w:cs="Arial" w:eastAsia="Arial" w:hAnsi="Arial"/>
          <w:sz w:val="17"/>
          <w:szCs w:val="17"/>
          <w:u w:val="single" w:color="auto"/>
          <w:color w:val="auto"/>
        </w:rPr>
        <w:t>Section 2.19(d)</w:t>
      </w:r>
      <w:r>
        <w:rPr>
          <w:rFonts w:ascii="Arial" w:cs="Arial" w:eastAsia="Arial" w:hAnsi="Arial"/>
          <w:sz w:val="17"/>
          <w:szCs w:val="17"/>
          <w:color w:val="auto"/>
        </w:rPr>
        <w:t xml:space="preserve"> or (z) make other arrangements reasonably satisfactory to the Administrative Agent, the Issuing Bank and the Swingline Lender in their sole discretion to protect them against the risk of non-payment by such Defaulting Lender.</w:t>
      </w:r>
    </w:p>
    <w:p>
      <w:pPr>
        <w:spacing w:after="0" w:line="72" w:lineRule="exact"/>
        <w:rPr>
          <w:rFonts w:ascii="Arial" w:cs="Arial" w:eastAsia="Arial" w:hAnsi="Arial"/>
          <w:sz w:val="17"/>
          <w:szCs w:val="17"/>
          <w:color w:val="auto"/>
        </w:rPr>
      </w:pPr>
    </w:p>
    <w:p>
      <w:pPr>
        <w:ind w:left="-440" w:right="20" w:firstLine="987"/>
        <w:spacing w:after="0" w:line="269" w:lineRule="auto"/>
        <w:tabs>
          <w:tab w:leader="none" w:pos="941" w:val="left"/>
        </w:tabs>
        <w:numPr>
          <w:ilvl w:val="1"/>
          <w:numId w:val="102"/>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the Administrative Agent, the Swingline Lender and the Issuing Bank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such former Defaulting Lender will, to the extent applicable, purchase at par that portion of outstanding Loans of the other Lenders or take such other actions as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Arial" w:cs="Arial" w:eastAsia="Arial" w:hAnsi="Arial"/>
          <w:sz w:val="17"/>
          <w:szCs w:val="17"/>
          <w:u w:val="single" w:color="auto"/>
          <w:color w:val="auto"/>
        </w:rPr>
        <w:t>Section 2.19(a)(iii)</w:t>
      </w:r>
      <w:r>
        <w:rPr>
          <w:rFonts w:ascii="Arial" w:cs="Arial" w:eastAsia="Arial" w:hAnsi="Arial"/>
          <w:sz w:val="17"/>
          <w:szCs w:val="17"/>
          <w:color w:val="auto"/>
        </w:rPr>
        <w:t xml:space="preserve">), and if Cash Collateral has been posted with respect to such Defaulting Lender, the Administrative Agent will promptly return or release such Cash Collateral to the Borrower,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73" w:lineRule="exact"/>
        <w:rPr>
          <w:rFonts w:ascii="Arial" w:cs="Arial" w:eastAsia="Arial" w:hAnsi="Arial"/>
          <w:sz w:val="17"/>
          <w:szCs w:val="17"/>
          <w:color w:val="auto"/>
        </w:rPr>
      </w:pPr>
    </w:p>
    <w:p>
      <w:pPr>
        <w:ind w:left="-440" w:right="100" w:firstLine="987"/>
        <w:spacing w:after="0" w:line="259" w:lineRule="auto"/>
        <w:tabs>
          <w:tab w:leader="none" w:pos="931"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New Swingline Loans/Letters of Credit</w:t>
      </w:r>
      <w:r>
        <w:rPr>
          <w:rFonts w:ascii="Arial" w:cs="Arial" w:eastAsia="Arial" w:hAnsi="Arial"/>
          <w:sz w:val="18"/>
          <w:szCs w:val="18"/>
          <w:color w:val="auto"/>
        </w:rPr>
        <w:t xml:space="preserve">. So long as any Lender is a Defaulting Lender, (i) the Swingline Lender shall not be required to fund any Swingline Loans unless it is satisfied that the participations therein will be fully allocated among Non-Defaulting Lenders in a manner consistent with </w:t>
      </w:r>
      <w:r>
        <w:rPr>
          <w:rFonts w:ascii="Arial" w:cs="Arial" w:eastAsia="Arial" w:hAnsi="Arial"/>
          <w:sz w:val="18"/>
          <w:szCs w:val="18"/>
          <w:u w:val="single" w:color="auto"/>
          <w:color w:val="auto"/>
        </w:rPr>
        <w:t>clause (a)(iii)</w:t>
      </w:r>
      <w:r>
        <w:rPr>
          <w:rFonts w:ascii="Arial" w:cs="Arial" w:eastAsia="Arial" w:hAnsi="Arial"/>
          <w:sz w:val="18"/>
          <w:szCs w:val="18"/>
          <w:color w:val="auto"/>
        </w:rPr>
        <w:t xml:space="preserve"> above and the Defaulting Lender shall not participate therein and (ii) the Issuing Bank shall not be required to issue, extend, renew or increase</w:t>
      </w:r>
    </w:p>
    <w:p>
      <w:pPr>
        <w:spacing w:after="0" w:line="119" w:lineRule="exact"/>
        <w:rPr>
          <w:sz w:val="20"/>
          <w:szCs w:val="20"/>
          <w:color w:val="auto"/>
        </w:rPr>
      </w:pPr>
    </w:p>
    <w:tbl>
      <w:tblPr>
        <w:tblLayout w:type="fixed"/>
        <w:tblInd w:w="504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74</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0580"/>
          </w:cols>
          <w:pgMar w:left="880" w:top="274" w:right="439" w:bottom="1440" w:gutter="0" w:footer="0" w:header="0"/>
        </w:sectPr>
      </w:pPr>
    </w:p>
    <w:bookmarkStart w:id="104" w:name="page105"/>
    <w:bookmarkEnd w:id="10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Letter of Credit unless it is satisfied that the participations in any existing Letters of Credit as well as the new, extended, renewed or increased Letter of Credit has been or will be fully allocated among the Non-Defaulting Lenders in a manner consistent with </w:t>
      </w:r>
      <w:r>
        <w:rPr>
          <w:rFonts w:ascii="Arial" w:cs="Arial" w:eastAsia="Arial" w:hAnsi="Arial"/>
          <w:sz w:val="18"/>
          <w:szCs w:val="18"/>
          <w:u w:val="single" w:color="auto"/>
          <w:color w:val="auto"/>
        </w:rPr>
        <w:t>clause (a)(iii)</w:t>
      </w:r>
      <w:r>
        <w:rPr>
          <w:rFonts w:ascii="Arial" w:cs="Arial" w:eastAsia="Arial" w:hAnsi="Arial"/>
          <w:sz w:val="18"/>
          <w:szCs w:val="18"/>
          <w:color w:val="auto"/>
        </w:rPr>
        <w:t xml:space="preserve"> above and such Defaulting Lender shall not participate therein except to the extent such Defaulting Lender’s participation has been or will be fully Cash Collateralized in accordance with </w:t>
      </w:r>
      <w:r>
        <w:rPr>
          <w:rFonts w:ascii="Arial" w:cs="Arial" w:eastAsia="Arial" w:hAnsi="Arial"/>
          <w:sz w:val="18"/>
          <w:szCs w:val="18"/>
          <w:u w:val="single" w:color="auto"/>
          <w:color w:val="auto"/>
        </w:rPr>
        <w:t>Section 2.19(d)</w:t>
      </w:r>
      <w:r>
        <w:rPr>
          <w:rFonts w:ascii="Arial" w:cs="Arial" w:eastAsia="Arial" w:hAnsi="Arial"/>
          <w:sz w:val="18"/>
          <w:szCs w:val="18"/>
          <w:color w:val="auto"/>
        </w:rPr>
        <w:t>.</w:t>
      </w:r>
    </w:p>
    <w:p>
      <w:pPr>
        <w:spacing w:after="0" w:line="79" w:lineRule="exact"/>
        <w:rPr>
          <w:sz w:val="20"/>
          <w:szCs w:val="20"/>
          <w:color w:val="auto"/>
        </w:rPr>
      </w:pPr>
    </w:p>
    <w:p>
      <w:pPr>
        <w:ind w:right="120" w:firstLine="987"/>
        <w:spacing w:after="0" w:line="259" w:lineRule="auto"/>
        <w:tabs>
          <w:tab w:leader="none" w:pos="1381" w:val="left"/>
        </w:tabs>
        <w:numPr>
          <w:ilvl w:val="2"/>
          <w:numId w:val="103"/>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At any time that there shall exist a Defaulting Lender, promptly following the written request of Administrative Agent or Issuing Bank (with a copy to Administrative Agent) Borrower shall Cash Collateralize Issuing Bank’s Fronting Exposure with respect to such Defaulting Lender (determined after giving effect to </w:t>
      </w:r>
      <w:r>
        <w:rPr>
          <w:rFonts w:ascii="Arial" w:cs="Arial" w:eastAsia="Arial" w:hAnsi="Arial"/>
          <w:sz w:val="18"/>
          <w:szCs w:val="18"/>
          <w:u w:val="single" w:color="auto"/>
          <w:color w:val="auto"/>
        </w:rPr>
        <w:t>Section 2.19(a)(iii)</w:t>
      </w:r>
      <w:r>
        <w:rPr>
          <w:rFonts w:ascii="Arial" w:cs="Arial" w:eastAsia="Arial" w:hAnsi="Arial"/>
          <w:sz w:val="18"/>
          <w:szCs w:val="18"/>
          <w:color w:val="auto"/>
        </w:rPr>
        <w:t xml:space="preserve"> and any Cash Collateral provided by such Defaulting Lender) in an amount not less than the Minimum Collateral Amount.</w:t>
      </w:r>
    </w:p>
    <w:p>
      <w:pPr>
        <w:spacing w:after="0" w:line="78" w:lineRule="exact"/>
        <w:rPr>
          <w:rFonts w:ascii="Arial" w:cs="Arial" w:eastAsia="Arial" w:hAnsi="Arial"/>
          <w:sz w:val="18"/>
          <w:szCs w:val="18"/>
          <w:color w:val="auto"/>
        </w:rPr>
      </w:pPr>
    </w:p>
    <w:p>
      <w:pPr>
        <w:ind w:left="440" w:right="40" w:firstLine="419"/>
        <w:spacing w:after="0" w:line="288" w:lineRule="auto"/>
        <w:tabs>
          <w:tab w:leader="none" w:pos="1213"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xml:space="preserve">. Borrower, and to the extent provided by any Defaulting Lender, such Defaulting Lender, hereby grants to (and subjects to the control of) Administrative Agent, for the benefit of Issuing Bank, and agrees to maintain, a first priority security interest in all such Cash Collateral as security for the Defaulting Lenders’ obligation to fund participations in respect of Letters of Credit, to be applied pursuant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below. If at any time Administrative Agent determines that Cash Collateral is subject to any right or claim of any Person other than Administrative Agent and Issuing Bank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the Defaulting Lender). All Cash Collateral (other than credit support not constituting funds subject to deposit) shall be maintained in blocked, non-interest bearing deposit accounts at SunTrust. Borrower shall pay on demand therefor from time to time all reasonable and customary account opening, activity and other administrative fees and charges in connection with the maintenance and disbursement of Cash Collateral.</w:t>
      </w:r>
    </w:p>
    <w:p>
      <w:pPr>
        <w:spacing w:after="0" w:line="60" w:lineRule="exact"/>
        <w:rPr>
          <w:rFonts w:ascii="Arial" w:cs="Arial" w:eastAsia="Arial" w:hAnsi="Arial"/>
          <w:sz w:val="16"/>
          <w:szCs w:val="16"/>
          <w:color w:val="auto"/>
        </w:rPr>
      </w:pPr>
    </w:p>
    <w:p>
      <w:pPr>
        <w:jc w:val="both"/>
        <w:ind w:left="440" w:right="40" w:firstLine="419"/>
        <w:spacing w:after="0" w:line="279" w:lineRule="auto"/>
        <w:tabs>
          <w:tab w:leader="none" w:pos="1253" w:val="left"/>
        </w:tabs>
        <w:numPr>
          <w:ilvl w:val="1"/>
          <w:numId w:val="104"/>
        </w:numPr>
        <w:rPr>
          <w:rFonts w:ascii="Arial" w:cs="Arial" w:eastAsia="Arial" w:hAnsi="Arial"/>
          <w:sz w:val="17"/>
          <w:szCs w:val="17"/>
          <w:color w:val="auto"/>
        </w:rPr>
      </w:pPr>
      <w:r>
        <w:rPr>
          <w:rFonts w:ascii="Arial" w:cs="Arial" w:eastAsia="Arial" w:hAnsi="Arial"/>
          <w:sz w:val="17"/>
          <w:szCs w:val="17"/>
          <w:color w:val="auto"/>
        </w:rPr>
        <w:t>A</w:t>
      </w:r>
      <w:r>
        <w:rPr>
          <w:rFonts w:ascii="Arial" w:cs="Arial" w:eastAsia="Arial" w:hAnsi="Arial"/>
          <w:sz w:val="17"/>
          <w:szCs w:val="17"/>
          <w:u w:val="single" w:color="auto"/>
          <w:color w:val="auto"/>
        </w:rPr>
        <w:t>pplication</w:t>
      </w:r>
      <w:r>
        <w:rPr>
          <w:rFonts w:ascii="Arial" w:cs="Arial" w:eastAsia="Arial" w:hAnsi="Arial"/>
          <w:sz w:val="17"/>
          <w:szCs w:val="17"/>
          <w:color w:val="auto"/>
        </w:rPr>
        <w:t xml:space="preserve">. Notwithstanding anything to the contrary contained in this Agreement, Cash Collateral provided under this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pacing w:after="0" w:line="63" w:lineRule="exact"/>
        <w:rPr>
          <w:rFonts w:ascii="Arial" w:cs="Arial" w:eastAsia="Arial" w:hAnsi="Arial"/>
          <w:sz w:val="17"/>
          <w:szCs w:val="17"/>
          <w:color w:val="auto"/>
        </w:rPr>
      </w:pPr>
    </w:p>
    <w:p>
      <w:pPr>
        <w:ind w:left="440" w:right="260" w:firstLine="419"/>
        <w:spacing w:after="0" w:line="287" w:lineRule="auto"/>
        <w:tabs>
          <w:tab w:leader="none" w:pos="1313"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Termination of Requirement</w:t>
      </w:r>
      <w:r>
        <w:rPr>
          <w:rFonts w:ascii="Arial" w:cs="Arial" w:eastAsia="Arial" w:hAnsi="Arial"/>
          <w:sz w:val="16"/>
          <w:szCs w:val="16"/>
          <w:color w:val="auto"/>
        </w:rPr>
        <w:t xml:space="preserve">. Cash Collateral (or the appropriate portion thereof) provided to reduce Issuing Bank’s Fronting Exposure shall no longer be required to be held as Cash Collateral pursuant to this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following (i) the elimination of the applicable Fronting Exposure (including by the termination of Defaulting Lender status of the applicable Lender or giving effect to Section 2.19(a)(iii)) or</w:t>
      </w:r>
    </w:p>
    <w:p>
      <w:pPr>
        <w:spacing w:after="0" w:line="2" w:lineRule="exact"/>
        <w:rPr>
          <w:rFonts w:ascii="Arial" w:cs="Arial" w:eastAsia="Arial" w:hAnsi="Arial"/>
          <w:sz w:val="16"/>
          <w:szCs w:val="16"/>
          <w:color w:val="auto"/>
        </w:rPr>
      </w:pPr>
    </w:p>
    <w:p>
      <w:pPr>
        <w:ind w:left="440" w:right="360" w:hanging="4"/>
        <w:spacing w:after="0" w:line="273" w:lineRule="auto"/>
        <w:tabs>
          <w:tab w:leader="none" w:pos="70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the determination by Administrative Agent and Issuing Bank that there exists excess Cash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subject to the other provisions of this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the Person providing Cash Collateral and Issuing Bank may agree that Cash Collateral shall be held to support future anticipated Fronting Exposure;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to the extent that such Cash Collateral was provided by Borrower, such Cash Collateral shall remain subject to the security interest granted pursuant to the Loan Documents.</w:t>
      </w:r>
    </w:p>
    <w:p>
      <w:pPr>
        <w:spacing w:after="0" w:line="109"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75</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05" w:name="page106"/>
    <w:bookmarkEnd w:id="105"/>
    <w:p>
      <w:pPr>
        <w:ind w:left="5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2.20. </w:t>
      </w:r>
      <w:r>
        <w:rPr>
          <w:rFonts w:ascii="Arial" w:cs="Arial" w:eastAsia="Arial" w:hAnsi="Arial"/>
          <w:sz w:val="18"/>
          <w:szCs w:val="18"/>
          <w:u w:val="single" w:color="auto"/>
          <w:color w:val="auto"/>
        </w:rPr>
        <w:t>Reallocation Following a Non-Extended Commitment Termination Date</w:t>
      </w:r>
      <w:r>
        <w:rPr>
          <w:rFonts w:ascii="Arial" w:cs="Arial" w:eastAsia="Arial" w:hAnsi="Arial"/>
          <w:sz w:val="18"/>
          <w:szCs w:val="18"/>
          <w:color w:val="auto"/>
        </w:rPr>
        <w:t>.</w:t>
      </w:r>
    </w:p>
    <w:p>
      <w:pPr>
        <w:spacing w:after="0" w:line="117" w:lineRule="exact"/>
        <w:rPr>
          <w:sz w:val="20"/>
          <w:szCs w:val="20"/>
          <w:color w:val="auto"/>
        </w:rPr>
      </w:pPr>
    </w:p>
    <w:p>
      <w:pPr>
        <w:ind w:left="924" w:hanging="373"/>
        <w:spacing w:after="0"/>
        <w:tabs>
          <w:tab w:leader="none" w:pos="924" w:val="left"/>
        </w:tabs>
        <w:numPr>
          <w:ilvl w:val="2"/>
          <w:numId w:val="106"/>
        </w:numPr>
        <w:rPr>
          <w:rFonts w:ascii="Arial" w:cs="Arial" w:eastAsia="Arial" w:hAnsi="Arial"/>
          <w:sz w:val="18"/>
          <w:szCs w:val="18"/>
          <w:color w:val="auto"/>
        </w:rPr>
      </w:pPr>
      <w:r>
        <w:rPr>
          <w:rFonts w:ascii="Arial" w:cs="Arial" w:eastAsia="Arial" w:hAnsi="Arial"/>
          <w:sz w:val="18"/>
          <w:szCs w:val="18"/>
          <w:u w:val="single" w:color="auto"/>
          <w:color w:val="auto"/>
        </w:rPr>
        <w:t>Reallocation of Participations and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20" w:firstLine="419"/>
        <w:spacing w:after="0" w:line="283" w:lineRule="auto"/>
        <w:tabs>
          <w:tab w:leader="none" w:pos="776" w:val="left"/>
        </w:tabs>
        <w:numPr>
          <w:ilvl w:val="1"/>
          <w:numId w:val="10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in connection with the reduction or termination of any Non-Extending Lender’s Commitments in accordance with </w:t>
      </w:r>
      <w:r>
        <w:rPr>
          <w:rFonts w:ascii="Arial" w:cs="Arial" w:eastAsia="Arial" w:hAnsi="Arial"/>
          <w:sz w:val="16"/>
          <w:szCs w:val="16"/>
          <w:u w:val="single" w:color="auto"/>
          <w:color w:val="auto"/>
        </w:rPr>
        <w:t>Section 2.08(f)</w:t>
      </w:r>
      <w:r>
        <w:rPr>
          <w:rFonts w:ascii="Arial" w:cs="Arial" w:eastAsia="Arial" w:hAnsi="Arial"/>
          <w:sz w:val="16"/>
          <w:szCs w:val="16"/>
          <w:color w:val="auto"/>
        </w:rPr>
        <w:t xml:space="preserve"> on any date prior to the Non-Extended Commitment Termination Date for such Non-Extending Lender, the Borrower shall be permitted to request, and each Lender other than such Non-Extending Lender agrees to provide, one or more Dollar Loans be made ratably among the Extending Lenders and Non-Extending Lenders for which the Non-Extended Commitment Termination Date shall not have occurred in accordance with the provisions of </w:t>
      </w:r>
      <w:r>
        <w:rPr>
          <w:rFonts w:ascii="Arial" w:cs="Arial" w:eastAsia="Arial" w:hAnsi="Arial"/>
          <w:sz w:val="16"/>
          <w:szCs w:val="16"/>
          <w:u w:val="single" w:color="auto"/>
          <w:color w:val="auto"/>
        </w:rPr>
        <w:t>Sections 2.02</w:t>
      </w:r>
      <w:r>
        <w:rPr>
          <w:rFonts w:ascii="Arial" w:cs="Arial" w:eastAsia="Arial" w:hAnsi="Arial"/>
          <w:sz w:val="16"/>
          <w:szCs w:val="16"/>
          <w:color w:val="auto"/>
        </w:rPr>
        <w:t xml:space="preserve">, </w:t>
      </w:r>
      <w:r>
        <w:rPr>
          <w:rFonts w:ascii="Arial" w:cs="Arial" w:eastAsia="Arial" w:hAnsi="Arial"/>
          <w:sz w:val="16"/>
          <w:szCs w:val="16"/>
          <w:u w:val="single" w:color="auto"/>
          <w:color w:val="auto"/>
        </w:rPr>
        <w:t>2.03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2.17(c)</w:t>
      </w:r>
      <w:r>
        <w:rPr>
          <w:rFonts w:ascii="Arial" w:cs="Arial" w:eastAsia="Arial" w:hAnsi="Arial"/>
          <w:sz w:val="16"/>
          <w:szCs w:val="16"/>
          <w:color w:val="auto"/>
        </w:rPr>
        <w:t xml:space="preserve"> in an amount up to the amount by which such Non-Extending Lender’s Revolving Credit Exposure would exceed such Non-Extending Lender’s Commitments after giving effect to such Commitment reduction, in each case, so long as (x)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are satisfied (and, unless Borrower shall have otherwise notified the Administrative Agent at such time, Borrower shall be deemed to have represented and warranted that such conditions are satisfied at such time), (y) such Borrowing does not cause (I) the aggregate Revolving Credit Exposure of any Extending Lender to exceed such Extending Lender’s Commitment, (II) the aggregate Revolving Dollar Credit Exposure of all of the Dollar Lenders with Dollar Commitments then in effect to exceed the aggregate Dollar Commitments at such time or (III) the aggregate Revolving Multicurrency Credit Exposure of all of the Multicurrency Lenders with Multicurrency Commitments then in effect to exceed the aggregate Multicurrency Commitments at such time and</w:t>
      </w:r>
    </w:p>
    <w:p>
      <w:pPr>
        <w:spacing w:after="0" w:line="2" w:lineRule="exact"/>
        <w:rPr>
          <w:rFonts w:ascii="Arial" w:cs="Arial" w:eastAsia="Arial" w:hAnsi="Arial"/>
          <w:sz w:val="16"/>
          <w:szCs w:val="16"/>
          <w:color w:val="auto"/>
        </w:rPr>
      </w:pPr>
    </w:p>
    <w:p>
      <w:pPr>
        <w:ind w:left="244" w:hanging="244"/>
        <w:spacing w:after="0"/>
        <w:tabs>
          <w:tab w:leader="none" w:pos="244"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proceeds of any such Loan are applied solely to reduce the Revolving Credit Exposure of the applicable Non-Extending Lender or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Non-Extending Lenders, as applicable.</w:t>
      </w:r>
    </w:p>
    <w:p>
      <w:pPr>
        <w:spacing w:after="0" w:line="103" w:lineRule="exact"/>
        <w:rPr>
          <w:sz w:val="20"/>
          <w:szCs w:val="20"/>
          <w:color w:val="auto"/>
        </w:rPr>
      </w:pPr>
    </w:p>
    <w:p>
      <w:pPr>
        <w:ind w:left="4" w:right="100" w:firstLine="419"/>
        <w:spacing w:after="0" w:line="269" w:lineRule="auto"/>
        <w:tabs>
          <w:tab w:leader="none" w:pos="81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All or any part of each Non-Extending Lender’s participation in Letters of Credit and Swingline Loans shall be reallocated on (A) any date on which the Commitment of such Non-Extending Lender is reduced or terminated pursuant to </w:t>
      </w:r>
      <w:r>
        <w:rPr>
          <w:rFonts w:ascii="Arial" w:cs="Arial" w:eastAsia="Arial" w:hAnsi="Arial"/>
          <w:sz w:val="17"/>
          <w:szCs w:val="17"/>
          <w:u w:val="single" w:color="auto"/>
          <w:color w:val="auto"/>
        </w:rPr>
        <w:t>Section 2.08(f)</w:t>
      </w:r>
      <w:r>
        <w:rPr>
          <w:rFonts w:ascii="Arial" w:cs="Arial" w:eastAsia="Arial" w:hAnsi="Arial"/>
          <w:sz w:val="17"/>
          <w:szCs w:val="17"/>
          <w:color w:val="auto"/>
        </w:rPr>
        <w:t xml:space="preserve"> and (B) on the Non-Extended Commitment Termination Date for such Non-Extending Lender, in each case, among the Extending Lenders and Non-Extending Lenders for which the Non-Extended Commitment Termination Date shall not have occurred in accordance with their respective Applicable Dollar Percentages and Applicable Multicurrency Percentages after giving effect to the reduction of the aggregate Commitments, but only to the extent that (x)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(I) the aggregate Revolving Credit Exposure of any Extending Lender or Non-Extending Lender for which the Commitment Termination Date shall not have occurred to exceed such Lender’s Commitment, (II) the total Revolving Dollar Credit Exposures of Dollar Lenders with Dollar Commitments then in effect to exceed the aggregate Dollar Commitments at such time, or (III) the total Revolving Multicurrency Credit Exposures of Multicurrency Lenders with Multicurrency Commitments then in effect to exceed the aggregate Multicurrency Commitments at such time.</w:t>
      </w:r>
    </w:p>
    <w:p>
      <w:pPr>
        <w:spacing w:after="0" w:line="111" w:lineRule="exact"/>
        <w:rPr>
          <w:sz w:val="20"/>
          <w:szCs w:val="20"/>
          <w:color w:val="auto"/>
        </w:rPr>
      </w:pPr>
    </w:p>
    <w:tbl>
      <w:tblPr>
        <w:tblLayout w:type="fixed"/>
        <w:tblInd w:w="5044"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76</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0584"/>
          </w:cols>
          <w:pgMar w:left="876" w:top="274" w:right="439" w:bottom="1440" w:gutter="0" w:footer="0" w:header="0"/>
        </w:sectPr>
      </w:pPr>
    </w:p>
    <w:bookmarkStart w:id="106" w:name="page107"/>
    <w:bookmarkEnd w:id="106"/>
    <w:p>
      <w:pPr>
        <w:ind w:left="-980" w:right="40" w:firstLine="987"/>
        <w:spacing w:after="0" w:line="286" w:lineRule="auto"/>
        <w:tabs>
          <w:tab w:leader="none" w:pos="401"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Cash Collateral; Repayment of Swingline Loans</w:t>
      </w:r>
      <w:r>
        <w:rPr>
          <w:rFonts w:ascii="Arial" w:cs="Arial" w:eastAsia="Arial" w:hAnsi="Arial"/>
          <w:sz w:val="16"/>
          <w:szCs w:val="16"/>
          <w:color w:val="auto"/>
        </w:rPr>
        <w:t xml:space="preserve">. If any Loan related to the reduction or termination of a Non-Extending Lender’s Commitment prior to the Non-Extended Commitment Termination Date described in </w:t>
      </w:r>
      <w:r>
        <w:rPr>
          <w:rFonts w:ascii="Arial" w:cs="Arial" w:eastAsia="Arial" w:hAnsi="Arial"/>
          <w:sz w:val="16"/>
          <w:szCs w:val="16"/>
          <w:u w:val="single" w:color="auto"/>
          <w:color w:val="auto"/>
        </w:rPr>
        <w:t>clause (a)(i)</w:t>
      </w:r>
      <w:r>
        <w:rPr>
          <w:rFonts w:ascii="Arial" w:cs="Arial" w:eastAsia="Arial" w:hAnsi="Arial"/>
          <w:sz w:val="16"/>
          <w:szCs w:val="16"/>
          <w:color w:val="auto"/>
        </w:rPr>
        <w:t xml:space="preserve"> above or any reallocation described in </w:t>
      </w:r>
      <w:r>
        <w:rPr>
          <w:rFonts w:ascii="Arial" w:cs="Arial" w:eastAsia="Arial" w:hAnsi="Arial"/>
          <w:sz w:val="16"/>
          <w:szCs w:val="16"/>
          <w:u w:val="single" w:color="auto"/>
          <w:color w:val="auto"/>
        </w:rPr>
        <w:t>clause (a)(ii)</w:t>
      </w:r>
      <w:r>
        <w:rPr>
          <w:rFonts w:ascii="Arial" w:cs="Arial" w:eastAsia="Arial" w:hAnsi="Arial"/>
          <w:sz w:val="16"/>
          <w:szCs w:val="16"/>
          <w:color w:val="auto"/>
        </w:rPr>
        <w:t xml:space="preserve"> above cannot, or can only partially, be effected, the Borrower shall, not later than (i) with respect to any reduction or termination of a Non-Extending Lender’s Commitment pursuant to </w:t>
      </w:r>
      <w:r>
        <w:rPr>
          <w:rFonts w:ascii="Arial" w:cs="Arial" w:eastAsia="Arial" w:hAnsi="Arial"/>
          <w:sz w:val="16"/>
          <w:szCs w:val="16"/>
          <w:u w:val="single" w:color="auto"/>
          <w:color w:val="auto"/>
        </w:rPr>
        <w:t>Section 2.08(f)</w:t>
      </w:r>
      <w:r>
        <w:rPr>
          <w:rFonts w:ascii="Arial" w:cs="Arial" w:eastAsia="Arial" w:hAnsi="Arial"/>
          <w:sz w:val="16"/>
          <w:szCs w:val="16"/>
          <w:color w:val="auto"/>
        </w:rPr>
        <w:t xml:space="preserve">, the date of such Commitment reduction or termination or, (ii) with respect to any reallocation of participations in Letters of Credit and Swingline Loans on the Non-Extended Commitment Termination Date for any Non-Extending Lender, on the Non-Extended Commitment Termination Date applicable to such Non-Extending Lender, as the case may be, without prejudice to any right or remedy available to it hereunder or under law, (x) prepay Swingline Loans in an amount equal to the amount by which the participation obligations of the Non-Extending Lenders for which the Non-Extended Commitment Termination Date shall have occurred which have not been reallocated to the Extending Lenders and Non-Extending Lenders for which the Non-Extended Commitment Termination Date shall not have occurred pursuant to </w:t>
      </w:r>
      <w:r>
        <w:rPr>
          <w:rFonts w:ascii="Arial" w:cs="Arial" w:eastAsia="Arial" w:hAnsi="Arial"/>
          <w:sz w:val="16"/>
          <w:szCs w:val="16"/>
          <w:u w:val="single" w:color="auto"/>
          <w:color w:val="auto"/>
        </w:rPr>
        <w:t>clause (a)(ii)</w:t>
      </w:r>
      <w:r>
        <w:rPr>
          <w:rFonts w:ascii="Arial" w:cs="Arial" w:eastAsia="Arial" w:hAnsi="Arial"/>
          <w:sz w:val="16"/>
          <w:szCs w:val="16"/>
          <w:color w:val="auto"/>
        </w:rPr>
        <w:t xml:space="preserve"> above, (y) provide Cash Collateral in an amount equal to the amount by which the participation obligations of such Non-Extending Lenders in Letters of Credit have not been reallocated pursuant to </w:t>
      </w:r>
      <w:r>
        <w:rPr>
          <w:rFonts w:ascii="Arial" w:cs="Arial" w:eastAsia="Arial" w:hAnsi="Arial"/>
          <w:sz w:val="16"/>
          <w:szCs w:val="16"/>
          <w:u w:val="single" w:color="auto"/>
          <w:color w:val="auto"/>
        </w:rPr>
        <w:t>clause (a)(ii)</w:t>
      </w:r>
      <w:r>
        <w:rPr>
          <w:rFonts w:ascii="Arial" w:cs="Arial" w:eastAsia="Arial" w:hAnsi="Arial"/>
          <w:sz w:val="16"/>
          <w:szCs w:val="16"/>
          <w:color w:val="auto"/>
        </w:rPr>
        <w:t xml:space="preserve"> above and/or (z) prepay any other Loans of a Non-Extending Lender for which the Non-Extended Commitment Termination Date shall have occurred in an amount equal to the amount by which the Revolving Credit Exposure of such Non-Extending Lender after giving effect to any prepayment described in </w:t>
      </w:r>
      <w:r>
        <w:rPr>
          <w:rFonts w:ascii="Arial" w:cs="Arial" w:eastAsia="Arial" w:hAnsi="Arial"/>
          <w:sz w:val="16"/>
          <w:szCs w:val="16"/>
          <w:u w:val="single" w:color="auto"/>
          <w:color w:val="auto"/>
        </w:rPr>
        <w:t>clause (a)(i)(z) above</w:t>
      </w:r>
      <w:r>
        <w:rPr>
          <w:rFonts w:ascii="Arial" w:cs="Arial" w:eastAsia="Arial" w:hAnsi="Arial"/>
          <w:sz w:val="16"/>
          <w:szCs w:val="16"/>
          <w:color w:val="auto"/>
        </w:rPr>
        <w:t xml:space="preserve"> exceeds such Non-Extending Lender’s Commitment after giving effect to any reduction in such Non-Extending Lender’s Commitment, as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2.21. </w:t>
      </w:r>
      <w:r>
        <w:rPr>
          <w:rFonts w:ascii="Arial" w:cs="Arial" w:eastAsia="Arial" w:hAnsi="Arial"/>
          <w:sz w:val="18"/>
          <w:szCs w:val="18"/>
          <w:u w:val="single" w:color="auto"/>
          <w:color w:val="auto"/>
        </w:rPr>
        <w:t>Assignment and Reallocation of Existing Commitments and Existing Loans</w:t>
      </w:r>
      <w:r>
        <w:rPr>
          <w:rFonts w:ascii="Arial" w:cs="Arial" w:eastAsia="Arial" w:hAnsi="Arial"/>
          <w:sz w:val="18"/>
          <w:szCs w:val="18"/>
          <w:color w:val="auto"/>
        </w:rPr>
        <w:t>.</w:t>
      </w:r>
    </w:p>
    <w:p>
      <w:pPr>
        <w:spacing w:after="0" w:line="117" w:lineRule="exact"/>
        <w:rPr>
          <w:sz w:val="20"/>
          <w:szCs w:val="20"/>
          <w:color w:val="auto"/>
        </w:rPr>
      </w:pPr>
    </w:p>
    <w:p>
      <w:pPr>
        <w:ind w:left="-980" w:right="40" w:firstLine="987"/>
        <w:spacing w:after="0" w:line="289" w:lineRule="auto"/>
        <w:tabs>
          <w:tab w:leader="none" w:pos="391"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On the Second Amendment Effective Date, the Borrower shall (A) prepay the outstanding Loans (without premium or penalty, other than any applicable breakage costs in accordance with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and (B) simultaneously borrow new Loans in an amount equal to such prepayment;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w:t>
      </w:r>
      <w:r>
        <w:rPr>
          <w:rFonts w:ascii="Arial" w:cs="Arial" w:eastAsia="Arial" w:hAnsi="Arial"/>
          <w:sz w:val="16"/>
          <w:szCs w:val="16"/>
          <w:u w:val="single" w:color="auto"/>
          <w:color w:val="auto"/>
        </w:rPr>
        <w:t>subclauses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(x) the prepayment to, and borrowing from, any Lender shall be effected by book entry to the extent that any portion of the amount prepaid to such Lender will be subsequently borrowed from such Lender and (y) the Lenders shall make and receive payments among themselves, in a manner acceptable to the Administrative Agent, so that, after giving effect thereto, the Loans of each Class are held ratably by the Lenders of such Class in accordance with each Lender’s Applicable Percentage of Commitments and portion of loans, which, for the purposes of this Agreement and each other Loan Document, will be as set forth opposite such Person’s name on </w:t>
      </w:r>
      <w:r>
        <w:rPr>
          <w:rFonts w:ascii="Arial" w:cs="Arial" w:eastAsia="Arial" w:hAnsi="Arial"/>
          <w:sz w:val="16"/>
          <w:szCs w:val="16"/>
          <w:u w:val="single" w:color="auto"/>
          <w:color w:val="auto"/>
        </w:rPr>
        <w:t>Schedule 1.01(b)</w:t>
      </w:r>
      <w:r>
        <w:rPr>
          <w:rFonts w:ascii="Arial" w:cs="Arial" w:eastAsia="Arial" w:hAnsi="Arial"/>
          <w:sz w:val="16"/>
          <w:szCs w:val="16"/>
          <w:color w:val="auto"/>
        </w:rPr>
        <w:t>. Concurrently therewith, the Lenders of each Class shall be deemed to have adjusted their participation interests in any outstanding Letters of Credit of such Class so that such interests are held ratably in accordance with their Applicable Percentage of Commitments of such Class.</w:t>
      </w:r>
    </w:p>
    <w:p>
      <w:pPr>
        <w:spacing w:after="0" w:line="58" w:lineRule="exact"/>
        <w:rPr>
          <w:rFonts w:ascii="Arial" w:cs="Arial" w:eastAsia="Arial" w:hAnsi="Arial"/>
          <w:sz w:val="16"/>
          <w:szCs w:val="16"/>
          <w:color w:val="auto"/>
        </w:rPr>
      </w:pPr>
    </w:p>
    <w:p>
      <w:pPr>
        <w:ind w:left="-980" w:right="160" w:firstLine="987"/>
        <w:spacing w:after="0" w:line="277" w:lineRule="auto"/>
        <w:tabs>
          <w:tab w:leader="none" w:pos="40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of the Lenders hereby acknowledges and agrees that (i) no Lender nor the Administrative Agent has made any representations or warranties or assumed any</w:t>
      </w:r>
    </w:p>
    <w:p>
      <w:pPr>
        <w:spacing w:after="0" w:line="103" w:lineRule="exact"/>
        <w:rPr>
          <w:sz w:val="20"/>
          <w:szCs w:val="20"/>
          <w:color w:val="auto"/>
        </w:rPr>
      </w:pPr>
    </w:p>
    <w:tbl>
      <w:tblPr>
        <w:tblLayout w:type="fixed"/>
        <w:tblInd w:w="450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77</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0040"/>
          </w:cols>
          <w:pgMar w:left="1420" w:top="274" w:right="439" w:bottom="1440" w:gutter="0" w:footer="0" w:header="0"/>
        </w:sectPr>
      </w:pPr>
    </w:p>
    <w:bookmarkStart w:id="107" w:name="page108"/>
    <w:bookmarkEnd w:id="107"/>
    <w:p>
      <w:pPr>
        <w:ind w:left="4"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responsibility with respect to (A) any statements, warranties or representations made in or in connection with this Agreement or the execution, legality, validity, enforceability, genuineness or sufficiency of this Agreement, the Existing Credit Agreement or any other Loan Document or (B) the financial condition of any Obligor or the performance by any Obligor of its obligations hereunder or under any other Loan Document; (ii) it has received such information as it has deemed appropriate to make its own credit analysis and decision to enter into this Agreement; and (iii) it has made and continues to make its own credit decisions in taking or not taking action under this Agreement, independently and without reliance upon the Administrative Agent or any other Lender.</w:t>
      </w:r>
    </w:p>
    <w:p>
      <w:pPr>
        <w:spacing w:after="0" w:line="200" w:lineRule="exact"/>
        <w:rPr>
          <w:sz w:val="20"/>
          <w:szCs w:val="20"/>
          <w:color w:val="auto"/>
        </w:rPr>
      </w:pPr>
    </w:p>
    <w:p>
      <w:pPr>
        <w:spacing w:after="0" w:line="2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3864"/>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Borrower represents and warrants to the Lenders that:</w:t>
      </w:r>
    </w:p>
    <w:p>
      <w:pPr>
        <w:spacing w:after="0" w:line="225" w:lineRule="exact"/>
        <w:rPr>
          <w:sz w:val="20"/>
          <w:szCs w:val="20"/>
          <w:color w:val="auto"/>
        </w:rPr>
      </w:pPr>
    </w:p>
    <w:p>
      <w:pPr>
        <w:jc w:val="both"/>
        <w:ind w:left="4" w:right="140" w:firstLine="991"/>
        <w:spacing w:after="0" w:line="301"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Organization; Powers</w:t>
      </w:r>
      <w:r>
        <w:rPr>
          <w:rFonts w:ascii="Arial" w:cs="Arial" w:eastAsia="Arial" w:hAnsi="Arial"/>
          <w:sz w:val="16"/>
          <w:szCs w:val="16"/>
          <w:color w:val="auto"/>
        </w:rPr>
        <w:t>. Each of the Borrower and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 of the Borrower or such Subsidiary, as applicable.</w:t>
      </w:r>
    </w:p>
    <w:p>
      <w:pPr>
        <w:spacing w:after="0" w:line="157" w:lineRule="exact"/>
        <w:rPr>
          <w:sz w:val="20"/>
          <w:szCs w:val="20"/>
          <w:color w:val="auto"/>
        </w:rPr>
      </w:pPr>
    </w:p>
    <w:p>
      <w:pPr>
        <w:ind w:left="4" w:right="100" w:firstLine="991"/>
        <w:spacing w:after="0" w:line="273"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The Transactions are within the Borrower’s corporate powers and have been duly authorized by all necessary corporate and, if required, by all necessary shareholder action. This Agreement has been duly executed and delivered by the Borrower and constitutes, and each of the other Loan Documents when executed and delivered will constitute, a legal, valid and binding obligation of the Borrower, enforceable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78" w:lineRule="exact"/>
        <w:rPr>
          <w:sz w:val="20"/>
          <w:szCs w:val="20"/>
          <w:color w:val="auto"/>
        </w:rPr>
      </w:pPr>
    </w:p>
    <w:p>
      <w:pPr>
        <w:ind w:left="4" w:right="280" w:firstLine="991"/>
        <w:spacing w:after="0" w:line="284"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xml:space="preserve"> The Transactions (a) do not require any consent or approval of, registration or filing with, or any other action by, any Governmental Authority, except for (i) such as have been or will be obtained or made and are in full force and effect and (ii) filings and recordings in respect of the Liens created pursuant to this Agreement or the Security Documents, (b) will not violate any applicable law or regulation or the charter, by-laws or other organizational documents of the Borrower or any of its Subsidiaries or any order of any Governmental Authority, (c) will not violate or result in a default in any material respect under any indenture, agreement or other instrument binding upon the Borrower or any of its Subsidiaries or assets, or give rise to a right thereunder to require any payment to be made by any such Person, and</w:t>
      </w:r>
    </w:p>
    <w:p>
      <w:pPr>
        <w:spacing w:after="0" w:line="4" w:lineRule="exact"/>
        <w:rPr>
          <w:sz w:val="20"/>
          <w:szCs w:val="20"/>
          <w:color w:val="auto"/>
        </w:rPr>
      </w:pPr>
    </w:p>
    <w:p>
      <w:pPr>
        <w:ind w:left="4" w:right="220" w:hanging="4"/>
        <w:spacing w:after="0" w:line="260" w:lineRule="auto"/>
        <w:tabs>
          <w:tab w:leader="none" w:pos="25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except for the Liens created pursuant to this Agreement or the Security Documents, will not result in the creation or imposition of any Lien on any asset of the Borrower or any of its Subsidiaries.</w:t>
      </w:r>
    </w:p>
    <w:p>
      <w:pPr>
        <w:spacing w:after="0" w:line="118"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78</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108" w:name="page109"/>
    <w:bookmarkEnd w:id="108"/>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3.04. </w:t>
      </w:r>
      <w:r>
        <w:rPr>
          <w:rFonts w:ascii="Arial" w:cs="Arial" w:eastAsia="Arial" w:hAnsi="Arial"/>
          <w:sz w:val="18"/>
          <w:szCs w:val="18"/>
          <w:u w:val="single" w:color="auto"/>
          <w:color w:val="auto"/>
        </w:rPr>
        <w:t>Financial Condition; No Material Adverse Change</w:t>
      </w:r>
      <w:r>
        <w:rPr>
          <w:rFonts w:ascii="Arial" w:cs="Arial" w:eastAsia="Arial" w:hAnsi="Arial"/>
          <w:sz w:val="18"/>
          <w:szCs w:val="18"/>
          <w:color w:val="auto"/>
        </w:rPr>
        <w:t>.</w:t>
      </w:r>
    </w:p>
    <w:p>
      <w:pPr>
        <w:spacing w:after="0" w:line="117" w:lineRule="exact"/>
        <w:rPr>
          <w:sz w:val="20"/>
          <w:szCs w:val="20"/>
          <w:color w:val="auto"/>
        </w:rPr>
      </w:pPr>
    </w:p>
    <w:p>
      <w:pPr>
        <w:ind w:left="4" w:right="80" w:firstLine="987"/>
        <w:spacing w:after="0" w:line="301" w:lineRule="auto"/>
        <w:tabs>
          <w:tab w:leader="none" w:pos="1375"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Borrower has heretofore delivered to the Lenders the audited consolidated balance sheet and statements of assets and liabilities, operations, changes in net assets and cash flows of the Borrower and its Subsidiaries as of and for the year ended September 30, 2013, certified by a Financial Officer of the Borrower. Such financial statements present fairly, in all material respects, the consolidated financial position and results of operations and cash flows of the Borrower and its Subsidiaries as of such date and for such period in accordance with GAAP.</w:t>
      </w:r>
    </w:p>
    <w:p>
      <w:pPr>
        <w:spacing w:after="0" w:line="49" w:lineRule="exact"/>
        <w:rPr>
          <w:rFonts w:ascii="Arial" w:cs="Arial" w:eastAsia="Arial" w:hAnsi="Arial"/>
          <w:sz w:val="16"/>
          <w:szCs w:val="16"/>
          <w:color w:val="auto"/>
        </w:rPr>
      </w:pPr>
    </w:p>
    <w:p>
      <w:pPr>
        <w:ind w:left="4" w:right="200" w:firstLine="987"/>
        <w:spacing w:after="0" w:line="291" w:lineRule="auto"/>
        <w:tabs>
          <w:tab w:leader="none" w:pos="1385"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Since the date of the most recent Applicable Financial Statements, there has not been any event, development or circumstance (herein, a “</w:t>
      </w:r>
      <w:r>
        <w:rPr>
          <w:rFonts w:ascii="Arial" w:cs="Arial" w:eastAsia="Arial" w:hAnsi="Arial"/>
          <w:sz w:val="16"/>
          <w:szCs w:val="16"/>
          <w:u w:val="single" w:color="auto"/>
          <w:color w:val="auto"/>
        </w:rPr>
        <w:t>Material Adverse Change</w:t>
      </w:r>
      <w:r>
        <w:rPr>
          <w:rFonts w:ascii="Arial" w:cs="Arial" w:eastAsia="Arial" w:hAnsi="Arial"/>
          <w:sz w:val="16"/>
          <w:szCs w:val="16"/>
          <w:color w:val="auto"/>
        </w:rPr>
        <w:t>”) that has had or could reasonably be expected to have a material adverse effect on</w:t>
      </w:r>
    </w:p>
    <w:p>
      <w:pPr>
        <w:ind w:left="4" w:right="100" w:hanging="4"/>
        <w:spacing w:after="0" w:line="253" w:lineRule="auto"/>
        <w:tabs>
          <w:tab w:leader="none" w:pos="21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business, Portfolio Investments and other assets, liabilities and financial condition of the Borrower and its Subsidiaries (other than any Financing Subsidiary)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w:t>
      </w:r>
    </w:p>
    <w:p>
      <w:pPr>
        <w:spacing w:after="0" w:line="193" w:lineRule="exact"/>
        <w:rPr>
          <w:sz w:val="20"/>
          <w:szCs w:val="20"/>
          <w:color w:val="auto"/>
        </w:rPr>
      </w:pPr>
    </w:p>
    <w:p>
      <w:pPr>
        <w:ind w:left="4" w:right="280" w:firstLine="991"/>
        <w:spacing w:after="0" w:line="279"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Litigation</w:t>
      </w:r>
      <w:r>
        <w:rPr>
          <w:rFonts w:ascii="Arial" w:cs="Arial" w:eastAsia="Arial" w:hAnsi="Arial"/>
          <w:sz w:val="17"/>
          <w:szCs w:val="17"/>
          <w:color w:val="auto"/>
        </w:rPr>
        <w:t>. There are no actions, suits, investigations or proceedings by or before any arbitrator or Governmental Authority now pending against or, to the knowledge of the Borrower, threatened against or affecting the Borrower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w:t>
      </w:r>
    </w:p>
    <w:p>
      <w:pPr>
        <w:spacing w:after="0" w:line="171" w:lineRule="exact"/>
        <w:rPr>
          <w:sz w:val="20"/>
          <w:szCs w:val="20"/>
          <w:color w:val="auto"/>
        </w:rPr>
      </w:pPr>
    </w:p>
    <w:p>
      <w:pPr>
        <w:ind w:left="4" w:right="80" w:firstLine="991"/>
        <w:spacing w:after="0" w:line="275"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Compliance with Laws and Agreements</w:t>
      </w:r>
      <w:r>
        <w:rPr>
          <w:rFonts w:ascii="Arial" w:cs="Arial" w:eastAsia="Arial" w:hAnsi="Arial"/>
          <w:sz w:val="17"/>
          <w:szCs w:val="17"/>
          <w:color w:val="auto"/>
        </w:rPr>
        <w:t>. 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Neither the Borrower nor any of its Subsidiaries is subject to any contract or other arrangement, the performance of which by the Borrower or its Subsidiaries could reasonably be expected to result in a Material Adverse Effect.</w:t>
      </w:r>
    </w:p>
    <w:p>
      <w:pPr>
        <w:spacing w:after="0" w:line="176" w:lineRule="exact"/>
        <w:rPr>
          <w:sz w:val="20"/>
          <w:szCs w:val="20"/>
          <w:color w:val="auto"/>
        </w:rPr>
      </w:pPr>
    </w:p>
    <w:p>
      <w:pPr>
        <w:jc w:val="both"/>
        <w:ind w:left="4" w:right="20" w:firstLine="991"/>
        <w:spacing w:after="0" w:line="259"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Taxes</w:t>
      </w:r>
      <w:r>
        <w:rPr>
          <w:rFonts w:ascii="Arial" w:cs="Arial" w:eastAsia="Arial" w:hAnsi="Arial"/>
          <w:sz w:val="18"/>
          <w:szCs w:val="18"/>
          <w:color w:val="auto"/>
        </w:rPr>
        <w:t>. Each of the Borrower and its Subsidiaries has timely filed or caused to be filed all material Tax returns and reports required to have been filed and has paid or caused to be paid all material Taxes required to have been paid by it, except (a) Taxes that are being contested in good faith by appropriate proceedings and for which such Person has set aside on its books adequate reserves or (b) to the extent that the failure to do so could not reasonably be expected to result in a Material Adverse Effect.</w:t>
      </w:r>
    </w:p>
    <w:p>
      <w:pPr>
        <w:spacing w:after="0" w:line="187" w:lineRule="exact"/>
        <w:rPr>
          <w:sz w:val="20"/>
          <w:szCs w:val="20"/>
          <w:color w:val="auto"/>
        </w:rPr>
      </w:pPr>
    </w:p>
    <w:p>
      <w:pPr>
        <w:ind w:left="4" w:right="260" w:firstLine="991"/>
        <w:spacing w:after="0" w:line="308" w:lineRule="auto"/>
        <w:rPr>
          <w:sz w:val="20"/>
          <w:szCs w:val="20"/>
          <w:color w:val="auto"/>
        </w:rPr>
      </w:pPr>
      <w:r>
        <w:rPr>
          <w:rFonts w:ascii="Arial" w:cs="Arial" w:eastAsia="Arial" w:hAnsi="Arial"/>
          <w:sz w:val="17"/>
          <w:szCs w:val="17"/>
          <w:color w:val="auto"/>
        </w:rPr>
        <w:t xml:space="preserve">SECTION 3.08. </w:t>
      </w:r>
      <w:r>
        <w:rPr>
          <w:rFonts w:ascii="Arial" w:cs="Arial" w:eastAsia="Arial" w:hAnsi="Arial"/>
          <w:sz w:val="17"/>
          <w:szCs w:val="17"/>
          <w:u w:val="single" w:color="auto"/>
          <w:color w:val="auto"/>
        </w:rPr>
        <w:t>ERISA</w:t>
      </w:r>
      <w:r>
        <w:rPr>
          <w:rFonts w:ascii="Arial" w:cs="Arial" w:eastAsia="Arial" w:hAnsi="Arial"/>
          <w:sz w:val="17"/>
          <w:szCs w:val="17"/>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79"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79</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109" w:name="page110"/>
    <w:bookmarkEnd w:id="109"/>
    <w:p>
      <w:pPr>
        <w:ind w:right="60"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3.09. </w:t>
      </w:r>
      <w:r>
        <w:rPr>
          <w:rFonts w:ascii="Arial" w:cs="Arial" w:eastAsia="Arial" w:hAnsi="Arial"/>
          <w:sz w:val="17"/>
          <w:szCs w:val="17"/>
          <w:u w:val="single" w:color="auto"/>
          <w:color w:val="auto"/>
        </w:rPr>
        <w:t>Disclosure</w:t>
      </w:r>
      <w:r>
        <w:rPr>
          <w:rFonts w:ascii="Arial" w:cs="Arial" w:eastAsia="Arial" w:hAnsi="Arial"/>
          <w:sz w:val="17"/>
          <w:szCs w:val="17"/>
          <w:color w:val="auto"/>
        </w:rPr>
        <w:t xml:space="preserve">. As of the Effective Date,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and, as of the Second Amendment Effective Date, the information included in the Beneficial Ownership Certification is true and correct in all material respects. None of the reports, financial statements, certificates or other written information (other than projected financial information, other forward looking information relating to third parties and information of a general economic or general industry nature) furnished by or on behalf of the Borrower to the Administrative Agent in connection with the negotiation of this Agreement and the other Loan Documents or delivered hereunder or thereunder (as modified or supplemented by other information so furnished) when taken as a whole (and after giving effect to all updates, modifications and supplements) contains any material misstatement of fact or omits to state any material fact necessary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projected financial information, the Borrower represents only that such information was prepared in good faith based upon assumptions believed to be reasonable at the time.</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Investment Company Act; Margin Regulations</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77" w:lineRule="auto"/>
        <w:tabs>
          <w:tab w:leader="none" w:pos="1371"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Status as Business Development Company</w:t>
      </w:r>
      <w:r>
        <w:rPr>
          <w:rFonts w:ascii="Arial" w:cs="Arial" w:eastAsia="Arial" w:hAnsi="Arial"/>
          <w:sz w:val="18"/>
          <w:szCs w:val="18"/>
          <w:color w:val="auto"/>
        </w:rPr>
        <w:t>. The Borrower is an “investment company” that has elected to be regulated as a “business development company” within the meaning of the Investment Company Act and qualifies as a RIC.</w:t>
      </w:r>
    </w:p>
    <w:p>
      <w:pPr>
        <w:spacing w:after="0" w:line="62" w:lineRule="exact"/>
        <w:rPr>
          <w:rFonts w:ascii="Arial" w:cs="Arial" w:eastAsia="Arial" w:hAnsi="Arial"/>
          <w:sz w:val="18"/>
          <w:szCs w:val="18"/>
          <w:color w:val="auto"/>
        </w:rPr>
      </w:pPr>
    </w:p>
    <w:p>
      <w:pPr>
        <w:ind w:right="140" w:firstLine="987"/>
        <w:spacing w:after="0" w:line="257" w:lineRule="auto"/>
        <w:tabs>
          <w:tab w:leader="none" w:pos="1381"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Compliance with Investment Company Act</w:t>
      </w:r>
      <w:r>
        <w:rPr>
          <w:rFonts w:ascii="Arial" w:cs="Arial" w:eastAsia="Arial" w:hAnsi="Arial"/>
          <w:sz w:val="18"/>
          <w:szCs w:val="18"/>
          <w:color w:val="auto"/>
        </w:rPr>
        <w:t>. The business and other activities of the Borrower and its Subsidiaries, including the making of the Loans hereunder, the application of the proceeds and repayment thereof by the Borrower and the consummation of the Transactions contemplated by the Loan Documents do not result in a violation or breach in any material respect of the provisions of the Investment Company Act or any rules, regulations or orders issued by the Securities and Exchange Commission thereunder, in each case that are applicable to the Borrower and its Subsidiaries.</w:t>
      </w:r>
    </w:p>
    <w:p>
      <w:pPr>
        <w:spacing w:after="0" w:line="79" w:lineRule="exact"/>
        <w:rPr>
          <w:rFonts w:ascii="Arial" w:cs="Arial" w:eastAsia="Arial" w:hAnsi="Arial"/>
          <w:sz w:val="18"/>
          <w:szCs w:val="18"/>
          <w:color w:val="auto"/>
        </w:rPr>
      </w:pPr>
    </w:p>
    <w:p>
      <w:pPr>
        <w:ind w:right="280" w:firstLine="987"/>
        <w:spacing w:after="0" w:line="277" w:lineRule="auto"/>
        <w:tabs>
          <w:tab w:leader="none" w:pos="1371"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Investment Policies</w:t>
      </w:r>
      <w:r>
        <w:rPr>
          <w:rFonts w:ascii="Arial" w:cs="Arial" w:eastAsia="Arial" w:hAnsi="Arial"/>
          <w:sz w:val="18"/>
          <w:szCs w:val="18"/>
          <w:color w:val="auto"/>
        </w:rPr>
        <w:t>. The Borrower is in compliance in all material respects with the Investment Policies (after giving effect to any Permitted Policy Amendments).</w:t>
      </w:r>
    </w:p>
    <w:p>
      <w:pPr>
        <w:spacing w:after="0" w:line="62" w:lineRule="exact"/>
        <w:rPr>
          <w:rFonts w:ascii="Arial" w:cs="Arial" w:eastAsia="Arial" w:hAnsi="Arial"/>
          <w:sz w:val="18"/>
          <w:szCs w:val="18"/>
          <w:color w:val="auto"/>
        </w:rPr>
      </w:pPr>
    </w:p>
    <w:p>
      <w:pPr>
        <w:ind w:right="80" w:firstLine="987"/>
        <w:spacing w:after="0" w:line="263" w:lineRule="auto"/>
        <w:tabs>
          <w:tab w:leader="none" w:pos="1381"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Use of Credit</w:t>
      </w:r>
      <w:r>
        <w:rPr>
          <w:rFonts w:ascii="Arial" w:cs="Arial" w:eastAsia="Arial" w:hAnsi="Arial"/>
          <w:sz w:val="18"/>
          <w:szCs w:val="18"/>
          <w:color w:val="auto"/>
        </w:rPr>
        <w: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Material Agreements and Liens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57" w:lineRule="auto"/>
        <w:tabs>
          <w:tab w:leader="none" w:pos="1371"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Material Agreements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3.11</w:t>
      </w:r>
      <w:r>
        <w:rPr>
          <w:rFonts w:ascii="Arial" w:cs="Arial" w:eastAsia="Arial" w:hAnsi="Arial"/>
          <w:sz w:val="18"/>
          <w:szCs w:val="18"/>
          <w:color w:val="auto"/>
        </w:rPr>
        <w:t xml:space="preserve"> is a complete and correct list, as of the date hereof, of each credit agreement, loan agreement, indenture, purchase agreement, guarantee, letter of credit or other arrangement providing for or otherwise relating to any Indebtedness or any extension of credit (or commitment for any extension of credit) to, or guarantee by, the Borrower or any of its Subsidiaries outstanding on the date hereof, and the aggregate principal or face amount outstanding or that is, or may become, outstanding under each such arrangement is correctly described in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3.11</w:t>
      </w:r>
      <w:r>
        <w:rPr>
          <w:rFonts w:ascii="Arial" w:cs="Arial" w:eastAsia="Arial" w:hAnsi="Arial"/>
          <w:sz w:val="18"/>
          <w:szCs w:val="18"/>
          <w:color w:val="auto"/>
        </w:rPr>
        <w:t>.</w:t>
      </w:r>
    </w:p>
    <w:p>
      <w:pPr>
        <w:spacing w:after="0" w:line="120"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80</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10" w:name="page111"/>
    <w:bookmarkEnd w:id="110"/>
    <w:p>
      <w:pPr>
        <w:ind w:right="60" w:firstLine="987"/>
        <w:spacing w:after="0" w:line="259" w:lineRule="auto"/>
        <w:tabs>
          <w:tab w:leader="none" w:pos="1381"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3.11</w:t>
      </w:r>
      <w:r>
        <w:rPr>
          <w:rFonts w:ascii="Arial" w:cs="Arial" w:eastAsia="Arial" w:hAnsi="Arial"/>
          <w:sz w:val="18"/>
          <w:szCs w:val="18"/>
          <w:color w:val="auto"/>
        </w:rPr>
        <w:t xml:space="preserve"> is a complete and correct list, as of the Second Amendment Effective Date, of each Lien securing Indebtedness of any Person outstanding on the Second Amendment Effective Date covering any property of the Borrower or any of its Subsidiaries, and the aggregate Indebtedness secured (or that may be secured) by each such Lien and the property covered by each such Lien is correctly described in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3.11</w:t>
      </w:r>
      <w:r>
        <w:rPr>
          <w:rFonts w:ascii="Arial" w:cs="Arial" w:eastAsia="Arial" w:hAnsi="Arial"/>
          <w:sz w:val="18"/>
          <w:szCs w:val="18"/>
          <w:color w:val="auto"/>
        </w:rPr>
        <w: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Subsidiaries and Investments</w:t>
      </w:r>
      <w:r>
        <w:rPr>
          <w:rFonts w:ascii="Arial" w:cs="Arial" w:eastAsia="Arial" w:hAnsi="Arial"/>
          <w:sz w:val="18"/>
          <w:szCs w:val="18"/>
          <w:color w:val="auto"/>
        </w:rPr>
        <w:t>.</w:t>
      </w:r>
    </w:p>
    <w:p>
      <w:pPr>
        <w:spacing w:after="0" w:line="117" w:lineRule="exact"/>
        <w:rPr>
          <w:sz w:val="20"/>
          <w:szCs w:val="20"/>
          <w:color w:val="auto"/>
        </w:rPr>
      </w:pPr>
    </w:p>
    <w:p>
      <w:pPr>
        <w:ind w:left="1360" w:hanging="373"/>
        <w:spacing w:after="0"/>
        <w:tabs>
          <w:tab w:leader="none" w:pos="136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3.12(a)</w:t>
      </w:r>
      <w:r>
        <w:rPr>
          <w:rFonts w:ascii="Arial" w:cs="Arial" w:eastAsia="Arial" w:hAnsi="Arial"/>
          <w:sz w:val="18"/>
          <w:szCs w:val="18"/>
          <w:color w:val="auto"/>
        </w:rPr>
        <w:t xml:space="preserve"> is a list of the Borrower’s Subsidiaries as of the date hereof.</w:t>
      </w:r>
    </w:p>
    <w:p>
      <w:pPr>
        <w:spacing w:after="0" w:line="117" w:lineRule="exact"/>
        <w:rPr>
          <w:rFonts w:ascii="Arial" w:cs="Arial" w:eastAsia="Arial" w:hAnsi="Arial"/>
          <w:sz w:val="18"/>
          <w:szCs w:val="18"/>
          <w:color w:val="auto"/>
        </w:rPr>
      </w:pPr>
    </w:p>
    <w:p>
      <w:pPr>
        <w:ind w:right="240" w:firstLine="987"/>
        <w:spacing w:after="0" w:line="273" w:lineRule="auto"/>
        <w:tabs>
          <w:tab w:leader="none" w:pos="1381"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Set forth in </w:t>
      </w:r>
      <w:r>
        <w:rPr>
          <w:rFonts w:ascii="Arial" w:cs="Arial" w:eastAsia="Arial" w:hAnsi="Arial"/>
          <w:sz w:val="17"/>
          <w:szCs w:val="17"/>
          <w:u w:val="single" w:color="auto"/>
          <w:color w:val="auto"/>
        </w:rPr>
        <w:t>Schedule 3.12(b)</w:t>
      </w:r>
      <w:r>
        <w:rPr>
          <w:rFonts w:ascii="Arial" w:cs="Arial" w:eastAsia="Arial" w:hAnsi="Arial"/>
          <w:sz w:val="17"/>
          <w:szCs w:val="17"/>
          <w:color w:val="auto"/>
        </w:rPr>
        <w:t xml:space="preserve"> is a complete and correct list, as of the Second Amendment Effective Date, of all Investments (other than Investments of the types referred to in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held by the Borrower or any of its Subsidiaries (other than any Financing Subsidiary) in any Person on the Second Amendment Effective Date and, for each such Investment, (x) the identity of the Person or Persons holding such Investment and (y) the nature of such Investment. Except as disclosed in </w:t>
      </w:r>
      <w:r>
        <w:rPr>
          <w:rFonts w:ascii="Arial" w:cs="Arial" w:eastAsia="Arial" w:hAnsi="Arial"/>
          <w:sz w:val="17"/>
          <w:szCs w:val="17"/>
          <w:u w:val="single" w:color="auto"/>
          <w:color w:val="auto"/>
        </w:rPr>
        <w:t>Schedule 3.12</w:t>
      </w:r>
      <w:r>
        <w:rPr>
          <w:rFonts w:ascii="Arial" w:cs="Arial" w:eastAsia="Arial" w:hAnsi="Arial"/>
          <w:sz w:val="17"/>
          <w:szCs w:val="17"/>
          <w:color w:val="auto"/>
        </w:rPr>
        <w:t>, as of the Second Amendment Effective Date, each of the Borrower and its Subsidiaries (other than any Financing Subsidiary) owns, free and clear of all Liens (other than Liens created pursuant to this Agreement or the Security Documents), all such Investments.</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Properties</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286" w:lineRule="auto"/>
        <w:tabs>
          <w:tab w:leader="none" w:pos="1371"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Title Generally</w:t>
      </w:r>
      <w:r>
        <w:rPr>
          <w:rFonts w:ascii="Arial" w:cs="Arial" w:eastAsia="Arial" w:hAnsi="Arial"/>
          <w:sz w:val="17"/>
          <w:szCs w:val="17"/>
          <w:color w:val="auto"/>
        </w:rPr>
        <w:t>. Each of the Borrower and its Subsidiaries (other than any Financing Subsidiary or Immaterial Subsidiary)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57" w:lineRule="exact"/>
        <w:rPr>
          <w:rFonts w:ascii="Arial" w:cs="Arial" w:eastAsia="Arial" w:hAnsi="Arial"/>
          <w:sz w:val="17"/>
          <w:szCs w:val="17"/>
          <w:color w:val="auto"/>
        </w:rPr>
      </w:pPr>
    </w:p>
    <w:p>
      <w:pPr>
        <w:ind w:right="100" w:firstLine="987"/>
        <w:spacing w:after="0" w:line="279" w:lineRule="auto"/>
        <w:tabs>
          <w:tab w:leader="none" w:pos="1381"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Each of the Borrower and its Subsidiaries (other than any Financing Subsidiary) owns, or is licensed to use, all trademarks, tradenames, copyrights, patents and other intellectual property material to its business, and the use thereof by the Borrower and its Subsidiaries (other than any Financing Subsidiary) does not infringe upon the rights of any other Person, except for any such infringements that, individually or in the aggregate, could not reasonably be expected to result in a Material Adverse Effect.</w:t>
      </w:r>
    </w:p>
    <w:p>
      <w:pPr>
        <w:spacing w:after="0" w:line="171" w:lineRule="exact"/>
        <w:rPr>
          <w:sz w:val="20"/>
          <w:szCs w:val="20"/>
          <w:color w:val="auto"/>
        </w:rPr>
      </w:pPr>
    </w:p>
    <w:p>
      <w:pPr>
        <w:jc w:val="both"/>
        <w:ind w:right="560" w:firstLine="991"/>
        <w:spacing w:after="0" w:line="286" w:lineRule="auto"/>
        <w:rPr>
          <w:sz w:val="20"/>
          <w:szCs w:val="20"/>
          <w:color w:val="auto"/>
        </w:rPr>
      </w:pPr>
      <w:r>
        <w:rPr>
          <w:rFonts w:ascii="Arial" w:cs="Arial" w:eastAsia="Arial" w:hAnsi="Arial"/>
          <w:sz w:val="17"/>
          <w:szCs w:val="17"/>
          <w:color w:val="auto"/>
        </w:rPr>
        <w:t xml:space="preserve">SECTION 3.14. </w:t>
      </w:r>
      <w:r>
        <w:rPr>
          <w:rFonts w:ascii="Arial" w:cs="Arial" w:eastAsia="Arial" w:hAnsi="Arial"/>
          <w:sz w:val="17"/>
          <w:szCs w:val="17"/>
          <w:u w:val="single" w:color="auto"/>
          <w:color w:val="auto"/>
        </w:rPr>
        <w:t>Affiliate Agreements</w:t>
      </w:r>
      <w:r>
        <w:rPr>
          <w:rFonts w:ascii="Arial" w:cs="Arial" w:eastAsia="Arial" w:hAnsi="Arial"/>
          <w:sz w:val="17"/>
          <w:szCs w:val="17"/>
          <w:color w:val="auto"/>
        </w:rPr>
        <w:t>. As of the date hereof, the Borrower has heretofore delivered to each of the Lenders true and complete copies of each of the Affiliate Agreements (including and schedules and exhibits thereto, and any amendments, supplements or waivers executed and delivered thereunder). As of the date of hereof, each of the Affiliate Agreements is in full force and effect.</w:t>
      </w:r>
    </w:p>
    <w:p>
      <w:pPr>
        <w:spacing w:after="0" w:line="98"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81</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11" w:name="page112"/>
    <w:bookmarkEnd w:id="11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3.15. </w:t>
      </w:r>
      <w:r>
        <w:rPr>
          <w:rFonts w:ascii="Arial" w:cs="Arial" w:eastAsia="Arial" w:hAnsi="Arial"/>
          <w:sz w:val="18"/>
          <w:szCs w:val="18"/>
          <w:u w:val="single" w:color="auto"/>
          <w:color w:val="auto"/>
        </w:rPr>
        <w:t>Sanctions</w:t>
      </w:r>
      <w:r>
        <w:rPr>
          <w:rFonts w:ascii="Arial" w:cs="Arial" w:eastAsia="Arial" w:hAnsi="Arial"/>
          <w:sz w:val="18"/>
          <w:szCs w:val="18"/>
          <w:color w:val="auto"/>
        </w:rPr>
        <w:t>.</w:t>
      </w:r>
    </w:p>
    <w:p>
      <w:pPr>
        <w:spacing w:after="0" w:line="117" w:lineRule="exact"/>
        <w:rPr>
          <w:sz w:val="20"/>
          <w:szCs w:val="20"/>
          <w:color w:val="auto"/>
        </w:rPr>
      </w:pPr>
    </w:p>
    <w:p>
      <w:pPr>
        <w:ind w:right="160" w:firstLine="987"/>
        <w:spacing w:after="0" w:line="275" w:lineRule="auto"/>
        <w:tabs>
          <w:tab w:leader="none" w:pos="137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None of the Borrower or any of its Subsidiaries, nor, to the knowledge of the Borrower, any of their respective directors, officers or authorized signors (i) is a person on the list of Specially Designated Nationals and Blocked Persons or subject to, or the subject or target of, the limitations or prohibitions (collectively “</w:t>
      </w:r>
      <w:r>
        <w:rPr>
          <w:rFonts w:ascii="Arial" w:cs="Arial" w:eastAsia="Arial" w:hAnsi="Arial"/>
          <w:sz w:val="17"/>
          <w:szCs w:val="17"/>
          <w:u w:val="single" w:color="auto"/>
          <w:color w:val="auto"/>
        </w:rPr>
        <w:t>Sanctions</w:t>
      </w:r>
      <w:r>
        <w:rPr>
          <w:rFonts w:ascii="Arial" w:cs="Arial" w:eastAsia="Arial" w:hAnsi="Arial"/>
          <w:sz w:val="17"/>
          <w:szCs w:val="17"/>
          <w:color w:val="auto"/>
        </w:rPr>
        <w:t>”) under (A) any U.S. Department of Treasury’s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or U.S. Department of State regulation or executive order or (B) any international economic sanction administered or enforced by the United Nations Security Council, Her Majesty’s Treasury or the European Union or (ii) is located, organized or resident in a Sanctioned Country.</w:t>
      </w:r>
    </w:p>
    <w:p>
      <w:pPr>
        <w:spacing w:after="0" w:line="68" w:lineRule="exact"/>
        <w:rPr>
          <w:rFonts w:ascii="Arial" w:cs="Arial" w:eastAsia="Arial" w:hAnsi="Arial"/>
          <w:sz w:val="17"/>
          <w:szCs w:val="17"/>
          <w:color w:val="auto"/>
        </w:rPr>
      </w:pPr>
    </w:p>
    <w:p>
      <w:pPr>
        <w:ind w:right="360" w:firstLine="987"/>
        <w:spacing w:after="0" w:line="263" w:lineRule="auto"/>
        <w:tabs>
          <w:tab w:leader="none" w:pos="137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Borrower has implemented and maintains in effect policies and procedures reasonably designed to ensure compliance by the Borrower, its Subsidiaries and their respective directors, officers, employees and investment advisors with Anti-Corruption Laws and applicable Sanctions in all material respects.</w:t>
      </w:r>
    </w:p>
    <w:p>
      <w:pPr>
        <w:spacing w:after="0" w:line="184" w:lineRule="exact"/>
        <w:rPr>
          <w:sz w:val="20"/>
          <w:szCs w:val="20"/>
          <w:color w:val="auto"/>
        </w:rPr>
      </w:pPr>
    </w:p>
    <w:p>
      <w:pPr>
        <w:ind w:right="20" w:firstLine="991"/>
        <w:spacing w:after="0" w:line="287" w:lineRule="auto"/>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u w:val="single" w:color="auto"/>
          <w:color w:val="auto"/>
        </w:rPr>
        <w:t>Patriot Act</w:t>
      </w:r>
      <w:r>
        <w:rPr>
          <w:rFonts w:ascii="Arial" w:cs="Arial" w:eastAsia="Arial" w:hAnsi="Arial"/>
          <w:sz w:val="16"/>
          <w:szCs w:val="16"/>
          <w:color w:val="auto"/>
        </w:rPr>
        <w:t>. Each of the Borrower and its Subsidiaries is in compliance with (a) the Trading with the Enemy Act, as amended, and each of the foreign assets control regulations of the United States Treasury Department (31 CFR, Subtitle B, Chapter V, as amended) and any other enabling legislation or executive order relating thereto, and (b) the Uniting And Strengthening America By Providing Appropriate Tools Required To Intercept And Obstruct Terrorism (USA Patriot Act of 2001). No part of the proceeds of the Loans or Letters of Credit will be used, directly or, to the knowledge of the Borrower, indirectly, for any payments (i) to any governmental official or employee, political party, official of a political party, candidate for political office, or anyone else acting in an official capacity, in order to obtain, retain or direct business or obtain any improper advantage, all in violation by the Borrower or its Subsidiaries of the United States Foreign Corrupt Practices Act of 1977, as amended, or the UK Bribery Act or in material violation of US or UK regulations implementing the OECD Convention on Combating Bribery of Foreign Public Officials in International Business Transactions (collectively, the “</w:t>
      </w:r>
      <w:r>
        <w:rPr>
          <w:rFonts w:ascii="Arial" w:cs="Arial" w:eastAsia="Arial" w:hAnsi="Arial"/>
          <w:sz w:val="16"/>
          <w:szCs w:val="16"/>
          <w:u w:val="single" w:color="auto"/>
          <w:color w:val="auto"/>
        </w:rPr>
        <w:t>Anti-Corruption Laws</w:t>
      </w:r>
      <w:r>
        <w:rPr>
          <w:rFonts w:ascii="Arial" w:cs="Arial" w:eastAsia="Arial" w:hAnsi="Arial"/>
          <w:sz w:val="16"/>
          <w:szCs w:val="16"/>
          <w:color w:val="auto"/>
        </w:rPr>
        <w:t>”) or (ii) for the purpose of financing the activities in or with any Sanctioned Country, or of any Person, at the time of such financing (A) subject to, or the subject of, any Sanctions or (B) located, organized or resident in a Sanctioned Country, in each case as would result in a violation of Sanctions by any party hereto.</w:t>
      </w:r>
    </w:p>
    <w:p>
      <w:pPr>
        <w:spacing w:after="0" w:line="172"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The provisions of the Security Documents are effective to create in favor of the Collateral Agent a legal, valid and enforceable first priority Lien (subject to Liens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on all right, title and interest of the Borrower and each Subsidiary Guarantor in the Collateral described therein. Except for filings completed prior to the Effective Date and as contemplated hereby and by the Security Documents, no filing or other action will be necessary to perfect such Liens.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EEA Financial Institutions</w:t>
      </w:r>
      <w:r>
        <w:rPr>
          <w:rFonts w:ascii="Arial" w:cs="Arial" w:eastAsia="Arial" w:hAnsi="Arial"/>
          <w:sz w:val="18"/>
          <w:szCs w:val="18"/>
          <w:color w:val="auto"/>
        </w:rPr>
        <w:t>. Neither the Borrower nor any Subsidiary is an EEA Financial Institution.</w:t>
      </w:r>
    </w:p>
    <w:p>
      <w:pPr>
        <w:spacing w:after="0" w:line="158"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82</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ind w:right="340" w:firstLine="991"/>
        <w:spacing w:after="0" w:line="263"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The effectiveness of this Agreement and of the obligations of the Lenders to make Loans and of the Issuing Bank to issue Letters of Credit hereunder shall not become effective until completion of each of the following conditions precedent (unless a condition shall have been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76" w:lineRule="exact"/>
        <w:rPr>
          <w:sz w:val="20"/>
          <w:szCs w:val="20"/>
          <w:color w:val="auto"/>
        </w:rPr>
      </w:pPr>
    </w:p>
    <w:p>
      <w:pPr>
        <w:ind w:right="320" w:firstLine="987"/>
        <w:spacing w:after="0" w:line="277" w:lineRule="auto"/>
        <w:tabs>
          <w:tab w:leader="none" w:pos="1371"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Documents</w:t>
      </w:r>
      <w:r>
        <w:rPr>
          <w:rFonts w:ascii="Arial" w:cs="Arial" w:eastAsia="Arial" w:hAnsi="Arial"/>
          <w:sz w:val="18"/>
          <w:szCs w:val="18"/>
          <w:color w:val="auto"/>
        </w:rPr>
        <w:t>. Administrative Agent shall have received each of the following documents, each of which shall be satisfactory to the Administrative Agent (and to the extent specified below to each Lender) in form and substance:</w:t>
      </w:r>
    </w:p>
    <w:p>
      <w:pPr>
        <w:spacing w:after="0" w:line="62" w:lineRule="exact"/>
        <w:rPr>
          <w:rFonts w:ascii="Arial" w:cs="Arial" w:eastAsia="Arial" w:hAnsi="Arial"/>
          <w:sz w:val="18"/>
          <w:szCs w:val="18"/>
          <w:color w:val="auto"/>
        </w:rPr>
      </w:pPr>
    </w:p>
    <w:p>
      <w:pPr>
        <w:ind w:left="440" w:right="160" w:firstLine="419"/>
        <w:spacing w:after="0" w:line="263" w:lineRule="auto"/>
        <w:tabs>
          <w:tab w:leader="none" w:pos="1213"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Executed Counterparts</w:t>
      </w:r>
      <w:r>
        <w:rPr>
          <w:rFonts w:ascii="Arial" w:cs="Arial" w:eastAsia="Arial" w:hAnsi="Arial"/>
          <w:sz w:val="18"/>
          <w:szCs w:val="18"/>
          <w:color w:val="auto"/>
        </w:rPr>
        <w:t>. From each party hereto either (i) a counterpart of this Agreement signed on behalf of such party or (ii) written evidence satisfactory to the Administrative Agent (which may include telecopy transmission of a signed signature page to this Agreement) that such party has signed a counterpart of this Agreement.</w:t>
      </w:r>
    </w:p>
    <w:p>
      <w:pPr>
        <w:spacing w:after="0" w:line="75" w:lineRule="exact"/>
        <w:rPr>
          <w:rFonts w:ascii="Arial" w:cs="Arial" w:eastAsia="Arial" w:hAnsi="Arial"/>
          <w:sz w:val="18"/>
          <w:szCs w:val="18"/>
          <w:color w:val="auto"/>
        </w:rPr>
      </w:pPr>
    </w:p>
    <w:p>
      <w:pPr>
        <w:ind w:left="440" w:right="260" w:firstLine="419"/>
        <w:spacing w:after="0" w:line="311" w:lineRule="auto"/>
        <w:tabs>
          <w:tab w:leader="none" w:pos="1263"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Opinion of Counsel to the Borrower</w:t>
      </w:r>
      <w:r>
        <w:rPr>
          <w:rFonts w:ascii="Arial" w:cs="Arial" w:eastAsia="Arial" w:hAnsi="Arial"/>
          <w:sz w:val="16"/>
          <w:szCs w:val="16"/>
          <w:color w:val="auto"/>
        </w:rPr>
        <w:t>. A favorable written opinion (addressed to the Administrative Agent and the Lenders and dated the Effective Date) of Dechert LLP, New York and Maryland counsel for the Borrower, in form and substance reasonably acceptable to the Administrative Agent (and the Borrower hereby instructs such counsel to deliver such opinion to the Lenders and the Administrative Agent).</w:t>
      </w:r>
    </w:p>
    <w:p>
      <w:pPr>
        <w:spacing w:after="0" w:line="40" w:lineRule="exact"/>
        <w:rPr>
          <w:rFonts w:ascii="Arial" w:cs="Arial" w:eastAsia="Arial" w:hAnsi="Arial"/>
          <w:sz w:val="16"/>
          <w:szCs w:val="16"/>
          <w:color w:val="auto"/>
        </w:rPr>
      </w:pPr>
    </w:p>
    <w:p>
      <w:pPr>
        <w:ind w:left="440" w:right="120" w:firstLine="419"/>
        <w:spacing w:after="0" w:line="311" w:lineRule="auto"/>
        <w:tabs>
          <w:tab w:leader="none" w:pos="1313"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Corporate Documents</w:t>
      </w:r>
      <w:r>
        <w:rPr>
          <w:rFonts w:ascii="Arial" w:cs="Arial" w:eastAsia="Arial" w:hAnsi="Arial"/>
          <w:sz w:val="16"/>
          <w:szCs w:val="16"/>
          <w:color w:val="auto"/>
        </w:rPr>
        <w:t>. Such documents and certificates as the Administrative Agent or its counsel may reasonably request relating to the organization, existence and good standing of the Borrower, the authorization of the Transactions and any other legal matters relating to the Borrower, this Agreement or the Transactions, all in form and substance satisfactory to the Administrative Agent and its counsel.</w:t>
      </w:r>
    </w:p>
    <w:p>
      <w:pPr>
        <w:spacing w:after="0" w:line="40" w:lineRule="exact"/>
        <w:rPr>
          <w:rFonts w:ascii="Arial" w:cs="Arial" w:eastAsia="Arial" w:hAnsi="Arial"/>
          <w:sz w:val="16"/>
          <w:szCs w:val="16"/>
          <w:color w:val="auto"/>
        </w:rPr>
      </w:pPr>
    </w:p>
    <w:p>
      <w:pPr>
        <w:ind w:left="440" w:right="120" w:firstLine="419"/>
        <w:spacing w:after="0" w:line="308" w:lineRule="auto"/>
        <w:tabs>
          <w:tab w:leader="none" w:pos="1303"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Officer’s Certificate</w:t>
      </w:r>
      <w:r>
        <w:rPr>
          <w:rFonts w:ascii="Arial" w:cs="Arial" w:eastAsia="Arial" w:hAnsi="Arial"/>
          <w:sz w:val="17"/>
          <w:szCs w:val="17"/>
          <w:color w:val="auto"/>
        </w:rPr>
        <w:t xml:space="preserve">. A certificate, dated the Effective Date and signed by the President, a Vice President or a Financial Officer of the Borrower, confirming compliance with the conditions set forth in the lettered clauses of the first sentence of </w:t>
      </w:r>
      <w:r>
        <w:rPr>
          <w:rFonts w:ascii="Arial" w:cs="Arial" w:eastAsia="Arial" w:hAnsi="Arial"/>
          <w:sz w:val="17"/>
          <w:szCs w:val="17"/>
          <w:u w:val="single" w:color="auto"/>
          <w:color w:val="auto"/>
        </w:rPr>
        <w:t>Section 4.02</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440" w:right="140" w:firstLine="419"/>
        <w:spacing w:after="0" w:line="277" w:lineRule="auto"/>
        <w:tabs>
          <w:tab w:leader="none" w:pos="1253"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Guarantee and Security Agreement</w:t>
      </w:r>
      <w:r>
        <w:rPr>
          <w:rFonts w:ascii="Arial" w:cs="Arial" w:eastAsia="Arial" w:hAnsi="Arial"/>
          <w:sz w:val="18"/>
          <w:szCs w:val="18"/>
          <w:color w:val="auto"/>
        </w:rPr>
        <w:t>. The Guarantee and Security Agreement, duly executed and delivered by each of the parties to the Guarantee and Security Agreement.</w:t>
      </w:r>
    </w:p>
    <w:p>
      <w:pPr>
        <w:spacing w:after="0" w:line="62" w:lineRule="exact"/>
        <w:rPr>
          <w:rFonts w:ascii="Arial" w:cs="Arial" w:eastAsia="Arial" w:hAnsi="Arial"/>
          <w:sz w:val="18"/>
          <w:szCs w:val="18"/>
          <w:color w:val="auto"/>
        </w:rPr>
      </w:pPr>
    </w:p>
    <w:p>
      <w:pPr>
        <w:ind w:left="1300" w:hanging="441"/>
        <w:spacing w:after="0"/>
        <w:tabs>
          <w:tab w:leader="none" w:pos="1300"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Borrowing Base Certificate</w:t>
      </w:r>
      <w:r>
        <w:rPr>
          <w:rFonts w:ascii="Arial" w:cs="Arial" w:eastAsia="Arial" w:hAnsi="Arial"/>
          <w:sz w:val="17"/>
          <w:szCs w:val="17"/>
          <w:color w:val="auto"/>
        </w:rPr>
        <w:t>. A Borrowing Base Certificate showing a calculation of the Borrowing Base as of May 31, 2014.</w:t>
      </w:r>
    </w:p>
    <w:p>
      <w:pPr>
        <w:spacing w:after="0" w:line="128" w:lineRule="exact"/>
        <w:rPr>
          <w:rFonts w:ascii="Arial" w:cs="Arial" w:eastAsia="Arial" w:hAnsi="Arial"/>
          <w:sz w:val="17"/>
          <w:szCs w:val="17"/>
          <w:color w:val="auto"/>
        </w:rPr>
      </w:pPr>
    </w:p>
    <w:p>
      <w:pPr>
        <w:ind w:right="140" w:firstLine="987"/>
        <w:spacing w:after="0" w:line="279" w:lineRule="auto"/>
        <w:tabs>
          <w:tab w:leader="none" w:pos="1381" w:val="left"/>
        </w:tabs>
        <w:numPr>
          <w:ilvl w:val="1"/>
          <w:numId w:val="122"/>
        </w:numPr>
        <w:rPr>
          <w:rFonts w:ascii="Arial" w:cs="Arial" w:eastAsia="Arial" w:hAnsi="Arial"/>
          <w:sz w:val="17"/>
          <w:szCs w:val="17"/>
          <w:color w:val="auto"/>
        </w:rPr>
      </w:pPr>
      <w:r>
        <w:rPr>
          <w:rFonts w:ascii="Arial" w:cs="Arial" w:eastAsia="Arial" w:hAnsi="Arial"/>
          <w:sz w:val="17"/>
          <w:szCs w:val="17"/>
          <w:u w:val="single" w:color="auto"/>
          <w:color w:val="auto"/>
        </w:rPr>
        <w:t>Liens</w:t>
      </w:r>
      <w:r>
        <w:rPr>
          <w:rFonts w:ascii="Arial" w:cs="Arial" w:eastAsia="Arial" w:hAnsi="Arial"/>
          <w:sz w:val="17"/>
          <w:szCs w:val="17"/>
          <w:color w:val="auto"/>
        </w:rPr>
        <w:t xml:space="preserve">. The Administrative Agent shall have received results of a recent lien search in each relevant jurisdiction with respect to the Borrower and its Subsidiaries (other than Financing Subsidiaries), confirming the priority of the Liens in favor of the Collateral Agent created pursuant to the Security Documents and revealing no liens on any of the assets of the Borrower or its Subsidiaries (other than Financing Subsidiaries) except for liens permitted under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or liens to be discharged on or prior to the Effective Date pursuant to documentation</w:t>
      </w:r>
    </w:p>
    <w:p>
      <w:pPr>
        <w:spacing w:after="0" w:line="104"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83</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13" w:name="page114"/>
    <w:bookmarkEnd w:id="113"/>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satisfactory to the Administrative Agent. All UCC financing statements and similar documents required to be filed in order to create in favor of the Administrative Agent, for the benefit of the Lenders, a first priority perfected security interest in the Collateral (to the extent that such a security interest may be perfected by a filing under the Uniform Commercial Code) shall have been properly filed in each jurisdiction required.</w:t>
      </w:r>
    </w:p>
    <w:p>
      <w:pPr>
        <w:spacing w:after="0" w:line="57" w:lineRule="exact"/>
        <w:rPr>
          <w:sz w:val="20"/>
          <w:szCs w:val="20"/>
          <w:color w:val="auto"/>
        </w:rPr>
      </w:pPr>
    </w:p>
    <w:p>
      <w:pPr>
        <w:ind w:right="160" w:firstLine="987"/>
        <w:spacing w:after="0" w:line="275" w:lineRule="auto"/>
        <w:tabs>
          <w:tab w:leader="none" w:pos="1371"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Consents</w:t>
      </w:r>
      <w:r>
        <w:rPr>
          <w:rFonts w:ascii="Arial" w:cs="Arial" w:eastAsia="Arial" w:hAnsi="Arial"/>
          <w:sz w:val="17"/>
          <w:szCs w:val="17"/>
          <w:color w:val="auto"/>
        </w:rPr>
        <w:t>. The Borrower shall have obtained and delivered to the Administrative Agent certified copies of all consents, approvals, authorizations, registrations, or filings required to be made or obtained by the Borrower and all guarantors in connection with the Transactions and any transaction being financed with the proceeds of the Loans, and such consents, approvals, authorizations, registrations, filings and orders shall be in full force and effect and all applicable waiting periods shall have expired and no investigation or inquiry by any Governmental Authority regarding the Transactions or any transaction being financed with the proceeds of the Loans shall be ongoing.</w:t>
      </w:r>
    </w:p>
    <w:p>
      <w:pPr>
        <w:spacing w:after="0" w:line="68" w:lineRule="exact"/>
        <w:rPr>
          <w:rFonts w:ascii="Arial" w:cs="Arial" w:eastAsia="Arial" w:hAnsi="Arial"/>
          <w:sz w:val="17"/>
          <w:szCs w:val="17"/>
          <w:color w:val="auto"/>
        </w:rPr>
      </w:pPr>
    </w:p>
    <w:p>
      <w:pPr>
        <w:ind w:right="100" w:firstLine="987"/>
        <w:spacing w:after="0" w:line="277" w:lineRule="auto"/>
        <w:tabs>
          <w:tab w:leader="none" w:pos="1381"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The Borrower shall have paid in full to the Administrative Agent all fees and expenses related to this Agreement owing on the Effective Date.</w:t>
      </w:r>
    </w:p>
    <w:p>
      <w:pPr>
        <w:spacing w:after="0" w:line="62" w:lineRule="exact"/>
        <w:rPr>
          <w:rFonts w:ascii="Arial" w:cs="Arial" w:eastAsia="Arial" w:hAnsi="Arial"/>
          <w:sz w:val="18"/>
          <w:szCs w:val="18"/>
          <w:color w:val="auto"/>
        </w:rPr>
      </w:pPr>
    </w:p>
    <w:p>
      <w:pPr>
        <w:ind w:right="240" w:firstLine="987"/>
        <w:spacing w:after="0" w:line="277" w:lineRule="auto"/>
        <w:tabs>
          <w:tab w:leader="none" w:pos="1371"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Other Documents</w:t>
      </w:r>
      <w:r>
        <w:rPr>
          <w:rFonts w:ascii="Arial" w:cs="Arial" w:eastAsia="Arial" w:hAnsi="Arial"/>
          <w:sz w:val="18"/>
          <w:szCs w:val="18"/>
          <w:color w:val="auto"/>
        </w:rPr>
        <w:t>. The Administrative Agent shall have received such other documents as the Administrative Agent or any Lender may reasonably request in form and substance satisfactory to the Administrative Agent.</w:t>
      </w:r>
    </w:p>
    <w:p>
      <w:pPr>
        <w:spacing w:after="0" w:line="170"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any Loan, and of the Issuing Bank to issue, amend, renew or extend any Letter of Credit, is additionally subject to the satisfaction of the following conditions:</w:t>
      </w:r>
    </w:p>
    <w:p>
      <w:pPr>
        <w:spacing w:after="0" w:line="62" w:lineRule="exact"/>
        <w:rPr>
          <w:sz w:val="20"/>
          <w:szCs w:val="20"/>
          <w:color w:val="auto"/>
        </w:rPr>
      </w:pPr>
    </w:p>
    <w:p>
      <w:pPr>
        <w:jc w:val="both"/>
        <w:ind w:right="360" w:firstLine="987"/>
        <w:spacing w:after="0" w:line="279" w:lineRule="auto"/>
        <w:tabs>
          <w:tab w:leader="none" w:pos="137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representations and warranties of the Borrower set forth in this Agreement and in the other Loan Documents shall be true and correct in all material respects (or, in the case of any portion of any representations and warranties already subject to a materiality qualifier, true and correct in all respects) on and as of the date of such Loan or the date of issuance, amendment, renewal or extension of such Letter of Credit, as applicable, or, as to any such representation or warranty that refers to a specific date, as of such specific date;</w:t>
      </w:r>
    </w:p>
    <w:p>
      <w:pPr>
        <w:spacing w:after="0" w:line="63" w:lineRule="exact"/>
        <w:rPr>
          <w:rFonts w:ascii="Arial" w:cs="Arial" w:eastAsia="Arial" w:hAnsi="Arial"/>
          <w:sz w:val="17"/>
          <w:szCs w:val="17"/>
          <w:color w:val="auto"/>
        </w:rPr>
      </w:pPr>
    </w:p>
    <w:p>
      <w:pPr>
        <w:ind w:right="260" w:firstLine="987"/>
        <w:spacing w:after="0" w:line="277" w:lineRule="auto"/>
        <w:tabs>
          <w:tab w:leader="none" w:pos="138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Loan or the issuance, amendment, renewal or extension of such Letter of Credit, as applicable, no Default shall have occurred and be continuing; and</w:t>
      </w:r>
    </w:p>
    <w:p>
      <w:pPr>
        <w:spacing w:after="0" w:line="62" w:lineRule="exact"/>
        <w:rPr>
          <w:rFonts w:ascii="Arial" w:cs="Arial" w:eastAsia="Arial" w:hAnsi="Arial"/>
          <w:sz w:val="18"/>
          <w:szCs w:val="18"/>
          <w:color w:val="auto"/>
        </w:rPr>
      </w:pPr>
    </w:p>
    <w:p>
      <w:pPr>
        <w:ind w:right="20" w:firstLine="987"/>
        <w:spacing w:after="0" w:line="257" w:lineRule="auto"/>
        <w:tabs>
          <w:tab w:leader="none" w:pos="137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either (i) the aggregate Covered Debt Amount (after giving effect to such extension of credit) shall not exceed the Borrowing Base reflected on the Borrowing Base Certificate most recently delivered to the Administrative Agent or (ii) the Borrower shall 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 or payment of outstanding Loans or Other Covered Indebtedness.</w:t>
      </w:r>
    </w:p>
    <w:p>
      <w:pPr>
        <w:spacing w:after="0" w:line="188"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Each Borrowing and each issuance, amendment, renewal or extension of a Letter of Credit shall be deemed to constitute a representation and warranty by the Borrower on the date thereof as to the matters specified in the preceding sentence. For the avoidance of doubt, the conversion or continuation of a Borrowing as the same or a different Type (without an increase in the principal amount thereof) shall not be considered the making of a Loan.</w:t>
      </w:r>
    </w:p>
    <w:p>
      <w:pPr>
        <w:spacing w:after="0" w:line="119"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84</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Until the Commitments have expired or been terminated and the principal of and interest on each Loan and all fees payable hereunder shall have been paid in full and all Letters of Credit shall have expired, been terminated, Cash Collateralized or backstopped and all LC Disbursements shall have been reimbursed, the Borrower covenants and agrees with the Lenders that: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Financial Statements and Other Information</w:t>
      </w:r>
      <w:r>
        <w:rPr>
          <w:rFonts w:ascii="Arial" w:cs="Arial" w:eastAsia="Arial" w:hAnsi="Arial"/>
          <w:sz w:val="17"/>
          <w:szCs w:val="17"/>
          <w:color w:val="auto"/>
        </w:rPr>
        <w:t>. The Borrower will furnish to the Administrative Agent and each Lender:</w:t>
      </w:r>
    </w:p>
    <w:p>
      <w:pPr>
        <w:spacing w:after="0" w:line="129" w:lineRule="exact"/>
        <w:rPr>
          <w:sz w:val="20"/>
          <w:szCs w:val="20"/>
          <w:color w:val="auto"/>
        </w:rPr>
      </w:pPr>
    </w:p>
    <w:p>
      <w:pPr>
        <w:ind w:right="60" w:firstLine="987"/>
        <w:spacing w:after="0" w:line="254" w:lineRule="auto"/>
        <w:tabs>
          <w:tab w:leader="none" w:pos="137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within 90 days after the end of each fiscal year of the Borrower, the audited consolidated statements of assets and liabilities, operations, changes in net assets and cash flows of the Borrower and its Subsidiaries as of the end of and for such year, setting forth in each 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consistently applied;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requirements set forth in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may be fulfilled by providing to the Administrative Agent and the Lenders the report of the Borrower to the SEC on Form 10-K for the applicable fiscal year;</w:t>
      </w:r>
    </w:p>
    <w:p>
      <w:pPr>
        <w:spacing w:after="0" w:line="86" w:lineRule="exact"/>
        <w:rPr>
          <w:rFonts w:ascii="Arial" w:cs="Arial" w:eastAsia="Arial" w:hAnsi="Arial"/>
          <w:sz w:val="18"/>
          <w:szCs w:val="18"/>
          <w:color w:val="auto"/>
        </w:rPr>
      </w:pPr>
    </w:p>
    <w:p>
      <w:pPr>
        <w:ind w:right="140" w:firstLine="987"/>
        <w:spacing w:after="0" w:line="271" w:lineRule="auto"/>
        <w:tabs>
          <w:tab w:leader="none" w:pos="1381"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within 45 days after the end of each of the first three fiscal quarters of each fiscal year of the Borrower, the consolidated statements of assets and liabilities, operations, changes in net assets and cash flows of the Borrower and its Subsidiaries as of the end of and for such fiscal quarter and the then elapsed portion of the fiscal year, setting forth in each case in comparative form the figures for (or, in the case of the statements of assets and liabilities, operations, changes in net assets and cash flows,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basis in accordance with GAAP consistently applied, subject to normal year-end audit adjustments and the absence of footnotes;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requirements set forth in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may be fulfilled by providing to the Lenders the report of the Borrower to the SEC on Form 10-Q for the applicable quarterly period;</w:t>
      </w:r>
    </w:p>
    <w:p>
      <w:pPr>
        <w:spacing w:after="0" w:line="70" w:lineRule="exact"/>
        <w:rPr>
          <w:rFonts w:ascii="Arial" w:cs="Arial" w:eastAsia="Arial" w:hAnsi="Arial"/>
          <w:sz w:val="17"/>
          <w:szCs w:val="17"/>
          <w:color w:val="auto"/>
        </w:rPr>
      </w:pPr>
    </w:p>
    <w:p>
      <w:pPr>
        <w:ind w:right="40" w:firstLine="987"/>
        <w:spacing w:after="0" w:line="257" w:lineRule="auto"/>
        <w:tabs>
          <w:tab w:leader="none" w:pos="137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concurrently with any delivery of financial statements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a certificate of a Financial Officer of the Borrower (i) certifying that such statements are consistent with the financial statements filed by the Borrower with the Securities and Exchange Commission, (ii) certifying as to whether the Borrower has knowledge that a Default has occurred during the applicable period and, if a Default has occurred, specifying the details thereof and any action taken or proposed to be taken with respect thereto, (iii) setting forth reasonably detailed calculations demonstrating compliance with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6.04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6.07</w:t>
      </w:r>
    </w:p>
    <w:p>
      <w:pPr>
        <w:spacing w:after="0" w:line="120"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85</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15" w:name="page116"/>
    <w:bookmarkEnd w:id="115"/>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(iv) stating whether any change in GAAP as applied by (or in the application of GAAP by) the Borrower has occurred since the Effective Date and, if any such change has occurred, specifying the effect as determined by the Borrower of such change on the financial statements accompanying such certificate;</w:t>
      </w:r>
    </w:p>
    <w:p>
      <w:pPr>
        <w:spacing w:after="0" w:line="76" w:lineRule="exact"/>
        <w:rPr>
          <w:sz w:val="20"/>
          <w:szCs w:val="20"/>
          <w:color w:val="auto"/>
        </w:rPr>
      </w:pPr>
    </w:p>
    <w:p>
      <w:pPr>
        <w:ind w:right="20" w:firstLine="987"/>
        <w:spacing w:after="0" w:line="308" w:lineRule="auto"/>
        <w:tabs>
          <w:tab w:leader="none" w:pos="1381"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as soon as available and in any event not later than 20 days after the end of each monthly accounting period (ending on the last day of each calendar month) of the Borrower and its Subsidiaries, a Borrowing Base Certificate as at the last day of such accounting period;</w:t>
      </w:r>
    </w:p>
    <w:p>
      <w:pPr>
        <w:spacing w:after="0" w:line="38" w:lineRule="exact"/>
        <w:rPr>
          <w:rFonts w:ascii="Arial" w:cs="Arial" w:eastAsia="Arial" w:hAnsi="Arial"/>
          <w:sz w:val="17"/>
          <w:szCs w:val="17"/>
          <w:color w:val="auto"/>
        </w:rPr>
      </w:pPr>
    </w:p>
    <w:p>
      <w:pPr>
        <w:ind w:right="100" w:firstLine="987"/>
        <w:spacing w:after="0" w:line="257" w:lineRule="auto"/>
        <w:tabs>
          <w:tab w:leader="none" w:pos="137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promptly but no later than five Business Days after any Responsible Officer of the Borrower shall at any time have knowledge that there is a Borrowing Base Deficiency, a Borrowing Base Certificate as at the date such Responsible Officer of the Borrower has knowledge of such Borrowing Base Deficiency indicating the amount of the Borrowing Base Deficiency as at the date such Responsible Officer obtained knowledge of such deficiency and the amount of the Borrowing Base Deficiency as of the date not earlier than one Business Day prior to the date the Borrowing Base Certificate is delivered pursuant to this paragraph;</w:t>
      </w:r>
    </w:p>
    <w:p>
      <w:pPr>
        <w:spacing w:after="0" w:line="79" w:lineRule="exact"/>
        <w:rPr>
          <w:rFonts w:ascii="Arial" w:cs="Arial" w:eastAsia="Arial" w:hAnsi="Arial"/>
          <w:sz w:val="18"/>
          <w:szCs w:val="18"/>
          <w:color w:val="auto"/>
        </w:rPr>
      </w:pPr>
    </w:p>
    <w:p>
      <w:pPr>
        <w:ind w:right="640" w:firstLine="987"/>
        <w:spacing w:after="0" w:line="311" w:lineRule="auto"/>
        <w:tabs>
          <w:tab w:leader="none" w:pos="1351"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promptly upon receipt thereof copies of all significant reports submitted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w:t>
      </w:r>
    </w:p>
    <w:p>
      <w:pPr>
        <w:spacing w:after="0" w:line="40" w:lineRule="exact"/>
        <w:rPr>
          <w:rFonts w:ascii="Arial" w:cs="Arial" w:eastAsia="Arial" w:hAnsi="Arial"/>
          <w:sz w:val="16"/>
          <w:szCs w:val="16"/>
          <w:color w:val="auto"/>
        </w:rPr>
      </w:pPr>
    </w:p>
    <w:p>
      <w:pPr>
        <w:jc w:val="both"/>
        <w:ind w:right="20" w:firstLine="987"/>
        <w:spacing w:after="0" w:line="263" w:lineRule="auto"/>
        <w:tabs>
          <w:tab w:leader="none" w:pos="138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and other reports, proxy statements and other materials filed by the Borrower or any of its Subsidiaries with the Securities and Exchange Commission, or any Governmental Authority succeeding to any or all of the functions of said Commission, or with any national securities exchange, as the case may be; and</w:t>
      </w:r>
    </w:p>
    <w:p>
      <w:pPr>
        <w:spacing w:after="0" w:line="75" w:lineRule="exact"/>
        <w:rPr>
          <w:rFonts w:ascii="Arial" w:cs="Arial" w:eastAsia="Arial" w:hAnsi="Arial"/>
          <w:sz w:val="18"/>
          <w:szCs w:val="18"/>
          <w:color w:val="auto"/>
        </w:rPr>
      </w:pPr>
    </w:p>
    <w:p>
      <w:pPr>
        <w:ind w:right="140" w:firstLine="987"/>
        <w:spacing w:after="0" w:line="263" w:lineRule="auto"/>
        <w:tabs>
          <w:tab w:leader="none" w:pos="138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operations, business affairs and financial condition of the Borrower or any of its Subsidiaries, or compliance with the terms of this Agreement, the other Loan Documents and the Beneficial Ownership Regulation, as the Administrative Agent or any Lender may reasonably request.</w:t>
      </w:r>
    </w:p>
    <w:p>
      <w:pPr>
        <w:spacing w:after="0" w:line="75" w:lineRule="exact"/>
        <w:rPr>
          <w:rFonts w:ascii="Arial" w:cs="Arial" w:eastAsia="Arial" w:hAnsi="Arial"/>
          <w:sz w:val="18"/>
          <w:szCs w:val="18"/>
          <w:color w:val="auto"/>
        </w:rPr>
      </w:pPr>
    </w:p>
    <w:p>
      <w:pPr>
        <w:ind w:right="20" w:firstLine="987"/>
        <w:spacing w:after="0" w:line="290" w:lineRule="auto"/>
        <w:tabs>
          <w:tab w:leader="none" w:pos="1341"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Borrower and each Lender acknowledge that certain of the Lenders may be Public Lenders and, if documents or notices required to be delivered pursuant to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or otherwise are being distributed through IntraLinks</w:t>
      </w:r>
      <w:r>
        <w:rPr>
          <w:rFonts w:ascii="Arial" w:cs="Arial" w:eastAsia="Arial" w:hAnsi="Arial"/>
          <w:sz w:val="13"/>
          <w:szCs w:val="13"/>
          <w:color w:val="auto"/>
        </w:rPr>
        <w:t>™</w:t>
      </w:r>
      <w:r>
        <w:rPr>
          <w:rFonts w:ascii="Arial" w:cs="Arial" w:eastAsia="Arial" w:hAnsi="Arial"/>
          <w:sz w:val="16"/>
          <w:szCs w:val="16"/>
          <w:color w:val="auto"/>
        </w:rPr>
        <w:t xml:space="preserve">/IntraAgency, SyndTrak or another relevant website or other information platform (the “Platform”), any document or notice that Borrower has indicated contains Non-Public Information shall not be posted by Administrative Agent on that portion of the Platform designated for such Public Lenders. Borrower agrees to clearly designate all information provided to Administrative Agent by or on behalf of Borrower or any of its Subsidiaries which is suitable to make available to Public Lenders. If Borrower has not indicated whether a document or notice delivered pursuant to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contains Non-Public Information, the Administrative Agent reserves the right to post such document or notice solely on that portion of the Platform designated for Lenders who wish to receive material Non-Public Information with respect to Borrower, its Subsidiaries and their Securities (as such term is defined in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of this Agreement).</w:t>
      </w:r>
    </w:p>
    <w:p>
      <w:pPr>
        <w:spacing w:after="0" w:line="98"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86</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16" w:name="page117"/>
    <w:bookmarkEnd w:id="116"/>
    <w:p>
      <w:pPr>
        <w:ind w:right="160" w:firstLine="987"/>
        <w:spacing w:after="0" w:line="286" w:lineRule="auto"/>
        <w:tabs>
          <w:tab w:leader="none" w:pos="1341" w:val="left"/>
        </w:tabs>
        <w:numPr>
          <w:ilvl w:val="0"/>
          <w:numId w:val="1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anything to the contrary herein, the requirements to deliver documents set forth in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w:t>
      </w:r>
      <w:r>
        <w:rPr>
          <w:rFonts w:ascii="Arial" w:cs="Arial" w:eastAsia="Arial" w:hAnsi="Arial"/>
          <w:sz w:val="17"/>
          <w:szCs w:val="17"/>
          <w:color w:val="auto"/>
        </w:rPr>
        <w:t xml:space="preserve"> will be fulfilled by filing by the Borrower of the applicable documents for public availability on the SEC’s Electronic Data Gathering and Retrieval system; provided, that the Borrower shall notify the Administrative Agent (by telecopier or electronic mail) of the posting of any such documents.</w:t>
      </w:r>
    </w:p>
    <w:p>
      <w:pPr>
        <w:spacing w:after="0" w:line="16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 The Borrower will furnish to the Administrative Agent and each Lender prompt written notice upon any Responsible Officer obtaining actual knowledge of the following:</w:t>
      </w:r>
    </w:p>
    <w:p>
      <w:pPr>
        <w:spacing w:after="0" w:line="62" w:lineRule="exact"/>
        <w:rPr>
          <w:sz w:val="20"/>
          <w:szCs w:val="20"/>
          <w:color w:val="auto"/>
        </w:rPr>
      </w:pPr>
    </w:p>
    <w:p>
      <w:pPr>
        <w:ind w:left="1360" w:hanging="373"/>
        <w:spacing w:after="0"/>
        <w:tabs>
          <w:tab w:leader="none" w:pos="13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117" w:lineRule="exact"/>
        <w:rPr>
          <w:rFonts w:ascii="Arial" w:cs="Arial" w:eastAsia="Arial" w:hAnsi="Arial"/>
          <w:sz w:val="18"/>
          <w:szCs w:val="18"/>
          <w:color w:val="auto"/>
        </w:rPr>
      </w:pPr>
    </w:p>
    <w:p>
      <w:pPr>
        <w:ind w:right="520" w:firstLine="987"/>
        <w:spacing w:after="0" w:line="342" w:lineRule="auto"/>
        <w:tabs>
          <w:tab w:leader="none" w:pos="138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filing or commencement of any action, suit or proceeding by or before any arbitrator or Governmental Authority against or affecting the Borrower or any of its Affiliates that, if adversely determined, could reasonably be expected to result in a Material Adverse Effect;</w:t>
      </w:r>
    </w:p>
    <w:p>
      <w:pPr>
        <w:spacing w:after="0" w:line="15" w:lineRule="exact"/>
        <w:rPr>
          <w:rFonts w:ascii="Arial" w:cs="Arial" w:eastAsia="Arial" w:hAnsi="Arial"/>
          <w:sz w:val="16"/>
          <w:szCs w:val="16"/>
          <w:color w:val="auto"/>
        </w:rPr>
      </w:pPr>
    </w:p>
    <w:p>
      <w:pPr>
        <w:ind w:right="280" w:firstLine="987"/>
        <w:spacing w:after="0" w:line="263" w:lineRule="auto"/>
        <w:tabs>
          <w:tab w:leader="none" w:pos="137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after the Second Amendment Effective Date, could reasonably be expected to result in liability of the Borrower and its Subsidiaries in an aggregate amount exceeding $7,500,000; and</w:t>
      </w:r>
    </w:p>
    <w:p>
      <w:pPr>
        <w:spacing w:after="0" w:line="75" w:lineRule="exact"/>
        <w:rPr>
          <w:rFonts w:ascii="Arial" w:cs="Arial" w:eastAsia="Arial" w:hAnsi="Arial"/>
          <w:sz w:val="18"/>
          <w:szCs w:val="18"/>
          <w:color w:val="auto"/>
        </w:rPr>
      </w:pPr>
    </w:p>
    <w:p>
      <w:pPr>
        <w:jc w:val="both"/>
        <w:ind w:right="600" w:firstLine="987"/>
        <w:spacing w:after="0" w:line="263" w:lineRule="auto"/>
        <w:tabs>
          <w:tab w:leader="none" w:pos="138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other development (excluding matters of a general economic, financial or political nature to the extent that they could not reasonably be expected to have a disproportionate effect on the Borrower) that results in, or could reasonably be expected to result in, a Material Adverse Effect.</w:t>
      </w:r>
    </w:p>
    <w:p>
      <w:pPr>
        <w:spacing w:after="0" w:line="184" w:lineRule="exact"/>
        <w:rPr>
          <w:sz w:val="20"/>
          <w:szCs w:val="20"/>
          <w:color w:val="auto"/>
        </w:rPr>
      </w:pPr>
    </w:p>
    <w:p>
      <w:pPr>
        <w:ind w:right="240" w:firstLine="991"/>
        <w:spacing w:after="0" w:line="342" w:lineRule="auto"/>
        <w:rPr>
          <w:sz w:val="20"/>
          <w:szCs w:val="20"/>
          <w:color w:val="auto"/>
        </w:rPr>
      </w:pPr>
      <w:r>
        <w:rPr>
          <w:rFonts w:ascii="Arial" w:cs="Arial" w:eastAsia="Arial" w:hAnsi="Arial"/>
          <w:sz w:val="16"/>
          <w:szCs w:val="16"/>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24" w:lineRule="exact"/>
        <w:rPr>
          <w:sz w:val="20"/>
          <w:szCs w:val="20"/>
          <w:color w:val="auto"/>
        </w:rPr>
      </w:pPr>
    </w:p>
    <w:p>
      <w:pPr>
        <w:ind w:right="620" w:firstLine="991"/>
        <w:spacing w:after="0" w:line="259"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xml:space="preserve">. The Borrower will, and will cause each of its Subsidiaries (other than Immaterial Subsidiaries) to, do or cause to be done all things necessary to preserve, renew and keep in full force and effect its legal existence and the rights, licenses, permits, privileges and franchises material to the conduct of its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any merger, consolidation, liquidation or dissolution permitted under </w:t>
      </w:r>
      <w:r>
        <w:rPr>
          <w:rFonts w:ascii="Arial" w:cs="Arial" w:eastAsia="Arial" w:hAnsi="Arial"/>
          <w:sz w:val="18"/>
          <w:szCs w:val="18"/>
          <w:u w:val="single" w:color="auto"/>
          <w:color w:val="auto"/>
        </w:rPr>
        <w:t>Section 6.03</w:t>
      </w:r>
      <w:r>
        <w:rPr>
          <w:rFonts w:ascii="Arial" w:cs="Arial" w:eastAsia="Arial" w:hAnsi="Arial"/>
          <w:sz w:val="18"/>
          <w:szCs w:val="18"/>
          <w:color w:val="auto"/>
        </w:rPr>
        <w:t>.</w:t>
      </w:r>
    </w:p>
    <w:p>
      <w:pPr>
        <w:spacing w:after="0" w:line="187" w:lineRule="exact"/>
        <w:rPr>
          <w:sz w:val="20"/>
          <w:szCs w:val="20"/>
          <w:color w:val="auto"/>
        </w:rPr>
      </w:pPr>
    </w:p>
    <w:p>
      <w:pPr>
        <w:ind w:right="20" w:firstLine="991"/>
        <w:spacing w:after="0" w:line="296"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Payment of Obligations</w:t>
      </w:r>
      <w:r>
        <w:rPr>
          <w:rFonts w:ascii="Arial" w:cs="Arial" w:eastAsia="Arial" w:hAnsi="Arial"/>
          <w:sz w:val="16"/>
          <w:szCs w:val="16"/>
          <w:color w:val="auto"/>
        </w:rPr>
        <w:t>. The Borrower will, and will cause each of its Subsidiaries to, pay its obligations, including income Tax and other material Tax liabilities and material contractual obligations, that, if not paid, could reasonably be expected to result in a Material Adverse Effect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94"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87</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17" w:name="page118"/>
    <w:bookmarkEnd w:id="117"/>
    <w:p>
      <w:pPr>
        <w:ind w:right="200"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5.05. </w:t>
      </w:r>
      <w:r>
        <w:rPr>
          <w:rFonts w:ascii="Arial" w:cs="Arial" w:eastAsia="Arial" w:hAnsi="Arial"/>
          <w:sz w:val="16"/>
          <w:szCs w:val="16"/>
          <w:u w:val="single" w:color="auto"/>
          <w:color w:val="auto"/>
        </w:rPr>
        <w:t>Maintenance of Properties; Insurance</w:t>
      </w:r>
      <w:r>
        <w:rPr>
          <w:rFonts w:ascii="Arial" w:cs="Arial" w:eastAsia="Arial" w:hAnsi="Arial"/>
          <w:sz w:val="16"/>
          <w:szCs w:val="16"/>
          <w:color w:val="auto"/>
        </w:rPr>
        <w:t>. The Borrower will, and will cause each of its Subsidiaries (other than Immaterial Subsidiaries) to, (a) keep and maintain all property material to the conduct of its business in good working order and condition, ordinary wear and tear excepted,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Books and Records; Inspection and Audit Rights</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72" w:lineRule="auto"/>
        <w:tabs>
          <w:tab w:leader="none" w:pos="1371"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Books and Records; Inspection Rights</w:t>
      </w:r>
      <w:r>
        <w:rPr>
          <w:rFonts w:ascii="Arial" w:cs="Arial" w:eastAsia="Arial" w:hAnsi="Arial"/>
          <w:sz w:val="17"/>
          <w:szCs w:val="17"/>
          <w:color w:val="auto"/>
        </w:rPr>
        <w:t xml:space="preserve">. The Borrower will, and will cause each of its Subsidiaries to, keep books of record and account in accordance with GAAP. The Borrower will, and will cause each of its Subsidiaries to, permit any representatives designated by the Administrative Agent or any Lender, upon reasonable prior notice, to visit and inspect its properties during business hours, to examine and make extracts from its books and records, and to discuss its affairs, finances and condition with its officers and independent accountants, all at such reasonable times and as often as reasonably requested, in each case, to the extent such inspection or requests for such information are reasonable and such information can be provided or discussed without violation of law, rule, regulation or contract;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or such Subsidiary shall be entitled to have its representatives and advisors present during any inspection of its books and records.</w:t>
      </w:r>
    </w:p>
    <w:p>
      <w:pPr>
        <w:spacing w:after="0" w:line="69" w:lineRule="exact"/>
        <w:rPr>
          <w:rFonts w:ascii="Arial" w:cs="Arial" w:eastAsia="Arial" w:hAnsi="Arial"/>
          <w:sz w:val="17"/>
          <w:szCs w:val="17"/>
          <w:color w:val="auto"/>
        </w:rPr>
      </w:pPr>
    </w:p>
    <w:p>
      <w:pPr>
        <w:ind w:right="120" w:firstLine="987"/>
        <w:spacing w:after="0" w:line="289" w:lineRule="auto"/>
        <w:tabs>
          <w:tab w:leader="none" w:pos="1381"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Audit Rights</w:t>
      </w:r>
      <w:r>
        <w:rPr>
          <w:rFonts w:ascii="Arial" w:cs="Arial" w:eastAsia="Arial" w:hAnsi="Arial"/>
          <w:sz w:val="16"/>
          <w:szCs w:val="16"/>
          <w:color w:val="auto"/>
        </w:rPr>
        <w:t xml:space="preserve">. The Borrower will, and will cause each of its Subsidiaries to, permit any representatives designated by Administrative Agent (including any consultants, accountants, lawyers and appraisers retained by the Administrative Agent) to conduct evaluations and appraisals of the Borrower’s computation of the Borrowing Base and the assets included in the Borrowing Base, all at such reasonable times and as often as reasonably requested. The Borrower shall pay the reasonable fees and expenses of any representatives retained by the Administrative Agent to conduct any such evaluation or appraisal;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pay such fees and expenses for more than one such evaluation or appraisal during any calendar year unless an Event of Default has occurred and is continuing at the time of any subsequent evaluation or appraisal during such calendar year. The Borrower also agrees to modify or adjust the computation of the Borrowing Base to the extent required by the Administrative Agent or the Required Lenders as a result of any such evaluation or appraisal;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demonstrates that such evaluation or appraisal is incorrect, the Borrower shall be permitted to re-adjust its computation of the Borrowing Base.</w:t>
      </w:r>
    </w:p>
    <w:p>
      <w:pPr>
        <w:spacing w:after="0" w:line="166" w:lineRule="exact"/>
        <w:rPr>
          <w:sz w:val="20"/>
          <w:szCs w:val="20"/>
          <w:color w:val="auto"/>
        </w:rPr>
      </w:pPr>
    </w:p>
    <w:p>
      <w:pPr>
        <w:ind w:right="120" w:firstLine="991"/>
        <w:spacing w:after="0" w:line="271"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The Borrower will, and will cause each of its Subsidiaries to, comply with all laws, rules, regulations, including the Investment Company Act, and orders of any Governmental Authority applicable to it or its property, except where the failure to do so, individually or in the aggregate, could not reasonably be expected to result in a Material Adverse Effect. Without limiting the generality of the foregoing, the Borrower will, and will cause its Subsidiaries to, conduct its business and other activities in compliance in all material respects with the provisions of the Investment Company Act and any applicable rules, regulations or orders issued by the Securities and Exchange Commission thereunder. The Borrower will maintain policies, procedures and internal controls reasonably designed to ensure compliance with the economic sanctions and trade embargo regulations promulgated by OFAC, the U.S. Department of State, the United Nations Security Council, Her Majesty’s Treasury or the European Union and Anti-Corruption Laws.</w:t>
      </w:r>
    </w:p>
    <w:p>
      <w:pPr>
        <w:spacing w:after="0" w:line="111"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88</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18" w:name="page119"/>
    <w:bookmarkEnd w:id="118"/>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5.08. </w:t>
      </w:r>
      <w:r>
        <w:rPr>
          <w:rFonts w:ascii="Arial" w:cs="Arial" w:eastAsia="Arial" w:hAnsi="Arial"/>
          <w:sz w:val="18"/>
          <w:szCs w:val="18"/>
          <w:u w:val="single" w:color="auto"/>
          <w:color w:val="auto"/>
        </w:rPr>
        <w:t>Certain Obligations Respecting Subsidiaries; Further Assurances</w:t>
      </w:r>
      <w:r>
        <w:rPr>
          <w:rFonts w:ascii="Arial" w:cs="Arial" w:eastAsia="Arial" w:hAnsi="Arial"/>
          <w:sz w:val="18"/>
          <w:szCs w:val="18"/>
          <w:color w:val="auto"/>
        </w:rPr>
        <w:t>.</w:t>
      </w:r>
    </w:p>
    <w:p>
      <w:pPr>
        <w:spacing w:after="0" w:line="117" w:lineRule="exact"/>
        <w:rPr>
          <w:sz w:val="20"/>
          <w:szCs w:val="20"/>
          <w:color w:val="auto"/>
        </w:rPr>
      </w:pPr>
    </w:p>
    <w:p>
      <w:pPr>
        <w:ind w:left="4" w:right="100" w:firstLine="987"/>
        <w:spacing w:after="0" w:line="296" w:lineRule="auto"/>
        <w:tabs>
          <w:tab w:leader="none" w:pos="1375" w:val="left"/>
        </w:tabs>
        <w:numPr>
          <w:ilvl w:val="1"/>
          <w:numId w:val="130"/>
        </w:numPr>
        <w:rPr>
          <w:rFonts w:ascii="Arial" w:cs="Arial" w:eastAsia="Arial" w:hAnsi="Arial"/>
          <w:sz w:val="16"/>
          <w:szCs w:val="16"/>
          <w:color w:val="auto"/>
        </w:rPr>
      </w:pPr>
      <w:r>
        <w:rPr>
          <w:rFonts w:ascii="Arial" w:cs="Arial" w:eastAsia="Arial" w:hAnsi="Arial"/>
          <w:sz w:val="16"/>
          <w:szCs w:val="16"/>
          <w:u w:val="single" w:color="auto"/>
          <w:color w:val="auto"/>
        </w:rPr>
        <w:t>Subsidiary Guarantors</w:t>
      </w:r>
      <w:r>
        <w:rPr>
          <w:rFonts w:ascii="Arial" w:cs="Arial" w:eastAsia="Arial" w:hAnsi="Arial"/>
          <w:sz w:val="16"/>
          <w:szCs w:val="16"/>
          <w:color w:val="auto"/>
        </w:rPr>
        <w:t xml:space="preserve">. In the event that the Borrower or any of its Subsidiaries shall form or acquire any new Subsidiary (other than a Financing Subsidiary, a Foreign Subsidiary or an Immaterial Subsidiary) the Borrower will cause such new Subsidiary to become a “Subsidiary Guarantor” (and, thereby, an “Obligor”) under the Guarantee and Security Agreement pursuant to a Guarantee Assumption Agreement and to deliver such proof of corporate or other action, incumbency of officers, opinions of counsel and other documents as is consistent with those delivered by the Borrower pursuant to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upon the Effective Date or as the Administrative Agent shall have reasonably requested.</w:t>
      </w:r>
    </w:p>
    <w:p>
      <w:pPr>
        <w:spacing w:after="0" w:line="53" w:lineRule="exact"/>
        <w:rPr>
          <w:rFonts w:ascii="Arial" w:cs="Arial" w:eastAsia="Arial" w:hAnsi="Arial"/>
          <w:sz w:val="16"/>
          <w:szCs w:val="16"/>
          <w:color w:val="auto"/>
        </w:rPr>
      </w:pPr>
    </w:p>
    <w:p>
      <w:pPr>
        <w:ind w:left="4" w:right="160" w:firstLine="987"/>
        <w:spacing w:after="0" w:line="277" w:lineRule="auto"/>
        <w:tabs>
          <w:tab w:leader="none" w:pos="1385"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Ownership of Subsidiaries</w:t>
      </w:r>
      <w:r>
        <w:rPr>
          <w:rFonts w:ascii="Arial" w:cs="Arial" w:eastAsia="Arial" w:hAnsi="Arial"/>
          <w:sz w:val="18"/>
          <w:szCs w:val="18"/>
          <w:color w:val="auto"/>
        </w:rPr>
        <w:t>. The Borrower will, and will cause each of its Subsidiaries to, take such action from time to time as shall be necessary to ensure that each of its Subsidiaries is a wholly owned Subsidiary.</w:t>
      </w:r>
    </w:p>
    <w:p>
      <w:pPr>
        <w:spacing w:after="0" w:line="62" w:lineRule="exact"/>
        <w:rPr>
          <w:rFonts w:ascii="Arial" w:cs="Arial" w:eastAsia="Arial" w:hAnsi="Arial"/>
          <w:sz w:val="18"/>
          <w:szCs w:val="18"/>
          <w:color w:val="auto"/>
        </w:rPr>
      </w:pPr>
    </w:p>
    <w:p>
      <w:pPr>
        <w:ind w:left="4" w:right="20" w:firstLine="987"/>
        <w:spacing w:after="0" w:line="283" w:lineRule="auto"/>
        <w:tabs>
          <w:tab w:leader="none" w:pos="1375" w:val="left"/>
        </w:tabs>
        <w:numPr>
          <w:ilvl w:val="1"/>
          <w:numId w:val="130"/>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 (i) to create, in favor of the Collateral Agent, for the benefit of the Secured Parties (as defined in the Guarantee and Security Agreement), perfected security interests and Liens in the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security interest or Lien shall be subject to the relevant requirements of the Security Documents, (ii) to cause any bank or securities intermediary (within the meaning of the Uniform Commercial Code) to enter into such arrangements with the Collateral Agent as shall be appropriate in order that the Collateral Agent has “</w:t>
      </w:r>
      <w:r>
        <w:rPr>
          <w:rFonts w:ascii="Arial" w:cs="Arial" w:eastAsia="Arial" w:hAnsi="Arial"/>
          <w:sz w:val="16"/>
          <w:szCs w:val="16"/>
          <w:u w:val="single" w:color="auto"/>
          <w:color w:val="auto"/>
        </w:rPr>
        <w:t>control</w:t>
      </w:r>
      <w:r>
        <w:rPr>
          <w:rFonts w:ascii="Arial" w:cs="Arial" w:eastAsia="Arial" w:hAnsi="Arial"/>
          <w:sz w:val="16"/>
          <w:szCs w:val="16"/>
          <w:color w:val="auto"/>
        </w:rPr>
        <w:t xml:space="preserve">” (within the meaning of the Uniform Commercial Code) over each bank account or securities account of the Obligors (other than “Excluded Accounts” as defined in the Guarantee and Security Agreement), and in that connection, the Borrower agrees to cause all cash and other proceeds of Portfolio Investments received by any Obligor to be promptly deposited into such an account (or otherwise delivered to, or registered in the name of, the Collateral Agent) and, until such deposit, delivery or registration such cash and other proceeds shall be held in trust by the Borrower for and as the property of the Collateral Agent and shall not be commingled with any other finds or property of such Obligor, (iii) in the case of any Portfolio Investment consisting of a Bank Loan (as defined in </w:t>
      </w:r>
      <w:r>
        <w:rPr>
          <w:rFonts w:ascii="Arial" w:cs="Arial" w:eastAsia="Arial" w:hAnsi="Arial"/>
          <w:sz w:val="16"/>
          <w:szCs w:val="16"/>
          <w:u w:val="single" w:color="auto"/>
          <w:color w:val="auto"/>
        </w:rPr>
        <w:t>Section 5.13</w:t>
      </w:r>
      <w:r>
        <w:rPr>
          <w:rFonts w:ascii="Arial" w:cs="Arial" w:eastAsia="Arial" w:hAnsi="Arial"/>
          <w:sz w:val="16"/>
          <w:szCs w:val="16"/>
          <w:color w:val="auto"/>
        </w:rPr>
        <w:t>) that does not constitute all of the credit extended to the underlying borrower under the relevant underlying loan documents and a Financing Subsidiary holds any interest in the loans or other extensions of credit under such loan documents,</w:t>
      </w:r>
    </w:p>
    <w:p>
      <w:pPr>
        <w:ind w:left="4" w:right="220" w:hanging="4"/>
        <w:spacing w:after="0" w:line="273" w:lineRule="auto"/>
        <w:tabs>
          <w:tab w:leader="none" w:pos="259"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to cause such Financing Subsidiary to be party to such underlying loan documents as a “</w:t>
      </w:r>
      <w:r>
        <w:rPr>
          <w:rFonts w:ascii="Arial" w:cs="Arial" w:eastAsia="Arial" w:hAnsi="Arial"/>
          <w:sz w:val="17"/>
          <w:szCs w:val="17"/>
          <w:u w:val="single" w:color="auto"/>
          <w:color w:val="auto"/>
        </w:rPr>
        <w:t>lender</w:t>
      </w:r>
      <w:r>
        <w:rPr>
          <w:rFonts w:ascii="Arial" w:cs="Arial" w:eastAsia="Arial" w:hAnsi="Arial"/>
          <w:sz w:val="17"/>
          <w:szCs w:val="17"/>
          <w:color w:val="auto"/>
        </w:rPr>
        <w:t>” having a direct interest (or a participation not acquired from an Obligor) in such underlying loan documents and the extensions of credit thereunder and (y) to ensure that all amounts owing to such Obligor or Financing Subsidiary by the underlying borrower or other obligated party are remitted by such borrower or obligated party directly to separate accounts of such Obligor and such Financing Subsidiary, (iv) in the event that any Obligor is acting</w:t>
      </w:r>
    </w:p>
    <w:p>
      <w:pPr>
        <w:spacing w:after="0" w:line="109"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89</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119" w:name="page120"/>
    <w:bookmarkEnd w:id="119"/>
    <w:p>
      <w:pPr>
        <w:ind w:left="4" w:right="3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an agent or administrative agent under any loan documents with respect to any Bank Loan that does not constitute all of the credit extended to the underlying borrower under the relevant underlying loan documents, to ensure that all funds held by such Obligor in such capacity as agent or administrative agent is segregated from all other funds of such Obligor and clearly identified as being held in an agency capacity and (v) to cause the closing sets and all executed amendments, consents, forbearances and other modifications and assignment agreements relating to any Portfolio Investment and any other documents relating to any Portfolio Investment requested by the Collateral Agent, in each case to be held by the Collateral Agent or a custodian pursuant to the terms of a custodian agreement reasonably satisfactory to the Collateral Agent.</w:t>
      </w:r>
    </w:p>
    <w:p>
      <w:pPr>
        <w:spacing w:after="0" w:line="164" w:lineRule="exact"/>
        <w:rPr>
          <w:sz w:val="20"/>
          <w:szCs w:val="20"/>
          <w:color w:val="auto"/>
        </w:rPr>
      </w:pPr>
    </w:p>
    <w:p>
      <w:pPr>
        <w:ind w:left="4" w:right="40" w:firstLine="991"/>
        <w:spacing w:after="0" w:line="287"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u w:val="single" w:color="auto"/>
          <w:color w:val="auto"/>
        </w:rPr>
        <w:t>Use of Proceeds</w:t>
      </w:r>
      <w:r>
        <w:rPr>
          <w:rFonts w:ascii="Arial" w:cs="Arial" w:eastAsia="Arial" w:hAnsi="Arial"/>
          <w:sz w:val="16"/>
          <w:szCs w:val="16"/>
          <w:color w:val="auto"/>
        </w:rPr>
        <w:t xml:space="preserve">. The Borrower will use the proceeds of the Loans only for general corporate purposes of the Borrower in the ordinary course of business, including the acquisition and funding (either directly or through one or more wholly-owned Subsidiaries) of leveraged loans, mezzanine loans, high-yield securities, convertible securities, preferred stock, common stock and other Portfolio Investments;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Administrative Agent nor any Lender shall have any responsibility as to the use of any of such proceeds. No part of the proceeds of any Loan will be used in violation of applicable law or, directly or indirectly, for the purpose, whether immediate, incidental or ultimate, of buying or carrying any Margin Stock. Margin Stock shall be purchased by the Obligors only with the proceeds of Indebtedness not directly or indirectly secured by Margin Stock, or with the proceeds of equity capital of the Borrower. No Obligor will directly or knowingly indirectly use the proceeds of the Loans or otherwise make available such proceeds (i) to any Person for the purpose of financing the activities of any Person on the list of Specially Designated Nationals and Blocked Persons or that is subject to, or the subject or target of, Sanctions, or in any Sanctioned Country or (ii) for any payments to any governmental official or employee, political party, official of a political party, candidate for political office, or anyone else acting in an official capacity, in order to obtain, retain or direct business or obtain any improper advantage, in violation of any Anti-Corruption Laws.</w:t>
      </w:r>
    </w:p>
    <w:p>
      <w:pPr>
        <w:spacing w:after="0" w:line="172" w:lineRule="exact"/>
        <w:rPr>
          <w:sz w:val="20"/>
          <w:szCs w:val="20"/>
          <w:color w:val="auto"/>
        </w:rPr>
      </w:pPr>
    </w:p>
    <w:p>
      <w:pPr>
        <w:ind w:left="4" w:right="240" w:firstLine="991"/>
        <w:spacing w:after="0" w:line="277"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Status of RIC and BDC</w:t>
      </w:r>
      <w:r>
        <w:rPr>
          <w:rFonts w:ascii="Arial" w:cs="Arial" w:eastAsia="Arial" w:hAnsi="Arial"/>
          <w:sz w:val="18"/>
          <w:szCs w:val="18"/>
          <w:color w:val="auto"/>
        </w:rPr>
        <w:t>. The Borrower shall at all times maintain its status as a RIC under the Code, and as a “business development company” under the Investment Company Act.</w:t>
      </w:r>
    </w:p>
    <w:p>
      <w:pPr>
        <w:spacing w:after="0" w:line="170" w:lineRule="exact"/>
        <w:rPr>
          <w:sz w:val="20"/>
          <w:szCs w:val="20"/>
          <w:color w:val="auto"/>
        </w:rPr>
      </w:pPr>
    </w:p>
    <w:p>
      <w:pPr>
        <w:ind w:left="4" w:right="120" w:firstLine="991"/>
        <w:spacing w:after="0" w:line="291"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Investment Policies</w:t>
      </w:r>
      <w:r>
        <w:rPr>
          <w:rFonts w:ascii="Arial" w:cs="Arial" w:eastAsia="Arial" w:hAnsi="Arial"/>
          <w:sz w:val="16"/>
          <w:szCs w:val="16"/>
          <w:color w:val="auto"/>
        </w:rPr>
        <w:t xml:space="preserve">. The Borrower shall at all times be in compliance in all material respects with its Investment Policies (after giving effect to any Permitted Policy Amendments);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it shall not be deemed a material change in the Investment Policies if</w:t>
      </w:r>
    </w:p>
    <w:p>
      <w:pPr>
        <w:ind w:left="4" w:right="80" w:hanging="4"/>
        <w:spacing w:after="0" w:line="255" w:lineRule="auto"/>
        <w:tabs>
          <w:tab w:leader="none" w:pos="21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investment size (which as of the Effective Date is to normally range from between $5,000,000 and $50,000,000) proportionately increases as the size of the Borrower’s capital base changes or (ii) the Borrower and its Subsidiaries, taken as a whole, invest up to 30% of their assets in non-U.S. companies.</w:t>
      </w:r>
    </w:p>
    <w:p>
      <w:pPr>
        <w:spacing w:after="0" w:line="19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Portfolio Valuation and Diversification Etc</w:t>
      </w:r>
      <w:r>
        <w:rPr>
          <w:rFonts w:ascii="Arial" w:cs="Arial" w:eastAsia="Arial" w:hAnsi="Arial"/>
          <w:sz w:val="18"/>
          <w:szCs w:val="18"/>
          <w:color w:val="auto"/>
        </w:rPr>
        <w:t>.</w:t>
      </w:r>
    </w:p>
    <w:p>
      <w:pPr>
        <w:spacing w:after="0" w:line="117" w:lineRule="exact"/>
        <w:rPr>
          <w:sz w:val="20"/>
          <w:szCs w:val="20"/>
          <w:color w:val="auto"/>
        </w:rPr>
      </w:pPr>
    </w:p>
    <w:p>
      <w:pPr>
        <w:ind w:left="4" w:right="140" w:firstLine="987"/>
        <w:spacing w:after="0" w:line="275" w:lineRule="auto"/>
        <w:tabs>
          <w:tab w:leader="none" w:pos="1375"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Industry Classification Groups</w:t>
      </w:r>
      <w:r>
        <w:rPr>
          <w:rFonts w:ascii="Arial" w:cs="Arial" w:eastAsia="Arial" w:hAnsi="Arial"/>
          <w:sz w:val="17"/>
          <w:szCs w:val="17"/>
          <w:color w:val="auto"/>
        </w:rPr>
        <w:t>. For purposes of this Agreement, the Borrower shall assign each Portfolio Investment to an Industry Classification Group. To the extent that any Portfolio Investment is not correlated with the risks of other Portfolio Investments in an Industry Classification Group, such Portfolio Investment may be assigned by the Borrower to an Industry Classification Group that is more closely correlated to such Portfolio Investment. In the absence of any correlation, the Borrower shall be permitted, upon prior notice to the Administrative Agent and each Lender, to create up to three additional industry classification groups for purposes of this Agreement.</w:t>
      </w:r>
    </w:p>
    <w:p>
      <w:pPr>
        <w:spacing w:after="0" w:line="109"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90</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120" w:name="page121"/>
    <w:bookmarkEnd w:id="120"/>
    <w:p>
      <w:pPr>
        <w:ind w:left="940" w:hanging="393"/>
        <w:spacing w:after="0"/>
        <w:tabs>
          <w:tab w:leader="none" w:pos="940"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Portfolio Valuation Etc</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40" w:firstLine="419"/>
        <w:spacing w:after="0" w:line="301" w:lineRule="auto"/>
        <w:tabs>
          <w:tab w:leader="none" w:pos="773"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Settlement Date Basis</w:t>
      </w:r>
      <w:r>
        <w:rPr>
          <w:rFonts w:ascii="Arial" w:cs="Arial" w:eastAsia="Arial" w:hAnsi="Arial"/>
          <w:sz w:val="16"/>
          <w:szCs w:val="16"/>
          <w:color w:val="auto"/>
        </w:rPr>
        <w:t xml:space="preserve">. For purposes of this Agreement, all determinations of whether an investment is to be included as a Portfolio Investment shall be determined on a settlement-date basis (meaning that any investment that has been purchased will not be treated as a Portfolio Investment until such purchase has settled, and any Portfolio Investment which has been sold will not be excluded as a Portfolio Investment until such sale has settled);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investment shall be included as a Portfolio Investment to the extent it has not been paid for in full.</w:t>
      </w:r>
    </w:p>
    <w:p>
      <w:pPr>
        <w:spacing w:after="0" w:line="49" w:lineRule="exact"/>
        <w:rPr>
          <w:rFonts w:ascii="Arial" w:cs="Arial" w:eastAsia="Arial" w:hAnsi="Arial"/>
          <w:sz w:val="16"/>
          <w:szCs w:val="16"/>
          <w:color w:val="auto"/>
        </w:rPr>
      </w:pPr>
    </w:p>
    <w:p>
      <w:pPr>
        <w:ind w:left="820" w:hanging="401"/>
        <w:spacing w:after="0"/>
        <w:tabs>
          <w:tab w:leader="none" w:pos="820"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Determination of Values</w:t>
      </w:r>
      <w:r>
        <w:rPr>
          <w:rFonts w:ascii="Arial" w:cs="Arial" w:eastAsia="Arial" w:hAnsi="Arial"/>
          <w:sz w:val="17"/>
          <w:szCs w:val="17"/>
          <w:color w:val="auto"/>
        </w:rPr>
        <w:t>. The Borrower will conduct reviews of the value to be assigned to each of its Portfolio Investments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follows:</w:t>
      </w:r>
    </w:p>
    <w:p>
      <w:pPr>
        <w:spacing w:after="0" w:line="102" w:lineRule="exact"/>
        <w:rPr>
          <w:rFonts w:ascii="Arial" w:cs="Arial" w:eastAsia="Arial" w:hAnsi="Arial"/>
          <w:sz w:val="17"/>
          <w:szCs w:val="17"/>
          <w:color w:val="auto"/>
        </w:rPr>
      </w:pPr>
    </w:p>
    <w:p>
      <w:pPr>
        <w:ind w:left="540" w:right="120" w:firstLine="408"/>
        <w:spacing w:after="0" w:line="259" w:lineRule="auto"/>
        <w:tabs>
          <w:tab w:leader="none" w:pos="1370" w:val="left"/>
        </w:tabs>
        <w:numPr>
          <w:ilvl w:val="2"/>
          <w:numId w:val="135"/>
        </w:numPr>
        <w:rPr>
          <w:rFonts w:ascii="Arial" w:cs="Arial" w:eastAsia="Arial" w:hAnsi="Arial"/>
          <w:sz w:val="18"/>
          <w:szCs w:val="18"/>
          <w:color w:val="auto"/>
        </w:rPr>
      </w:pPr>
      <w:r>
        <w:rPr>
          <w:rFonts w:ascii="Arial" w:cs="Arial" w:eastAsia="Arial" w:hAnsi="Arial"/>
          <w:sz w:val="18"/>
          <w:szCs w:val="18"/>
          <w:u w:val="single" w:color="auto"/>
          <w:color w:val="auto"/>
        </w:rPr>
        <w:t>Quoted Investments - External Review</w:t>
      </w:r>
      <w:r>
        <w:rPr>
          <w:rFonts w:ascii="Arial" w:cs="Arial" w:eastAsia="Arial" w:hAnsi="Arial"/>
          <w:sz w:val="18"/>
          <w:szCs w:val="18"/>
          <w:color w:val="auto"/>
        </w:rPr>
        <w:t>. With respect to Portfolio Investments (including Cash Equivalents) for which market quotations are readily available, the Borrower shall, not less frequently than once each calendar week, determine the market value of such Portfolio Investments which shall, in each case, be determined in accordance with one of the following methodologies (as selected by the Borrower):</w:t>
      </w:r>
    </w:p>
    <w:p>
      <w:pPr>
        <w:spacing w:after="0" w:line="78" w:lineRule="exact"/>
        <w:rPr>
          <w:rFonts w:ascii="Arial" w:cs="Arial" w:eastAsia="Arial" w:hAnsi="Arial"/>
          <w:sz w:val="18"/>
          <w:szCs w:val="18"/>
          <w:color w:val="auto"/>
        </w:rPr>
      </w:pPr>
    </w:p>
    <w:p>
      <w:pPr>
        <w:ind w:left="980" w:right="180" w:firstLine="391"/>
        <w:spacing w:after="0" w:line="277" w:lineRule="auto"/>
        <w:tabs>
          <w:tab w:leader="none" w:pos="1793" w:val="left"/>
        </w:tabs>
        <w:numPr>
          <w:ilvl w:val="3"/>
          <w:numId w:val="135"/>
        </w:numPr>
        <w:rPr>
          <w:rFonts w:ascii="Arial" w:cs="Arial" w:eastAsia="Arial" w:hAnsi="Arial"/>
          <w:sz w:val="18"/>
          <w:szCs w:val="18"/>
          <w:color w:val="auto"/>
        </w:rPr>
      </w:pPr>
      <w:r>
        <w:rPr>
          <w:rFonts w:ascii="Arial" w:cs="Arial" w:eastAsia="Arial" w:hAnsi="Arial"/>
          <w:sz w:val="18"/>
          <w:szCs w:val="18"/>
          <w:color w:val="auto"/>
        </w:rPr>
        <w:t>in the case of public and 144A securities, the average of the bid prices as determined by two Approved Dealers selected by the Borrower,</w:t>
      </w:r>
    </w:p>
    <w:p>
      <w:pPr>
        <w:spacing w:after="0" w:line="62" w:lineRule="exact"/>
        <w:rPr>
          <w:rFonts w:ascii="Arial" w:cs="Arial" w:eastAsia="Arial" w:hAnsi="Arial"/>
          <w:sz w:val="18"/>
          <w:szCs w:val="18"/>
          <w:color w:val="auto"/>
        </w:rPr>
      </w:pPr>
    </w:p>
    <w:p>
      <w:pPr>
        <w:ind w:left="1760" w:hanging="389"/>
        <w:spacing w:after="0"/>
        <w:tabs>
          <w:tab w:leader="none" w:pos="1760" w:val="left"/>
        </w:tabs>
        <w:numPr>
          <w:ilvl w:val="3"/>
          <w:numId w:val="135"/>
        </w:numPr>
        <w:rPr>
          <w:rFonts w:ascii="Arial" w:cs="Arial" w:eastAsia="Arial" w:hAnsi="Arial"/>
          <w:sz w:val="18"/>
          <w:szCs w:val="18"/>
          <w:color w:val="auto"/>
        </w:rPr>
      </w:pPr>
      <w:r>
        <w:rPr>
          <w:rFonts w:ascii="Arial" w:cs="Arial" w:eastAsia="Arial" w:hAnsi="Arial"/>
          <w:sz w:val="18"/>
          <w:szCs w:val="18"/>
          <w:color w:val="auto"/>
        </w:rPr>
        <w:t>in the case of bank loans, the bid price as determined by one Approved Dealer selected by the Borrower,</w:t>
      </w:r>
    </w:p>
    <w:p>
      <w:pPr>
        <w:spacing w:after="0" w:line="117" w:lineRule="exact"/>
        <w:rPr>
          <w:rFonts w:ascii="Arial" w:cs="Arial" w:eastAsia="Arial" w:hAnsi="Arial"/>
          <w:sz w:val="18"/>
          <w:szCs w:val="18"/>
          <w:color w:val="auto"/>
        </w:rPr>
      </w:pPr>
    </w:p>
    <w:p>
      <w:pPr>
        <w:ind w:left="980" w:right="540" w:firstLine="391"/>
        <w:spacing w:after="0" w:line="277" w:lineRule="auto"/>
        <w:tabs>
          <w:tab w:leader="none" w:pos="1753" w:val="left"/>
        </w:tabs>
        <w:numPr>
          <w:ilvl w:val="3"/>
          <w:numId w:val="135"/>
        </w:numPr>
        <w:rPr>
          <w:rFonts w:ascii="Arial" w:cs="Arial" w:eastAsia="Arial" w:hAnsi="Arial"/>
          <w:sz w:val="18"/>
          <w:szCs w:val="18"/>
          <w:color w:val="auto"/>
        </w:rPr>
      </w:pPr>
      <w:r>
        <w:rPr>
          <w:rFonts w:ascii="Arial" w:cs="Arial" w:eastAsia="Arial" w:hAnsi="Arial"/>
          <w:sz w:val="18"/>
          <w:szCs w:val="18"/>
          <w:color w:val="auto"/>
        </w:rPr>
        <w:t>in the case of any Portfolio Investment traded on an exchange, the closing price for such Portfolio Investment most recently posted on such exchange, and</w:t>
      </w:r>
    </w:p>
    <w:p>
      <w:pPr>
        <w:spacing w:after="0" w:line="62" w:lineRule="exact"/>
        <w:rPr>
          <w:rFonts w:ascii="Arial" w:cs="Arial" w:eastAsia="Arial" w:hAnsi="Arial"/>
          <w:sz w:val="18"/>
          <w:szCs w:val="18"/>
          <w:color w:val="auto"/>
        </w:rPr>
      </w:pPr>
    </w:p>
    <w:p>
      <w:pPr>
        <w:ind w:left="980" w:right="100" w:firstLine="391"/>
        <w:spacing w:after="0" w:line="277" w:lineRule="auto"/>
        <w:tabs>
          <w:tab w:leader="none" w:pos="1743" w:val="left"/>
        </w:tabs>
        <w:numPr>
          <w:ilvl w:val="3"/>
          <w:numId w:val="135"/>
        </w:numPr>
        <w:rPr>
          <w:rFonts w:ascii="Arial" w:cs="Arial" w:eastAsia="Arial" w:hAnsi="Arial"/>
          <w:sz w:val="18"/>
          <w:szCs w:val="18"/>
          <w:color w:val="auto"/>
        </w:rPr>
      </w:pPr>
      <w:r>
        <w:rPr>
          <w:rFonts w:ascii="Arial" w:cs="Arial" w:eastAsia="Arial" w:hAnsi="Arial"/>
          <w:sz w:val="18"/>
          <w:szCs w:val="18"/>
          <w:color w:val="auto"/>
        </w:rPr>
        <w:t>in the case of any other Portfolio Investment, the fair market value thereof as determined by an Approved Pricing Service selected by the Borrower; and</w:t>
      </w:r>
    </w:p>
    <w:p>
      <w:pPr>
        <w:spacing w:after="0" w:line="62" w:lineRule="exact"/>
        <w:rPr>
          <w:rFonts w:ascii="Arial" w:cs="Arial" w:eastAsia="Arial" w:hAnsi="Arial"/>
          <w:sz w:val="18"/>
          <w:szCs w:val="18"/>
          <w:color w:val="auto"/>
        </w:rPr>
      </w:pPr>
    </w:p>
    <w:p>
      <w:pPr>
        <w:ind w:left="540" w:right="200" w:firstLine="408"/>
        <w:spacing w:after="0" w:line="286" w:lineRule="auto"/>
        <w:tabs>
          <w:tab w:leader="none" w:pos="1361" w:val="left"/>
        </w:tabs>
        <w:numPr>
          <w:ilvl w:val="2"/>
          <w:numId w:val="135"/>
        </w:numPr>
        <w:rPr>
          <w:rFonts w:ascii="Arial" w:cs="Arial" w:eastAsia="Arial" w:hAnsi="Arial"/>
          <w:sz w:val="17"/>
          <w:szCs w:val="17"/>
          <w:color w:val="auto"/>
        </w:rPr>
      </w:pPr>
      <w:r>
        <w:rPr>
          <w:rFonts w:ascii="Arial" w:cs="Arial" w:eastAsia="Arial" w:hAnsi="Arial"/>
          <w:sz w:val="17"/>
          <w:szCs w:val="17"/>
          <w:u w:val="single" w:color="auto"/>
          <w:color w:val="auto"/>
        </w:rPr>
        <w:t>Unquoted Investments - External Review</w:t>
      </w:r>
      <w:r>
        <w:rPr>
          <w:rFonts w:ascii="Arial" w:cs="Arial" w:eastAsia="Arial" w:hAnsi="Arial"/>
          <w:sz w:val="17"/>
          <w:szCs w:val="17"/>
          <w:color w:val="auto"/>
        </w:rPr>
        <w:t xml:space="preserve">. With respect to Portfolio Investments for which market quotations are not readily available, the Borrower shall request an Approved Third-Party Appraiser to assist the Board of Directors of the Borrower in determining the fair market value of such Portfolio Investments, as at the last day of each fiscal quarter;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57" w:lineRule="exact"/>
        <w:rPr>
          <w:rFonts w:ascii="Arial" w:cs="Arial" w:eastAsia="Arial" w:hAnsi="Arial"/>
          <w:sz w:val="17"/>
          <w:szCs w:val="17"/>
          <w:color w:val="auto"/>
        </w:rPr>
      </w:pPr>
    </w:p>
    <w:p>
      <w:pPr>
        <w:ind w:left="980" w:right="80" w:firstLine="391"/>
        <w:spacing w:after="0" w:line="259" w:lineRule="auto"/>
        <w:tabs>
          <w:tab w:leader="none" w:pos="1753" w:val="left"/>
        </w:tabs>
        <w:numPr>
          <w:ilvl w:val="3"/>
          <w:numId w:val="136"/>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clause (z)</w:t>
      </w:r>
      <w:r>
        <w:rPr>
          <w:rFonts w:ascii="Arial" w:cs="Arial" w:eastAsia="Arial" w:hAnsi="Arial"/>
          <w:sz w:val="18"/>
          <w:szCs w:val="18"/>
          <w:color w:val="auto"/>
        </w:rPr>
        <w:t xml:space="preserve"> below, the Value of any such Portfolio Investment (i.e., a Portfolio Investment for which market quotations are not readily available) acquired during a fiscal quarter shall be deemed to be equal to the cost of such Portfolio Investment until such time as the fair market value of such Portfolio Investment is determined in accordance with the foregoing provisions of this </w:t>
      </w:r>
      <w:r>
        <w:rPr>
          <w:rFonts w:ascii="Arial" w:cs="Arial" w:eastAsia="Arial" w:hAnsi="Arial"/>
          <w:sz w:val="18"/>
          <w:szCs w:val="18"/>
          <w:u w:val="single" w:color="auto"/>
          <w:color w:val="auto"/>
        </w:rPr>
        <w:t>sub-clause (B)</w:t>
      </w:r>
      <w:r>
        <w:rPr>
          <w:rFonts w:ascii="Arial" w:cs="Arial" w:eastAsia="Arial" w:hAnsi="Arial"/>
          <w:sz w:val="18"/>
          <w:szCs w:val="18"/>
          <w:color w:val="auto"/>
        </w:rPr>
        <w:t xml:space="preserve"> as at the last day of such fiscal quarter;</w:t>
      </w:r>
    </w:p>
    <w:p>
      <w:pPr>
        <w:spacing w:after="0" w:line="119" w:lineRule="exact"/>
        <w:rPr>
          <w:sz w:val="20"/>
          <w:szCs w:val="20"/>
          <w:color w:val="auto"/>
        </w:rPr>
      </w:pPr>
    </w:p>
    <w:tbl>
      <w:tblPr>
        <w:tblLayout w:type="fixed"/>
        <w:tblInd w:w="504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91</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0580"/>
          </w:cols>
          <w:pgMar w:left="880" w:top="274" w:right="439" w:bottom="1440" w:gutter="0" w:footer="0" w:header="0"/>
        </w:sectPr>
      </w:pPr>
    </w:p>
    <w:bookmarkStart w:id="121" w:name="page122"/>
    <w:bookmarkEnd w:id="121"/>
    <w:p>
      <w:pPr>
        <w:ind w:left="433" w:right="60" w:firstLine="391"/>
        <w:spacing w:after="0" w:line="254" w:lineRule="auto"/>
        <w:tabs>
          <w:tab w:leader="none" w:pos="1206" w:val="left"/>
        </w:tabs>
        <w:numPr>
          <w:ilvl w:val="2"/>
          <w:numId w:val="1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the Board of Directors of the Borrower may, without the assistance of an Approved Third-Party Appraiser, determine the fair market value of such unquoted Portfolio Investments so long as the aggregate Value thereof so determined does not at any time exceed 10% of the aggregate Borrowing Base, except that the fair market value of any Portfolio Investment that has been determined without the assistance of an Approved Third-Party Appraiser as at the last day of any fiscal quarter or Testing Quarter shall be deemed to be zero as at the last day of the immediately succeeding fiscal quarter (but effective upon the date upon which the Borrowing Base Certificate for such last day is required to be delivered hereunder) if an Approved Third-Party Appraiser has not assisted the Board of Directors of the Borrower in determining the fair market value of such Portfolio Investments, as at such date; and</w:t>
      </w:r>
    </w:p>
    <w:p>
      <w:pPr>
        <w:spacing w:after="0" w:line="83" w:lineRule="exact"/>
        <w:rPr>
          <w:rFonts w:ascii="Arial" w:cs="Arial" w:eastAsia="Arial" w:hAnsi="Arial"/>
          <w:sz w:val="18"/>
          <w:szCs w:val="18"/>
          <w:color w:val="auto"/>
        </w:rPr>
      </w:pPr>
    </w:p>
    <w:p>
      <w:pPr>
        <w:ind w:left="433" w:right="120" w:firstLine="391"/>
        <w:spacing w:after="0" w:line="286" w:lineRule="auto"/>
        <w:tabs>
          <w:tab w:leader="none" w:pos="1196" w:val="left"/>
        </w:tabs>
        <w:numPr>
          <w:ilvl w:val="2"/>
          <w:numId w:val="137"/>
        </w:numPr>
        <w:rPr>
          <w:rFonts w:ascii="Arial" w:cs="Arial" w:eastAsia="Arial" w:hAnsi="Arial"/>
          <w:sz w:val="17"/>
          <w:szCs w:val="17"/>
          <w:color w:val="auto"/>
        </w:rPr>
      </w:pPr>
      <w:r>
        <w:rPr>
          <w:rFonts w:ascii="Arial" w:cs="Arial" w:eastAsia="Arial" w:hAnsi="Arial"/>
          <w:sz w:val="17"/>
          <w:szCs w:val="17"/>
          <w:color w:val="auto"/>
        </w:rPr>
        <w:t>the Value, at the end of any fiscal quarter, of any such Portfolio Investment (i.e., a Portfolio Investment for which market quotations are not readily available) that was acquired within thirty (30) days of the end of such fiscal quarter (collectively, the “</w:t>
      </w:r>
      <w:r>
        <w:rPr>
          <w:rFonts w:ascii="Arial" w:cs="Arial" w:eastAsia="Arial" w:hAnsi="Arial"/>
          <w:sz w:val="17"/>
          <w:szCs w:val="17"/>
          <w:u w:val="single" w:color="auto"/>
          <w:color w:val="auto"/>
        </w:rPr>
        <w:t>Market Value Investments</w:t>
      </w:r>
      <w:r>
        <w:rPr>
          <w:rFonts w:ascii="Arial" w:cs="Arial" w:eastAsia="Arial" w:hAnsi="Arial"/>
          <w:sz w:val="17"/>
          <w:szCs w:val="17"/>
          <w:color w:val="auto"/>
        </w:rPr>
        <w:t>”) shall be deemed to be equal to the cost of such Portfolio Investment.</w:t>
      </w:r>
    </w:p>
    <w:p>
      <w:pPr>
        <w:spacing w:after="0" w:line="57" w:lineRule="exact"/>
        <w:rPr>
          <w:rFonts w:ascii="Arial" w:cs="Arial" w:eastAsia="Arial" w:hAnsi="Arial"/>
          <w:sz w:val="17"/>
          <w:szCs w:val="17"/>
          <w:color w:val="auto"/>
        </w:rPr>
      </w:pPr>
    </w:p>
    <w:p>
      <w:pPr>
        <w:ind w:left="-7" w:right="140" w:firstLine="408"/>
        <w:spacing w:after="0" w:line="286" w:lineRule="auto"/>
        <w:tabs>
          <w:tab w:leader="none" w:pos="813" w:val="left"/>
        </w:tabs>
        <w:numPr>
          <w:ilvl w:val="1"/>
          <w:numId w:val="138"/>
        </w:numPr>
        <w:rPr>
          <w:rFonts w:ascii="Arial" w:cs="Arial" w:eastAsia="Arial" w:hAnsi="Arial"/>
          <w:sz w:val="16"/>
          <w:szCs w:val="16"/>
          <w:color w:val="auto"/>
        </w:rPr>
      </w:pPr>
      <w:r>
        <w:rPr>
          <w:rFonts w:ascii="Arial" w:cs="Arial" w:eastAsia="Arial" w:hAnsi="Arial"/>
          <w:sz w:val="16"/>
          <w:szCs w:val="16"/>
          <w:u w:val="single" w:color="auto"/>
          <w:color w:val="auto"/>
        </w:rPr>
        <w:t>Internal Review</w:t>
      </w:r>
      <w:r>
        <w:rPr>
          <w:rFonts w:ascii="Arial" w:cs="Arial" w:eastAsia="Arial" w:hAnsi="Arial"/>
          <w:sz w:val="16"/>
          <w:szCs w:val="16"/>
          <w:color w:val="auto"/>
        </w:rPr>
        <w:t xml:space="preserve">. The Borrower shall conduct internal reviews of all Portfolio Investments at least once each calendar week which shall take into account any events of which any Responsible Officer of the Borrower has knowledge that adversely affect the value of the Portfolio Investments. If the value of any Portfolio Investment as most recently determined by the Borrower pursuant to this </w:t>
      </w:r>
      <w:r>
        <w:rPr>
          <w:rFonts w:ascii="Arial" w:cs="Arial" w:eastAsia="Arial" w:hAnsi="Arial"/>
          <w:sz w:val="16"/>
          <w:szCs w:val="16"/>
          <w:u w:val="single" w:color="auto"/>
          <w:color w:val="auto"/>
        </w:rPr>
        <w:t>Section 5.12(b)(ii)(C)</w:t>
      </w:r>
      <w:r>
        <w:rPr>
          <w:rFonts w:ascii="Arial" w:cs="Arial" w:eastAsia="Arial" w:hAnsi="Arial"/>
          <w:sz w:val="16"/>
          <w:szCs w:val="16"/>
          <w:color w:val="auto"/>
        </w:rPr>
        <w:t xml:space="preserve"> is lower than the value of such Portfolio Investment as most recently determined pursuant to </w:t>
      </w:r>
      <w:r>
        <w:rPr>
          <w:rFonts w:ascii="Arial" w:cs="Arial" w:eastAsia="Arial" w:hAnsi="Arial"/>
          <w:sz w:val="16"/>
          <w:szCs w:val="16"/>
          <w:u w:val="single" w:color="auto"/>
          <w:color w:val="auto"/>
        </w:rPr>
        <w:t>Section 5.12(b)(ii)</w:t>
      </w:r>
    </w:p>
    <w:p>
      <w:pPr>
        <w:spacing w:after="0" w:line="1" w:lineRule="exact"/>
        <w:rPr>
          <w:rFonts w:ascii="Arial" w:cs="Arial" w:eastAsia="Arial" w:hAnsi="Arial"/>
          <w:sz w:val="16"/>
          <w:szCs w:val="16"/>
          <w:color w:val="auto"/>
        </w:rPr>
      </w:pPr>
    </w:p>
    <w:p>
      <w:pPr>
        <w:ind w:left="-7" w:right="80" w:firstLine="7"/>
        <w:spacing w:after="0" w:line="292" w:lineRule="auto"/>
        <w:tabs>
          <w:tab w:leader="none" w:pos="287" w:val="left"/>
        </w:tabs>
        <w:numPr>
          <w:ilvl w:val="0"/>
          <w:numId w:val="139"/>
        </w:numPr>
        <w:rPr>
          <w:rFonts w:ascii="Arial" w:cs="Arial" w:eastAsia="Arial" w:hAnsi="Arial"/>
          <w:sz w:val="16"/>
          <w:szCs w:val="16"/>
          <w:u w:val="single" w:color="auto"/>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such lower value shall be deemed to be the “Value” of such Portfolio Investment for purposes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unrealized gain or net unrealized loss, on any date, to be equal to the aggregate amount receivable or payable under the related Hedging Agreement if the same were terminated on such date).</w:t>
      </w:r>
    </w:p>
    <w:p>
      <w:pPr>
        <w:spacing w:after="0" w:line="54" w:lineRule="exact"/>
        <w:rPr>
          <w:rFonts w:ascii="Arial" w:cs="Arial" w:eastAsia="Arial" w:hAnsi="Arial"/>
          <w:sz w:val="16"/>
          <w:szCs w:val="16"/>
          <w:u w:val="single" w:color="auto"/>
          <w:color w:val="auto"/>
        </w:rPr>
      </w:pPr>
    </w:p>
    <w:p>
      <w:pPr>
        <w:ind w:left="-7" w:right="320" w:firstLine="408"/>
        <w:spacing w:after="0" w:line="263" w:lineRule="auto"/>
        <w:tabs>
          <w:tab w:leader="none" w:pos="823"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Failure to Determine Values</w:t>
      </w:r>
      <w:r>
        <w:rPr>
          <w:rFonts w:ascii="Arial" w:cs="Arial" w:eastAsia="Arial" w:hAnsi="Arial"/>
          <w:sz w:val="18"/>
          <w:szCs w:val="18"/>
          <w:color w:val="auto"/>
        </w:rPr>
        <w:t xml:space="preserve">. If the Borrower shall fail to determine the value of any Portfolio Investment as at any date pursuant to the requirements of the foregoing </w:t>
      </w:r>
      <w:r>
        <w:rPr>
          <w:rFonts w:ascii="Arial" w:cs="Arial" w:eastAsia="Arial" w:hAnsi="Arial"/>
          <w:sz w:val="18"/>
          <w:szCs w:val="18"/>
          <w:u w:val="single" w:color="auto"/>
          <w:color w:val="auto"/>
        </w:rPr>
        <w:t>sub-clauses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then the “Value” of such Portfolio Investment as at such date shall be deemed to be zero.</w:t>
      </w:r>
    </w:p>
    <w:p>
      <w:pPr>
        <w:spacing w:after="0" w:line="116" w:lineRule="exact"/>
        <w:rPr>
          <w:sz w:val="20"/>
          <w:szCs w:val="20"/>
          <w:color w:val="auto"/>
        </w:rPr>
      </w:pPr>
    </w:p>
    <w:tbl>
      <w:tblPr>
        <w:tblLayout w:type="fixed"/>
        <w:tblInd w:w="4493"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92</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0033"/>
          </w:cols>
          <w:pgMar w:left="1427" w:top="274" w:right="439" w:bottom="1440" w:gutter="0" w:footer="0" w:header="0"/>
        </w:sectPr>
      </w:pPr>
    </w:p>
    <w:bookmarkStart w:id="122" w:name="page123"/>
    <w:bookmarkEnd w:id="122"/>
    <w:p>
      <w:pPr>
        <w:ind w:left="800" w:hanging="412"/>
        <w:spacing w:after="0"/>
        <w:tabs>
          <w:tab w:leader="none" w:pos="80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Testing of Values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20" w:firstLine="391"/>
        <w:spacing w:after="0" w:line="291" w:lineRule="auto"/>
        <w:tabs>
          <w:tab w:leader="none" w:pos="1193" w:val="left"/>
        </w:tabs>
        <w:numPr>
          <w:ilvl w:val="1"/>
          <w:numId w:val="140"/>
        </w:numPr>
        <w:rPr>
          <w:rFonts w:ascii="Arial" w:cs="Arial" w:eastAsia="Arial" w:hAnsi="Arial"/>
          <w:sz w:val="16"/>
          <w:szCs w:val="16"/>
          <w:color w:val="auto"/>
        </w:rPr>
      </w:pPr>
      <w:r>
        <w:rPr>
          <w:rFonts w:ascii="Arial" w:cs="Arial" w:eastAsia="Arial" w:hAnsi="Arial"/>
          <w:sz w:val="16"/>
          <w:szCs w:val="16"/>
          <w:color w:val="auto"/>
        </w:rPr>
        <w:t>For the second calendar month immediately following the end of each fiscal quarter (the last such fiscal quarter is referred to herein as, the “</w:t>
      </w:r>
      <w:r>
        <w:rPr>
          <w:rFonts w:ascii="Arial" w:cs="Arial" w:eastAsia="Arial" w:hAnsi="Arial"/>
          <w:sz w:val="16"/>
          <w:szCs w:val="16"/>
          <w:u w:val="single" w:color="auto"/>
          <w:color w:val="auto"/>
        </w:rPr>
        <w:t>Testing Quarter</w:t>
      </w:r>
      <w:r>
        <w:rPr>
          <w:rFonts w:ascii="Arial" w:cs="Arial" w:eastAsia="Arial" w:hAnsi="Arial"/>
          <w:sz w:val="16"/>
          <w:szCs w:val="16"/>
          <w:color w:val="auto"/>
        </w:rPr>
        <w:t xml:space="preserve">”), the Administrative Agent shall cause an Approved Third-Party Appraiser selected by the Administrative Agent to value such number of Unquoted Investments (selected by the Administrative Agent) that collectively have an aggregate Value approximately equal to the Calculation Amount. The Administrative Agent agrees to notify the Borrower of the Unquoted Investments selected by the Administrative Agent to be tested in each Testing Quarter. If there is a difference between the Borrower’s valuation and the Approved Third-Party Appraiser’s valuation of any Unquoted Investment, the Value of such Unquoted Investment for Borrowing Base purposes shall be established as set forth in the third sentence of </w:t>
      </w:r>
      <w:r>
        <w:rPr>
          <w:rFonts w:ascii="Arial" w:cs="Arial" w:eastAsia="Arial" w:hAnsi="Arial"/>
          <w:sz w:val="16"/>
          <w:szCs w:val="16"/>
          <w:u w:val="single" w:color="auto"/>
          <w:color w:val="auto"/>
        </w:rPr>
        <w:t>sub-clause (F)</w:t>
      </w:r>
      <w:r>
        <w:rPr>
          <w:rFonts w:ascii="Arial" w:cs="Arial" w:eastAsia="Arial" w:hAnsi="Arial"/>
          <w:sz w:val="16"/>
          <w:szCs w:val="16"/>
          <w:color w:val="auto"/>
        </w:rPr>
        <w:t xml:space="preserve"> below.</w:t>
      </w:r>
    </w:p>
    <w:p>
      <w:pPr>
        <w:spacing w:after="0" w:line="58" w:lineRule="exact"/>
        <w:rPr>
          <w:rFonts w:ascii="Arial" w:cs="Arial" w:eastAsia="Arial" w:hAnsi="Arial"/>
          <w:sz w:val="16"/>
          <w:szCs w:val="16"/>
          <w:color w:val="auto"/>
        </w:rPr>
      </w:pPr>
    </w:p>
    <w:p>
      <w:pPr>
        <w:ind w:left="420" w:right="60" w:firstLine="391"/>
        <w:spacing w:after="0" w:line="286" w:lineRule="auto"/>
        <w:tabs>
          <w:tab w:leader="none" w:pos="1193" w:val="left"/>
        </w:tabs>
        <w:numPr>
          <w:ilvl w:val="1"/>
          <w:numId w:val="140"/>
        </w:numPr>
        <w:rPr>
          <w:rFonts w:ascii="Arial" w:cs="Arial" w:eastAsia="Arial" w:hAnsi="Arial"/>
          <w:sz w:val="16"/>
          <w:szCs w:val="16"/>
          <w:color w:val="auto"/>
        </w:rPr>
      </w:pPr>
      <w:r>
        <w:rPr>
          <w:rFonts w:ascii="Arial" w:cs="Arial" w:eastAsia="Arial" w:hAnsi="Arial"/>
          <w:sz w:val="16"/>
          <w:szCs w:val="16"/>
          <w:color w:val="auto"/>
        </w:rPr>
        <w:t>For the avoidance of doubt, the valuation of any Approved Third-Party Appraiser selected by the Administrative Agent would not be as of, or delivered at, the end of any fiscal quarter. Any such valuation would be as of the end of the second month immediately following any fiscal quarter (the “</w:t>
      </w:r>
      <w:r>
        <w:rPr>
          <w:rFonts w:ascii="Arial" w:cs="Arial" w:eastAsia="Arial" w:hAnsi="Arial"/>
          <w:sz w:val="16"/>
          <w:szCs w:val="16"/>
          <w:u w:val="single" w:color="auto"/>
          <w:color w:val="auto"/>
        </w:rPr>
        <w:t>Administrative Agent Appraisal Testing Month</w:t>
      </w:r>
      <w:r>
        <w:rPr>
          <w:rFonts w:ascii="Arial" w:cs="Arial" w:eastAsia="Arial" w:hAnsi="Arial"/>
          <w:sz w:val="16"/>
          <w:szCs w:val="16"/>
          <w:color w:val="auto"/>
        </w:rPr>
        <w:t>”) and would be reflected in the Borrowing Base Certificate for such month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Approved Third-Party Appraiser delivers such valuation at least seven (7) Business Days before the 20</w:t>
      </w:r>
      <w:r>
        <w:rPr>
          <w:rFonts w:ascii="Arial" w:cs="Arial" w:eastAsia="Arial" w:hAnsi="Arial"/>
          <w:sz w:val="13"/>
          <w:szCs w:val="13"/>
          <w:color w:val="auto"/>
        </w:rPr>
        <w:t>th</w:t>
      </w:r>
      <w:r>
        <w:rPr>
          <w:rFonts w:ascii="Arial" w:cs="Arial" w:eastAsia="Arial" w:hAnsi="Arial"/>
          <w:sz w:val="16"/>
          <w:szCs w:val="16"/>
          <w:color w:val="auto"/>
        </w:rPr>
        <w:t xml:space="preserve"> day after the end of the applicable monthly accounting period and, if such valuation is delivered after such time, it shall be included in the Borrowing Base Certificate for the following monthly period and applied to the then applicable balance of the related Portfolio Investment). For illustrative purposes, if the given fiscal quarter is the fourth quarter ending on December 31, 2014, then (A) the Administrative Agent would initiate the testing of Values (using the December 31, 2014 Calculation Amount for purposes of determining the scope of the testing under </w:t>
      </w:r>
      <w:r>
        <w:rPr>
          <w:rFonts w:ascii="Arial" w:cs="Arial" w:eastAsia="Arial" w:hAnsi="Arial"/>
          <w:sz w:val="16"/>
          <w:szCs w:val="16"/>
          <w:u w:val="single" w:color="auto"/>
          <w:color w:val="auto"/>
        </w:rPr>
        <w:t>clauses (E)(x)</w:t>
      </w:r>
      <w:r>
        <w:rPr>
          <w:rFonts w:ascii="Arial" w:cs="Arial" w:eastAsia="Arial" w:hAnsi="Arial"/>
          <w:sz w:val="16"/>
          <w:szCs w:val="16"/>
          <w:color w:val="auto"/>
        </w:rPr>
        <w:t xml:space="preserve"> during the month of February with the anticipation of receiving the valuations from the applicable Approved Third-Party Appraiser(s) on or after February 28, 2015 and (B)(xx) if such valuations were received before the 7</w:t>
      </w:r>
      <w:r>
        <w:rPr>
          <w:rFonts w:ascii="Arial" w:cs="Arial" w:eastAsia="Arial" w:hAnsi="Arial"/>
          <w:sz w:val="13"/>
          <w:szCs w:val="13"/>
          <w:color w:val="auto"/>
        </w:rPr>
        <w:t>th</w:t>
      </w:r>
      <w:r>
        <w:rPr>
          <w:rFonts w:ascii="Arial" w:cs="Arial" w:eastAsia="Arial" w:hAnsi="Arial"/>
          <w:sz w:val="16"/>
          <w:szCs w:val="16"/>
          <w:color w:val="auto"/>
        </w:rPr>
        <w:t xml:space="preserve"> Business Day before March 20, 2015, such valuations would be included in the March 20, 2015 Borrowing Base Certificate covering the month of February, or (yy) if such valuations were received after such time, they would be included in the April 20, 2015 Borrowing Base Certificate for the month of March.</w:t>
      </w:r>
    </w:p>
    <w:p>
      <w:pPr>
        <w:spacing w:after="0" w:line="66" w:lineRule="exact"/>
        <w:rPr>
          <w:sz w:val="20"/>
          <w:szCs w:val="20"/>
          <w:color w:val="auto"/>
        </w:rPr>
      </w:pPr>
    </w:p>
    <w:p>
      <w:pPr>
        <w:ind w:left="420" w:right="200"/>
        <w:spacing w:after="0" w:line="277" w:lineRule="auto"/>
        <w:rPr>
          <w:sz w:val="20"/>
          <w:szCs w:val="20"/>
          <w:color w:val="auto"/>
        </w:rPr>
      </w:pPr>
      <w:r>
        <w:rPr>
          <w:rFonts w:ascii="Arial" w:cs="Arial" w:eastAsia="Arial" w:hAnsi="Arial"/>
          <w:sz w:val="18"/>
          <w:szCs w:val="18"/>
          <w:color w:val="auto"/>
        </w:rPr>
        <w:t xml:space="preserve">For the avoidance of doubt, all calculations of value pursuant to this </w:t>
      </w:r>
      <w:r>
        <w:rPr>
          <w:rFonts w:ascii="Arial" w:cs="Arial" w:eastAsia="Arial" w:hAnsi="Arial"/>
          <w:sz w:val="18"/>
          <w:szCs w:val="18"/>
          <w:u w:val="single" w:color="auto"/>
          <w:color w:val="auto"/>
        </w:rPr>
        <w:t>Section 5.12(b)(ii)(E)</w:t>
      </w:r>
      <w:r>
        <w:rPr>
          <w:rFonts w:ascii="Arial" w:cs="Arial" w:eastAsia="Arial" w:hAnsi="Arial"/>
          <w:sz w:val="18"/>
          <w:szCs w:val="18"/>
          <w:color w:val="auto"/>
        </w:rPr>
        <w:t xml:space="preserve"> shall be determined without application of the Advance Rates.</w:t>
      </w:r>
    </w:p>
    <w:p>
      <w:pPr>
        <w:spacing w:after="0" w:line="62" w:lineRule="exact"/>
        <w:rPr>
          <w:sz w:val="20"/>
          <w:szCs w:val="20"/>
          <w:color w:val="auto"/>
        </w:rPr>
      </w:pPr>
    </w:p>
    <w:p>
      <w:pPr>
        <w:ind w:left="-20" w:right="440" w:firstLine="408"/>
        <w:spacing w:after="0" w:line="277" w:lineRule="auto"/>
        <w:tabs>
          <w:tab w:leader="none" w:pos="781"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Valuation Dispute Resolution</w:t>
      </w:r>
      <w:r>
        <w:rPr>
          <w:rFonts w:ascii="Arial" w:cs="Arial" w:eastAsia="Arial" w:hAnsi="Arial"/>
          <w:sz w:val="18"/>
          <w:szCs w:val="18"/>
          <w:color w:val="auto"/>
        </w:rPr>
        <w:t>. Notwithstanding the foregoing, the Administrative Agent shall at any time have the right to request any Portfolio</w:t>
      </w:r>
    </w:p>
    <w:p>
      <w:pPr>
        <w:spacing w:after="0" w:line="103" w:lineRule="exact"/>
        <w:rPr>
          <w:sz w:val="20"/>
          <w:szCs w:val="20"/>
          <w:color w:val="auto"/>
        </w:rPr>
      </w:pPr>
    </w:p>
    <w:tbl>
      <w:tblPr>
        <w:tblLayout w:type="fixed"/>
        <w:tblInd w:w="4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93</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0020"/>
          </w:cols>
          <w:pgMar w:left="1440" w:top="274" w:right="43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Investment with a value assigned by the Borrower pursuant to </w:t>
      </w:r>
      <w:r>
        <w:rPr>
          <w:rFonts w:ascii="Arial" w:cs="Arial" w:eastAsia="Arial" w:hAnsi="Arial"/>
          <w:sz w:val="16"/>
          <w:szCs w:val="16"/>
          <w:u w:val="single" w:color="auto"/>
          <w:color w:val="auto"/>
        </w:rPr>
        <w:t>Section 5.12(b)(ii)(B)</w:t>
      </w:r>
      <w:r>
        <w:rPr>
          <w:rFonts w:ascii="Arial" w:cs="Arial" w:eastAsia="Arial" w:hAnsi="Arial"/>
          <w:sz w:val="16"/>
          <w:szCs w:val="16"/>
          <w:color w:val="auto"/>
        </w:rPr>
        <w:t xml:space="preserve"> be independently valued by an Approved Third-Party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Appraiser retained by the Administrative Agent. There shall be no limit on the number of such appraisals requested by the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Agent and the reasonable and documented out-of-pocket costs of any such valuation shall be at the expense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32" w:lineRule="exact"/>
        <w:rPr>
          <w:sz w:val="20"/>
          <w:szCs w:val="20"/>
          <w:color w:val="auto"/>
        </w:rPr>
      </w:pPr>
    </w:p>
    <w:p>
      <w:pPr>
        <w:ind w:right="40" w:firstLine="7"/>
        <w:spacing w:after="0" w:line="281" w:lineRule="auto"/>
        <w:tabs>
          <w:tab w:leader="none" w:pos="25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the applicable Approved Third-Party Appraiser shall use commercially reasonable efforts to ensure that an appraisal shall be conducted in a manner that is not disruptive to the Borrower’s business, (y) the values determined by any appraisal shall be treated as confidential information by the Administrative Agent and the Lenders and shall be deemed to be “Information” hereunder and subject to </w:t>
      </w:r>
      <w:r>
        <w:rPr>
          <w:rFonts w:ascii="Arial" w:cs="Arial" w:eastAsia="Arial" w:hAnsi="Arial"/>
          <w:sz w:val="16"/>
          <w:szCs w:val="16"/>
          <w:u w:val="single" w:color="auto"/>
          <w:color w:val="auto"/>
        </w:rPr>
        <w:t>Section 9.13</w:t>
      </w:r>
      <w:r>
        <w:rPr>
          <w:rFonts w:ascii="Arial" w:cs="Arial" w:eastAsia="Arial" w:hAnsi="Arial"/>
          <w:sz w:val="16"/>
          <w:szCs w:val="16"/>
          <w:color w:val="auto"/>
        </w:rPr>
        <w:t xml:space="preserve"> and (z) unless an Event of Default has occurred and is continuing, the Borrower’s obligation to reimburse valuation costs pursuant to this supplemental testing shall be limited to the greater of (i) $200,000 and (ii) 0.05% of the total amount of the Commitments, per annum. The Administrative Agent shall notify the Borrower of its receipt of the results of any appraisal under this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from the applicable Approved Third-Party Appraiser and provide a copy of such results and any related reports to the Borrower. If the difference between the Borrower’s valuation pursuant to </w:t>
      </w:r>
      <w:r>
        <w:rPr>
          <w:rFonts w:ascii="Arial" w:cs="Arial" w:eastAsia="Arial" w:hAnsi="Arial"/>
          <w:sz w:val="16"/>
          <w:szCs w:val="16"/>
          <w:u w:val="single" w:color="auto"/>
          <w:color w:val="auto"/>
        </w:rPr>
        <w:t>Section 5.12(b)(ii)(B)</w:t>
      </w:r>
      <w:r>
        <w:rPr>
          <w:rFonts w:ascii="Arial" w:cs="Arial" w:eastAsia="Arial" w:hAnsi="Arial"/>
          <w:sz w:val="16"/>
          <w:szCs w:val="16"/>
          <w:color w:val="auto"/>
        </w:rPr>
        <w:t xml:space="preserve"> and the valuation of any Approved Third-Party Appraiser retained by the Administrative Agent pursuant to </w:t>
      </w:r>
      <w:r>
        <w:rPr>
          <w:rFonts w:ascii="Arial" w:cs="Arial" w:eastAsia="Arial" w:hAnsi="Arial"/>
          <w:sz w:val="16"/>
          <w:szCs w:val="16"/>
          <w:u w:val="single" w:color="auto"/>
          <w:color w:val="auto"/>
        </w:rPr>
        <w:t>Section 5.12(b)(ii)(E)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(F)</w:t>
      </w:r>
      <w:r>
        <w:rPr>
          <w:rFonts w:ascii="Arial" w:cs="Arial" w:eastAsia="Arial" w:hAnsi="Arial"/>
          <w:sz w:val="16"/>
          <w:szCs w:val="16"/>
          <w:color w:val="auto"/>
        </w:rPr>
        <w:t xml:space="preserve"> is (1) less than 5% of the value thereof, then the Borrower’s valuation shall be used, (2) between 5% and 20% of the value thereof, then the valuation of such Portfolio Investment shall be the average of the value determined by the Borrower and the value determined by the Approved Third-Party Appraiser retained by the Administrative Agent and</w:t>
      </w:r>
    </w:p>
    <w:p>
      <w:pPr>
        <w:spacing w:after="0" w:line="6" w:lineRule="exact"/>
        <w:rPr>
          <w:rFonts w:ascii="Arial" w:cs="Arial" w:eastAsia="Arial" w:hAnsi="Arial"/>
          <w:sz w:val="16"/>
          <w:szCs w:val="16"/>
          <w:color w:val="auto"/>
        </w:rPr>
      </w:pPr>
    </w:p>
    <w:p>
      <w:pPr>
        <w:ind w:right="60"/>
        <w:spacing w:after="0" w:line="292" w:lineRule="auto"/>
        <w:rPr>
          <w:rFonts w:ascii="Arial" w:cs="Arial" w:eastAsia="Arial" w:hAnsi="Arial"/>
          <w:sz w:val="16"/>
          <w:szCs w:val="16"/>
          <w:color w:val="auto"/>
        </w:rPr>
      </w:pPr>
      <w:r>
        <w:rPr>
          <w:rFonts w:ascii="Arial" w:cs="Arial" w:eastAsia="Arial" w:hAnsi="Arial"/>
          <w:sz w:val="16"/>
          <w:szCs w:val="16"/>
          <w:color w:val="auto"/>
        </w:rPr>
        <w:t>(3) greater than 20% of the value thereof, then the Borrower and the Administrative Agent shall retain an additional Approved Third-Party Appraiser and the valuation of such Portfolio Investment shall be the average of the three valuations (with the Administrative Agent’s Approved Third-Party Appraiser’s valuation to be used until the third valuation is obtained). For the avoidance of doubt, such supplemental values shall be applicable only to and used only for determining value under this Agreement and shall not be deemed fair value of such asset under ASC 820 for purposes of the Borrower’s financial statements, the Investment Company Act or otherwise.</w:t>
      </w:r>
    </w:p>
    <w:p>
      <w:pPr>
        <w:spacing w:after="0" w:line="54" w:lineRule="exact"/>
        <w:rPr>
          <w:sz w:val="20"/>
          <w:szCs w:val="20"/>
          <w:color w:val="auto"/>
        </w:rPr>
      </w:pPr>
    </w:p>
    <w:p>
      <w:pPr>
        <w:ind w:left="-980" w:right="40" w:firstLine="987"/>
        <w:spacing w:after="0" w:line="301" w:lineRule="auto"/>
        <w:tabs>
          <w:tab w:leader="none" w:pos="391"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Investment Company Diversification and Tax Requirements</w:t>
      </w:r>
      <w:r>
        <w:rPr>
          <w:rFonts w:ascii="Arial" w:cs="Arial" w:eastAsia="Arial" w:hAnsi="Arial"/>
          <w:sz w:val="16"/>
          <w:szCs w:val="16"/>
          <w:color w:val="auto"/>
        </w:rPr>
        <w:t>. The Borrower will, and will cause its Subsidiaries (other than Financing Subsidiaries that are exempt from the Investment Company Act) at all times to (i) comply in all material respects with the portfolio diversification and similar requirements set forth in the Investment Company Act applicable to business development companies and (ii) subject to applicable grace periods set forth in the Code, comply with the portfolio diversification and similar requirements set forth in the Code applicable to RICs.</w:t>
      </w:r>
    </w:p>
    <w:p>
      <w:pPr>
        <w:spacing w:after="0" w:line="49" w:lineRule="exact"/>
        <w:rPr>
          <w:rFonts w:ascii="Arial" w:cs="Arial" w:eastAsia="Arial" w:hAnsi="Arial"/>
          <w:sz w:val="16"/>
          <w:szCs w:val="16"/>
          <w:color w:val="auto"/>
        </w:rPr>
      </w:pPr>
    </w:p>
    <w:p>
      <w:pPr>
        <w:ind w:left="-980" w:right="40" w:firstLine="987"/>
        <w:spacing w:after="0" w:line="259" w:lineRule="auto"/>
        <w:tabs>
          <w:tab w:leader="none" w:pos="401"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Commitments under Portfolio Investments</w:t>
      </w:r>
      <w:r>
        <w:rPr>
          <w:rFonts w:ascii="Arial" w:cs="Arial" w:eastAsia="Arial" w:hAnsi="Arial"/>
          <w:sz w:val="18"/>
          <w:szCs w:val="18"/>
          <w:color w:val="auto"/>
        </w:rPr>
        <w:t>. The Borrower will, and will cause its Subsidiaries to, acquire Portfolio Investments (it being understood that neither (x) the receipt of Portfolio Investments as part of a restructuring or workout nor (y) any new or additional borrowing under an existing Portfolio Investment shall constitute an “acquisition” of such Portfolio Investments) constituting revolving credit facilities or delayed draw term loans with</w:t>
      </w:r>
    </w:p>
    <w:p>
      <w:pPr>
        <w:spacing w:after="0" w:line="119" w:lineRule="exact"/>
        <w:rPr>
          <w:sz w:val="20"/>
          <w:szCs w:val="20"/>
          <w:color w:val="auto"/>
        </w:rPr>
      </w:pPr>
    </w:p>
    <w:tbl>
      <w:tblPr>
        <w:tblLayout w:type="fixed"/>
        <w:tblInd w:w="450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94</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0040"/>
          </w:cols>
          <w:pgMar w:left="1420" w:top="274" w:right="439" w:bottom="1440" w:gutter="0" w:footer="0" w:header="0"/>
        </w:sectPr>
      </w:pPr>
    </w:p>
    <w:bookmarkStart w:id="124" w:name="page125"/>
    <w:bookmarkEnd w:id="124"/>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revolving or future commitments only if the aggregate commitments or future commitments under such revolving credit facilities or delayed draw term loans (excluding discretionary future commitments, such as accordions and commitment increase options) does not exceed (i) prior to the Extended Commitment Termination Date, 20% of the aggregate Commitment amount at the time of acquisition and (ii) following the Extended Commitment Termination Date, 20% of the Revolving Credit Exposure at the time of acquisition.</w:t>
      </w:r>
    </w:p>
    <w:p>
      <w:pPr>
        <w:spacing w:after="0" w:line="187" w:lineRule="exact"/>
        <w:rPr>
          <w:sz w:val="20"/>
          <w:szCs w:val="20"/>
          <w:color w:val="auto"/>
        </w:rPr>
      </w:pPr>
    </w:p>
    <w:p>
      <w:pPr>
        <w:ind w:right="340" w:firstLine="991"/>
        <w:spacing w:after="0" w:line="286"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Calculation of Borrowing Base</w:t>
      </w:r>
      <w:r>
        <w:rPr>
          <w:rFonts w:ascii="Arial" w:cs="Arial" w:eastAsia="Arial" w:hAnsi="Arial"/>
          <w:sz w:val="17"/>
          <w:szCs w:val="17"/>
          <w:color w:val="auto"/>
        </w:rPr>
        <w:t>. For purposes of this Agreement, the “</w:t>
      </w:r>
      <w:r>
        <w:rPr>
          <w:rFonts w:ascii="Arial" w:cs="Arial" w:eastAsia="Arial" w:hAnsi="Arial"/>
          <w:sz w:val="17"/>
          <w:szCs w:val="17"/>
          <w:u w:val="single" w:color="auto"/>
          <w:color w:val="auto"/>
        </w:rPr>
        <w:t>Borrowing Base</w:t>
      </w:r>
      <w:r>
        <w:rPr>
          <w:rFonts w:ascii="Arial" w:cs="Arial" w:eastAsia="Arial" w:hAnsi="Arial"/>
          <w:sz w:val="17"/>
          <w:szCs w:val="17"/>
          <w:color w:val="auto"/>
        </w:rPr>
        <w:t xml:space="preserve">” shall be determined, as at any date of determination, as the sum of the Advance Rates of the Value of each Portfolio Investment (excluding any Cash Collateral held by the Administrative Agent pursuant to </w:t>
      </w:r>
      <w:r>
        <w:rPr>
          <w:rFonts w:ascii="Arial" w:cs="Arial" w:eastAsia="Arial" w:hAnsi="Arial"/>
          <w:sz w:val="17"/>
          <w:szCs w:val="17"/>
          <w:u w:val="single" w:color="auto"/>
          <w:color w:val="auto"/>
        </w:rPr>
        <w:t>Section 2.05(k)</w:t>
      </w:r>
      <w:r>
        <w:rPr>
          <w:rFonts w:ascii="Arial" w:cs="Arial" w:eastAsia="Arial" w:hAnsi="Arial"/>
          <w:sz w:val="17"/>
          <w:szCs w:val="17"/>
          <w:color w:val="auto"/>
        </w:rPr>
        <w:t xml:space="preserve"> or the last paragraph of </w:t>
      </w:r>
      <w:r>
        <w:rPr>
          <w:rFonts w:ascii="Arial" w:cs="Arial" w:eastAsia="Arial" w:hAnsi="Arial"/>
          <w:sz w:val="17"/>
          <w:szCs w:val="17"/>
          <w:u w:val="single" w:color="auto"/>
          <w:color w:val="auto"/>
        </w:rPr>
        <w:t>Section 2.09(a)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57" w:lineRule="exact"/>
        <w:rPr>
          <w:sz w:val="20"/>
          <w:szCs w:val="20"/>
          <w:color w:val="auto"/>
        </w:rPr>
      </w:pPr>
    </w:p>
    <w:p>
      <w:pPr>
        <w:ind w:right="100" w:firstLine="987"/>
        <w:spacing w:after="0" w:line="296" w:lineRule="auto"/>
        <w:tabs>
          <w:tab w:leader="none" w:pos="1371"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Advance Rate applicable to that portion of the aggregate Value of the Portfolio Investments in a consolidated group of corporations or other entities (collectively, a “</w:t>
      </w:r>
      <w:r>
        <w:rPr>
          <w:rFonts w:ascii="Arial" w:cs="Arial" w:eastAsia="Arial" w:hAnsi="Arial"/>
          <w:sz w:val="16"/>
          <w:szCs w:val="16"/>
          <w:u w:val="single" w:color="auto"/>
          <w:color w:val="auto"/>
        </w:rPr>
        <w:t>Consolidated Group</w:t>
      </w:r>
      <w:r>
        <w:rPr>
          <w:rFonts w:ascii="Arial" w:cs="Arial" w:eastAsia="Arial" w:hAnsi="Arial"/>
          <w:sz w:val="16"/>
          <w:szCs w:val="16"/>
          <w:color w:val="auto"/>
        </w:rPr>
        <w:t xml:space="preserve">”), in accordance with GAAP, that exceeds 6% of the Value of all Portfolio Investments in the Collateral Pool (other than Portfolio Investments for which the Advance Rate is 0%) shall be 50% of the Advance Rate otherwise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all times prior to the 18 month anniversary of the Second Amendment Effective Date, with respect to the Value of Portfolio Investments in a single Consolidated Group designated by the Borrower to the Administrative Agent such 6% figure shall be increased to 10%;</w:t>
      </w:r>
    </w:p>
    <w:p>
      <w:pPr>
        <w:spacing w:after="0" w:line="53" w:lineRule="exact"/>
        <w:rPr>
          <w:rFonts w:ascii="Arial" w:cs="Arial" w:eastAsia="Arial" w:hAnsi="Arial"/>
          <w:sz w:val="16"/>
          <w:szCs w:val="16"/>
          <w:color w:val="auto"/>
        </w:rPr>
      </w:pPr>
    </w:p>
    <w:p>
      <w:pPr>
        <w:jc w:val="both"/>
        <w:ind w:right="20" w:firstLine="987"/>
        <w:spacing w:after="0" w:line="263" w:lineRule="auto"/>
        <w:tabs>
          <w:tab w:leader="none" w:pos="138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Advance Rate applicable to that portion of the aggregate Value of the Portfolio Investments of all issuers in a Consolidated Group exceeding 12% of the Value of all Portfolio Investments in the Collateral Pool (other than Portfolio Investments for which the Advance Rate is 0%) shall be 0%;</w:t>
      </w:r>
    </w:p>
    <w:p>
      <w:pPr>
        <w:spacing w:after="0" w:line="75" w:lineRule="exact"/>
        <w:rPr>
          <w:rFonts w:ascii="Arial" w:cs="Arial" w:eastAsia="Arial" w:hAnsi="Arial"/>
          <w:sz w:val="18"/>
          <w:szCs w:val="18"/>
          <w:color w:val="auto"/>
        </w:rPr>
      </w:pPr>
    </w:p>
    <w:p>
      <w:pPr>
        <w:ind w:right="40" w:firstLine="987"/>
        <w:spacing w:after="0" w:line="293" w:lineRule="auto"/>
        <w:tabs>
          <w:tab w:leader="none" w:pos="1371"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the Advance Rate applicable to that portion of the aggregate Value of the Portfolio Investments in any single Industry Classification Group that exceeds 15% of the Value of all Portfolio Investments in the Collateral Pool (other than Portfolio Investments for which the Advance Rate is 0%) shall be 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the Value of Portfolio Investments in a single Industry Classification Group from time to time designated by the Borrower to the Administrative Agent such 15% figure shall be increased to 25% and, accordingly, only to the extent that the Value of Portfolio Investments in such single Industry Classification Group exceeds 25% of the Value of all Portfolio Investments in the Collateral Pool (other than Portfolio Investments for which the Advance Rate is 0%) shall the Advance Rate applicable to such excess Value be 0%;</w:t>
      </w:r>
    </w:p>
    <w:p>
      <w:pPr>
        <w:spacing w:after="0" w:line="56" w:lineRule="exact"/>
        <w:rPr>
          <w:rFonts w:ascii="Arial" w:cs="Arial" w:eastAsia="Arial" w:hAnsi="Arial"/>
          <w:sz w:val="16"/>
          <w:szCs w:val="16"/>
          <w:color w:val="auto"/>
        </w:rPr>
      </w:pPr>
    </w:p>
    <w:p>
      <w:pPr>
        <w:ind w:right="120" w:firstLine="987"/>
        <w:spacing w:after="0" w:line="311" w:lineRule="auto"/>
        <w:tabs>
          <w:tab w:leader="none" w:pos="1381" w:val="left"/>
        </w:tabs>
        <w:numPr>
          <w:ilvl w:val="0"/>
          <w:numId w:val="144"/>
        </w:numPr>
        <w:rPr>
          <w:rFonts w:ascii="Arial" w:cs="Arial" w:eastAsia="Arial" w:hAnsi="Arial"/>
          <w:sz w:val="16"/>
          <w:szCs w:val="16"/>
          <w:color w:val="auto"/>
        </w:rPr>
      </w:pPr>
      <w:r>
        <w:rPr>
          <w:rFonts w:ascii="Arial" w:cs="Arial" w:eastAsia="Arial" w:hAnsi="Arial"/>
          <w:sz w:val="16"/>
          <w:szCs w:val="16"/>
          <w:color w:val="auto"/>
        </w:rPr>
        <w:t>no Portfolio Investment may be included in the Borrowing Base unless the Collateral Agent maintains a first priority, perfected Lien (subject to Permitted Liens) on such Portfolio Investment and such Portfolio Investment has been Delivered (as defined in the Guarantee and Security Agreement) to the Collateral Agent, and then only for so long as such Portfolio Investment continues to be Delivered as contemplated therein;</w:t>
      </w:r>
    </w:p>
    <w:p>
      <w:pPr>
        <w:spacing w:after="0" w:line="40" w:lineRule="exact"/>
        <w:rPr>
          <w:rFonts w:ascii="Arial" w:cs="Arial" w:eastAsia="Arial" w:hAnsi="Arial"/>
          <w:sz w:val="16"/>
          <w:szCs w:val="16"/>
          <w:color w:val="auto"/>
        </w:rPr>
      </w:pPr>
    </w:p>
    <w:p>
      <w:pPr>
        <w:ind w:right="600" w:firstLine="987"/>
        <w:spacing w:after="0" w:line="277" w:lineRule="auto"/>
        <w:tabs>
          <w:tab w:leader="none" w:pos="137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Performing Non-Cash Pay High Yield Securities, Performing Non-Cash Pay Mezzanine Investments, Equity Interests and Non-Performing Portfolio Investments shall not exceed 20%;</w:t>
      </w:r>
    </w:p>
    <w:p>
      <w:pPr>
        <w:spacing w:after="0" w:line="103"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95</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25" w:name="page126"/>
    <w:bookmarkEnd w:id="125"/>
    <w:p>
      <w:pPr>
        <w:ind w:left="-987" w:right="160" w:firstLine="987"/>
        <w:spacing w:after="0" w:line="263" w:lineRule="auto"/>
        <w:tabs>
          <w:tab w:leader="none" w:pos="364"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portion of the Borrowing Base attributable to Non-Performing Portfolio Investments shall not exceed 15% and the portion of the Borrowing Base attributable to Portfolio Investments that were Non-Performing Portfolio Investments at the time such Portfolio Investments were acquired shall not exceed 5%;</w:t>
      </w:r>
    </w:p>
    <w:p>
      <w:pPr>
        <w:spacing w:after="0" w:line="75" w:lineRule="exact"/>
        <w:rPr>
          <w:rFonts w:ascii="Arial" w:cs="Arial" w:eastAsia="Arial" w:hAnsi="Arial"/>
          <w:sz w:val="18"/>
          <w:szCs w:val="18"/>
          <w:color w:val="auto"/>
        </w:rPr>
      </w:pPr>
    </w:p>
    <w:p>
      <w:pPr>
        <w:ind w:left="-987" w:right="340" w:firstLine="987"/>
        <w:spacing w:after="0" w:line="277" w:lineRule="auto"/>
        <w:tabs>
          <w:tab w:leader="none" w:pos="39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Equity Interests shall not exceed 10% (it being understood that in no event shall Equity Interests of Financing Subsidiaries be included in the Borrowing Base);</w:t>
      </w:r>
    </w:p>
    <w:p>
      <w:pPr>
        <w:spacing w:after="0" w:line="62" w:lineRule="exact"/>
        <w:rPr>
          <w:rFonts w:ascii="Arial" w:cs="Arial" w:eastAsia="Arial" w:hAnsi="Arial"/>
          <w:sz w:val="18"/>
          <w:szCs w:val="18"/>
          <w:color w:val="auto"/>
        </w:rPr>
      </w:pPr>
    </w:p>
    <w:p>
      <w:pPr>
        <w:ind w:left="-987" w:right="140" w:firstLine="987"/>
        <w:spacing w:after="0" w:line="286" w:lineRule="auto"/>
        <w:tabs>
          <w:tab w:leader="none" w:pos="394"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portion of the Borrowing Base attributable to Portfolio Investments invested in a jurisdiction other than a Specified Country or a Specified Tax Jurisdiction (solely to the extent the External Manager determines in good faith that a substantial portion of the assets, revenues, or operations supporting such Portfolio Investments are directly, or indirectly, made in a Specified Country) shall not exceed 0%;</w:t>
      </w:r>
    </w:p>
    <w:p>
      <w:pPr>
        <w:spacing w:after="0" w:line="57" w:lineRule="exact"/>
        <w:rPr>
          <w:rFonts w:ascii="Arial" w:cs="Arial" w:eastAsia="Arial" w:hAnsi="Arial"/>
          <w:sz w:val="17"/>
          <w:szCs w:val="17"/>
          <w:color w:val="auto"/>
        </w:rPr>
      </w:pPr>
    </w:p>
    <w:p>
      <w:pPr>
        <w:ind w:left="-987" w:right="160" w:firstLine="987"/>
        <w:spacing w:after="0" w:line="286" w:lineRule="auto"/>
        <w:tabs>
          <w:tab w:leader="none" w:pos="354"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portion of the Borrowing Base attributable to Portfolio Investments invested in Australia, the Netherlands and any Specified Tax Jurisdiction (solely to the extent the External Manager determines in good faith that a substantial portion of the assets, revenues, or operations supporting such Portfolio Investments are directly, or indirectly, made in Australia or the Netherlands) shall not exceed 10%;</w:t>
      </w:r>
    </w:p>
    <w:p>
      <w:pPr>
        <w:spacing w:after="0" w:line="57" w:lineRule="exact"/>
        <w:rPr>
          <w:rFonts w:ascii="Arial" w:cs="Arial" w:eastAsia="Arial" w:hAnsi="Arial"/>
          <w:sz w:val="17"/>
          <w:szCs w:val="17"/>
          <w:color w:val="auto"/>
        </w:rPr>
      </w:pPr>
    </w:p>
    <w:p>
      <w:pPr>
        <w:ind w:left="-987" w:right="120" w:firstLine="987"/>
        <w:spacing w:after="0" w:line="259" w:lineRule="auto"/>
        <w:tabs>
          <w:tab w:leader="none" w:pos="35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the portion of the Borrowing Base attributable to Portfolio Investments invested in Ireland, Germany, Spain, Sweden, Austria, Belgium, Denmark, Finland, Iceland, Lichtenstein, Luxembourg, Norway and any Specified Tax Jurisdiction (solely to the extent the External Manager determines in good faith that a substantial portion of the assets, revenues, or operations supporting such Portfolio Investments are directly, or indirectly, made in one of the other jurisdictions listed in this </w:t>
      </w:r>
      <w:r>
        <w:rPr>
          <w:rFonts w:ascii="Arial" w:cs="Arial" w:eastAsia="Arial" w:hAnsi="Arial"/>
          <w:sz w:val="18"/>
          <w:szCs w:val="18"/>
          <w:u w:val="single" w:color="auto"/>
          <w:color w:val="auto"/>
        </w:rPr>
        <w:t>clause (j)</w:t>
      </w:r>
      <w:r>
        <w:rPr>
          <w:rFonts w:ascii="Arial" w:cs="Arial" w:eastAsia="Arial" w:hAnsi="Arial"/>
          <w:sz w:val="18"/>
          <w:szCs w:val="18"/>
          <w:color w:val="auto"/>
        </w:rPr>
        <w:t>) shall not exceed 7.5%;</w:t>
      </w:r>
    </w:p>
    <w:p>
      <w:pPr>
        <w:spacing w:after="0" w:line="78" w:lineRule="exact"/>
        <w:rPr>
          <w:rFonts w:ascii="Arial" w:cs="Arial" w:eastAsia="Arial" w:hAnsi="Arial"/>
          <w:sz w:val="18"/>
          <w:szCs w:val="18"/>
          <w:color w:val="auto"/>
        </w:rPr>
      </w:pPr>
    </w:p>
    <w:p>
      <w:pPr>
        <w:ind w:left="-987" w:right="220" w:firstLine="987"/>
        <w:spacing w:after="0" w:line="308" w:lineRule="auto"/>
        <w:tabs>
          <w:tab w:leader="none" w:pos="394"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at any time the Borrower Asset Coverage Ratio is greater than or equal to 2.00 to 1:00, but less than 2.25 to 1.00, the portion of the Borrowing Base attributable to Portfolio Investments other than Performing First Lien Bank Loans shall not exceed 62.5%; and</w:t>
      </w:r>
    </w:p>
    <w:p>
      <w:pPr>
        <w:spacing w:after="0" w:line="38" w:lineRule="exact"/>
        <w:rPr>
          <w:rFonts w:ascii="Arial" w:cs="Arial" w:eastAsia="Arial" w:hAnsi="Arial"/>
          <w:sz w:val="17"/>
          <w:szCs w:val="17"/>
          <w:color w:val="auto"/>
        </w:rPr>
      </w:pPr>
    </w:p>
    <w:p>
      <w:pPr>
        <w:ind w:left="-987" w:right="60" w:firstLine="987"/>
        <w:spacing w:after="0" w:line="277" w:lineRule="auto"/>
        <w:tabs>
          <w:tab w:leader="none" w:pos="35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at any time the Borrower Asset Coverage Ratio is greater than or equal to 2.25 to 1:00, the portion of the Borrowing Base attributable to Portfolio Investments other than Performing First Lien Bank Loans shall not exceed 67.5%.</w:t>
      </w:r>
    </w:p>
    <w:p>
      <w:pPr>
        <w:spacing w:after="0" w:line="103" w:lineRule="exact"/>
        <w:rPr>
          <w:sz w:val="20"/>
          <w:szCs w:val="20"/>
          <w:color w:val="auto"/>
        </w:rPr>
      </w:pPr>
    </w:p>
    <w:tbl>
      <w:tblPr>
        <w:tblLayout w:type="fixed"/>
        <w:tblInd w:w="4493"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96</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0033"/>
          </w:cols>
          <w:pgMar w:left="1427" w:top="274" w:right="439" w:bottom="1440" w:gutter="0" w:footer="0" w:header="0"/>
        </w:sectPr>
      </w:pPr>
    </w:p>
    <w:bookmarkStart w:id="126" w:name="page127"/>
    <w:bookmarkEnd w:id="126"/>
    <w:p>
      <w:pPr>
        <w:jc w:val="both"/>
        <w:ind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the extent any Portfolio Investment is required to be removed from the Borrowing Base to comply with any of the portfolio limitations set forth in this </w:t>
      </w:r>
      <w:r>
        <w:rPr>
          <w:rFonts w:ascii="Arial" w:cs="Arial" w:eastAsia="Arial" w:hAnsi="Arial"/>
          <w:sz w:val="18"/>
          <w:szCs w:val="18"/>
          <w:u w:val="single" w:color="auto"/>
          <w:color w:val="auto"/>
        </w:rPr>
        <w:t>Section 5.13</w:t>
      </w:r>
      <w:r>
        <w:rPr>
          <w:rFonts w:ascii="Arial" w:cs="Arial" w:eastAsia="Arial" w:hAnsi="Arial"/>
          <w:sz w:val="18"/>
          <w:szCs w:val="18"/>
          <w:color w:val="auto"/>
        </w:rPr>
        <w:t>, the Borrower shall be permitted to choose the Portfolio Investments, or portions of such Portfolio Investments, to be so removed to effect such compliance. As used herein, the following terms have the following meanings:</w:t>
      </w:r>
    </w:p>
    <w:p>
      <w:pPr>
        <w:spacing w:after="0" w:line="184"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 Rate</w:t>
      </w:r>
      <w:r>
        <w:rPr>
          <w:rFonts w:ascii="Arial" w:cs="Arial" w:eastAsia="Arial" w:hAnsi="Arial"/>
          <w:sz w:val="18"/>
          <w:szCs w:val="18"/>
          <w:color w:val="auto"/>
        </w:rPr>
        <w:t xml:space="preserve">” means, as to any Portfolio Investment and subject to adjustment as provided in </w:t>
      </w:r>
      <w:r>
        <w:rPr>
          <w:rFonts w:ascii="Arial" w:cs="Arial" w:eastAsia="Arial" w:hAnsi="Arial"/>
          <w:sz w:val="18"/>
          <w:szCs w:val="18"/>
          <w:u w:val="single" w:color="auto"/>
          <w:color w:val="auto"/>
        </w:rPr>
        <w:t>Section 5.13(a)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the following percentages with respect to such Portfolio Investment:</w:t>
      </w:r>
    </w:p>
    <w:p>
      <w:pPr>
        <w:spacing w:after="0" w:line="193" w:lineRule="exact"/>
        <w:rPr>
          <w:sz w:val="20"/>
          <w:szCs w:val="20"/>
          <w:color w:val="auto"/>
        </w:rPr>
      </w:pPr>
    </w:p>
    <w:tbl>
      <w:tblPr>
        <w:tblLayout w:type="fixed"/>
        <w:tblInd w:w="1320" w:type="dxa"/>
        <w:tblCellMar>
          <w:top w:w="0" w:type="dxa"/>
          <w:left w:w="0" w:type="dxa"/>
          <w:bottom w:w="0" w:type="dxa"/>
          <w:right w:w="0" w:type="dxa"/>
        </w:tblCellMar>
      </w:tblPr>
      <w:tr>
        <w:trPr>
          <w:trHeight w:val="167"/>
        </w:trPr>
        <w:tc>
          <w:tcPr>
            <w:tcW w:w="2400" w:type="dxa"/>
            <w:vAlign w:val="bottom"/>
          </w:tcPr>
          <w:p>
            <w:pPr>
              <w:spacing w:after="0"/>
              <w:rPr>
                <w:sz w:val="14"/>
                <w:szCs w:val="14"/>
                <w:color w:val="auto"/>
              </w:rPr>
            </w:pPr>
          </w:p>
        </w:tc>
        <w:tc>
          <w:tcPr>
            <w:tcW w:w="4100" w:type="dxa"/>
            <w:vAlign w:val="bottom"/>
            <w:gridSpan w:val="2"/>
          </w:tcPr>
          <w:p>
            <w:pPr>
              <w:spacing w:after="0"/>
              <w:rPr>
                <w:sz w:val="20"/>
                <w:szCs w:val="20"/>
                <w:color w:val="auto"/>
              </w:rPr>
            </w:pPr>
            <w:r>
              <w:rPr>
                <w:rFonts w:ascii="Arial" w:cs="Arial" w:eastAsia="Arial" w:hAnsi="Arial"/>
                <w:sz w:val="14"/>
                <w:szCs w:val="14"/>
                <w:color w:val="auto"/>
              </w:rPr>
              <w:t>Portfolio Investment</w:t>
            </w:r>
          </w:p>
        </w:tc>
        <w:tc>
          <w:tcPr>
            <w:tcW w:w="1080" w:type="dxa"/>
            <w:vAlign w:val="bottom"/>
            <w:gridSpan w:val="2"/>
          </w:tcPr>
          <w:p>
            <w:pPr>
              <w:jc w:val="right"/>
              <w:ind w:right="640"/>
              <w:spacing w:after="0"/>
              <w:rPr>
                <w:sz w:val="20"/>
                <w:szCs w:val="20"/>
                <w:color w:val="auto"/>
              </w:rPr>
            </w:pPr>
            <w:r>
              <w:rPr>
                <w:rFonts w:ascii="Arial" w:cs="Arial" w:eastAsia="Arial" w:hAnsi="Arial"/>
                <w:sz w:val="14"/>
                <w:szCs w:val="14"/>
                <w:color w:val="auto"/>
                <w:w w:val="91"/>
              </w:rPr>
              <w:t>Quoted</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92"/>
              </w:rPr>
              <w:t>Unquoted</w:t>
            </w:r>
          </w:p>
        </w:tc>
      </w:tr>
      <w:tr>
        <w:trPr>
          <w:trHeight w:val="20"/>
        </w:trPr>
        <w:tc>
          <w:tcPr>
            <w:tcW w:w="24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65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Cash Equivalents and Short-Term U.S. Government Securities</w:t>
            </w:r>
          </w:p>
        </w:tc>
        <w:tc>
          <w:tcPr>
            <w:tcW w:w="108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7"/>
                <w:szCs w:val="17"/>
                <w:color w:val="auto"/>
              </w:rPr>
            </w:pPr>
          </w:p>
        </w:tc>
      </w:tr>
      <w:tr>
        <w:trPr>
          <w:trHeight w:val="216"/>
        </w:trPr>
        <w:tc>
          <w:tcPr>
            <w:tcW w:w="6500" w:type="dxa"/>
            <w:vAlign w:val="bottom"/>
            <w:gridSpan w:val="3"/>
          </w:tcPr>
          <w:p>
            <w:pPr>
              <w:spacing w:after="0"/>
              <w:rPr>
                <w:sz w:val="20"/>
                <w:szCs w:val="20"/>
                <w:color w:val="auto"/>
              </w:rPr>
            </w:pPr>
            <w:r>
              <w:rPr>
                <w:rFonts w:ascii="Arial" w:cs="Arial" w:eastAsia="Arial" w:hAnsi="Arial"/>
                <w:sz w:val="18"/>
                <w:szCs w:val="18"/>
                <w:color w:val="auto"/>
              </w:rPr>
              <w:t>Long-Term U.S. Government Securities</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95%</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Performing First Lien Bank Loans</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r>
      <w:tr>
        <w:trPr>
          <w:trHeight w:val="216"/>
        </w:trPr>
        <w:tc>
          <w:tcPr>
            <w:tcW w:w="6500" w:type="dxa"/>
            <w:vAlign w:val="bottom"/>
            <w:gridSpan w:val="3"/>
          </w:tcPr>
          <w:p>
            <w:pPr>
              <w:spacing w:after="0"/>
              <w:rPr>
                <w:sz w:val="20"/>
                <w:szCs w:val="20"/>
                <w:color w:val="auto"/>
              </w:rPr>
            </w:pPr>
            <w:r>
              <w:rPr>
                <w:rFonts w:ascii="Arial" w:cs="Arial" w:eastAsia="Arial" w:hAnsi="Arial"/>
                <w:sz w:val="18"/>
                <w:szCs w:val="18"/>
                <w:color w:val="auto"/>
              </w:rPr>
              <w:t>Performing Unitranche Loans</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80%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216"/>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Performing Second Lien Bank Loans</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r>
      <w:tr>
        <w:trPr>
          <w:trHeight w:val="216"/>
        </w:trPr>
        <w:tc>
          <w:tcPr>
            <w:tcW w:w="6500" w:type="dxa"/>
            <w:vAlign w:val="bottom"/>
            <w:gridSpan w:val="3"/>
          </w:tcPr>
          <w:p>
            <w:pPr>
              <w:spacing w:after="0"/>
              <w:rPr>
                <w:sz w:val="20"/>
                <w:szCs w:val="20"/>
                <w:color w:val="auto"/>
              </w:rPr>
            </w:pPr>
            <w:r>
              <w:rPr>
                <w:rFonts w:ascii="Arial" w:cs="Arial" w:eastAsia="Arial" w:hAnsi="Arial"/>
                <w:sz w:val="18"/>
                <w:szCs w:val="18"/>
                <w:color w:val="auto"/>
              </w:rPr>
              <w:t>Performing Cash Pay High Yield Securities</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70%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r>
      <w:tr>
        <w:trPr>
          <w:trHeight w:val="216"/>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Performing Cash Pay Mezzanine Investments</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6500" w:type="dxa"/>
            <w:vAlign w:val="bottom"/>
            <w:gridSpan w:val="3"/>
          </w:tcPr>
          <w:p>
            <w:pPr>
              <w:spacing w:after="0"/>
              <w:rPr>
                <w:sz w:val="20"/>
                <w:szCs w:val="20"/>
                <w:color w:val="auto"/>
              </w:rPr>
            </w:pPr>
            <w:r>
              <w:rPr>
                <w:rFonts w:ascii="Arial" w:cs="Arial" w:eastAsia="Arial" w:hAnsi="Arial"/>
                <w:sz w:val="18"/>
                <w:szCs w:val="18"/>
                <w:color w:val="auto"/>
              </w:rPr>
              <w:t>Performing Non-Cash Pay High Yield Securities</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60%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Performing Non-Cash Pay Mezzanine Investments</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r>
      <w:tr>
        <w:trPr>
          <w:trHeight w:val="216"/>
        </w:trPr>
        <w:tc>
          <w:tcPr>
            <w:tcW w:w="6500" w:type="dxa"/>
            <w:vAlign w:val="bottom"/>
            <w:gridSpan w:val="3"/>
          </w:tcPr>
          <w:p>
            <w:pPr>
              <w:spacing w:after="0"/>
              <w:rPr>
                <w:sz w:val="20"/>
                <w:szCs w:val="20"/>
                <w:color w:val="auto"/>
              </w:rPr>
            </w:pPr>
            <w:r>
              <w:rPr>
                <w:rFonts w:ascii="Arial" w:cs="Arial" w:eastAsia="Arial" w:hAnsi="Arial"/>
                <w:sz w:val="18"/>
                <w:szCs w:val="18"/>
                <w:color w:val="auto"/>
              </w:rPr>
              <w:t>Non-Performing First Lien Bank Loans</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45%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16"/>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Non-Performing Unitranche Loans</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6500" w:type="dxa"/>
            <w:vAlign w:val="bottom"/>
            <w:gridSpan w:val="3"/>
          </w:tcPr>
          <w:p>
            <w:pPr>
              <w:spacing w:after="0"/>
              <w:rPr>
                <w:sz w:val="20"/>
                <w:szCs w:val="20"/>
                <w:color w:val="auto"/>
              </w:rPr>
            </w:pPr>
            <w:r>
              <w:rPr>
                <w:rFonts w:ascii="Arial" w:cs="Arial" w:eastAsia="Arial" w:hAnsi="Arial"/>
                <w:sz w:val="18"/>
                <w:szCs w:val="18"/>
                <w:color w:val="auto"/>
              </w:rPr>
              <w:t>Non-Performing Second Lien Bank Loans</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40%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Non-Performing High Yield Securities</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6500" w:type="dxa"/>
            <w:vAlign w:val="bottom"/>
            <w:gridSpan w:val="3"/>
          </w:tcPr>
          <w:p>
            <w:pPr>
              <w:spacing w:after="0"/>
              <w:rPr>
                <w:sz w:val="20"/>
                <w:szCs w:val="20"/>
                <w:color w:val="auto"/>
              </w:rPr>
            </w:pPr>
            <w:r>
              <w:rPr>
                <w:rFonts w:ascii="Arial" w:cs="Arial" w:eastAsia="Arial" w:hAnsi="Arial"/>
                <w:sz w:val="18"/>
                <w:szCs w:val="18"/>
                <w:color w:val="auto"/>
              </w:rPr>
              <w:t>Non-Performing Mezzanine Investments</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30%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Performing Common Equity</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6500" w:type="dxa"/>
            <w:vAlign w:val="bottom"/>
            <w:gridSpan w:val="3"/>
          </w:tcPr>
          <w:p>
            <w:pPr>
              <w:spacing w:after="0"/>
              <w:rPr>
                <w:sz w:val="20"/>
                <w:szCs w:val="20"/>
                <w:color w:val="auto"/>
              </w:rPr>
            </w:pPr>
            <w:r>
              <w:rPr>
                <w:rFonts w:ascii="Arial" w:cs="Arial" w:eastAsia="Arial" w:hAnsi="Arial"/>
                <w:sz w:val="18"/>
                <w:szCs w:val="18"/>
                <w:color w:val="auto"/>
              </w:rPr>
              <w:t>Non-Performing Common Equity</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Structured Finance Obligations and Finance Leases</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jc w:val="both"/>
        <w:ind w:right="52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 Loans</w:t>
      </w:r>
      <w:r>
        <w:rPr>
          <w:rFonts w:ascii="Arial" w:cs="Arial" w:eastAsia="Arial" w:hAnsi="Arial"/>
          <w:sz w:val="16"/>
          <w:szCs w:val="16"/>
          <w:color w:val="auto"/>
        </w:rPr>
        <w:t>” means debt obligations (including term loans, notes, revolving loans, debtor-in-possession financings, the funded and unfunded portion of revolving credit lines and letter of credit facilities and other similar loans and investments including interim loans and senior subordinated loans) which are generally under a loan or credit facility (whether or not syndicated) or note purchase agreement.</w:t>
      </w:r>
    </w:p>
    <w:p>
      <w:pPr>
        <w:spacing w:after="0" w:line="149" w:lineRule="exact"/>
        <w:rPr>
          <w:sz w:val="20"/>
          <w:szCs w:val="20"/>
          <w:color w:val="auto"/>
        </w:rPr>
      </w:pPr>
    </w:p>
    <w:p>
      <w:pPr>
        <w:ind w:right="1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Stock</w:t>
      </w:r>
      <w:r>
        <w:rPr>
          <w:rFonts w:ascii="Arial" w:cs="Arial" w:eastAsia="Arial" w:hAnsi="Arial"/>
          <w:sz w:val="16"/>
          <w:szCs w:val="16"/>
          <w:color w:val="auto"/>
        </w:rPr>
        <w:t>” of any Person means any and all shares of corporate stock (however designated) of and any and all other Equity Interests and participations representing ownership interests (including membership interests and limited liability company interests) in, such Person.</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Bank Loan</w:t>
      </w:r>
      <w:r>
        <w:rPr>
          <w:rFonts w:ascii="Arial" w:cs="Arial" w:eastAsia="Arial" w:hAnsi="Arial"/>
          <w:sz w:val="18"/>
          <w:szCs w:val="18"/>
          <w:color w:val="auto"/>
        </w:rPr>
        <w:t>” means a Bank Loan that is entitled to the benefit of a first lien and first priority perfected security interest (subject to Liens for “ABL” revolvers and customary encumbrances) on a substantial portion of the assets of the respective borrower and guarantors obligated in respect thereof. For the avoidance of doubt, an Obligor’s investment in the “first-out” portion (as defined in the definition of Unitranche Loan) of a First Lien Bank Loan shall be treated as a First Lien Bank Loan for purposes of determining the applicable Advance Rate for such portion of such Portfolio Investment.</w:t>
      </w:r>
    </w:p>
    <w:p>
      <w:pPr>
        <w:spacing w:after="0" w:line="188"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 Yield Securities</w:t>
      </w:r>
      <w:r>
        <w:rPr>
          <w:rFonts w:ascii="Arial" w:cs="Arial" w:eastAsia="Arial" w:hAnsi="Arial"/>
          <w:sz w:val="18"/>
          <w:szCs w:val="18"/>
          <w:color w:val="auto"/>
        </w:rPr>
        <w:t>” means debt Securities and Preferred Stock, in each case (a) issued by public or private issuers, (b) issued pursuant to an effective registration statement or pursuant to Rule 144A under the Securities Act (or any successor provision thereunder) or other exemption to the Securities Act and (c) that are not Cash Equivalents, Mezzanine Investments or Bank Loans.</w:t>
      </w:r>
    </w:p>
    <w:p>
      <w:pPr>
        <w:spacing w:after="0" w:line="116"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97</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27" w:name="page128"/>
    <w:bookmarkEnd w:id="127"/>
    <w:p>
      <w:pPr>
        <w:ind w:right="3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Long-Term U.S. Government Securities</w:t>
      </w:r>
      <w:r>
        <w:rPr>
          <w:rFonts w:ascii="Arial" w:cs="Arial" w:eastAsia="Arial" w:hAnsi="Arial"/>
          <w:sz w:val="18"/>
          <w:szCs w:val="18"/>
          <w:color w:val="auto"/>
        </w:rPr>
        <w:t>” means U.S. Government Securities maturing more than one year from the applicable date of determination.</w:t>
      </w:r>
    </w:p>
    <w:p>
      <w:pPr>
        <w:spacing w:after="0" w:line="170"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Mezzanine Investments</w:t>
      </w:r>
      <w:r>
        <w:rPr>
          <w:rFonts w:ascii="Arial" w:cs="Arial" w:eastAsia="Arial" w:hAnsi="Arial"/>
          <w:sz w:val="18"/>
          <w:szCs w:val="18"/>
          <w:color w:val="auto"/>
        </w:rPr>
        <w:t>” means debt Securities (including convertible debt Securities (other than the “in-the-money” equity component thereof)) and Preferred Stock in each case (a) issued by public or private issuers, (b) issued without registration under the Securities Act, (c) not issued pursuant to Rule 144A under the Securities Act (or any successor provision thereunder), (d) that are not Cash Equivalents and (e) contractually subordinated in right of payment to other debt of the same issuer.</w:t>
      </w:r>
    </w:p>
    <w:p>
      <w:pPr>
        <w:spacing w:after="0" w:line="187" w:lineRule="exact"/>
        <w:rPr>
          <w:sz w:val="20"/>
          <w:szCs w:val="20"/>
          <w:color w:val="auto"/>
        </w:rPr>
      </w:pPr>
    </w:p>
    <w:p>
      <w:pPr>
        <w:ind w:right="8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Common Equity</w:t>
      </w:r>
      <w:r>
        <w:rPr>
          <w:rFonts w:ascii="Arial" w:cs="Arial" w:eastAsia="Arial" w:hAnsi="Arial"/>
          <w:sz w:val="18"/>
          <w:szCs w:val="18"/>
          <w:color w:val="auto"/>
        </w:rPr>
        <w:t>” means Capital Stock (other than Preferred Stock) and warrants of an issuer having any debt outstanding that is non-Performing.</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First Lien Bank Loans</w:t>
      </w:r>
      <w:r>
        <w:rPr>
          <w:rFonts w:ascii="Arial" w:cs="Arial" w:eastAsia="Arial" w:hAnsi="Arial"/>
          <w:sz w:val="18"/>
          <w:szCs w:val="18"/>
          <w:color w:val="auto"/>
        </w:rPr>
        <w:t>” means First Lien Bank Loans other than Performing First Lien Bank Loans.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High Yield Securities</w:t>
      </w:r>
      <w:r>
        <w:rPr>
          <w:rFonts w:ascii="Arial" w:cs="Arial" w:eastAsia="Arial" w:hAnsi="Arial"/>
          <w:sz w:val="18"/>
          <w:szCs w:val="18"/>
          <w:color w:val="auto"/>
        </w:rPr>
        <w:t>” means High Yield Securities other than Performing High Yield Securities.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Mezzanine Investments</w:t>
      </w:r>
      <w:r>
        <w:rPr>
          <w:rFonts w:ascii="Arial" w:cs="Arial" w:eastAsia="Arial" w:hAnsi="Arial"/>
          <w:sz w:val="18"/>
          <w:szCs w:val="18"/>
          <w:color w:val="auto"/>
        </w:rPr>
        <w:t>” means Mezzanine Investments other than Performing Mezzanine Investments.</w:t>
      </w:r>
    </w:p>
    <w:p>
      <w:pPr>
        <w:spacing w:after="0" w:line="22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Portfolio Investment</w:t>
      </w:r>
      <w:r>
        <w:rPr>
          <w:rFonts w:ascii="Arial" w:cs="Arial" w:eastAsia="Arial" w:hAnsi="Arial"/>
          <w:sz w:val="18"/>
          <w:szCs w:val="18"/>
          <w:color w:val="auto"/>
        </w:rPr>
        <w:t>” means Portfolio Investments for which the issuer is, at the time of determination, in default of any payment obligations of principal or interest in respect thereof after the expiration of any applicable grace period.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Second Lien Bank Loans</w:t>
      </w:r>
      <w:r>
        <w:rPr>
          <w:rFonts w:ascii="Arial" w:cs="Arial" w:eastAsia="Arial" w:hAnsi="Arial"/>
          <w:sz w:val="18"/>
          <w:szCs w:val="18"/>
          <w:color w:val="auto"/>
        </w:rPr>
        <w:t>” means Second Lien Bank Loans other than Performing Second Lien Bank Loans.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Unitranche Loans</w:t>
      </w:r>
      <w:r>
        <w:rPr>
          <w:rFonts w:ascii="Arial" w:cs="Arial" w:eastAsia="Arial" w:hAnsi="Arial"/>
          <w:sz w:val="18"/>
          <w:szCs w:val="18"/>
          <w:color w:val="auto"/>
        </w:rPr>
        <w:t>” means Unitranche Loans other than Performing Unitranche Loans.</w:t>
      </w:r>
    </w:p>
    <w:p>
      <w:pPr>
        <w:spacing w:after="0" w:line="225"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w:t>
      </w:r>
      <w:r>
        <w:rPr>
          <w:rFonts w:ascii="Arial" w:cs="Arial" w:eastAsia="Arial" w:hAnsi="Arial"/>
          <w:sz w:val="18"/>
          <w:szCs w:val="18"/>
          <w:color w:val="auto"/>
        </w:rPr>
        <w:t>” means (a) with respect to any Portfolio Investment that is debt (or any other debt), the issuer of such Portfolio Investment (or other debt) is, at the time of determination, not in default of any payment obligations of principal or interest in respect thereof after the receipt of any notice and/or expiration of any applicable grace period and (b) with respect to any Portfolio Investment that is Preferred Stock, the issuer of such Portfolio Investment has not failed to meet any scheduled redemption obligations or to pay its latest declared cash dividend, after the expiration of any applicable grace period.</w:t>
      </w:r>
    </w:p>
    <w:p>
      <w:pPr>
        <w:spacing w:after="0" w:line="188"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Cash Pay High Yield Securities</w:t>
      </w:r>
      <w:r>
        <w:rPr>
          <w:rFonts w:ascii="Arial" w:cs="Arial" w:eastAsia="Arial" w:hAnsi="Arial"/>
          <w:sz w:val="18"/>
          <w:szCs w:val="18"/>
          <w:color w:val="auto"/>
        </w:rPr>
        <w:t>” means High Yield Securities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16"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98</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28" w:name="page129"/>
    <w:bookmarkEnd w:id="128"/>
    <w:p>
      <w:pPr>
        <w:jc w:val="both"/>
        <w:ind w:right="10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Performing Cash Pay Mezzanine Investments</w:t>
      </w:r>
      <w:r>
        <w:rPr>
          <w:rFonts w:ascii="Arial" w:cs="Arial" w:eastAsia="Arial" w:hAnsi="Arial"/>
          <w:sz w:val="18"/>
          <w:szCs w:val="18"/>
          <w:color w:val="auto"/>
        </w:rPr>
        <w:t>” means Mezzanine Investments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Performing Common Equity</w:t>
      </w:r>
      <w:r>
        <w:rPr>
          <w:rFonts w:ascii="Arial" w:cs="Arial" w:eastAsia="Arial" w:hAnsi="Arial"/>
          <w:sz w:val="16"/>
          <w:szCs w:val="16"/>
          <w:color w:val="auto"/>
        </w:rPr>
        <w:t>” means Capital Stock (other than Preferred Stock) and warrants of an issuer all of whose outstanding debt 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Performing.</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First Lien Bank Loans</w:t>
      </w:r>
      <w:r>
        <w:rPr>
          <w:rFonts w:ascii="Arial" w:cs="Arial" w:eastAsia="Arial" w:hAnsi="Arial"/>
          <w:sz w:val="18"/>
          <w:szCs w:val="18"/>
          <w:color w:val="auto"/>
        </w:rPr>
        <w:t>” means First Lien Bank Loans which are Performing.</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Performing Non-Cash Pay High Yield Securities</w:t>
      </w:r>
      <w:r>
        <w:rPr>
          <w:rFonts w:ascii="Arial" w:cs="Arial" w:eastAsia="Arial" w:hAnsi="Arial"/>
          <w:sz w:val="16"/>
          <w:szCs w:val="16"/>
          <w:color w:val="auto"/>
        </w:rPr>
        <w:t>” means Performing High Yield Securities other than Performing Cash Pay High Yield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11" w:lineRule="exact"/>
        <w:rPr>
          <w:sz w:val="20"/>
          <w:szCs w:val="20"/>
          <w:color w:val="auto"/>
        </w:rPr>
      </w:pPr>
    </w:p>
    <w:p>
      <w:pPr>
        <w:ind w:right="7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Non-Cash Pay Mezzanine Investments</w:t>
      </w:r>
      <w:r>
        <w:rPr>
          <w:rFonts w:ascii="Arial" w:cs="Arial" w:eastAsia="Arial" w:hAnsi="Arial"/>
          <w:sz w:val="18"/>
          <w:szCs w:val="18"/>
          <w:color w:val="auto"/>
        </w:rPr>
        <w:t>” means Performing Mezzanine Investments other than Performing Cash Pay Mezzanine Investments.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Second Lien Bank Loans</w:t>
      </w:r>
      <w:r>
        <w:rPr>
          <w:rFonts w:ascii="Arial" w:cs="Arial" w:eastAsia="Arial" w:hAnsi="Arial"/>
          <w:sz w:val="18"/>
          <w:szCs w:val="18"/>
          <w:color w:val="auto"/>
        </w:rPr>
        <w:t>” means Second Lien Bank Loans which are Performing.</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Unitranche Loans</w:t>
      </w:r>
      <w:r>
        <w:rPr>
          <w:rFonts w:ascii="Arial" w:cs="Arial" w:eastAsia="Arial" w:hAnsi="Arial"/>
          <w:sz w:val="18"/>
          <w:szCs w:val="18"/>
          <w:color w:val="auto"/>
        </w:rPr>
        <w:t>” means Unitranche Loans which are Performing.</w:t>
      </w:r>
    </w:p>
    <w:p>
      <w:pPr>
        <w:spacing w:after="0" w:line="225" w:lineRule="exact"/>
        <w:rPr>
          <w:sz w:val="20"/>
          <w:szCs w:val="20"/>
          <w:color w:val="auto"/>
        </w:rPr>
      </w:pPr>
    </w:p>
    <w:p>
      <w:pPr>
        <w:ind w:right="18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Preferred Stock</w:t>
      </w:r>
      <w:r>
        <w:rPr>
          <w:rFonts w:ascii="Arial" w:cs="Arial" w:eastAsia="Arial" w:hAnsi="Arial"/>
          <w:sz w:val="17"/>
          <w:szCs w:val="17"/>
          <w:color w:val="auto"/>
        </w:rPr>
        <w:t>,” as applied to the Capital Stock of any Person, means Capital Stock of such Person of any class or classes (however designated) that ranks prior, as to the payment of dividends or as to the distribution of assets upon any voluntary or involuntary liquidation, dissolution or winding up of such Person, to any shares (or other interests) of other Capital Stock of such Person, and shall include, without limitation, cumulative preferred, non-cumulative preferred, participating preferred and convertible preferred Capital Stock.</w:t>
      </w:r>
    </w:p>
    <w:p>
      <w:pPr>
        <w:spacing w:after="0" w:line="171" w:lineRule="exact"/>
        <w:rPr>
          <w:sz w:val="20"/>
          <w:szCs w:val="20"/>
          <w:color w:val="auto"/>
        </w:rPr>
      </w:pPr>
    </w:p>
    <w:p>
      <w:pPr>
        <w:ind w:right="8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Lien Bank Loan</w:t>
      </w:r>
      <w:r>
        <w:rPr>
          <w:rFonts w:ascii="Arial" w:cs="Arial" w:eastAsia="Arial" w:hAnsi="Arial"/>
          <w:sz w:val="17"/>
          <w:szCs w:val="17"/>
          <w:color w:val="auto"/>
        </w:rPr>
        <w:t>” means a Bank Loan that is entitled to the benefit of a second lien and second priority perfected security interest (subject to customary encumbrances) on specified assets of the respective borrower and guarantors obligated in respect thereof.</w:t>
      </w:r>
    </w:p>
    <w:p>
      <w:pPr>
        <w:spacing w:after="0" w:line="146"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common and preferred stock, units and participations, membership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 as amended.</w:t>
      </w:r>
    </w:p>
    <w:p>
      <w:pPr>
        <w:spacing w:after="0" w:line="225" w:lineRule="exact"/>
        <w:rPr>
          <w:sz w:val="20"/>
          <w:szCs w:val="20"/>
          <w:color w:val="auto"/>
        </w:rPr>
      </w:pPr>
    </w:p>
    <w:p>
      <w:pPr>
        <w:ind w:right="7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Short-Term U.S. Government Securities</w:t>
      </w:r>
      <w:r>
        <w:rPr>
          <w:rFonts w:ascii="Arial" w:cs="Arial" w:eastAsia="Arial" w:hAnsi="Arial"/>
          <w:sz w:val="18"/>
          <w:szCs w:val="18"/>
          <w:color w:val="auto"/>
        </w:rPr>
        <w:t>” means U.S. Government Securities maturing within one year of the applicable date of determination.</w:t>
      </w:r>
    </w:p>
    <w:p>
      <w:pPr>
        <w:spacing w:after="0" w:line="170"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Structured Finance Obligation</w:t>
      </w:r>
      <w:r>
        <w:rPr>
          <w:rFonts w:ascii="Arial" w:cs="Arial" w:eastAsia="Arial" w:hAnsi="Arial"/>
          <w:sz w:val="18"/>
          <w:szCs w:val="18"/>
          <w:color w:val="auto"/>
        </w:rPr>
        <w:t>” means any obligation issued by a special purpose vehicle and secured directly by, referenced to, or representing ownership of, a pool of receivables</w:t>
      </w:r>
    </w:p>
    <w:p>
      <w:pPr>
        <w:spacing w:after="0" w:line="103"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740" w:type="dxa"/>
            <w:vAlign w:val="bottom"/>
          </w:tcPr>
          <w:p>
            <w:pPr>
              <w:jc w:val="right"/>
              <w:ind w:right="1470"/>
              <w:spacing w:after="0"/>
              <w:rPr>
                <w:sz w:val="20"/>
                <w:szCs w:val="20"/>
                <w:color w:val="auto"/>
              </w:rPr>
            </w:pPr>
            <w:r>
              <w:rPr>
                <w:rFonts w:ascii="Arial" w:cs="Arial" w:eastAsia="Arial" w:hAnsi="Arial"/>
                <w:sz w:val="18"/>
                <w:szCs w:val="18"/>
                <w:color w:val="auto"/>
                <w:w w:val="79"/>
              </w:rPr>
              <w:t>99</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74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29" w:name="page130"/>
    <w:bookmarkEnd w:id="129"/>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other financial assets of any obligor, including collateralized debt obligations and mortgaged-backed securities. For the avoidance of doubt, if an obligation satisfies the definition of “Structured Finance Obligation”, such obligation shall not (a) qualify as any other category of Portfolio Investment and (b) be included in the Borrowing Base.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Unitranche Loan</w:t>
      </w:r>
      <w:r>
        <w:rPr>
          <w:rFonts w:ascii="Arial" w:cs="Arial" w:eastAsia="Arial" w:hAnsi="Arial"/>
          <w:sz w:val="18"/>
          <w:szCs w:val="18"/>
          <w:color w:val="auto"/>
        </w:rPr>
        <w:t>” means the “last-out” portion of a Bank Loan that is a First Lien Bank Loan, a portion of which is, in effect, subject to superpriority rights (the “first-out” portion) of other lenders with respect to such lenders’ right to receive distributions of collateral proceeds following an event of default (such portion, a “last-out” portion). An Obligor’s investment in the last-out portion shall be treated as a Unitranche Loan for purposes of determining the applicable Advance Rate for such Portfolio Investment under this Agreement.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w:t>
      </w:r>
      <w:r>
        <w:rPr>
          <w:rFonts w:ascii="Arial" w:cs="Arial" w:eastAsia="Arial" w:hAnsi="Arial"/>
          <w:sz w:val="18"/>
          <w:szCs w:val="18"/>
          <w:color w:val="auto"/>
        </w:rPr>
        <w:t>” means, with respect to any Portfolio Investment, the lower of:</w:t>
      </w:r>
    </w:p>
    <w:p>
      <w:pPr>
        <w:spacing w:after="0" w:line="117" w:lineRule="exact"/>
        <w:rPr>
          <w:sz w:val="20"/>
          <w:szCs w:val="20"/>
          <w:color w:val="auto"/>
        </w:rPr>
      </w:pPr>
    </w:p>
    <w:p>
      <w:pPr>
        <w:ind w:left="1200" w:hanging="341"/>
        <w:spacing w:after="0"/>
        <w:tabs>
          <w:tab w:leader="none" w:pos="12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the most recent internal market value as determined pursuant to </w:t>
      </w:r>
      <w:r>
        <w:rPr>
          <w:rFonts w:ascii="Arial" w:cs="Arial" w:eastAsia="Arial" w:hAnsi="Arial"/>
          <w:sz w:val="18"/>
          <w:szCs w:val="18"/>
          <w:u w:val="single" w:color="auto"/>
          <w:color w:val="auto"/>
        </w:rPr>
        <w:t>Section 5.12(b)(ii)(C)</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1260" w:hanging="401"/>
        <w:spacing w:after="0"/>
        <w:tabs>
          <w:tab w:leader="none" w:pos="12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the most recent external market value as determined pursuant to </w:t>
      </w:r>
      <w:r>
        <w:rPr>
          <w:rFonts w:ascii="Arial" w:cs="Arial" w:eastAsia="Arial" w:hAnsi="Arial"/>
          <w:sz w:val="18"/>
          <w:szCs w:val="18"/>
          <w:u w:val="single" w:color="auto"/>
          <w:color w:val="auto"/>
        </w:rPr>
        <w:t>Section 5.12(b)(ii)(A)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Until the Commitments have expired or terminated and the principal of and interest on each Loan and all fees payable hereunder have been paid in full and all Letters of Credit have expired, been terminated, Cash Collateralized or backstopped and all LC Disbursements shall have been reimbursed, the Borrower covenants and agrees with the Lenders that: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Indebtedness</w:t>
      </w:r>
      <w:r>
        <w:rPr>
          <w:rFonts w:ascii="Arial" w:cs="Arial" w:eastAsia="Arial" w:hAnsi="Arial"/>
          <w:sz w:val="17"/>
          <w:szCs w:val="17"/>
          <w:color w:val="auto"/>
        </w:rPr>
        <w:t xml:space="preserve">. Subject to the last sentence of this </w:t>
      </w:r>
      <w:r>
        <w:rPr>
          <w:rFonts w:ascii="Arial" w:cs="Arial" w:eastAsia="Arial" w:hAnsi="Arial"/>
          <w:sz w:val="17"/>
          <w:szCs w:val="17"/>
          <w:u w:val="single" w:color="auto"/>
          <w:color w:val="auto"/>
        </w:rPr>
        <w:t>Section 6.01</w:t>
      </w:r>
      <w:r>
        <w:rPr>
          <w:rFonts w:ascii="Arial" w:cs="Arial" w:eastAsia="Arial" w:hAnsi="Arial"/>
          <w:sz w:val="17"/>
          <w:szCs w:val="17"/>
          <w:color w:val="auto"/>
        </w:rPr>
        <w:t>, the Borrower will not nor will it permit any of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Subsidiaries to, create, incur, assume or permit to exist any Indebtedness, except:</w:t>
      </w:r>
    </w:p>
    <w:p>
      <w:pPr>
        <w:spacing w:after="0" w:line="103" w:lineRule="exact"/>
        <w:rPr>
          <w:sz w:val="20"/>
          <w:szCs w:val="20"/>
          <w:color w:val="auto"/>
        </w:rPr>
      </w:pPr>
    </w:p>
    <w:p>
      <w:pPr>
        <w:ind w:left="1360" w:hanging="373"/>
        <w:spacing w:after="0"/>
        <w:tabs>
          <w:tab w:leader="none" w:pos="13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Indebtedness created hereunder or under any other Loan Document;</w:t>
      </w:r>
    </w:p>
    <w:p>
      <w:pPr>
        <w:spacing w:after="0" w:line="117" w:lineRule="exact"/>
        <w:rPr>
          <w:rFonts w:ascii="Arial" w:cs="Arial" w:eastAsia="Arial" w:hAnsi="Arial"/>
          <w:sz w:val="18"/>
          <w:szCs w:val="18"/>
          <w:color w:val="auto"/>
        </w:rPr>
      </w:pPr>
    </w:p>
    <w:p>
      <w:pPr>
        <w:ind w:right="20" w:firstLine="987"/>
        <w:spacing w:after="0" w:line="296" w:lineRule="auto"/>
        <w:tabs>
          <w:tab w:leader="none" w:pos="1381"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Secured Longer-Term Indebtedness and Unsecured Longer-Term Indebtedness so long as (i) no Default or Event of Default exists at the time of the incurrence thereof, (ii) at the time of incurrence thereof, the aggregate amount of such Secured Longer-Term Indebtedness and Unsecured Longer-Term Indebtedness, taken together with other then-outstanding Indebtedness that constitutes senior securities, does not exceed the amount required to comply with the provisions of </w:t>
      </w:r>
      <w:r>
        <w:rPr>
          <w:rFonts w:ascii="Arial" w:cs="Arial" w:eastAsia="Arial" w:hAnsi="Arial"/>
          <w:sz w:val="16"/>
          <w:szCs w:val="16"/>
          <w:u w:val="single" w:color="auto"/>
          <w:color w:val="auto"/>
        </w:rPr>
        <w:t>Sections 6.07(c)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and (iii) prior to and immediately after giving effect to the incurrence of any Secured Longer-Term Indebtedness, the Covered Debt Amount does not or would not exceed the Borrowing Base then in effect;</w:t>
      </w:r>
    </w:p>
    <w:p>
      <w:pPr>
        <w:spacing w:after="0" w:line="53" w:lineRule="exact"/>
        <w:rPr>
          <w:rFonts w:ascii="Arial" w:cs="Arial" w:eastAsia="Arial" w:hAnsi="Arial"/>
          <w:sz w:val="16"/>
          <w:szCs w:val="16"/>
          <w:color w:val="auto"/>
        </w:rPr>
      </w:pPr>
    </w:p>
    <w:p>
      <w:pPr>
        <w:ind w:left="1360" w:hanging="373"/>
        <w:spacing w:after="0"/>
        <w:tabs>
          <w:tab w:leader="none" w:pos="13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Other Permitted Indebtedness;</w:t>
      </w:r>
    </w:p>
    <w:p>
      <w:pPr>
        <w:spacing w:after="0" w:line="158"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820" w:type="dxa"/>
            <w:vAlign w:val="bottom"/>
          </w:tcPr>
          <w:p>
            <w:pPr>
              <w:jc w:val="right"/>
              <w:ind w:right="1450"/>
              <w:spacing w:after="0"/>
              <w:rPr>
                <w:sz w:val="20"/>
                <w:szCs w:val="20"/>
                <w:color w:val="auto"/>
              </w:rPr>
            </w:pPr>
            <w:r>
              <w:rPr>
                <w:rFonts w:ascii="Arial" w:cs="Arial" w:eastAsia="Arial" w:hAnsi="Arial"/>
                <w:sz w:val="18"/>
                <w:szCs w:val="18"/>
                <w:color w:val="auto"/>
                <w:w w:val="86"/>
              </w:rPr>
              <w:t>100</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2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30" w:name="page131"/>
    <w:bookmarkEnd w:id="130"/>
    <w:p>
      <w:pPr>
        <w:ind w:left="1380" w:hanging="393"/>
        <w:spacing w:after="0"/>
        <w:tabs>
          <w:tab w:leader="none" w:pos="13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Indebtedness of Financing Subsidiaries;</w:t>
      </w:r>
    </w:p>
    <w:p>
      <w:pPr>
        <w:spacing w:after="0" w:line="117" w:lineRule="exact"/>
        <w:rPr>
          <w:rFonts w:ascii="Arial" w:cs="Arial" w:eastAsia="Arial" w:hAnsi="Arial"/>
          <w:sz w:val="18"/>
          <w:szCs w:val="18"/>
          <w:color w:val="auto"/>
        </w:rPr>
      </w:pPr>
    </w:p>
    <w:p>
      <w:pPr>
        <w:ind w:left="1360" w:hanging="373"/>
        <w:spacing w:after="0"/>
        <w:tabs>
          <w:tab w:leader="none" w:pos="13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repurchase obligations arising in the ordinary course of business with respect to U.S. Government Securities;</w:t>
      </w:r>
    </w:p>
    <w:p>
      <w:pPr>
        <w:spacing w:after="0" w:line="117" w:lineRule="exact"/>
        <w:rPr>
          <w:rFonts w:ascii="Arial" w:cs="Arial" w:eastAsia="Arial" w:hAnsi="Arial"/>
          <w:sz w:val="18"/>
          <w:szCs w:val="18"/>
          <w:color w:val="auto"/>
        </w:rPr>
      </w:pPr>
    </w:p>
    <w:p>
      <w:pPr>
        <w:ind w:left="1340" w:hanging="353"/>
        <w:spacing w:after="0"/>
        <w:tabs>
          <w:tab w:leader="none" w:pos="13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obligations payable to clearing agencies, brokers or dealers in connection with the purchase or sale of securities in the ordinary course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business;</w:t>
      </w:r>
    </w:p>
    <w:p>
      <w:pPr>
        <w:spacing w:after="0" w:line="103" w:lineRule="exact"/>
        <w:rPr>
          <w:sz w:val="20"/>
          <w:szCs w:val="20"/>
          <w:color w:val="auto"/>
        </w:rPr>
      </w:pPr>
    </w:p>
    <w:p>
      <w:pPr>
        <w:ind w:right="100" w:firstLine="987"/>
        <w:spacing w:after="0" w:line="255" w:lineRule="auto"/>
        <w:tabs>
          <w:tab w:leader="none" w:pos="138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Secured Shorter-Term Indebtedness and Unsecured Shorter-Term Indebtedness so long as (i) no Default or Event of Default exists at the time of the incurrence thereof, (ii) at the time of incurrence thereof, the aggregate amount (determined at the time of the incurrence of such Indebtedness) of such Indebtedness does not exceed 5% of Borrower Net Worth, (iii) the aggregate amount of such Indebtedness, taken together with other then-outstanding Indebtedness that constitutes senior securities, does not exceed the amount required to comply with the provisions of </w:t>
      </w:r>
      <w:r>
        <w:rPr>
          <w:rFonts w:ascii="Arial" w:cs="Arial" w:eastAsia="Arial" w:hAnsi="Arial"/>
          <w:sz w:val="18"/>
          <w:szCs w:val="18"/>
          <w:u w:val="single" w:color="auto"/>
          <w:color w:val="auto"/>
        </w:rPr>
        <w:t>Sections 6.07(c)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and (iv) prior to and immediately after giving effect to the incurrence of any such Indebtedness, the Covered Debt Amount does not or would not exceed the Borrowing Base then in effect;</w:t>
      </w:r>
    </w:p>
    <w:p>
      <w:pPr>
        <w:spacing w:after="0" w:line="84" w:lineRule="exact"/>
        <w:rPr>
          <w:rFonts w:ascii="Arial" w:cs="Arial" w:eastAsia="Arial" w:hAnsi="Arial"/>
          <w:sz w:val="18"/>
          <w:szCs w:val="18"/>
          <w:color w:val="auto"/>
        </w:rPr>
      </w:pPr>
    </w:p>
    <w:p>
      <w:pPr>
        <w:ind w:left="1380" w:hanging="393"/>
        <w:spacing w:after="0"/>
        <w:tabs>
          <w:tab w:leader="none" w:pos="13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obligations (including Guarantees) in respect of Standard Securitization Undertakings;</w:t>
      </w:r>
    </w:p>
    <w:p>
      <w:pPr>
        <w:spacing w:after="0" w:line="117" w:lineRule="exact"/>
        <w:rPr>
          <w:rFonts w:ascii="Arial" w:cs="Arial" w:eastAsia="Arial" w:hAnsi="Arial"/>
          <w:sz w:val="18"/>
          <w:szCs w:val="18"/>
          <w:color w:val="auto"/>
        </w:rPr>
      </w:pPr>
    </w:p>
    <w:p>
      <w:pPr>
        <w:ind w:left="1340" w:hanging="353"/>
        <w:spacing w:after="0"/>
        <w:tabs>
          <w:tab w:leader="none" w:pos="13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Permitted SBIC Guarantees and any SBIC Equity Commitment or analogous commitment;</w:t>
      </w:r>
    </w:p>
    <w:p>
      <w:pPr>
        <w:spacing w:after="0" w:line="117" w:lineRule="exact"/>
        <w:rPr>
          <w:rFonts w:ascii="Arial" w:cs="Arial" w:eastAsia="Arial" w:hAnsi="Arial"/>
          <w:sz w:val="18"/>
          <w:szCs w:val="18"/>
          <w:color w:val="auto"/>
        </w:rPr>
      </w:pPr>
    </w:p>
    <w:p>
      <w:pPr>
        <w:ind w:right="160" w:firstLine="987"/>
        <w:spacing w:after="0" w:line="296" w:lineRule="auto"/>
        <w:tabs>
          <w:tab w:leader="none" w:pos="1341"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Special Permitted Indebtedness so long as (i) no Default exists at the time of the incurrence thereof, (ii) the aggregate amount (determined at the time of the incurrence of such Indebtedness) of such Indebtedness does not exceed $150,000,000, (iii) at the time of incurrence thereof, the aggregate amount of such Indebtedness, taken together with other then-outstanding Indebtedness that constitutes senior securities, does not exceed the amount required to comply with the provisions of </w:t>
      </w:r>
      <w:r>
        <w:rPr>
          <w:rFonts w:ascii="Arial" w:cs="Arial" w:eastAsia="Arial" w:hAnsi="Arial"/>
          <w:sz w:val="16"/>
          <w:szCs w:val="16"/>
          <w:u w:val="single" w:color="auto"/>
          <w:color w:val="auto"/>
        </w:rPr>
        <w:t>Sections 6.07(c)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and (iv) prior to and immediately after giving effect to the incurrence of any such Indebtedness, the Covered Debt Amount does not or would not exceed the Borrowing Base then in effect;</w:t>
      </w:r>
    </w:p>
    <w:p>
      <w:pPr>
        <w:spacing w:after="0" w:line="53" w:lineRule="exact"/>
        <w:rPr>
          <w:rFonts w:ascii="Arial" w:cs="Arial" w:eastAsia="Arial" w:hAnsi="Arial"/>
          <w:sz w:val="16"/>
          <w:szCs w:val="16"/>
          <w:color w:val="auto"/>
        </w:rPr>
      </w:pPr>
    </w:p>
    <w:p>
      <w:pPr>
        <w:ind w:right="60" w:firstLine="987"/>
        <w:spacing w:after="0" w:line="255" w:lineRule="auto"/>
        <w:tabs>
          <w:tab w:leader="none" w:pos="138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Permitted Amortizing Unsecured Longer-Term Indebtedness constituting Unsecured Longer-Term Indebtedness so long as (i) no Default exists at the time of the incurrence thereof, (ii) the aggregate amount (determined at the time of the incurrence of such Indebtedness) of such Indebtedness does not exceed $150,000,000, (iii) at the time of incurrence thereof, the aggregate amount of such Indebtedness, taken together with other then-outstanding Indebtedness that constitutes senior securities, does not exceed the amount required to comply with the provisions of </w:t>
      </w:r>
      <w:r>
        <w:rPr>
          <w:rFonts w:ascii="Arial" w:cs="Arial" w:eastAsia="Arial" w:hAnsi="Arial"/>
          <w:sz w:val="18"/>
          <w:szCs w:val="18"/>
          <w:u w:val="single" w:color="auto"/>
          <w:color w:val="auto"/>
        </w:rPr>
        <w:t>Sections 6.07(c)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and (iv) prior to and immediately after giving effect to the incurrence of any such Indebtedness, the Covered Debt Amount does not or would not exceed the Borrowing Base then in effect;</w:t>
      </w:r>
    </w:p>
    <w:p>
      <w:pPr>
        <w:spacing w:after="0" w:line="84" w:lineRule="exact"/>
        <w:rPr>
          <w:rFonts w:ascii="Arial" w:cs="Arial" w:eastAsia="Arial" w:hAnsi="Arial"/>
          <w:sz w:val="18"/>
          <w:szCs w:val="18"/>
          <w:color w:val="auto"/>
        </w:rPr>
      </w:pPr>
    </w:p>
    <w:p>
      <w:pPr>
        <w:ind w:left="1340" w:hanging="353"/>
        <w:spacing w:after="0"/>
        <w:tabs>
          <w:tab w:leader="none" w:pos="13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other Indebtedness not to exceed $10,000,000 in the aggregate at any time; and</w:t>
      </w:r>
    </w:p>
    <w:p>
      <w:pPr>
        <w:spacing w:after="0" w:line="117" w:lineRule="exact"/>
        <w:rPr>
          <w:rFonts w:ascii="Arial" w:cs="Arial" w:eastAsia="Arial" w:hAnsi="Arial"/>
          <w:sz w:val="18"/>
          <w:szCs w:val="18"/>
          <w:color w:val="auto"/>
        </w:rPr>
      </w:pPr>
    </w:p>
    <w:p>
      <w:pPr>
        <w:ind w:left="1420" w:hanging="433"/>
        <w:spacing w:after="0"/>
        <w:tabs>
          <w:tab w:leader="none" w:pos="14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guarantees of other Indebtedness otherwise permitted hereunder.</w:t>
      </w:r>
    </w:p>
    <w:p>
      <w:pPr>
        <w:spacing w:after="0" w:line="158"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820" w:type="dxa"/>
            <w:vAlign w:val="bottom"/>
          </w:tcPr>
          <w:p>
            <w:pPr>
              <w:jc w:val="right"/>
              <w:ind w:right="1450"/>
              <w:spacing w:after="0"/>
              <w:rPr>
                <w:sz w:val="20"/>
                <w:szCs w:val="20"/>
                <w:color w:val="auto"/>
              </w:rPr>
            </w:pPr>
            <w:r>
              <w:rPr>
                <w:rFonts w:ascii="Arial" w:cs="Arial" w:eastAsia="Arial" w:hAnsi="Arial"/>
                <w:sz w:val="18"/>
                <w:szCs w:val="18"/>
                <w:color w:val="auto"/>
                <w:w w:val="86"/>
              </w:rPr>
              <w:t>101</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2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31" w:name="page132"/>
    <w:bookmarkEnd w:id="131"/>
    <w:p>
      <w:pPr>
        <w:ind w:left="4" w:right="2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the foregoing provisions of this Section, the Borrower will not nor will it permit any of its Subsidiaries to, create, incur, assume or permit to exist any additional Indebtedness (other than Indebtedness permitted under </w:t>
      </w:r>
      <w:r>
        <w:rPr>
          <w:rFonts w:ascii="Arial" w:cs="Arial" w:eastAsia="Arial" w:hAnsi="Arial"/>
          <w:sz w:val="18"/>
          <w:szCs w:val="18"/>
          <w:u w:val="single" w:color="auto"/>
          <w:color w:val="auto"/>
        </w:rPr>
        <w:t>clauses (c)</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 xml:space="preserve">) unless, after giving effect to such Indebtedness, (x) Shareholders’ Equity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Secured Longer-Term Indebtedness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Unsecured Longer-Term Indebtedness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aggregate undrawn commitments with terms in excess of sixth months exceeds (y) the Value of the Portfolio Investments that cannot be converted to Cash in fewer than 10 Business Days without more than a 5% change in price.</w:t>
      </w:r>
    </w:p>
    <w:p>
      <w:pPr>
        <w:spacing w:after="0" w:line="188" w:lineRule="exact"/>
        <w:rPr>
          <w:sz w:val="20"/>
          <w:szCs w:val="20"/>
          <w:color w:val="auto"/>
        </w:rPr>
      </w:pPr>
    </w:p>
    <w:p>
      <w:pPr>
        <w:ind w:left="4" w:right="40" w:firstLine="991"/>
        <w:spacing w:after="0" w:line="263"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The Borrower will not, nor will it permit any of its Subsidiaries to, create, incur, assume or permit to exist any Lien on any property or asset now owned or hereafter acquired by it, or assign or sell any income or revenues (including accounts receivable) or rights in respect of any thereof except:</w:t>
      </w:r>
    </w:p>
    <w:p>
      <w:pPr>
        <w:spacing w:after="0" w:line="76" w:lineRule="exact"/>
        <w:rPr>
          <w:sz w:val="20"/>
          <w:szCs w:val="20"/>
          <w:color w:val="auto"/>
        </w:rPr>
      </w:pPr>
    </w:p>
    <w:p>
      <w:pPr>
        <w:ind w:left="4" w:right="100" w:firstLine="987"/>
        <w:spacing w:after="0" w:line="291" w:lineRule="auto"/>
        <w:tabs>
          <w:tab w:leader="none" w:pos="1375" w:val="left"/>
        </w:tabs>
        <w:numPr>
          <w:ilvl w:val="1"/>
          <w:numId w:val="150"/>
        </w:numPr>
        <w:rPr>
          <w:rFonts w:ascii="Arial" w:cs="Arial" w:eastAsia="Arial" w:hAnsi="Arial"/>
          <w:sz w:val="16"/>
          <w:szCs w:val="16"/>
          <w:color w:val="auto"/>
        </w:rPr>
      </w:pPr>
      <w:r>
        <w:rPr>
          <w:rFonts w:ascii="Arial" w:cs="Arial" w:eastAsia="Arial" w:hAnsi="Arial"/>
          <w:sz w:val="16"/>
          <w:szCs w:val="16"/>
          <w:color w:val="auto"/>
        </w:rPr>
        <w:t xml:space="preserve">any Lien on any property or asset of the Borrower or any Subsidiary existing on the Second Amendment Effective Date and set forth in </w:t>
      </w:r>
      <w:r>
        <w:rPr>
          <w:rFonts w:ascii="Arial" w:cs="Arial" w:eastAsia="Arial" w:hAnsi="Arial"/>
          <w:sz w:val="16"/>
          <w:szCs w:val="16"/>
          <w:u w:val="single" w:color="auto"/>
          <w:color w:val="auto"/>
        </w:rPr>
        <w:t>Part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3.11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such Lien shall extend to any other property or asset of the Borrower or any of its Subsidiaries, and</w:t>
      </w:r>
    </w:p>
    <w:p>
      <w:pPr>
        <w:ind w:left="4" w:right="800" w:hanging="4"/>
        <w:spacing w:after="0" w:line="260" w:lineRule="auto"/>
        <w:tabs>
          <w:tab w:leader="none" w:pos="26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such Lien shall secure only those obligations which it secures on the Second Amendment Effective Date and extensions, renewals and replacements thereof that do not increase the outstanding principal amount thereof;</w:t>
      </w:r>
    </w:p>
    <w:p>
      <w:pPr>
        <w:spacing w:after="0" w:line="77" w:lineRule="exact"/>
        <w:rPr>
          <w:rFonts w:ascii="Arial" w:cs="Arial" w:eastAsia="Arial" w:hAnsi="Arial"/>
          <w:sz w:val="18"/>
          <w:szCs w:val="18"/>
          <w:color w:val="auto"/>
        </w:rPr>
      </w:pPr>
    </w:p>
    <w:p>
      <w:pPr>
        <w:ind w:left="4" w:right="120" w:firstLine="987"/>
        <w:spacing w:after="0" w:line="277" w:lineRule="auto"/>
        <w:tabs>
          <w:tab w:leader="none" w:pos="1385"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Liens created pursuant to this Agreement (including </w:t>
      </w:r>
      <w:r>
        <w:rPr>
          <w:rFonts w:ascii="Arial" w:cs="Arial" w:eastAsia="Arial" w:hAnsi="Arial"/>
          <w:sz w:val="18"/>
          <w:szCs w:val="18"/>
          <w:u w:val="single" w:color="auto"/>
          <w:color w:val="auto"/>
        </w:rPr>
        <w:t>Section 2.19</w:t>
      </w:r>
      <w:r>
        <w:rPr>
          <w:rFonts w:ascii="Arial" w:cs="Arial" w:eastAsia="Arial" w:hAnsi="Arial"/>
          <w:sz w:val="18"/>
          <w:szCs w:val="18"/>
          <w:color w:val="auto"/>
        </w:rPr>
        <w:t>) or any of the Security Documents (including Liens in favor of the Designated Indebtedness Holders (as defined in the Guarantee and Security Agreement));</w:t>
      </w:r>
    </w:p>
    <w:p>
      <w:pPr>
        <w:spacing w:after="0" w:line="62" w:lineRule="exact"/>
        <w:rPr>
          <w:rFonts w:ascii="Arial" w:cs="Arial" w:eastAsia="Arial" w:hAnsi="Arial"/>
          <w:sz w:val="18"/>
          <w:szCs w:val="18"/>
          <w:color w:val="auto"/>
        </w:rPr>
      </w:pPr>
    </w:p>
    <w:p>
      <w:pPr>
        <w:ind w:left="1364" w:hanging="373"/>
        <w:spacing w:after="0"/>
        <w:tabs>
          <w:tab w:leader="none" w:pos="136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Liens on the assets of a Financing Subsidiary securing obligations of such Financing Subsidiary;</w:t>
      </w:r>
    </w:p>
    <w:p>
      <w:pPr>
        <w:spacing w:after="0" w:line="117" w:lineRule="exact"/>
        <w:rPr>
          <w:rFonts w:ascii="Arial" w:cs="Arial" w:eastAsia="Arial" w:hAnsi="Arial"/>
          <w:sz w:val="18"/>
          <w:szCs w:val="18"/>
          <w:color w:val="auto"/>
        </w:rPr>
      </w:pPr>
    </w:p>
    <w:p>
      <w:pPr>
        <w:ind w:left="4" w:right="100" w:firstLine="987"/>
        <w:spacing w:after="0" w:line="277" w:lineRule="auto"/>
        <w:tabs>
          <w:tab w:leader="none" w:pos="1385" w:val="left"/>
        </w:tabs>
        <w:numPr>
          <w:ilvl w:val="1"/>
          <w:numId w:val="151"/>
        </w:numPr>
        <w:rPr>
          <w:rFonts w:ascii="Arial" w:cs="Arial" w:eastAsia="Arial" w:hAnsi="Arial"/>
          <w:sz w:val="18"/>
          <w:szCs w:val="18"/>
          <w:color w:val="auto"/>
        </w:rPr>
      </w:pPr>
      <w:r>
        <w:rPr>
          <w:rFonts w:ascii="Arial" w:cs="Arial" w:eastAsia="Arial" w:hAnsi="Arial"/>
          <w:sz w:val="18"/>
          <w:szCs w:val="18"/>
          <w:color w:val="auto"/>
        </w:rPr>
        <w:t>Liens on Special Equity Interests included in the Portfolio Investments of the Borrower but only to the extent securing obligations in the manner provided in the definition of “</w:t>
      </w:r>
      <w:r>
        <w:rPr>
          <w:rFonts w:ascii="Arial" w:cs="Arial" w:eastAsia="Arial" w:hAnsi="Arial"/>
          <w:sz w:val="18"/>
          <w:szCs w:val="18"/>
          <w:u w:val="single" w:color="auto"/>
          <w:color w:val="auto"/>
        </w:rPr>
        <w:t>Special Equity Interests</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 w:right="240" w:firstLine="987"/>
        <w:spacing w:after="0" w:line="275" w:lineRule="auto"/>
        <w:tabs>
          <w:tab w:leader="none" w:pos="1375" w:val="left"/>
        </w:tabs>
        <w:numPr>
          <w:ilvl w:val="1"/>
          <w:numId w:val="151"/>
        </w:numPr>
        <w:rPr>
          <w:rFonts w:ascii="Arial" w:cs="Arial" w:eastAsia="Arial" w:hAnsi="Arial"/>
          <w:sz w:val="17"/>
          <w:szCs w:val="17"/>
          <w:color w:val="auto"/>
        </w:rPr>
      </w:pPr>
      <w:r>
        <w:rPr>
          <w:rFonts w:ascii="Arial" w:cs="Arial" w:eastAsia="Arial" w:hAnsi="Arial"/>
          <w:sz w:val="17"/>
          <w:szCs w:val="17"/>
          <w:color w:val="auto"/>
        </w:rPr>
        <w:t xml:space="preserve">Liens securing Indebtedness or other obligations in an aggregate principal amount not exceeding $12,500,000 at any one time outstanding (which may cover Portfolio Investments, but only to the extent released from the Lien in favor of the Collateral Agent in accordance with the requirements of Section 10.03 of the Guarantee and Security Agreement), so long as at the time of incurrence of such Indebtedness or other obligations, the aggregate amount of Indebtedness permitted under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does not exceed the lesser of (i) the Borrowing Base and (ii) the amount required to comply with the provisions of </w:t>
      </w:r>
      <w:r>
        <w:rPr>
          <w:rFonts w:ascii="Arial" w:cs="Arial" w:eastAsia="Arial" w:hAnsi="Arial"/>
          <w:sz w:val="17"/>
          <w:szCs w:val="17"/>
          <w:u w:val="single" w:color="auto"/>
          <w:color w:val="auto"/>
        </w:rPr>
        <w:t>Sections 6.07(c)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1344" w:hanging="353"/>
        <w:spacing w:after="0"/>
        <w:tabs>
          <w:tab w:leader="none" w:pos="134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17" w:lineRule="exact"/>
        <w:rPr>
          <w:rFonts w:ascii="Arial" w:cs="Arial" w:eastAsia="Arial" w:hAnsi="Arial"/>
          <w:sz w:val="18"/>
          <w:szCs w:val="18"/>
          <w:color w:val="auto"/>
        </w:rPr>
      </w:pPr>
    </w:p>
    <w:p>
      <w:pPr>
        <w:ind w:left="1384" w:hanging="393"/>
        <w:spacing w:after="0"/>
        <w:tabs>
          <w:tab w:leader="none" w:pos="138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Liens on Equity Interests in any SBIC Subsidiary created in favor of the SBA or its designee;</w:t>
      </w:r>
    </w:p>
    <w:p>
      <w:pPr>
        <w:spacing w:after="0" w:line="117" w:lineRule="exact"/>
        <w:rPr>
          <w:rFonts w:ascii="Arial" w:cs="Arial" w:eastAsia="Arial" w:hAnsi="Arial"/>
          <w:sz w:val="18"/>
          <w:szCs w:val="18"/>
          <w:color w:val="auto"/>
        </w:rPr>
      </w:pPr>
    </w:p>
    <w:p>
      <w:pPr>
        <w:ind w:left="1384" w:hanging="393"/>
        <w:spacing w:after="0"/>
        <w:tabs>
          <w:tab w:leader="none" w:pos="1384" w:val="left"/>
        </w:tabs>
        <w:numPr>
          <w:ilvl w:val="1"/>
          <w:numId w:val="151"/>
        </w:numPr>
        <w:rPr>
          <w:rFonts w:ascii="Arial" w:cs="Arial" w:eastAsia="Arial" w:hAnsi="Arial"/>
          <w:sz w:val="17"/>
          <w:szCs w:val="17"/>
          <w:color w:val="auto"/>
        </w:rPr>
      </w:pPr>
      <w:r>
        <w:rPr>
          <w:rFonts w:ascii="Arial" w:cs="Arial" w:eastAsia="Arial" w:hAnsi="Arial"/>
          <w:sz w:val="17"/>
          <w:szCs w:val="17"/>
          <w:color w:val="auto"/>
        </w:rPr>
        <w:t xml:space="preserve">Liens securing Hedging Agreements permitted under </w:t>
      </w:r>
      <w:r>
        <w:rPr>
          <w:rFonts w:ascii="Arial" w:cs="Arial" w:eastAsia="Arial" w:hAnsi="Arial"/>
          <w:sz w:val="17"/>
          <w:szCs w:val="17"/>
          <w:u w:val="single" w:color="auto"/>
          <w:color w:val="auto"/>
        </w:rPr>
        <w:t>Section 6.04(c)</w:t>
      </w:r>
      <w:r>
        <w:rPr>
          <w:rFonts w:ascii="Arial" w:cs="Arial" w:eastAsia="Arial" w:hAnsi="Arial"/>
          <w:sz w:val="17"/>
          <w:szCs w:val="17"/>
          <w:color w:val="auto"/>
        </w:rPr>
        <w:t xml:space="preserve"> and not otherwise permitted under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above; and</w:t>
      </w:r>
    </w:p>
    <w:p>
      <w:pPr>
        <w:spacing w:after="0" w:line="169"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820" w:type="dxa"/>
            <w:vAlign w:val="bottom"/>
          </w:tcPr>
          <w:p>
            <w:pPr>
              <w:jc w:val="right"/>
              <w:ind w:right="1450"/>
              <w:spacing w:after="0"/>
              <w:rPr>
                <w:sz w:val="20"/>
                <w:szCs w:val="20"/>
                <w:color w:val="auto"/>
              </w:rPr>
            </w:pPr>
            <w:r>
              <w:rPr>
                <w:rFonts w:ascii="Arial" w:cs="Arial" w:eastAsia="Arial" w:hAnsi="Arial"/>
                <w:sz w:val="18"/>
                <w:szCs w:val="18"/>
                <w:color w:val="auto"/>
                <w:w w:val="86"/>
              </w:rPr>
              <w:t>102</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2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132" w:name="page133"/>
    <w:bookmarkEnd w:id="132"/>
    <w:p>
      <w:pPr>
        <w:ind w:left="1340" w:hanging="353"/>
        <w:spacing w:after="0"/>
        <w:tabs>
          <w:tab w:leader="none" w:pos="1340" w:val="left"/>
        </w:tabs>
        <w:numPr>
          <w:ilvl w:val="0"/>
          <w:numId w:val="1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 securing repurchase obligations arising in the ordinary course of business with respect to U.S. Government Securities.</w:t>
      </w:r>
    </w:p>
    <w:p>
      <w:pPr>
        <w:spacing w:after="0" w:line="237" w:lineRule="exact"/>
        <w:rPr>
          <w:sz w:val="20"/>
          <w:szCs w:val="20"/>
          <w:color w:val="auto"/>
        </w:rPr>
      </w:pPr>
    </w:p>
    <w:p>
      <w:pPr>
        <w:ind w:right="40" w:firstLine="991"/>
        <w:spacing w:after="0" w:line="269"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Fundamental Changes</w:t>
      </w:r>
      <w:r>
        <w:rPr>
          <w:rFonts w:ascii="Arial" w:cs="Arial" w:eastAsia="Arial" w:hAnsi="Arial"/>
          <w:sz w:val="17"/>
          <w:szCs w:val="17"/>
          <w:color w:val="auto"/>
        </w:rPr>
        <w:t xml:space="preserve">. The Borrower will not, nor will it permit any of its Subsidiaries (other than Financing Subsidiaries or Immaterial Subsidiaries) to, enter into any transaction of merger or consolidation or amalgamation, or liquidate, wind up or dissolve itself (or suffer any liquidation or dissolution). The Borrower will not, nor will it permit any of its Subsidiaries (other than Financing Subsidiaries) to, acquire any business or property from, or capital stock of, or be a party to any acquisition of, any Person, except for purchases or acquisitions of Portfolio Investments and other assets in the normal course of the day-to-day business activities of the Borrower and its Subsidiaries and not in violation of the terms and conditions of this Agreement or any other Loan Document. The Borrower will not, nor will it permit any of its Subsidiaries (other than Financing Subsidiaries or Immaterial Subsidiaries) to, convey, sell, lease, transfer or otherwise dispose of, in one transaction or a series of transactions, any part of its assets, whether now owned or hereafter acquired, but excluding (x) assets (other than Portfolio Investments) sold or disposed of in the ordinary course of business (including to make expenditures of cash in the normal course of the day-to-day business activities of the Borrower and its Subsidiaries) and (y) subject to the provisions of </w:t>
      </w:r>
      <w:r>
        <w:rPr>
          <w:rFonts w:ascii="Arial" w:cs="Arial" w:eastAsia="Arial" w:hAnsi="Arial"/>
          <w:sz w:val="17"/>
          <w:szCs w:val="17"/>
          <w:u w:val="single" w:color="auto"/>
          <w:color w:val="auto"/>
        </w:rPr>
        <w:t>clauses (d)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w:t>
      </w:r>
      <w:r>
        <w:rPr>
          <w:rFonts w:ascii="Arial" w:cs="Arial" w:eastAsia="Arial" w:hAnsi="Arial"/>
          <w:sz w:val="17"/>
          <w:szCs w:val="17"/>
          <w:color w:val="auto"/>
        </w:rPr>
        <w:t xml:space="preserve"> below, Portfolio Investments.</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Notwithstanding the foregoing provisions of this Section:</w:t>
      </w:r>
    </w:p>
    <w:p>
      <w:pPr>
        <w:spacing w:after="0" w:line="117" w:lineRule="exact"/>
        <w:rPr>
          <w:sz w:val="20"/>
          <w:szCs w:val="20"/>
          <w:color w:val="auto"/>
        </w:rPr>
      </w:pPr>
    </w:p>
    <w:p>
      <w:pPr>
        <w:ind w:right="160" w:firstLine="987"/>
        <w:spacing w:after="0" w:line="263" w:lineRule="auto"/>
        <w:tabs>
          <w:tab w:leader="none" w:pos="137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any Subsidiary Guarantor of the Borrower may be merged or consolidated with or into the Borrower or any other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transaction shall be between a Subsidiary Guarantor and a wholly owned Subsidiary Guarantor, the wholly owned Subsidiary Guarantor shall be the continuing or surviving corporation;</w:t>
      </w:r>
    </w:p>
    <w:p>
      <w:pPr>
        <w:spacing w:after="0" w:line="75" w:lineRule="exact"/>
        <w:rPr>
          <w:rFonts w:ascii="Arial" w:cs="Arial" w:eastAsia="Arial" w:hAnsi="Arial"/>
          <w:sz w:val="18"/>
          <w:szCs w:val="18"/>
          <w:color w:val="auto"/>
        </w:rPr>
      </w:pPr>
    </w:p>
    <w:p>
      <w:pPr>
        <w:ind w:right="100" w:firstLine="987"/>
        <w:spacing w:after="0" w:line="277" w:lineRule="auto"/>
        <w:tabs>
          <w:tab w:leader="none" w:pos="138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Subsidiary of the Borrower may sell, lease, transfer or otherwise dispose of any or all of its assets (upon voluntary liquidation or otherwise) to the Borrower or any wholly owned Subsidiary Guarantor of the Borrower;</w:t>
      </w:r>
    </w:p>
    <w:p>
      <w:pPr>
        <w:spacing w:after="0" w:line="62" w:lineRule="exact"/>
        <w:rPr>
          <w:rFonts w:ascii="Arial" w:cs="Arial" w:eastAsia="Arial" w:hAnsi="Arial"/>
          <w:sz w:val="18"/>
          <w:szCs w:val="18"/>
          <w:color w:val="auto"/>
        </w:rPr>
      </w:pPr>
    </w:p>
    <w:p>
      <w:pPr>
        <w:ind w:right="160" w:firstLine="987"/>
        <w:spacing w:after="0" w:line="277" w:lineRule="auto"/>
        <w:tabs>
          <w:tab w:leader="none" w:pos="137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capital stock of any Subsidiary of the Borrower may be sold, transferred or otherwise disposed of to the Borrower or any wholly owned Subsidiary Guarantor of the Borrower;</w:t>
      </w:r>
    </w:p>
    <w:p>
      <w:pPr>
        <w:spacing w:after="0" w:line="62" w:lineRule="exact"/>
        <w:rPr>
          <w:rFonts w:ascii="Arial" w:cs="Arial" w:eastAsia="Arial" w:hAnsi="Arial"/>
          <w:sz w:val="18"/>
          <w:szCs w:val="18"/>
          <w:color w:val="auto"/>
        </w:rPr>
      </w:pPr>
    </w:p>
    <w:p>
      <w:pPr>
        <w:ind w:right="220" w:firstLine="987"/>
        <w:spacing w:after="0" w:line="279" w:lineRule="auto"/>
        <w:tabs>
          <w:tab w:leader="none" w:pos="1381"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Obligors may sell, transfer or otherwise dispose of Portfolio Investments (other than to a Financing Subsidiary) so long as after giving effect to such sale, transfer or other disposition (and any concurrent acquisitions of Portfolio Investments or payment of outstanding Loans or Other Covered Indebtedness) either (x) the Covered Debt Amount does not exceed the Borrowing Base or (y) if the Administrative Agent consents in writing, the amount by which the Covered Debt Amount exceeds the Borrowing Base is reduced thereby;</w:t>
      </w:r>
    </w:p>
    <w:p>
      <w:pPr>
        <w:spacing w:after="0" w:line="63" w:lineRule="exact"/>
        <w:rPr>
          <w:rFonts w:ascii="Arial" w:cs="Arial" w:eastAsia="Arial" w:hAnsi="Arial"/>
          <w:sz w:val="17"/>
          <w:szCs w:val="17"/>
          <w:color w:val="auto"/>
        </w:rPr>
      </w:pPr>
    </w:p>
    <w:p>
      <w:pPr>
        <w:ind w:right="140" w:firstLine="987"/>
        <w:spacing w:after="0" w:line="255" w:lineRule="auto"/>
        <w:tabs>
          <w:tab w:leader="none" w:pos="137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Obligors may sell, transfer or otherwise dispose of Portfolio Investments to a Financing Subsidiary so long as (i) after giving effect to such sale, transfer or other disposition (and any concurrent acquisitions of Portfolio Investments or payment of outstanding Loans or Other Covered Indebtedness) the Covered Debt Amount does not exceed the Borrowing Base and the Borrower delivers to the Administrative Agent a certificate of a Financial Officer to such effect and (ii) either (x) the amount by which the Borrowing Base exceeds the Covered Debt Amount immediately prior to such release is not diminished as a result of such release or (y) the Borrowing Base immediately after giving effect to such release is at least 110% of the Covered Debt Amount;</w:t>
      </w:r>
    </w:p>
    <w:p>
      <w:pPr>
        <w:spacing w:after="0" w:line="125"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820" w:type="dxa"/>
            <w:vAlign w:val="bottom"/>
          </w:tcPr>
          <w:p>
            <w:pPr>
              <w:jc w:val="right"/>
              <w:ind w:right="1450"/>
              <w:spacing w:after="0"/>
              <w:rPr>
                <w:sz w:val="20"/>
                <w:szCs w:val="20"/>
                <w:color w:val="auto"/>
              </w:rPr>
            </w:pPr>
            <w:r>
              <w:rPr>
                <w:rFonts w:ascii="Arial" w:cs="Arial" w:eastAsia="Arial" w:hAnsi="Arial"/>
                <w:sz w:val="18"/>
                <w:szCs w:val="18"/>
                <w:color w:val="auto"/>
                <w:w w:val="86"/>
              </w:rPr>
              <w:t>103</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2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33" w:name="page134"/>
    <w:bookmarkEnd w:id="133"/>
    <w:p>
      <w:pPr>
        <w:ind w:left="4" w:right="420" w:firstLine="987"/>
        <w:spacing w:after="0" w:line="291" w:lineRule="auto"/>
        <w:tabs>
          <w:tab w:leader="none" w:pos="1355" w:val="left"/>
        </w:tabs>
        <w:numPr>
          <w:ilvl w:val="1"/>
          <w:numId w:val="1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Borrower may merge or consolidate with any other Person so long as (i) after giving effect thereto, the Borrower is (x) the continuing or surviving entity in such transaction and (y) organized under the laws of any State in the United States or the District of Columbia and</w:t>
      </w:r>
    </w:p>
    <w:p>
      <w:pPr>
        <w:ind w:left="264" w:hanging="264"/>
        <w:spacing w:after="0"/>
        <w:tabs>
          <w:tab w:leader="none" w:pos="26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at the time thereof and after giving effect thereto, no Default shall have occurred or be continuing;</w:t>
      </w:r>
    </w:p>
    <w:p>
      <w:pPr>
        <w:spacing w:after="0" w:line="102" w:lineRule="exact"/>
        <w:rPr>
          <w:rFonts w:ascii="Arial" w:cs="Arial" w:eastAsia="Arial" w:hAnsi="Arial"/>
          <w:sz w:val="18"/>
          <w:szCs w:val="18"/>
          <w:color w:val="auto"/>
        </w:rPr>
      </w:pPr>
    </w:p>
    <w:p>
      <w:pPr>
        <w:jc w:val="both"/>
        <w:ind w:left="4" w:right="240" w:firstLine="987"/>
        <w:spacing w:after="0" w:line="263" w:lineRule="auto"/>
        <w:tabs>
          <w:tab w:leader="none" w:pos="1385"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Borrower and its Subsidiaries may sell, lease, transfer or otherwise dispose of equipment or other property or assets that do not consist of Portfolio Investments so long as the aggregate amount of all such sales, leases, transfer and dispositions does not exceed $7,500,000 in any fiscal year; and</w:t>
      </w:r>
    </w:p>
    <w:p>
      <w:pPr>
        <w:spacing w:after="0" w:line="75" w:lineRule="exact"/>
        <w:rPr>
          <w:rFonts w:ascii="Arial" w:cs="Arial" w:eastAsia="Arial" w:hAnsi="Arial"/>
          <w:sz w:val="18"/>
          <w:szCs w:val="18"/>
          <w:color w:val="auto"/>
        </w:rPr>
      </w:pPr>
    </w:p>
    <w:p>
      <w:pPr>
        <w:ind w:left="4" w:right="180" w:firstLine="987"/>
        <w:spacing w:after="0" w:line="296" w:lineRule="auto"/>
        <w:tabs>
          <w:tab w:leader="none" w:pos="1385" w:val="left"/>
        </w:tabs>
        <w:numPr>
          <w:ilvl w:val="1"/>
          <w:numId w:val="155"/>
        </w:numPr>
        <w:rPr>
          <w:rFonts w:ascii="Arial" w:cs="Arial" w:eastAsia="Arial" w:hAnsi="Arial"/>
          <w:sz w:val="16"/>
          <w:szCs w:val="16"/>
          <w:color w:val="auto"/>
        </w:rPr>
      </w:pPr>
      <w:r>
        <w:rPr>
          <w:rFonts w:ascii="Arial" w:cs="Arial" w:eastAsia="Arial" w:hAnsi="Arial"/>
          <w:sz w:val="16"/>
          <w:szCs w:val="16"/>
          <w:color w:val="auto"/>
        </w:rPr>
        <w:t>the Obligors may transfer assets to a Financing Subsidiary for the sole purpose of facilitating the transfer of assets from one Financing Subsidiary (or a Subsidiary that was a Financing Subsidiary immediately prior to such disposition) to another Financing Subsidiary, directly or indirectly through such Obligor (such assets, the “</w:t>
      </w:r>
      <w:r>
        <w:rPr>
          <w:rFonts w:ascii="Arial" w:cs="Arial" w:eastAsia="Arial" w:hAnsi="Arial"/>
          <w:sz w:val="16"/>
          <w:szCs w:val="16"/>
          <w:u w:val="single" w:color="auto"/>
          <w:color w:val="auto"/>
        </w:rPr>
        <w:t>Transferred Assets</w:t>
      </w:r>
      <w:r>
        <w:rPr>
          <w:rFonts w:ascii="Arial" w:cs="Arial" w:eastAsia="Arial" w:hAnsi="Arial"/>
          <w:sz w:val="16"/>
          <w:szCs w:val="16"/>
          <w:color w:val="auto"/>
        </w:rPr>
        <w:t>”), provided that (i) no Default exists or is continuing at such time, (ii) the Covered Debt Amount shall not exceed the Borrowing Base at such time and (iii) the Transferred Assets were transferred to such Obligor by the transferor Financing Subsidiary on the same Business Day that such assets are transferred by such Obligor to the transferee Financing Subsidiary.</w:t>
      </w:r>
    </w:p>
    <w:p>
      <w:pPr>
        <w:spacing w:after="0" w:line="161"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Investments</w:t>
      </w:r>
      <w:r>
        <w:rPr>
          <w:rFonts w:ascii="Arial" w:cs="Arial" w:eastAsia="Arial" w:hAnsi="Arial"/>
          <w:sz w:val="16"/>
          <w:szCs w:val="16"/>
          <w:color w:val="auto"/>
        </w:rPr>
        <w:t>. The Borrower will not, nor will it permit any of its Subsidiaries to, acquire, make or enter into, or hold, any</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Investments except:</w:t>
      </w:r>
    </w:p>
    <w:p>
      <w:pPr>
        <w:spacing w:after="0" w:line="103" w:lineRule="exact"/>
        <w:rPr>
          <w:sz w:val="20"/>
          <w:szCs w:val="20"/>
          <w:color w:val="auto"/>
        </w:rPr>
      </w:pPr>
    </w:p>
    <w:p>
      <w:pPr>
        <w:ind w:left="1364" w:hanging="373"/>
        <w:spacing w:after="0"/>
        <w:tabs>
          <w:tab w:leader="none" w:pos="136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operating deposit accounts with banks;</w:t>
      </w:r>
    </w:p>
    <w:p>
      <w:pPr>
        <w:spacing w:after="0" w:line="117" w:lineRule="exact"/>
        <w:rPr>
          <w:rFonts w:ascii="Arial" w:cs="Arial" w:eastAsia="Arial" w:hAnsi="Arial"/>
          <w:sz w:val="18"/>
          <w:szCs w:val="18"/>
          <w:color w:val="auto"/>
        </w:rPr>
      </w:pPr>
    </w:p>
    <w:p>
      <w:pPr>
        <w:ind w:left="1384" w:hanging="393"/>
        <w:spacing w:after="0"/>
        <w:tabs>
          <w:tab w:leader="none" w:pos="138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Investments by the Borrower and the Subsidiary Guarantors in the Borrower and the Subsidiary Guarantors;</w:t>
      </w:r>
    </w:p>
    <w:p>
      <w:pPr>
        <w:spacing w:after="0" w:line="117" w:lineRule="exact"/>
        <w:rPr>
          <w:rFonts w:ascii="Arial" w:cs="Arial" w:eastAsia="Arial" w:hAnsi="Arial"/>
          <w:sz w:val="18"/>
          <w:szCs w:val="18"/>
          <w:color w:val="auto"/>
        </w:rPr>
      </w:pPr>
    </w:p>
    <w:p>
      <w:pPr>
        <w:ind w:left="1364" w:hanging="373"/>
        <w:spacing w:after="0"/>
        <w:tabs>
          <w:tab w:leader="none" w:pos="1364" w:val="left"/>
        </w:tabs>
        <w:numPr>
          <w:ilvl w:val="1"/>
          <w:numId w:val="156"/>
        </w:numPr>
        <w:rPr>
          <w:rFonts w:ascii="Arial" w:cs="Arial" w:eastAsia="Arial" w:hAnsi="Arial"/>
          <w:sz w:val="17"/>
          <w:szCs w:val="17"/>
          <w:color w:val="auto"/>
        </w:rPr>
      </w:pPr>
      <w:r>
        <w:rPr>
          <w:rFonts w:ascii="Arial" w:cs="Arial" w:eastAsia="Arial" w:hAnsi="Arial"/>
          <w:sz w:val="17"/>
          <w:szCs w:val="17"/>
          <w:color w:val="auto"/>
        </w:rPr>
        <w:t>Hedging Agreements entered into in the ordinary course of the Borrower’s financial planning and not for speculative purposes;</w:t>
      </w:r>
    </w:p>
    <w:p>
      <w:pPr>
        <w:spacing w:after="0" w:line="128" w:lineRule="exact"/>
        <w:rPr>
          <w:rFonts w:ascii="Arial" w:cs="Arial" w:eastAsia="Arial" w:hAnsi="Arial"/>
          <w:sz w:val="17"/>
          <w:szCs w:val="17"/>
          <w:color w:val="auto"/>
        </w:rPr>
      </w:pPr>
    </w:p>
    <w:p>
      <w:pPr>
        <w:ind w:left="4" w:right="140" w:firstLine="987"/>
        <w:spacing w:after="0" w:line="263" w:lineRule="auto"/>
        <w:tabs>
          <w:tab w:leader="none" w:pos="1385" w:val="left"/>
        </w:tabs>
        <w:numPr>
          <w:ilvl w:val="1"/>
          <w:numId w:val="156"/>
        </w:numPr>
        <w:rPr>
          <w:rFonts w:ascii="Arial" w:cs="Arial" w:eastAsia="Arial" w:hAnsi="Arial"/>
          <w:sz w:val="18"/>
          <w:szCs w:val="18"/>
          <w:color w:val="auto"/>
        </w:rPr>
      </w:pPr>
      <w:r>
        <w:rPr>
          <w:rFonts w:ascii="Arial" w:cs="Arial" w:eastAsia="Arial" w:hAnsi="Arial"/>
          <w:sz w:val="18"/>
          <w:szCs w:val="18"/>
          <w:color w:val="auto"/>
        </w:rPr>
        <w:t>Portfolio Investments by the Borrower and its Subsidiaries to the extent such Portfolio Investments are permitted under the Investment Company Act (if applicable) and in compliance in all material respects with the Borrower’s Investment Policies, in each case as in effect as of the date such Investments are acquired;</w:t>
      </w:r>
    </w:p>
    <w:p>
      <w:pPr>
        <w:spacing w:after="0" w:line="75" w:lineRule="exact"/>
        <w:rPr>
          <w:rFonts w:ascii="Arial" w:cs="Arial" w:eastAsia="Arial" w:hAnsi="Arial"/>
          <w:sz w:val="18"/>
          <w:szCs w:val="18"/>
          <w:color w:val="auto"/>
        </w:rPr>
      </w:pPr>
    </w:p>
    <w:p>
      <w:pPr>
        <w:ind w:left="4" w:right="40" w:firstLine="987"/>
        <w:spacing w:after="0" w:line="291" w:lineRule="auto"/>
        <w:tabs>
          <w:tab w:leader="none" w:pos="1375" w:val="left"/>
        </w:tabs>
        <w:numPr>
          <w:ilvl w:val="1"/>
          <w:numId w:val="156"/>
        </w:numPr>
        <w:rPr>
          <w:rFonts w:ascii="Arial" w:cs="Arial" w:eastAsia="Arial" w:hAnsi="Arial"/>
          <w:sz w:val="16"/>
          <w:szCs w:val="16"/>
          <w:color w:val="auto"/>
        </w:rPr>
      </w:pPr>
      <w:r>
        <w:rPr>
          <w:rFonts w:ascii="Arial" w:cs="Arial" w:eastAsia="Arial" w:hAnsi="Arial"/>
          <w:sz w:val="16"/>
          <w:szCs w:val="16"/>
          <w:color w:val="auto"/>
        </w:rPr>
        <w:t xml:space="preserve">Investments in Financing Subsidiaries so long as, (i) after giving effect to such Investment, the Covered Debt Amount does not exceed the Borrowing Base and (ii) the sum of (x) all Investments under this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that occur after the Extended Commitment Termination Date and</w:t>
      </w:r>
    </w:p>
    <w:p>
      <w:pPr>
        <w:ind w:left="4" w:right="20" w:hanging="4"/>
        <w:spacing w:after="0" w:line="255" w:lineRule="auto"/>
        <w:tabs>
          <w:tab w:leader="none" w:pos="25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all Investments under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below shall not exceed $7,500,000 in the aggregate (A) at any time there are any Non-Extending Lenders, from the Non-Extending Commitment Termination Date to the Non-Extending Final Maturity Date and (B) from the Extending Commitment Termination Date to the Extending Final Maturity Date;</w:t>
      </w:r>
    </w:p>
    <w:p>
      <w:pPr>
        <w:spacing w:after="0" w:line="122"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820" w:type="dxa"/>
            <w:vAlign w:val="bottom"/>
          </w:tcPr>
          <w:p>
            <w:pPr>
              <w:jc w:val="right"/>
              <w:ind w:right="1450"/>
              <w:spacing w:after="0"/>
              <w:rPr>
                <w:sz w:val="20"/>
                <w:szCs w:val="20"/>
                <w:color w:val="auto"/>
              </w:rPr>
            </w:pPr>
            <w:r>
              <w:rPr>
                <w:rFonts w:ascii="Arial" w:cs="Arial" w:eastAsia="Arial" w:hAnsi="Arial"/>
                <w:sz w:val="18"/>
                <w:szCs w:val="18"/>
                <w:color w:val="auto"/>
                <w:w w:val="86"/>
              </w:rPr>
              <w:t>104</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2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134" w:name="page135"/>
    <w:bookmarkEnd w:id="134"/>
    <w:p>
      <w:pPr>
        <w:jc w:val="both"/>
        <w:ind w:left="4" w:right="60" w:firstLine="987"/>
        <w:spacing w:after="0" w:line="259" w:lineRule="auto"/>
        <w:tabs>
          <w:tab w:leader="none" w:pos="1355" w:val="left"/>
        </w:tabs>
        <w:numPr>
          <w:ilvl w:val="0"/>
          <w:numId w:val="1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additional Investments up to but not exceeding $75,000,000 in the aggregate;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sum of all Investments under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shall not exceed $7,500,000 in the aggregate (x) at any time there are any Non-Extending Lenders, from the Non-Extending Commitment Termination Date to the Non-Extending Final Maturity Date and (y) from the Extending Commitment Termination Date to the Extending Final Maturity Date;</w:t>
      </w:r>
    </w:p>
    <w:p>
      <w:pPr>
        <w:spacing w:after="0" w:line="78" w:lineRule="exact"/>
        <w:rPr>
          <w:rFonts w:ascii="Arial" w:cs="Arial" w:eastAsia="Arial" w:hAnsi="Arial"/>
          <w:sz w:val="18"/>
          <w:szCs w:val="18"/>
          <w:color w:val="auto"/>
        </w:rPr>
      </w:pPr>
    </w:p>
    <w:p>
      <w:pPr>
        <w:ind w:left="1384" w:hanging="393"/>
        <w:spacing w:after="0"/>
        <w:tabs>
          <w:tab w:leader="none" w:pos="138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117" w:lineRule="exact"/>
        <w:rPr>
          <w:rFonts w:ascii="Arial" w:cs="Arial" w:eastAsia="Arial" w:hAnsi="Arial"/>
          <w:sz w:val="18"/>
          <w:szCs w:val="18"/>
          <w:color w:val="auto"/>
        </w:rPr>
      </w:pPr>
    </w:p>
    <w:p>
      <w:pPr>
        <w:ind w:left="1384" w:hanging="393"/>
        <w:spacing w:after="0"/>
        <w:tabs>
          <w:tab w:leader="none" w:pos="138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Investments described on </w:t>
      </w:r>
      <w:r>
        <w:rPr>
          <w:rFonts w:ascii="Arial" w:cs="Arial" w:eastAsia="Arial" w:hAnsi="Arial"/>
          <w:sz w:val="18"/>
          <w:szCs w:val="18"/>
          <w:u w:val="single" w:color="auto"/>
          <w:color w:val="auto"/>
        </w:rPr>
        <w:t>Schedule 3.12(b)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44" w:hanging="353"/>
        <w:spacing w:after="0"/>
        <w:tabs>
          <w:tab w:leader="none" w:pos="134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Investments by a Financing Subsidiary; and</w:t>
      </w:r>
    </w:p>
    <w:p>
      <w:pPr>
        <w:spacing w:after="0" w:line="117" w:lineRule="exact"/>
        <w:rPr>
          <w:rFonts w:ascii="Arial" w:cs="Arial" w:eastAsia="Arial" w:hAnsi="Arial"/>
          <w:sz w:val="18"/>
          <w:szCs w:val="18"/>
          <w:color w:val="auto"/>
        </w:rPr>
      </w:pPr>
    </w:p>
    <w:p>
      <w:pPr>
        <w:ind w:left="1344" w:hanging="353"/>
        <w:spacing w:after="0"/>
        <w:tabs>
          <w:tab w:leader="none" w:pos="134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Investments in the form of Guarantees permitted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For purposes of </w:t>
      </w:r>
      <w:r>
        <w:rPr>
          <w:rFonts w:ascii="Arial" w:cs="Arial" w:eastAsia="Arial" w:hAnsi="Arial"/>
          <w:sz w:val="17"/>
          <w:szCs w:val="17"/>
          <w:u w:val="single" w:color="auto"/>
          <w:color w:val="auto"/>
        </w:rPr>
        <w:t>clauses (e) and (f)</w:t>
      </w:r>
      <w:r>
        <w:rPr>
          <w:rFonts w:ascii="Arial" w:cs="Arial" w:eastAsia="Arial" w:hAnsi="Arial"/>
          <w:sz w:val="17"/>
          <w:szCs w:val="17"/>
          <w:color w:val="auto"/>
        </w:rPr>
        <w:t xml:space="preserve"> of this Section, the aggregate amount of an Investment at any time shall be deemed to be equal to</w:t>
      </w:r>
    </w:p>
    <w:p>
      <w:pPr>
        <w:spacing w:after="0" w:line="35" w:lineRule="exact"/>
        <w:rPr>
          <w:sz w:val="20"/>
          <w:szCs w:val="20"/>
          <w:color w:val="auto"/>
        </w:rPr>
      </w:pPr>
    </w:p>
    <w:p>
      <w:pPr>
        <w:ind w:left="4" w:right="40" w:hanging="4"/>
        <w:spacing w:after="0" w:line="270" w:lineRule="auto"/>
        <w:tabs>
          <w:tab w:leader="none" w:pos="299"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the aggregate amount of cash, together with the aggregate fair market value of property, loaned, advanced, contributed, transferred or otherwise invested that gives rise to such Investment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aggregate amount of Return of Capital and dividends, distributions or other payments received in cash in respect of such Investment and the values (valued in accordance with Section 5.12(b) of other Investments received in respect of such Investment;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the aggregate amount of such Investment be deemed to be less than zero;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spacing w:after="0" w:line="178"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The Borrower will not, nor will it permit any of its Subsidiaries (other than Financing Subsidiaries)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to, declare or make, or agree to pay or make, directly or indirectly, any Restricted Payment, except that the Borrower may declare and pay:</w:t>
      </w:r>
    </w:p>
    <w:p>
      <w:pPr>
        <w:spacing w:after="0" w:line="114" w:lineRule="exact"/>
        <w:rPr>
          <w:sz w:val="20"/>
          <w:szCs w:val="20"/>
          <w:color w:val="auto"/>
        </w:rPr>
      </w:pPr>
    </w:p>
    <w:p>
      <w:pPr>
        <w:ind w:left="1364" w:hanging="373"/>
        <w:spacing w:after="0"/>
        <w:tabs>
          <w:tab w:leader="none" w:pos="1364" w:val="left"/>
        </w:tabs>
        <w:numPr>
          <w:ilvl w:val="1"/>
          <w:numId w:val="160"/>
        </w:numPr>
        <w:rPr>
          <w:rFonts w:ascii="Arial" w:cs="Arial" w:eastAsia="Arial" w:hAnsi="Arial"/>
          <w:sz w:val="17"/>
          <w:szCs w:val="17"/>
          <w:color w:val="auto"/>
        </w:rPr>
      </w:pPr>
      <w:r>
        <w:rPr>
          <w:rFonts w:ascii="Arial" w:cs="Arial" w:eastAsia="Arial" w:hAnsi="Arial"/>
          <w:sz w:val="17"/>
          <w:szCs w:val="17"/>
          <w:color w:val="auto"/>
        </w:rPr>
        <w:t>dividends with respect to the capital stock of the Borrower payable solely in additional shares of the Borrower’s common stock;</w:t>
      </w:r>
    </w:p>
    <w:p>
      <w:pPr>
        <w:spacing w:after="0" w:line="128" w:lineRule="exact"/>
        <w:rPr>
          <w:rFonts w:ascii="Arial" w:cs="Arial" w:eastAsia="Arial" w:hAnsi="Arial"/>
          <w:sz w:val="17"/>
          <w:szCs w:val="17"/>
          <w:color w:val="auto"/>
        </w:rPr>
      </w:pPr>
    </w:p>
    <w:p>
      <w:pPr>
        <w:jc w:val="both"/>
        <w:ind w:left="4" w:right="100" w:firstLine="987"/>
        <w:spacing w:after="0" w:line="257" w:lineRule="auto"/>
        <w:tabs>
          <w:tab w:leader="none" w:pos="1385"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dividends and distributions in either case in cash or other property (excluding for this purpose the Borrower’s common stock) in any taxable year of the Borrower in amounts not to exceed the amount that is estimated in good faith by the Borrower to be required to (i) reduce to zero for such taxable year or for the previous taxable year, its investment company taxable income (within the meaning of Section 852(b)(2) of the Code) and reduce to zero the tax imposed by Section 852(b)(3) of the Code, and (ii) avoid federal excise taxes for such taxable year imposed by Section 4982 of the Code;</w:t>
      </w:r>
    </w:p>
    <w:p>
      <w:pPr>
        <w:spacing w:after="0" w:line="79" w:lineRule="exact"/>
        <w:rPr>
          <w:rFonts w:ascii="Arial" w:cs="Arial" w:eastAsia="Arial" w:hAnsi="Arial"/>
          <w:sz w:val="18"/>
          <w:szCs w:val="18"/>
          <w:color w:val="auto"/>
        </w:rPr>
      </w:pPr>
    </w:p>
    <w:p>
      <w:pPr>
        <w:ind w:left="4" w:right="80" w:firstLine="987"/>
        <w:spacing w:after="0" w:line="263" w:lineRule="auto"/>
        <w:tabs>
          <w:tab w:leader="none" w:pos="1375" w:val="left"/>
        </w:tabs>
        <w:numPr>
          <w:ilvl w:val="1"/>
          <w:numId w:val="160"/>
        </w:numPr>
        <w:rPr>
          <w:rFonts w:ascii="Arial" w:cs="Arial" w:eastAsia="Arial" w:hAnsi="Arial"/>
          <w:sz w:val="18"/>
          <w:szCs w:val="18"/>
          <w:color w:val="auto"/>
        </w:rPr>
      </w:pPr>
      <w:r>
        <w:rPr>
          <w:rFonts w:ascii="Arial" w:cs="Arial" w:eastAsia="Arial" w:hAnsi="Arial"/>
          <w:sz w:val="18"/>
          <w:szCs w:val="18"/>
          <w:color w:val="auto"/>
        </w:rPr>
        <w:t xml:space="preserve">dividends and distributions in each case in cash or other property (excluding for this purpose the Borrower’s common stock) in addition to the dividends and distributions permitted under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so long as on the date of such Restricted Payment and after giving effect thereto:</w:t>
      </w:r>
    </w:p>
    <w:p>
      <w:pPr>
        <w:spacing w:after="0" w:line="75" w:lineRule="exact"/>
        <w:rPr>
          <w:rFonts w:ascii="Arial" w:cs="Arial" w:eastAsia="Arial" w:hAnsi="Arial"/>
          <w:sz w:val="18"/>
          <w:szCs w:val="18"/>
          <w:color w:val="auto"/>
        </w:rPr>
      </w:pPr>
    </w:p>
    <w:p>
      <w:pPr>
        <w:ind w:left="1204" w:hanging="341"/>
        <w:spacing w:after="0"/>
        <w:tabs>
          <w:tab w:leader="none" w:pos="120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no Default shall have occurred and be continuing; and</w:t>
      </w:r>
    </w:p>
    <w:p>
      <w:pPr>
        <w:spacing w:after="0" w:line="158"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820" w:type="dxa"/>
            <w:vAlign w:val="bottom"/>
          </w:tcPr>
          <w:p>
            <w:pPr>
              <w:jc w:val="right"/>
              <w:ind w:right="1450"/>
              <w:spacing w:after="0"/>
              <w:rPr>
                <w:sz w:val="20"/>
                <w:szCs w:val="20"/>
                <w:color w:val="auto"/>
              </w:rPr>
            </w:pPr>
            <w:r>
              <w:rPr>
                <w:rFonts w:ascii="Arial" w:cs="Arial" w:eastAsia="Arial" w:hAnsi="Arial"/>
                <w:sz w:val="18"/>
                <w:szCs w:val="18"/>
                <w:color w:val="auto"/>
                <w:w w:val="86"/>
              </w:rPr>
              <w:t>105</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2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135" w:name="page136"/>
    <w:bookmarkEnd w:id="135"/>
    <w:p>
      <w:pPr>
        <w:ind w:left="440" w:right="140" w:firstLine="419"/>
        <w:spacing w:after="0" w:line="291" w:lineRule="auto"/>
        <w:tabs>
          <w:tab w:leader="none" w:pos="1263" w:val="left"/>
        </w:tabs>
        <w:numPr>
          <w:ilvl w:val="0"/>
          <w:numId w:val="1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aggregate amount of Restricted Payments made during any taxable year of the Borrower after the date hereof under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shall not exceed the sum of (x) an amount equal to 15% of the taxable income of the Borrower for such taxable year determined under</w:t>
      </w:r>
    </w:p>
    <w:p>
      <w:pPr>
        <w:ind w:left="440" w:right="16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section 852(b)(2) of the Code, but without regard to </w:t>
      </w:r>
      <w:r>
        <w:rPr>
          <w:rFonts w:ascii="Arial" w:cs="Arial" w:eastAsia="Arial" w:hAnsi="Arial"/>
          <w:sz w:val="18"/>
          <w:szCs w:val="18"/>
          <w:u w:val="single" w:color="auto"/>
          <w:color w:val="auto"/>
        </w:rPr>
        <w:t>subparagraphs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thereof,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(y) the amount, if any, by which dividends and distributions made during such taxable year pursuant to the foregoing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(whether in respect of such taxable year or the previous taxable year) based upon the Borrower’s estimate of taxable income exceeded the actual amounts specified in </w:t>
      </w:r>
      <w:r>
        <w:rPr>
          <w:rFonts w:ascii="Arial" w:cs="Arial" w:eastAsia="Arial" w:hAnsi="Arial"/>
          <w:sz w:val="18"/>
          <w:szCs w:val="18"/>
          <w:u w:val="single" w:color="auto"/>
          <w:color w:val="auto"/>
        </w:rPr>
        <w:t>subclauses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such foregoing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for such taxable year.</w:t>
      </w:r>
    </w:p>
    <w:p>
      <w:pPr>
        <w:spacing w:after="0" w:line="84" w:lineRule="exact"/>
        <w:rPr>
          <w:rFonts w:ascii="Arial" w:cs="Arial" w:eastAsia="Arial" w:hAnsi="Arial"/>
          <w:sz w:val="16"/>
          <w:szCs w:val="16"/>
          <w:color w:val="auto"/>
        </w:rPr>
      </w:pPr>
    </w:p>
    <w:p>
      <w:pPr>
        <w:ind w:right="40" w:firstLine="987"/>
        <w:spacing w:after="0" w:line="290" w:lineRule="auto"/>
        <w:tabs>
          <w:tab w:leader="none" w:pos="1381" w:val="left"/>
        </w:tabs>
        <w:numPr>
          <w:ilvl w:val="1"/>
          <w:numId w:val="162"/>
        </w:numPr>
        <w:rPr>
          <w:rFonts w:ascii="Arial" w:cs="Arial" w:eastAsia="Arial" w:hAnsi="Arial"/>
          <w:sz w:val="16"/>
          <w:szCs w:val="16"/>
          <w:color w:val="auto"/>
        </w:rPr>
      </w:pPr>
      <w:r>
        <w:rPr>
          <w:rFonts w:ascii="Arial" w:cs="Arial" w:eastAsia="Arial" w:hAnsi="Arial"/>
          <w:sz w:val="16"/>
          <w:szCs w:val="16"/>
          <w:color w:val="auto"/>
        </w:rPr>
        <w:t xml:space="preserve">other Restricted Payments so long as (i) on the date of such other Restricted Payment and after giving effect thereto (x) the Covered Debt Amount does not exceed 90% of the Borrowing Base and (y) no Default shall have occurred and be continuing and (ii) on the date of such other Restricted Payment the Borrower delivers to the Administrative Agent and each Lender a Borrowing Base Certificate as at such date demonstrating compliance with </w:t>
      </w:r>
      <w:r>
        <w:rPr>
          <w:rFonts w:ascii="Arial" w:cs="Arial" w:eastAsia="Arial" w:hAnsi="Arial"/>
          <w:sz w:val="16"/>
          <w:szCs w:val="16"/>
          <w:u w:val="single" w:color="auto"/>
          <w:color w:val="auto"/>
        </w:rPr>
        <w:t>subclause (x)</w:t>
      </w:r>
      <w:r>
        <w:rPr>
          <w:rFonts w:ascii="Arial" w:cs="Arial" w:eastAsia="Arial" w:hAnsi="Arial"/>
          <w:sz w:val="16"/>
          <w:szCs w:val="16"/>
          <w:color w:val="auto"/>
        </w:rPr>
        <w:t xml:space="preserve"> after giving effect to such Restricted Payment. For purposes of preparing such Borrowing Base Certificate, (A) the Value of any Quoted Investment shall be the most recent quotation available for such Portfolio Investment and (B) the Value of any Unquoted Investment shall be the Value set forth in the Borrowing Base Certificate most recently delivered by the Borrower to the Administrative Agent and the Lenders pursuant to </w:t>
      </w:r>
      <w:r>
        <w:rPr>
          <w:rFonts w:ascii="Arial" w:cs="Arial" w:eastAsia="Arial" w:hAnsi="Arial"/>
          <w:sz w:val="16"/>
          <w:szCs w:val="16"/>
          <w:u w:val="single" w:color="auto"/>
          <w:color w:val="auto"/>
        </w:rPr>
        <w:t>Section 5.01(d)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reduce the Value of any Portfolio Investment referred to in this </w:t>
      </w:r>
      <w:r>
        <w:rPr>
          <w:rFonts w:ascii="Arial" w:cs="Arial" w:eastAsia="Arial" w:hAnsi="Arial"/>
          <w:sz w:val="16"/>
          <w:szCs w:val="16"/>
          <w:u w:val="single" w:color="auto"/>
          <w:color w:val="auto"/>
        </w:rPr>
        <w:t>sub-clause (B)</w:t>
      </w:r>
      <w:r>
        <w:rPr>
          <w:rFonts w:ascii="Arial" w:cs="Arial" w:eastAsia="Arial" w:hAnsi="Arial"/>
          <w:sz w:val="16"/>
          <w:szCs w:val="16"/>
          <w:color w:val="auto"/>
        </w:rPr>
        <w:t xml:space="preserve"> to the extent necessary to take into account any events of which the Borrower has knowledge that adversely affect the value of such Portfolio Investment.</w:t>
      </w:r>
    </w:p>
    <w:p>
      <w:pPr>
        <w:spacing w:after="0" w:line="165"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Nothing herein shall be deemed to prohibit the payment of Restricted Payments by any Subsidiary of the Borrower to the Borrower or to any other Subsidiary Guarantor.</w:t>
      </w:r>
    </w:p>
    <w:p>
      <w:pPr>
        <w:spacing w:after="0" w:line="170" w:lineRule="exact"/>
        <w:rPr>
          <w:sz w:val="20"/>
          <w:szCs w:val="20"/>
          <w:color w:val="auto"/>
        </w:rPr>
      </w:pPr>
    </w:p>
    <w:p>
      <w:pPr>
        <w:ind w:right="100" w:firstLine="991"/>
        <w:spacing w:after="0" w:line="289"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u w:val="single" w:color="auto"/>
          <w:color w:val="auto"/>
        </w:rPr>
        <w:t>Certain Restrictions on Subsidiaries</w:t>
      </w:r>
      <w:r>
        <w:rPr>
          <w:rFonts w:ascii="Arial" w:cs="Arial" w:eastAsia="Arial" w:hAnsi="Arial"/>
          <w:sz w:val="16"/>
          <w:szCs w:val="16"/>
          <w:color w:val="auto"/>
        </w:rPr>
        <w:t xml:space="preserve">. The Borrower will not permit any of its Subsidiaries (other than Financing Subsidiaries) to enter into or suffer to exist any indenture, agreement, instrument or other arrangement that prohibits or restrains, in each case in any material respect, or imposes materially adverse conditions upon, the incurrence or payment of Indebtedness, the granting of Liens, the declaration or payment of dividends, the making of loans, advances, guarantees or Investments or the sale, assignment, transfer or other disposition of property except for any prohibitions or restraints contained in (i) any Indebtedness permitted under </w:t>
      </w:r>
      <w:r>
        <w:rPr>
          <w:rFonts w:ascii="Arial" w:cs="Arial" w:eastAsia="Arial" w:hAnsi="Arial"/>
          <w:sz w:val="16"/>
          <w:szCs w:val="16"/>
          <w:u w:val="single" w:color="auto"/>
          <w:color w:val="auto"/>
        </w:rPr>
        <w:t>Section 6.01(b)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prohibition or reservation set forth therein does not prohibit the performance by the Borrower or its Subsidiaries of their obligations under this Agreement, (ii) any Indebtedness permitted under </w:t>
      </w:r>
      <w:r>
        <w:rPr>
          <w:rFonts w:ascii="Arial" w:cs="Arial" w:eastAsia="Arial" w:hAnsi="Arial"/>
          <w:sz w:val="16"/>
          <w:szCs w:val="16"/>
          <w:u w:val="single" w:color="auto"/>
          <w:color w:val="auto"/>
        </w:rPr>
        <w:t>Section 6.01(c)</w:t>
      </w:r>
      <w:r>
        <w:rPr>
          <w:rFonts w:ascii="Arial" w:cs="Arial" w:eastAsia="Arial" w:hAnsi="Arial"/>
          <w:sz w:val="16"/>
          <w:szCs w:val="16"/>
          <w:color w:val="auto"/>
        </w:rPr>
        <w:t xml:space="preserve"> secured by a Lien permitted under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provided that such prohibitions and restraints are applicable by their terms only to the assets that are subject to such Lien and (iii) any Indebtedness permitted under </w:t>
      </w:r>
      <w:r>
        <w:rPr>
          <w:rFonts w:ascii="Arial" w:cs="Arial" w:eastAsia="Arial" w:hAnsi="Arial"/>
          <w:sz w:val="16"/>
          <w:szCs w:val="16"/>
          <w:u w:val="single" w:color="auto"/>
          <w:color w:val="auto"/>
        </w:rPr>
        <w:t>Section 6.01(e)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(f)</w:t>
      </w:r>
      <w:r>
        <w:rPr>
          <w:rFonts w:ascii="Arial" w:cs="Arial" w:eastAsia="Arial" w:hAnsi="Arial"/>
          <w:sz w:val="16"/>
          <w:szCs w:val="16"/>
          <w:color w:val="auto"/>
        </w:rPr>
        <w:t xml:space="preserve"> secured by a Permitted Lien provided that such prohibitions and restraints are applicable by their terms only to the assets that are subject to such Lien.</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Certain Financial Covenants</w:t>
      </w:r>
      <w:r>
        <w:rPr>
          <w:rFonts w:ascii="Arial" w:cs="Arial" w:eastAsia="Arial" w:hAnsi="Arial"/>
          <w:sz w:val="18"/>
          <w:szCs w:val="18"/>
          <w:color w:val="auto"/>
        </w:rPr>
        <w:t>.</w:t>
      </w:r>
    </w:p>
    <w:p>
      <w:pPr>
        <w:spacing w:after="0" w:line="117" w:lineRule="exact"/>
        <w:rPr>
          <w:sz w:val="20"/>
          <w:szCs w:val="20"/>
          <w:color w:val="auto"/>
        </w:rPr>
      </w:pPr>
    </w:p>
    <w:p>
      <w:pPr>
        <w:jc w:val="both"/>
        <w:ind w:right="580" w:firstLine="987"/>
        <w:spacing w:after="0" w:line="286" w:lineRule="auto"/>
        <w:tabs>
          <w:tab w:leader="none" w:pos="1371"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Minimum Shareholders’ Equity</w:t>
      </w:r>
      <w:r>
        <w:rPr>
          <w:rFonts w:ascii="Arial" w:cs="Arial" w:eastAsia="Arial" w:hAnsi="Arial"/>
          <w:sz w:val="17"/>
          <w:szCs w:val="17"/>
          <w:color w:val="auto"/>
        </w:rPr>
        <w:t xml:space="preserve">. The Borrower will not permit Shareholders’ Equity at the last day of any fiscal quarter of the Borrower to be less than $290,000,000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25% of the net proceeds of the sale of Equity Interests by the Borrower and its Subsidiaries after the Effective Date (other than proceeds of sales of Equity Interests by and among the Borrower and its Subsidiaries).</w:t>
      </w:r>
    </w:p>
    <w:p>
      <w:pPr>
        <w:spacing w:after="0" w:line="98"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820" w:type="dxa"/>
            <w:vAlign w:val="bottom"/>
          </w:tcPr>
          <w:p>
            <w:pPr>
              <w:jc w:val="right"/>
              <w:ind w:right="1450"/>
              <w:spacing w:after="0"/>
              <w:rPr>
                <w:sz w:val="20"/>
                <w:szCs w:val="20"/>
                <w:color w:val="auto"/>
              </w:rPr>
            </w:pPr>
            <w:r>
              <w:rPr>
                <w:rFonts w:ascii="Arial" w:cs="Arial" w:eastAsia="Arial" w:hAnsi="Arial"/>
                <w:sz w:val="18"/>
                <w:szCs w:val="18"/>
                <w:color w:val="auto"/>
                <w:w w:val="86"/>
              </w:rPr>
              <w:t>106</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2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36" w:name="page137"/>
    <w:bookmarkEnd w:id="136"/>
    <w:p>
      <w:pPr>
        <w:ind w:left="1380" w:hanging="393"/>
        <w:spacing w:after="0"/>
        <w:tabs>
          <w:tab w:leader="none" w:pos="1380"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Minimum Borrower Net Worth</w:t>
      </w:r>
      <w:r>
        <w:rPr>
          <w:rFonts w:ascii="Arial" w:cs="Arial" w:eastAsia="Arial" w:hAnsi="Arial"/>
          <w:sz w:val="16"/>
          <w:szCs w:val="16"/>
          <w:color w:val="auto"/>
        </w:rPr>
        <w:t>. The Borrower will not permit Borrower Net Worth at the last day of any fiscal quarter to be less than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$222,500,000.</w:t>
      </w:r>
    </w:p>
    <w:p>
      <w:pPr>
        <w:spacing w:after="0" w:line="102" w:lineRule="exact"/>
        <w:rPr>
          <w:rFonts w:ascii="Arial" w:cs="Arial" w:eastAsia="Arial" w:hAnsi="Arial"/>
          <w:sz w:val="16"/>
          <w:szCs w:val="16"/>
          <w:color w:val="auto"/>
        </w:rPr>
      </w:pPr>
    </w:p>
    <w:p>
      <w:pPr>
        <w:ind w:right="540" w:firstLine="987"/>
        <w:spacing w:after="0" w:line="277" w:lineRule="auto"/>
        <w:tabs>
          <w:tab w:leader="none" w:pos="1371"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Borrower Asset Coverage Ratio</w:t>
      </w:r>
      <w:r>
        <w:rPr>
          <w:rFonts w:ascii="Arial" w:cs="Arial" w:eastAsia="Arial" w:hAnsi="Arial"/>
          <w:sz w:val="18"/>
          <w:szCs w:val="18"/>
          <w:color w:val="auto"/>
        </w:rPr>
        <w:t>. The Borrower will not permit the Borrower Asset Coverage Ratio at the last day of any fiscal quarter to be less than 2.00 to 1.</w:t>
      </w:r>
    </w:p>
    <w:p>
      <w:pPr>
        <w:spacing w:after="0" w:line="62" w:lineRule="exact"/>
        <w:rPr>
          <w:rFonts w:ascii="Arial" w:cs="Arial" w:eastAsia="Arial" w:hAnsi="Arial"/>
          <w:sz w:val="18"/>
          <w:szCs w:val="18"/>
          <w:color w:val="auto"/>
        </w:rPr>
      </w:pPr>
    </w:p>
    <w:p>
      <w:pPr>
        <w:ind w:right="20" w:firstLine="987"/>
        <w:spacing w:after="0" w:line="277" w:lineRule="auto"/>
        <w:tabs>
          <w:tab w:leader="none" w:pos="1381"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Consolidated Asset Coverage Ratio</w:t>
      </w:r>
      <w:r>
        <w:rPr>
          <w:rFonts w:ascii="Arial" w:cs="Arial" w:eastAsia="Arial" w:hAnsi="Arial"/>
          <w:sz w:val="18"/>
          <w:szCs w:val="18"/>
          <w:color w:val="auto"/>
        </w:rPr>
        <w:t>. The Borrower will not permit the Consolidated Asset Coverage Ratio at the last day of any fiscal quarter to be less than 1.50 to 1.</w:t>
      </w:r>
    </w:p>
    <w:p>
      <w:pPr>
        <w:spacing w:after="0" w:line="62" w:lineRule="exact"/>
        <w:rPr>
          <w:rFonts w:ascii="Arial" w:cs="Arial" w:eastAsia="Arial" w:hAnsi="Arial"/>
          <w:sz w:val="18"/>
          <w:szCs w:val="18"/>
          <w:color w:val="auto"/>
        </w:rPr>
      </w:pPr>
    </w:p>
    <w:p>
      <w:pPr>
        <w:ind w:right="100" w:firstLine="987"/>
        <w:spacing w:after="0" w:line="259" w:lineRule="auto"/>
        <w:tabs>
          <w:tab w:leader="none" w:pos="1371"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Liquidity Test</w:t>
      </w:r>
      <w:r>
        <w:rPr>
          <w:rFonts w:ascii="Arial" w:cs="Arial" w:eastAsia="Arial" w:hAnsi="Arial"/>
          <w:sz w:val="18"/>
          <w:szCs w:val="18"/>
          <w:color w:val="auto"/>
        </w:rPr>
        <w:t>. The Borrower will not permit the aggregate Value of the Portfolio Investments that are Cash (excluding Cash Collateral for outstanding Letters of Credit) or that can be converted to Cash in fewer than 10 Business Days without more than a 5% change in price to be less than 10% of the Covered Debt Amount for more than 30 Business Days during any period when the Adjusted Covered Debt Balance is greater than 90% of the Adjusted Borrowing Base.</w:t>
      </w:r>
    </w:p>
    <w:p>
      <w:pPr>
        <w:spacing w:after="0" w:line="187" w:lineRule="exact"/>
        <w:rPr>
          <w:sz w:val="20"/>
          <w:szCs w:val="20"/>
          <w:color w:val="auto"/>
        </w:rPr>
      </w:pPr>
    </w:p>
    <w:p>
      <w:pPr>
        <w:ind w:right="240" w:firstLine="991"/>
        <w:spacing w:after="0" w:line="285"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The Borrower will not, and will not permit any of its Subsidiaries to enter into any transactions with any of its Affiliates, even if otherwise permitted under this Agreement, except (a) transactions in the ordinary course of business at prices and on terms and conditions not less favorable to the Borrower or such Subsidiary (other than a SBIC Subsidiary) than could be obtained on an arm’s-length basis from unrelated third parties, (b) transactions between or among the Borrower and its Subsidiaries not involving any other Affiliate, (c) Restricted Payments permitted by </w:t>
      </w:r>
      <w:r>
        <w:rPr>
          <w:rFonts w:ascii="Arial" w:cs="Arial" w:eastAsia="Arial" w:hAnsi="Arial"/>
          <w:sz w:val="16"/>
          <w:szCs w:val="16"/>
          <w:u w:val="single" w:color="auto"/>
          <w:color w:val="auto"/>
        </w:rPr>
        <w:t>Section 6.05</w:t>
      </w:r>
      <w:r>
        <w:rPr>
          <w:rFonts w:ascii="Arial" w:cs="Arial" w:eastAsia="Arial" w:hAnsi="Arial"/>
          <w:sz w:val="16"/>
          <w:szCs w:val="16"/>
          <w:color w:val="auto"/>
        </w:rPr>
        <w:t>, (d) the transactions provided in the Affiliate Agreements, (e) transactions described on</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u w:val="single" w:color="auto"/>
          <w:color w:val="auto"/>
        </w:rPr>
        <w:t>Schedule 6.08</w:t>
      </w:r>
      <w:r>
        <w:rPr>
          <w:rFonts w:ascii="Arial" w:cs="Arial" w:eastAsia="Arial" w:hAnsi="Arial"/>
          <w:sz w:val="18"/>
          <w:szCs w:val="18"/>
          <w:color w:val="auto"/>
        </w:rPr>
        <w:t>, (f) any Investment that results in the creation of an Affiliate or (g) transactions between or among the Obligors and any SBIC Subsidiary or any “downstream affiliate” (as such term is used under the rules promulgated under the Investment Company Act) company of an Obligor at prices and on terms and conditions, taken as a whole, not materially less favorable to the Obligors than in good faith is believed could be obtained at the time on an arm’s-length basis from unrelated third parties.</w:t>
      </w:r>
    </w:p>
    <w:p>
      <w:pPr>
        <w:spacing w:after="0" w:line="193"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Lines of Business</w:t>
      </w:r>
      <w:r>
        <w:rPr>
          <w:rFonts w:ascii="Arial" w:cs="Arial" w:eastAsia="Arial" w:hAnsi="Arial"/>
          <w:sz w:val="18"/>
          <w:szCs w:val="18"/>
          <w:color w:val="auto"/>
        </w:rPr>
        <w:t>. The Borrower will not, nor will it permit any of its Subsidiaries (other than Immaterial Subsidiaries) to, engage to any material extent in any business other than in accordance with its Investment Policies. The Borrower will not, nor will it permit any of its Subsidiaries to amend or modify the Investment Policies (other than a Permitted Policy Amendment).</w:t>
      </w:r>
    </w:p>
    <w:p>
      <w:pPr>
        <w:spacing w:after="0" w:line="184"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No Further Negative Pledge</w:t>
      </w:r>
      <w:r>
        <w:rPr>
          <w:rFonts w:ascii="Arial" w:cs="Arial" w:eastAsia="Arial" w:hAnsi="Arial"/>
          <w:sz w:val="18"/>
          <w:szCs w:val="18"/>
          <w:color w:val="auto"/>
        </w:rPr>
        <w:t xml:space="preserve">. The Borrower will not, and will not permit any of its Subsidiaries to, enter into any agreement, instrument, deed or lease which prohibits or limits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 (a) this Agreement, the other Loan Documents and documents with respect to Indebtedness permitted under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(b) covenants in documents creating Liens</w:t>
      </w:r>
    </w:p>
    <w:p>
      <w:pPr>
        <w:spacing w:after="0" w:line="120"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820" w:type="dxa"/>
            <w:vAlign w:val="bottom"/>
          </w:tcPr>
          <w:p>
            <w:pPr>
              <w:jc w:val="right"/>
              <w:ind w:right="1450"/>
              <w:spacing w:after="0"/>
              <w:rPr>
                <w:sz w:val="20"/>
                <w:szCs w:val="20"/>
                <w:color w:val="auto"/>
              </w:rPr>
            </w:pPr>
            <w:r>
              <w:rPr>
                <w:rFonts w:ascii="Arial" w:cs="Arial" w:eastAsia="Arial" w:hAnsi="Arial"/>
                <w:sz w:val="18"/>
                <w:szCs w:val="18"/>
                <w:color w:val="auto"/>
                <w:w w:val="86"/>
              </w:rPr>
              <w:t>107</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2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37" w:name="page138"/>
    <w:bookmarkEnd w:id="137"/>
    <w:p>
      <w:pPr>
        <w:ind w:left="4"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permitted by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(including covenants with respect to the Designated Indebtedness Obligations or Designated Indebtedness Holders under (and, in each case, as defined in) the Security Documents) prohibiting further Liens on the assets encumbered thereby; (c) customary restrictions contained in leases not subject to a waiver; and (d) any other agreement that does not restrict in any manner (directly or indirectly) Liens created pursuant to the Loan Documents on any 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spacing w:after="0" w:line="178"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Modifications of Longer-Term Indebtedness Documents</w:t>
      </w:r>
      <w:r>
        <w:rPr>
          <w:rFonts w:ascii="Arial" w:cs="Arial" w:eastAsia="Arial" w:hAnsi="Arial"/>
          <w:sz w:val="16"/>
          <w:szCs w:val="16"/>
          <w:color w:val="auto"/>
        </w:rPr>
        <w:t>. The Borrower will not consent to any modification, supplement</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or waiver of:</w:t>
      </w:r>
    </w:p>
    <w:p>
      <w:pPr>
        <w:spacing w:after="0" w:line="103" w:lineRule="exact"/>
        <w:rPr>
          <w:sz w:val="20"/>
          <w:szCs w:val="20"/>
          <w:color w:val="auto"/>
        </w:rPr>
      </w:pPr>
    </w:p>
    <w:p>
      <w:pPr>
        <w:ind w:left="4" w:right="40" w:firstLine="987"/>
        <w:spacing w:after="0" w:line="287" w:lineRule="auto"/>
        <w:tabs>
          <w:tab w:leader="none" w:pos="1375" w:val="left"/>
        </w:tabs>
        <w:numPr>
          <w:ilvl w:val="1"/>
          <w:numId w:val="165"/>
        </w:numPr>
        <w:rPr>
          <w:rFonts w:ascii="Arial" w:cs="Arial" w:eastAsia="Arial" w:hAnsi="Arial"/>
          <w:sz w:val="16"/>
          <w:szCs w:val="16"/>
          <w:color w:val="auto"/>
        </w:rPr>
      </w:pPr>
      <w:r>
        <w:rPr>
          <w:rFonts w:ascii="Arial" w:cs="Arial" w:eastAsia="Arial" w:hAnsi="Arial"/>
          <w:sz w:val="16"/>
          <w:szCs w:val="16"/>
          <w:color w:val="auto"/>
        </w:rPr>
        <w:t xml:space="preserve">any of the provisions of any agreement, instrument or other document evidencing or relating to any Secured Longer-Term Indebtedness or Unsecured Longer-Term Indebtedness that would result in such Indebtedness not meeting the requirements of the definition of “Secured Longer-Term Secured Indebtedness” and “Unsecured Longer-Term Indebtedness”, as applicable, set forth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this Agreement, unless</w:t>
      </w:r>
    </w:p>
    <w:p>
      <w:pPr>
        <w:spacing w:after="0" w:line="2" w:lineRule="exact"/>
        <w:rPr>
          <w:rFonts w:ascii="Arial" w:cs="Arial" w:eastAsia="Arial" w:hAnsi="Arial"/>
          <w:sz w:val="16"/>
          <w:szCs w:val="16"/>
          <w:color w:val="auto"/>
        </w:rPr>
      </w:pPr>
    </w:p>
    <w:p>
      <w:pPr>
        <w:ind w:left="4" w:right="20" w:hanging="4"/>
        <w:spacing w:after="0" w:line="252" w:lineRule="auto"/>
        <w:tabs>
          <w:tab w:leader="none" w:pos="21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the case of Secured Longer-Term Indebtedness, such Indebtedness would have been permitted to be incurred as Secured Shorter-Term Indebtedness at the time of such modification, supplement or waiver and the Borrower so designates such Indebtedness as “Secured Shorter-Term Indebtedness” (whereupon such Indebtedness shall be deemed to constitute “Secured Shorter-Term Indebtedness” for all purposes of this Agreement) and (ii) in the case of Unsecured Longer-Term Indebtedness, such Indebtedness would have been permitted to be incurred as Unsecured Shorter-Term Indebtedness at the time of such modification, supplement or waiver and the Borrower so designates such Indebtedness as “Unsecured Shorter-Term Indebtedness” (whereupon such Indebtedness shall be deemed to constitute “Unsecured Shorter-Term Indebtedness” for all purposes of this Agreement); or</w:t>
      </w:r>
    </w:p>
    <w:p>
      <w:pPr>
        <w:spacing w:after="0" w:line="84" w:lineRule="exact"/>
        <w:rPr>
          <w:rFonts w:ascii="Arial" w:cs="Arial" w:eastAsia="Arial" w:hAnsi="Arial"/>
          <w:sz w:val="18"/>
          <w:szCs w:val="18"/>
          <w:color w:val="auto"/>
        </w:rPr>
      </w:pPr>
    </w:p>
    <w:p>
      <w:pPr>
        <w:ind w:left="4" w:right="40" w:firstLine="987"/>
        <w:spacing w:after="0" w:line="263" w:lineRule="auto"/>
        <w:tabs>
          <w:tab w:leader="none" w:pos="1385"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any of the Affiliate Agreements, unless such modification, supplement or waiver is not materially less favorable to the Borrower than could be obtained on an arm’s-length basis from unrelated third parties, in each case, without the prior consent of the Administrative Agent (with the approval of the Required Lenders).</w:t>
      </w:r>
    </w:p>
    <w:p>
      <w:pPr>
        <w:spacing w:after="0" w:line="184" w:lineRule="exact"/>
        <w:rPr>
          <w:sz w:val="20"/>
          <w:szCs w:val="20"/>
          <w:color w:val="auto"/>
        </w:rPr>
      </w:pPr>
    </w:p>
    <w:p>
      <w:pPr>
        <w:ind w:left="4" w:right="40" w:firstLine="991"/>
        <w:spacing w:after="0" w:line="270"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u w:val="single" w:color="auto"/>
          <w:color w:val="auto"/>
        </w:rPr>
        <w:t>Payments of Longer-Term Indebtedness</w:t>
      </w:r>
      <w:r>
        <w:rPr>
          <w:rFonts w:ascii="Arial" w:cs="Arial" w:eastAsia="Arial" w:hAnsi="Arial"/>
          <w:sz w:val="17"/>
          <w:szCs w:val="17"/>
          <w:color w:val="auto"/>
        </w:rPr>
        <w:t xml:space="preserve">. The Borrower will not, nor will it permit any of its Subsidiaries (other than Financing Subsidiaries)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Special Permitted Indebtedness or Unsecured Longer-Term Indebtedness (other than the refinancing of Secured Longer-Term Indebtedness, Special Permitted Indebtedness or Unsecured Longer-Term Indebtedness with Indebtedness permitted under </w:t>
      </w:r>
      <w:r>
        <w:rPr>
          <w:rFonts w:ascii="Arial" w:cs="Arial" w:eastAsia="Arial" w:hAnsi="Arial"/>
          <w:sz w:val="17"/>
          <w:szCs w:val="17"/>
          <w:u w:val="single" w:color="auto"/>
          <w:color w:val="auto"/>
        </w:rPr>
        <w:t>Section 6.01</w:t>
      </w:r>
      <w:r>
        <w:rPr>
          <w:rFonts w:ascii="Arial" w:cs="Arial" w:eastAsia="Arial" w:hAnsi="Arial"/>
          <w:sz w:val="17"/>
          <w:szCs w:val="17"/>
          <w:color w:val="auto"/>
        </w:rPr>
        <w:t>), except for (a) regularly scheduled payments, prepayments or redemptions of principal and interest (excluding regularly scheduled payments of principal on Permitted Amortizing Unsecured Longer-Term Indebtedness or Special Permitted Indebtedness) in respect thereof required pursuant to the instruments evidencing such Indebtedness and the payment when due of the types of fees and expenses that are customarily paid in connection with</w:t>
      </w:r>
    </w:p>
    <w:p>
      <w:pPr>
        <w:spacing w:after="0" w:line="113"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820" w:type="dxa"/>
            <w:vAlign w:val="bottom"/>
          </w:tcPr>
          <w:p>
            <w:pPr>
              <w:jc w:val="right"/>
              <w:ind w:right="1450"/>
              <w:spacing w:after="0"/>
              <w:rPr>
                <w:sz w:val="20"/>
                <w:szCs w:val="20"/>
                <w:color w:val="auto"/>
              </w:rPr>
            </w:pPr>
            <w:r>
              <w:rPr>
                <w:rFonts w:ascii="Arial" w:cs="Arial" w:eastAsia="Arial" w:hAnsi="Arial"/>
                <w:sz w:val="18"/>
                <w:szCs w:val="18"/>
                <w:color w:val="auto"/>
                <w:w w:val="86"/>
              </w:rPr>
              <w:t>108</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2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138" w:name="page139"/>
    <w:bookmarkEnd w:id="138"/>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Indebtedness (it being understood that: (w) the conversion features into Permitted Equity Interests under Permitted Convertible Indebtedness;</w:t>
      </w:r>
    </w:p>
    <w:p>
      <w:pPr>
        <w:spacing w:after="0" w:line="46" w:lineRule="exact"/>
        <w:rPr>
          <w:sz w:val="20"/>
          <w:szCs w:val="20"/>
          <w:color w:val="auto"/>
        </w:rPr>
      </w:pPr>
    </w:p>
    <w:p>
      <w:pPr>
        <w:ind w:left="4" w:right="40" w:hanging="4"/>
        <w:spacing w:after="0" w:line="281" w:lineRule="auto"/>
        <w:tabs>
          <w:tab w:leader="none" w:pos="259"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the triggering of such conversion and/or settlement thereof solely with Permitted Equity Interests; and (y) any cash payment on account of interest or expenses on such Permitted Convertible Indebtedness made by the Borrower or any of its Subsidiaries in respect of such triggering and/or settlement thereof shall be permitted under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(b) voluntary payments or prepayments of Secured Longer-Term Indebtedness and regularly scheduled payments of principal of Permitted Amortizing Unsecured Longer-Term Indebtedness and Special Permitted Indebtedness, so long as both before and after giving effect to such voluntary payment or prepayment (i) the Borrower is in pro forma compliance with the financial covenants set forth in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and (ii) no Default or Event of Default shall exist or be continuing or (c) so long as no Default shall exist or be continuing, any payment that, if treated as a Restricted Payment for purposes of </w:t>
      </w:r>
      <w:r>
        <w:rPr>
          <w:rFonts w:ascii="Arial" w:cs="Arial" w:eastAsia="Arial" w:hAnsi="Arial"/>
          <w:sz w:val="16"/>
          <w:szCs w:val="16"/>
          <w:u w:val="single" w:color="auto"/>
          <w:color w:val="auto"/>
        </w:rPr>
        <w:t>Section 6.05(d)</w:t>
      </w:r>
      <w:r>
        <w:rPr>
          <w:rFonts w:ascii="Arial" w:cs="Arial" w:eastAsia="Arial" w:hAnsi="Arial"/>
          <w:sz w:val="16"/>
          <w:szCs w:val="16"/>
          <w:color w:val="auto"/>
        </w:rPr>
        <w:t>, would be permitted to be made pursuant to the provisions set forth in</w:t>
      </w:r>
    </w:p>
    <w:p>
      <w:pPr>
        <w:spacing w:after="0" w:line="4"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u w:val="single" w:color="auto"/>
          <w:color w:val="auto"/>
        </w:rPr>
        <w:t>Section 6.05(d)</w:t>
      </w:r>
      <w:r>
        <w:rPr>
          <w:rFonts w:ascii="Arial" w:cs="Arial" w:eastAsia="Arial" w:hAnsi="Arial"/>
          <w:sz w:val="18"/>
          <w:szCs w:val="18"/>
          <w:color w:val="auto"/>
        </w:rPr>
        <w:t>.</w:t>
      </w:r>
    </w:p>
    <w:p>
      <w:pPr>
        <w:spacing w:after="0" w:line="21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Accounting Changes</w:t>
      </w:r>
      <w:r>
        <w:rPr>
          <w:rFonts w:ascii="Arial" w:cs="Arial" w:eastAsia="Arial" w:hAnsi="Arial"/>
          <w:sz w:val="18"/>
          <w:szCs w:val="18"/>
          <w:color w:val="auto"/>
        </w:rPr>
        <w:t>. The Borrower will not, nor will it permit any of its Subsidiaries to, make any change in</w:t>
      </w:r>
    </w:p>
    <w:p>
      <w:pPr>
        <w:spacing w:after="0" w:line="23" w:lineRule="exact"/>
        <w:rPr>
          <w:sz w:val="20"/>
          <w:szCs w:val="20"/>
          <w:color w:val="auto"/>
        </w:rPr>
      </w:pPr>
    </w:p>
    <w:p>
      <w:pPr>
        <w:ind w:left="4" w:right="120" w:hanging="4"/>
        <w:spacing w:after="0" w:line="260" w:lineRule="auto"/>
        <w:tabs>
          <w:tab w:leader="none" w:pos="24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accounting policies or reporting practices, except as permitted under GAAP or required by law or rule or regulation of any Governmental Authority, or (b) its fiscal year.</w:t>
      </w:r>
    </w:p>
    <w:p>
      <w:pPr>
        <w:spacing w:after="0" w:line="185" w:lineRule="exact"/>
        <w:rPr>
          <w:sz w:val="20"/>
          <w:szCs w:val="20"/>
          <w:color w:val="auto"/>
        </w:rPr>
      </w:pPr>
    </w:p>
    <w:p>
      <w:pPr>
        <w:ind w:left="4" w:right="300" w:firstLine="991"/>
        <w:spacing w:after="0" w:line="277"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SBIC Guarantee</w:t>
      </w:r>
      <w:r>
        <w:rPr>
          <w:rFonts w:ascii="Arial" w:cs="Arial" w:eastAsia="Arial" w:hAnsi="Arial"/>
          <w:sz w:val="18"/>
          <w:szCs w:val="18"/>
          <w:color w:val="auto"/>
        </w:rPr>
        <w:t>. The Borrower will not, nor will it permit any of its Subsidiaries to, cause or permit the occurrence of any event or condition that would result in any recourse to any Obligor under any Permitted SBIC Guarantee.</w:t>
      </w:r>
    </w:p>
    <w:p>
      <w:pPr>
        <w:spacing w:after="0" w:line="38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 and be continuing:</w:t>
      </w:r>
    </w:p>
    <w:p>
      <w:pPr>
        <w:spacing w:after="0" w:line="117" w:lineRule="exact"/>
        <w:rPr>
          <w:sz w:val="20"/>
          <w:szCs w:val="20"/>
          <w:color w:val="auto"/>
        </w:rPr>
      </w:pPr>
    </w:p>
    <w:p>
      <w:pPr>
        <w:ind w:left="4" w:right="20" w:firstLine="987"/>
        <w:spacing w:after="0" w:line="259" w:lineRule="auto"/>
        <w:tabs>
          <w:tab w:leader="none" w:pos="137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the Borrower shall (i) fail to pay any principal of any Loan or any reimbursement obligation in respect of any LC Disbursement when and as the same shall become due and payable, whether at the due date thereof or at a date fixed for prepayment thereof or otherwise or (ii) fail to deposit any amount into the Letter of Credit Collateral Account as required by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on the Extended Commitment Termination Date or as required by </w:t>
      </w:r>
      <w:r>
        <w:rPr>
          <w:rFonts w:ascii="Arial" w:cs="Arial" w:eastAsia="Arial" w:hAnsi="Arial"/>
          <w:sz w:val="18"/>
          <w:szCs w:val="18"/>
          <w:u w:val="single" w:color="auto"/>
          <w:color w:val="auto"/>
        </w:rPr>
        <w:t>Section 2.20(b)</w:t>
      </w:r>
      <w:r>
        <w:rPr>
          <w:rFonts w:ascii="Arial" w:cs="Arial" w:eastAsia="Arial" w:hAnsi="Arial"/>
          <w:sz w:val="18"/>
          <w:szCs w:val="18"/>
          <w:color w:val="auto"/>
        </w:rPr>
        <w:t xml:space="preserve"> on the date so required;</w:t>
      </w:r>
    </w:p>
    <w:p>
      <w:pPr>
        <w:spacing w:after="0" w:line="78" w:lineRule="exact"/>
        <w:rPr>
          <w:rFonts w:ascii="Arial" w:cs="Arial" w:eastAsia="Arial" w:hAnsi="Arial"/>
          <w:sz w:val="18"/>
          <w:szCs w:val="18"/>
          <w:color w:val="auto"/>
        </w:rPr>
      </w:pPr>
    </w:p>
    <w:p>
      <w:pPr>
        <w:ind w:left="1384" w:hanging="393"/>
        <w:spacing w:after="0"/>
        <w:tabs>
          <w:tab w:leader="none" w:pos="1384"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Borrower shall fail to pay any interest on any Loan or any fee or any other amount (other than an amount referred to in</w:t>
      </w:r>
    </w:p>
    <w:p>
      <w:pPr>
        <w:spacing w:after="0" w:line="35" w:lineRule="exact"/>
        <w:rPr>
          <w:sz w:val="20"/>
          <w:szCs w:val="20"/>
          <w:color w:val="auto"/>
        </w:rPr>
      </w:pPr>
    </w:p>
    <w:p>
      <w:pPr>
        <w:ind w:left="4" w:right="220"/>
        <w:spacing w:after="0" w:line="260" w:lineRule="auto"/>
        <w:rPr>
          <w:sz w:val="20"/>
          <w:szCs w:val="20"/>
          <w:color w:val="auto"/>
        </w:rPr>
      </w:pP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Article) payable under this Agreement or under any other Loan Document, when and as the same shall become due and payable, and such failure shall continue unremedied for a period of five or more Business Days;</w:t>
      </w:r>
    </w:p>
    <w:p>
      <w:pPr>
        <w:spacing w:after="0" w:line="77" w:lineRule="exact"/>
        <w:rPr>
          <w:sz w:val="20"/>
          <w:szCs w:val="20"/>
          <w:color w:val="auto"/>
        </w:rPr>
      </w:pPr>
    </w:p>
    <w:p>
      <w:pPr>
        <w:jc w:val="both"/>
        <w:ind w:left="4" w:right="40" w:firstLine="987"/>
        <w:spacing w:after="0" w:line="279" w:lineRule="auto"/>
        <w:tabs>
          <w:tab w:leader="none" w:pos="137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any representation or warranty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incorrect when made or deemed made in any material respect;</w:t>
      </w:r>
    </w:p>
    <w:p>
      <w:pPr>
        <w:spacing w:after="0" w:line="104"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820" w:type="dxa"/>
            <w:vAlign w:val="bottom"/>
          </w:tcPr>
          <w:p>
            <w:pPr>
              <w:jc w:val="right"/>
              <w:ind w:right="1450"/>
              <w:spacing w:after="0"/>
              <w:rPr>
                <w:sz w:val="20"/>
                <w:szCs w:val="20"/>
                <w:color w:val="auto"/>
              </w:rPr>
            </w:pPr>
            <w:r>
              <w:rPr>
                <w:rFonts w:ascii="Arial" w:cs="Arial" w:eastAsia="Arial" w:hAnsi="Arial"/>
                <w:sz w:val="18"/>
                <w:szCs w:val="18"/>
                <w:color w:val="auto"/>
                <w:w w:val="86"/>
              </w:rPr>
              <w:t>109</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2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139" w:name="page140"/>
    <w:bookmarkEnd w:id="139"/>
    <w:p>
      <w:pPr>
        <w:jc w:val="both"/>
        <w:ind w:left="4" w:right="20" w:firstLine="987"/>
        <w:spacing w:after="0" w:line="279" w:lineRule="auto"/>
        <w:tabs>
          <w:tab w:leader="none" w:pos="1385" w:val="left"/>
        </w:tabs>
        <w:numPr>
          <w:ilvl w:val="1"/>
          <w:numId w:val="1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Borrower shall fail to observe or perform any covenant, condition or agreement contained in (i) </w:t>
      </w:r>
      <w:r>
        <w:rPr>
          <w:rFonts w:ascii="Arial" w:cs="Arial" w:eastAsia="Arial" w:hAnsi="Arial"/>
          <w:sz w:val="17"/>
          <w:szCs w:val="17"/>
          <w:u w:val="single" w:color="auto"/>
          <w:color w:val="auto"/>
        </w:rPr>
        <w:t>Section 5.03</w:t>
      </w:r>
      <w:r>
        <w:rPr>
          <w:rFonts w:ascii="Arial" w:cs="Arial" w:eastAsia="Arial" w:hAnsi="Arial"/>
          <w:sz w:val="17"/>
          <w:szCs w:val="17"/>
          <w:color w:val="auto"/>
        </w:rPr>
        <w:t xml:space="preserve"> (with respect to the Borrower’s existence) or </w:t>
      </w:r>
      <w:r>
        <w:rPr>
          <w:rFonts w:ascii="Arial" w:cs="Arial" w:eastAsia="Arial" w:hAnsi="Arial"/>
          <w:sz w:val="17"/>
          <w:szCs w:val="17"/>
          <w:u w:val="single" w:color="auto"/>
          <w:color w:val="auto"/>
        </w:rPr>
        <w:t>Sections 5.08(a)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any Obligor shall default in the performance of any of its obligations contained in Section 7 of the Guarantee and Security Agreement or (ii) </w:t>
      </w:r>
      <w:r>
        <w:rPr>
          <w:rFonts w:ascii="Arial" w:cs="Arial" w:eastAsia="Arial" w:hAnsi="Arial"/>
          <w:sz w:val="17"/>
          <w:szCs w:val="17"/>
          <w:u w:val="single" w:color="auto"/>
          <w:color w:val="auto"/>
        </w:rPr>
        <w:t>Sections 5.01(e)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5.02</w:t>
      </w:r>
      <w:r>
        <w:rPr>
          <w:rFonts w:ascii="Arial" w:cs="Arial" w:eastAsia="Arial" w:hAnsi="Arial"/>
          <w:sz w:val="17"/>
          <w:szCs w:val="17"/>
          <w:color w:val="auto"/>
        </w:rPr>
        <w:t xml:space="preserve"> and such failure shall continue unremedied for a period of five or more days after notice thereof by the Administrative Agent (given at the request of any Lender) to the Borrower;</w:t>
      </w:r>
    </w:p>
    <w:p>
      <w:pPr>
        <w:spacing w:after="0" w:line="63" w:lineRule="exact"/>
        <w:rPr>
          <w:rFonts w:ascii="Arial" w:cs="Arial" w:eastAsia="Arial" w:hAnsi="Arial"/>
          <w:sz w:val="17"/>
          <w:szCs w:val="17"/>
          <w:color w:val="auto"/>
        </w:rPr>
      </w:pPr>
    </w:p>
    <w:p>
      <w:pPr>
        <w:ind w:left="4" w:right="20" w:firstLine="987"/>
        <w:spacing w:after="0" w:line="275" w:lineRule="auto"/>
        <w:tabs>
          <w:tab w:leader="none" w:pos="1375" w:val="left"/>
        </w:tabs>
        <w:numPr>
          <w:ilvl w:val="1"/>
          <w:numId w:val="171"/>
        </w:numPr>
        <w:rPr>
          <w:rFonts w:ascii="Arial" w:cs="Arial" w:eastAsia="Arial" w:hAnsi="Arial"/>
          <w:sz w:val="17"/>
          <w:szCs w:val="17"/>
          <w:color w:val="auto"/>
        </w:rPr>
      </w:pPr>
      <w:r>
        <w:rPr>
          <w:rFonts w:ascii="Arial" w:cs="Arial" w:eastAsia="Arial" w:hAnsi="Arial"/>
          <w:sz w:val="17"/>
          <w:szCs w:val="17"/>
          <w:color w:val="auto"/>
        </w:rPr>
        <w:t xml:space="preserve">a Borrowing Base Deficiency shall occur and continue unremedied for a period of five or more Business Days after delivery of a Borrowing Base Certificate demonstrating such Borrowing Base Deficiency pursuant to </w:t>
      </w:r>
      <w:r>
        <w:rPr>
          <w:rFonts w:ascii="Arial" w:cs="Arial" w:eastAsia="Arial" w:hAnsi="Arial"/>
          <w:sz w:val="17"/>
          <w:szCs w:val="17"/>
          <w:u w:val="single" w:color="auto"/>
          <w:color w:val="auto"/>
        </w:rPr>
        <w:t>Section 5.01(e)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it shall not be an Event of Default hereunder if the Borrower shall present the Administrative Agent with a reasonably feasible plan acceptable to the Administrative Agent in its sole discretion to enable such Borrowing Base Deficiency to be cured within 30 Business Days (which 30-Business Day period shall include the five Business Days permitted for delivery of such plan), so long as such Borrowing Base Deficiency is cured within such 30-Business Day period;</w:t>
      </w:r>
    </w:p>
    <w:p>
      <w:pPr>
        <w:spacing w:after="0" w:line="68" w:lineRule="exact"/>
        <w:rPr>
          <w:rFonts w:ascii="Arial" w:cs="Arial" w:eastAsia="Arial" w:hAnsi="Arial"/>
          <w:sz w:val="17"/>
          <w:szCs w:val="17"/>
          <w:color w:val="auto"/>
        </w:rPr>
      </w:pPr>
    </w:p>
    <w:p>
      <w:pPr>
        <w:ind w:left="4" w:right="280" w:firstLine="987"/>
        <w:spacing w:after="0" w:line="311" w:lineRule="auto"/>
        <w:tabs>
          <w:tab w:leader="none" w:pos="1355" w:val="left"/>
        </w:tabs>
        <w:numPr>
          <w:ilvl w:val="1"/>
          <w:numId w:val="171"/>
        </w:numPr>
        <w:rPr>
          <w:rFonts w:ascii="Arial" w:cs="Arial" w:eastAsia="Arial" w:hAnsi="Arial"/>
          <w:sz w:val="16"/>
          <w:szCs w:val="16"/>
          <w:color w:val="auto"/>
        </w:rPr>
      </w:pPr>
      <w:r>
        <w:rPr>
          <w:rFonts w:ascii="Arial" w:cs="Arial" w:eastAsia="Arial" w:hAnsi="Arial"/>
          <w:sz w:val="16"/>
          <w:szCs w:val="16"/>
          <w:color w:val="auto"/>
        </w:rPr>
        <w:t xml:space="preserve">the Borrower or any Obligor, as applicable, shall fail to observe or perform any covenant, condition or agreement contained in this Agreement (other than those specified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(r)</w:t>
      </w:r>
      <w:r>
        <w:rPr>
          <w:rFonts w:ascii="Arial" w:cs="Arial" w:eastAsia="Arial" w:hAnsi="Arial"/>
          <w:sz w:val="16"/>
          <w:szCs w:val="16"/>
          <w:color w:val="auto"/>
        </w:rPr>
        <w:t xml:space="preserve"> of this Article) or any other Loan Document and such failure shall continue unremedied for a period of 30 or more days after notice thereof from the Administrative Agent (given at the request of any Lender) to the Borrower;</w:t>
      </w:r>
    </w:p>
    <w:p>
      <w:pPr>
        <w:spacing w:after="0" w:line="40" w:lineRule="exact"/>
        <w:rPr>
          <w:rFonts w:ascii="Arial" w:cs="Arial" w:eastAsia="Arial" w:hAnsi="Arial"/>
          <w:sz w:val="16"/>
          <w:szCs w:val="16"/>
          <w:color w:val="auto"/>
        </w:rPr>
      </w:pPr>
    </w:p>
    <w:p>
      <w:pPr>
        <w:ind w:left="4" w:right="160" w:firstLine="987"/>
        <w:spacing w:after="0" w:line="342" w:lineRule="auto"/>
        <w:tabs>
          <w:tab w:leader="none" w:pos="1385" w:val="left"/>
        </w:tabs>
        <w:numPr>
          <w:ilvl w:val="1"/>
          <w:numId w:val="171"/>
        </w:numPr>
        <w:rPr>
          <w:rFonts w:ascii="Arial" w:cs="Arial" w:eastAsia="Arial" w:hAnsi="Arial"/>
          <w:sz w:val="16"/>
          <w:szCs w:val="16"/>
          <w:color w:val="auto"/>
        </w:rPr>
      </w:pPr>
      <w:r>
        <w:rPr>
          <w:rFonts w:ascii="Arial" w:cs="Arial" w:eastAsia="Arial" w:hAnsi="Arial"/>
          <w:sz w:val="16"/>
          <w:szCs w:val="16"/>
          <w:color w:val="auto"/>
        </w:rPr>
        <w:t>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spacing w:after="0" w:line="15" w:lineRule="exact"/>
        <w:rPr>
          <w:rFonts w:ascii="Arial" w:cs="Arial" w:eastAsia="Arial" w:hAnsi="Arial"/>
          <w:sz w:val="16"/>
          <w:szCs w:val="16"/>
          <w:color w:val="auto"/>
        </w:rPr>
      </w:pPr>
    </w:p>
    <w:p>
      <w:pPr>
        <w:jc w:val="both"/>
        <w:ind w:left="4" w:right="160" w:firstLine="987"/>
        <w:spacing w:after="0" w:line="286" w:lineRule="auto"/>
        <w:tabs>
          <w:tab w:leader="none" w:pos="1385" w:val="left"/>
        </w:tabs>
        <w:numPr>
          <w:ilvl w:val="1"/>
          <w:numId w:val="171"/>
        </w:numPr>
        <w:rPr>
          <w:rFonts w:ascii="Arial" w:cs="Arial" w:eastAsia="Arial" w:hAnsi="Arial"/>
          <w:sz w:val="16"/>
          <w:szCs w:val="16"/>
          <w:color w:val="auto"/>
        </w:rPr>
      </w:pPr>
      <w:r>
        <w:rPr>
          <w:rFonts w:ascii="Arial" w:cs="Arial" w:eastAsia="Arial" w:hAnsi="Arial"/>
          <w:sz w:val="16"/>
          <w:szCs w:val="16"/>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(for the avoidance of doubt, after giving effect to any applicable grace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shall not apply to</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172"/>
        </w:numPr>
        <w:rPr>
          <w:rFonts w:ascii="Arial" w:cs="Arial" w:eastAsia="Arial" w:hAnsi="Arial"/>
          <w:sz w:val="17"/>
          <w:szCs w:val="17"/>
          <w:color w:val="auto"/>
        </w:rPr>
      </w:pPr>
      <w:r>
        <w:rPr>
          <w:rFonts w:ascii="Arial" w:cs="Arial" w:eastAsia="Arial" w:hAnsi="Arial"/>
          <w:sz w:val="17"/>
          <w:szCs w:val="17"/>
          <w:color w:val="auto"/>
        </w:rPr>
        <w:t>secured Indebtedness that becomes due as a result of the voluntary sale or transfer of the property or assets securing such Indebtedness; or</w:t>
      </w:r>
    </w:p>
    <w:p>
      <w:pPr>
        <w:spacing w:after="0" w:line="20" w:lineRule="exact"/>
        <w:rPr>
          <w:rFonts w:ascii="Arial" w:cs="Arial" w:eastAsia="Arial" w:hAnsi="Arial"/>
          <w:sz w:val="17"/>
          <w:szCs w:val="17"/>
          <w:color w:val="auto"/>
        </w:rPr>
      </w:pPr>
    </w:p>
    <w:p>
      <w:pPr>
        <w:ind w:left="4" w:right="280" w:hanging="4"/>
        <w:spacing w:after="0" w:line="323" w:lineRule="auto"/>
        <w:tabs>
          <w:tab w:leader="none" w:pos="259" w:val="left"/>
        </w:tabs>
        <w:numPr>
          <w:ilvl w:val="0"/>
          <w:numId w:val="172"/>
        </w:numPr>
        <w:rPr>
          <w:rFonts w:ascii="Arial" w:cs="Arial" w:eastAsia="Arial" w:hAnsi="Arial"/>
          <w:sz w:val="16"/>
          <w:szCs w:val="16"/>
          <w:color w:val="auto"/>
        </w:rPr>
      </w:pPr>
      <w:r>
        <w:rPr>
          <w:rFonts w:ascii="Arial" w:cs="Arial" w:eastAsia="Arial" w:hAnsi="Arial"/>
          <w:sz w:val="16"/>
          <w:szCs w:val="16"/>
          <w:color w:val="auto"/>
        </w:rPr>
        <w:t>convertible debt that becomes due as a result of a conversion or redemption event, other than to the extent it becomes due or is paid in cash (other than interest or expenses) as a result of an “event of default” (as defined in the documents governing such convertible Material Indebtedness);</w:t>
      </w:r>
    </w:p>
    <w:p>
      <w:pPr>
        <w:spacing w:after="0" w:line="30" w:lineRule="exact"/>
        <w:rPr>
          <w:rFonts w:ascii="Arial" w:cs="Arial" w:eastAsia="Arial" w:hAnsi="Arial"/>
          <w:sz w:val="16"/>
          <w:szCs w:val="16"/>
          <w:color w:val="auto"/>
        </w:rPr>
      </w:pPr>
    </w:p>
    <w:p>
      <w:pPr>
        <w:ind w:left="4" w:right="20" w:firstLine="987"/>
        <w:spacing w:after="0" w:line="273" w:lineRule="auto"/>
        <w:tabs>
          <w:tab w:leader="none" w:pos="1345" w:val="left"/>
        </w:tabs>
        <w:numPr>
          <w:ilvl w:val="1"/>
          <w:numId w:val="172"/>
        </w:numPr>
        <w:rPr>
          <w:rFonts w:ascii="Arial" w:cs="Arial" w:eastAsia="Arial" w:hAnsi="Arial"/>
          <w:sz w:val="17"/>
          <w:szCs w:val="17"/>
          <w:color w:val="auto"/>
        </w:rPr>
      </w:pPr>
      <w:r>
        <w:rPr>
          <w:rFonts w:ascii="Arial" w:cs="Arial" w:eastAsia="Arial" w:hAnsi="Arial"/>
          <w:sz w:val="17"/>
          <w:szCs w:val="17"/>
          <w:color w:val="auto"/>
        </w:rPr>
        <w:t>an involuntary proceeding shall be commenced or an involuntary petition shall be filed seeking (i) liquidation, reorganization or other relief in respect of the Borrower or any of its Subsidiaries (other than Immaterial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(other than Immaterial Subsidiaries) or for a substantial part of its assets, and, in any such case, such proceeding or petition shall continue undismissed and unstayed for a period of 60 or more days or an order or decree approving or ordering any of the foregoing shall be entered;</w:t>
      </w:r>
    </w:p>
    <w:p>
      <w:pPr>
        <w:spacing w:after="0" w:line="110" w:lineRule="exact"/>
        <w:rPr>
          <w:sz w:val="20"/>
          <w:szCs w:val="20"/>
          <w:color w:val="auto"/>
        </w:rPr>
      </w:pPr>
    </w:p>
    <w:tbl>
      <w:tblPr>
        <w:tblLayout w:type="fixed"/>
        <w:tblInd w:w="5444" w:type="dxa"/>
        <w:tblCellMar>
          <w:top w:w="0" w:type="dxa"/>
          <w:left w:w="0" w:type="dxa"/>
          <w:bottom w:w="0" w:type="dxa"/>
          <w:right w:w="0" w:type="dxa"/>
        </w:tblCellMar>
      </w:tblPr>
      <w:tr>
        <w:trPr>
          <w:trHeight w:val="216"/>
        </w:trPr>
        <w:tc>
          <w:tcPr>
            <w:tcW w:w="1800" w:type="dxa"/>
            <w:vAlign w:val="bottom"/>
          </w:tcPr>
          <w:p>
            <w:pPr>
              <w:jc w:val="right"/>
              <w:ind w:right="1450"/>
              <w:spacing w:after="0"/>
              <w:rPr>
                <w:sz w:val="20"/>
                <w:szCs w:val="20"/>
                <w:color w:val="auto"/>
              </w:rPr>
            </w:pPr>
            <w:r>
              <w:rPr>
                <w:rFonts w:ascii="Arial" w:cs="Arial" w:eastAsia="Arial" w:hAnsi="Arial"/>
                <w:sz w:val="18"/>
                <w:szCs w:val="18"/>
                <w:color w:val="auto"/>
                <w:w w:val="79"/>
              </w:rPr>
              <w:t>110</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0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140" w:name="page141"/>
    <w:bookmarkEnd w:id="140"/>
    <w:p>
      <w:pPr>
        <w:ind w:left="-987" w:right="60" w:firstLine="987"/>
        <w:spacing w:after="0" w:line="272" w:lineRule="auto"/>
        <w:tabs>
          <w:tab w:leader="none" w:pos="354" w:val="left"/>
        </w:tabs>
        <w:numPr>
          <w:ilvl w:val="0"/>
          <w:numId w:val="17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Borrower or any of its Subsidiaries (other than Immaterial Subsidiaries)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this Article, (iii) apply for or consent to the appointment of a receiver, trustee, custodian, sequestrator, conservator or similar official for the Borrower or any of its Subsidiaries (other than Immaterial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69" w:lineRule="exact"/>
        <w:rPr>
          <w:rFonts w:ascii="Arial" w:cs="Arial" w:eastAsia="Arial" w:hAnsi="Arial"/>
          <w:sz w:val="17"/>
          <w:szCs w:val="17"/>
          <w:color w:val="auto"/>
        </w:rPr>
      </w:pPr>
    </w:p>
    <w:p>
      <w:pPr>
        <w:ind w:left="-987" w:right="100" w:firstLine="987"/>
        <w:spacing w:after="0" w:line="277" w:lineRule="auto"/>
        <w:tabs>
          <w:tab w:leader="none" w:pos="39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Borrower or any of its Subsidiaries (other than Immaterial Subsidiaries) shall become unable, admit in writing its inability or fail generally to pay its debts as they become due;</w:t>
      </w:r>
    </w:p>
    <w:p>
      <w:pPr>
        <w:spacing w:after="0" w:line="62" w:lineRule="exact"/>
        <w:rPr>
          <w:rFonts w:ascii="Arial" w:cs="Arial" w:eastAsia="Arial" w:hAnsi="Arial"/>
          <w:sz w:val="18"/>
          <w:szCs w:val="18"/>
          <w:color w:val="auto"/>
        </w:rPr>
      </w:pPr>
    </w:p>
    <w:p>
      <w:pPr>
        <w:ind w:left="-987" w:right="60" w:firstLine="987"/>
        <w:spacing w:after="0" w:line="301" w:lineRule="auto"/>
        <w:tabs>
          <w:tab w:leader="none" w:pos="35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one or more judgments for the payment of money in an aggregate amount in excess of $15,000,000 shall be rendered against the Borrower or any of its Subsidiaries (other than Immaterial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of its Subsidiaries (other than Immaterial Subsidiaries) to enforce any such judgment;</w:t>
      </w:r>
    </w:p>
    <w:p>
      <w:pPr>
        <w:spacing w:after="0" w:line="49" w:lineRule="exact"/>
        <w:rPr>
          <w:rFonts w:ascii="Arial" w:cs="Arial" w:eastAsia="Arial" w:hAnsi="Arial"/>
          <w:sz w:val="16"/>
          <w:szCs w:val="16"/>
          <w:color w:val="auto"/>
        </w:rPr>
      </w:pPr>
    </w:p>
    <w:p>
      <w:pPr>
        <w:ind w:left="-987" w:right="100" w:firstLine="987"/>
        <w:spacing w:after="0" w:line="277" w:lineRule="auto"/>
        <w:tabs>
          <w:tab w:leader="none" w:pos="44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 ERISA Event shall have occurred that, in the opinion of the Required Lenders, when taken together with all other ERISA Events that have occurred, could reasonably be expected to result in a Material Adverse Effect;</w:t>
      </w:r>
    </w:p>
    <w:p>
      <w:pPr>
        <w:spacing w:after="0" w:line="62" w:lineRule="exact"/>
        <w:rPr>
          <w:rFonts w:ascii="Arial" w:cs="Arial" w:eastAsia="Arial" w:hAnsi="Arial"/>
          <w:sz w:val="18"/>
          <w:szCs w:val="18"/>
          <w:color w:val="auto"/>
        </w:rPr>
      </w:pPr>
    </w:p>
    <w:p>
      <w:pPr>
        <w:ind w:left="393" w:hanging="393"/>
        <w:spacing w:after="0"/>
        <w:tabs>
          <w:tab w:leader="none" w:pos="39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117" w:lineRule="exact"/>
        <w:rPr>
          <w:rFonts w:ascii="Arial" w:cs="Arial" w:eastAsia="Arial" w:hAnsi="Arial"/>
          <w:sz w:val="18"/>
          <w:szCs w:val="18"/>
          <w:color w:val="auto"/>
        </w:rPr>
      </w:pPr>
    </w:p>
    <w:p>
      <w:pPr>
        <w:ind w:left="393" w:hanging="393"/>
        <w:spacing w:after="0"/>
        <w:tabs>
          <w:tab w:leader="none" w:pos="39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PennantPark Investment Advisers, LLC or an Affiliate thereof shall cease to be the investment advisor for the Borrower;</w:t>
      </w:r>
    </w:p>
    <w:p>
      <w:pPr>
        <w:spacing w:after="0" w:line="117" w:lineRule="exact"/>
        <w:rPr>
          <w:rFonts w:ascii="Arial" w:cs="Arial" w:eastAsia="Arial" w:hAnsi="Arial"/>
          <w:sz w:val="18"/>
          <w:szCs w:val="18"/>
          <w:color w:val="auto"/>
        </w:rPr>
      </w:pPr>
    </w:p>
    <w:p>
      <w:pPr>
        <w:ind w:left="-987" w:right="140" w:firstLine="987"/>
        <w:spacing w:after="0" w:line="296" w:lineRule="auto"/>
        <w:tabs>
          <w:tab w:leader="none" w:pos="39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the Liens created by the Security Documents shall, at any time with respect to Portfolio Investments having an aggregate Value in excess of 5% of the aggregate Value of all Portfolio Investments, not be valid and perfected (to the extent perfection by filing, registration, recordation, possession or control is required herein or therein) in favor of the Administrative Agent, free and clear of all other Liens (other than Liens permitted under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or under the respective Security Documents) except to the extent that any such loss of perfection results from the failure of the Collateral Agent to maintain possession of the certificates representing the securities pledged under the Loan Documents;</w:t>
      </w:r>
    </w:p>
    <w:p>
      <w:pPr>
        <w:spacing w:after="0" w:line="53" w:lineRule="exact"/>
        <w:rPr>
          <w:rFonts w:ascii="Arial" w:cs="Arial" w:eastAsia="Arial" w:hAnsi="Arial"/>
          <w:sz w:val="16"/>
          <w:szCs w:val="16"/>
          <w:color w:val="auto"/>
        </w:rPr>
      </w:pPr>
    </w:p>
    <w:p>
      <w:pPr>
        <w:ind w:left="-987" w:right="60" w:firstLine="987"/>
        <w:spacing w:after="0" w:line="277" w:lineRule="auto"/>
        <w:tabs>
          <w:tab w:leader="none" w:pos="39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except for expiration in accordance with its terms, any of the Security Documents shall for whatever reason be terminated or cease to be in full force and effect in any material respect, or the enforceability thereof shall be contested by the Borrower;</w:t>
      </w:r>
    </w:p>
    <w:p>
      <w:pPr>
        <w:spacing w:after="0" w:line="103" w:lineRule="exact"/>
        <w:rPr>
          <w:sz w:val="20"/>
          <w:szCs w:val="20"/>
          <w:color w:val="auto"/>
        </w:rPr>
      </w:pPr>
    </w:p>
    <w:tbl>
      <w:tblPr>
        <w:tblLayout w:type="fixed"/>
        <w:tblInd w:w="4453" w:type="dxa"/>
        <w:tblCellMar>
          <w:top w:w="0" w:type="dxa"/>
          <w:left w:w="0" w:type="dxa"/>
          <w:bottom w:w="0" w:type="dxa"/>
          <w:right w:w="0" w:type="dxa"/>
        </w:tblCellMar>
      </w:tblPr>
      <w:tr>
        <w:trPr>
          <w:trHeight w:val="216"/>
        </w:trPr>
        <w:tc>
          <w:tcPr>
            <w:tcW w:w="1800" w:type="dxa"/>
            <w:vAlign w:val="bottom"/>
          </w:tcPr>
          <w:p>
            <w:pPr>
              <w:jc w:val="right"/>
              <w:ind w:right="1450"/>
              <w:spacing w:after="0"/>
              <w:rPr>
                <w:sz w:val="20"/>
                <w:szCs w:val="20"/>
                <w:color w:val="auto"/>
              </w:rPr>
            </w:pPr>
            <w:r>
              <w:rPr>
                <w:rFonts w:ascii="Arial" w:cs="Arial" w:eastAsia="Arial" w:hAnsi="Arial"/>
                <w:sz w:val="18"/>
                <w:szCs w:val="18"/>
                <w:color w:val="auto"/>
                <w:w w:val="79"/>
              </w:rPr>
              <w:t>111</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0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0033"/>
          </w:cols>
          <w:pgMar w:left="1427" w:top="274" w:right="439" w:bottom="1440" w:gutter="0" w:footer="0" w:header="0"/>
        </w:sectPr>
      </w:pPr>
    </w:p>
    <w:bookmarkStart w:id="141" w:name="page142"/>
    <w:bookmarkEnd w:id="141"/>
    <w:p>
      <w:pPr>
        <w:ind w:left="984"/>
        <w:spacing w:after="0"/>
        <w:tabs>
          <w:tab w:leader="none" w:pos="13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w:t>
      </w:r>
      <w:r>
        <w:rPr>
          <w:sz w:val="20"/>
          <w:szCs w:val="20"/>
          <w:color w:val="auto"/>
        </w:rPr>
        <w:tab/>
      </w:r>
      <w:r>
        <w:rPr>
          <w:rFonts w:ascii="Arial" w:cs="Arial" w:eastAsia="Arial" w:hAnsi="Arial"/>
          <w:sz w:val="16"/>
          <w:szCs w:val="16"/>
          <w:color w:val="auto"/>
        </w:rPr>
        <w:t>the Obligors shall at any time, without the consent of the Required Lenders fail to comply with the covenant contained in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Section 5.11</w:t>
      </w:r>
      <w:r>
        <w:rPr>
          <w:rFonts w:ascii="Arial" w:cs="Arial" w:eastAsia="Arial" w:hAnsi="Arial"/>
          <w:sz w:val="16"/>
          <w:szCs w:val="16"/>
          <w:color w:val="auto"/>
        </w:rPr>
        <w:t>, and such failure shall continue unremedied for a period of 30 or more days after the earlier of notice thereof by the Administrative Agent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(given at the request of any Lender) to the Borrower or knowledge thereof by a Financial Officer; or</w:t>
      </w:r>
    </w:p>
    <w:p>
      <w:pPr>
        <w:spacing w:after="0" w:line="103" w:lineRule="exact"/>
        <w:rPr>
          <w:sz w:val="20"/>
          <w:szCs w:val="20"/>
          <w:color w:val="auto"/>
        </w:rPr>
      </w:pPr>
    </w:p>
    <w:p>
      <w:pPr>
        <w:ind w:left="4" w:right="640" w:firstLine="987"/>
        <w:spacing w:after="0" w:line="277" w:lineRule="auto"/>
        <w:tabs>
          <w:tab w:leader="none" w:pos="136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Borrower or any of its Subsidiaries shall cause or permit the occurrence of any condition or event that would result in any recourse to any Obligor under any Permitted SBIC Guarantee;</w:t>
      </w:r>
    </w:p>
    <w:p>
      <w:pPr>
        <w:spacing w:after="0" w:line="170"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 xml:space="preserve">then, and in every such event (other than an event with respect to the Borrower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 xml:space="preserve">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 xml:space="preserve"> of this Article, the 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spacing w:after="0" w:line="182" w:lineRule="exact"/>
        <w:rPr>
          <w:sz w:val="20"/>
          <w:szCs w:val="20"/>
          <w:color w:val="auto"/>
        </w:rPr>
      </w:pPr>
    </w:p>
    <w:p>
      <w:pPr>
        <w:ind w:left="4" w:right="80" w:firstLine="991"/>
        <w:spacing w:after="0" w:line="273" w:lineRule="auto"/>
        <w:rPr>
          <w:sz w:val="20"/>
          <w:szCs w:val="20"/>
          <w:color w:val="auto"/>
        </w:rPr>
      </w:pPr>
      <w:r>
        <w:rPr>
          <w:rFonts w:ascii="Arial" w:cs="Arial" w:eastAsia="Arial" w:hAnsi="Arial"/>
          <w:sz w:val="17"/>
          <w:szCs w:val="17"/>
          <w:color w:val="auto"/>
        </w:rPr>
        <w:t xml:space="preserve">In the event that the Loans shall be declared, or shall become, due and payable pursuant to the immediately preceding paragraph then, upon notice from the Administrative Agent or Lenders with LC Exposure representing more than 50% of the total LC Exposure demanding the deposit of Cash Collateral pursuant to this paragraph, the Borrower shall immediately deposit into the Letter of Credit Collateral Account cash in an amount equal to the LC Exposure as of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accrued and unpaid interest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obligation to deposit such cash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 xml:space="preserve"> of this Article.</w:t>
      </w:r>
    </w:p>
    <w:p>
      <w:pPr>
        <w:spacing w:after="0" w:line="178" w:lineRule="exact"/>
        <w:rPr>
          <w:sz w:val="20"/>
          <w:szCs w:val="20"/>
          <w:color w:val="auto"/>
        </w:rPr>
      </w:pPr>
    </w:p>
    <w:p>
      <w:pPr>
        <w:ind w:left="984"/>
        <w:spacing w:after="0"/>
        <w:rPr>
          <w:sz w:val="20"/>
          <w:szCs w:val="20"/>
          <w:color w:val="auto"/>
        </w:rPr>
      </w:pPr>
      <w:r>
        <w:rPr>
          <w:rFonts w:ascii="Arial" w:cs="Arial" w:eastAsia="Arial" w:hAnsi="Arial"/>
          <w:sz w:val="17"/>
          <w:szCs w:val="17"/>
          <w:color w:val="auto"/>
        </w:rPr>
        <w:t>Notwithstanding anything to the contrary contained herein, on the CAM Exchange Date, to the extent not otherwise prohibited by law,</w:t>
      </w:r>
    </w:p>
    <w:p>
      <w:pPr>
        <w:spacing w:after="0" w:line="35" w:lineRule="exact"/>
        <w:rPr>
          <w:sz w:val="20"/>
          <w:szCs w:val="20"/>
          <w:color w:val="auto"/>
        </w:rPr>
      </w:pPr>
    </w:p>
    <w:p>
      <w:pPr>
        <w:ind w:left="4" w:right="100" w:hanging="4"/>
        <w:spacing w:after="0" w:line="271" w:lineRule="auto"/>
        <w:tabs>
          <w:tab w:leader="none" w:pos="249"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the Lenders shall automatically and without further act be deemed to have exchanged interests in the Designated Obligations such that, in lieu of the interests of each Lender in the Designated Obligations under each Loan in which it shall participate as of such date, such Lender shall own an interest equal to such Lender’s CAM Percentage in the Designated Obligations under each of the Loans and (b) simultaneously with the deemed exchange of interests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the interests in the Designated Obligations to be received in such deemed exchange shall, automatically and with no further action required, be converted into the Dollar Equivalent of such amount (as of the Business Day</w:t>
      </w:r>
    </w:p>
    <w:p>
      <w:pPr>
        <w:spacing w:after="0" w:line="111" w:lineRule="exact"/>
        <w:rPr>
          <w:sz w:val="20"/>
          <w:szCs w:val="20"/>
          <w:color w:val="auto"/>
        </w:rPr>
      </w:pPr>
    </w:p>
    <w:tbl>
      <w:tblPr>
        <w:tblLayout w:type="fixed"/>
        <w:tblInd w:w="5444" w:type="dxa"/>
        <w:tblCellMar>
          <w:top w:w="0" w:type="dxa"/>
          <w:left w:w="0" w:type="dxa"/>
          <w:bottom w:w="0" w:type="dxa"/>
          <w:right w:w="0" w:type="dxa"/>
        </w:tblCellMar>
      </w:tblPr>
      <w:tr>
        <w:trPr>
          <w:trHeight w:val="216"/>
        </w:trPr>
        <w:tc>
          <w:tcPr>
            <w:tcW w:w="1800" w:type="dxa"/>
            <w:vAlign w:val="bottom"/>
          </w:tcPr>
          <w:p>
            <w:pPr>
              <w:jc w:val="right"/>
              <w:ind w:right="1450"/>
              <w:spacing w:after="0"/>
              <w:rPr>
                <w:sz w:val="20"/>
                <w:szCs w:val="20"/>
                <w:color w:val="auto"/>
              </w:rPr>
            </w:pPr>
            <w:r>
              <w:rPr>
                <w:rFonts w:ascii="Arial" w:cs="Arial" w:eastAsia="Arial" w:hAnsi="Arial"/>
                <w:sz w:val="18"/>
                <w:szCs w:val="18"/>
                <w:color w:val="auto"/>
                <w:w w:val="79"/>
              </w:rPr>
              <w:t>112</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0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142" w:name="page143"/>
    <w:bookmarkEnd w:id="142"/>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immediately prior to the CAM Exchange Date) and on and after such date all amounts accruing and owed to the Lenders in respect of such Designated Obligations shall accrue and be payable in Dollars at the rate otherwise applicable hereunder. Each Lender, each Person acquiring a participation from any Lender as contemplated by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and the Borrower hereby consents and agrees to the CAM Exchange. The Borrower and the Lenders agree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in connection with its Loans hereunder to the Administrative Agent against delivery of any promissory notes so executed and delivered; provided that the failure of the Borrower to execute or deliver or of any Lender to accept any such promissory note, instrument or document shall not affect the validity or effectiveness of the CAM Exchange. As a result of the CAM Exchange, on and after the CAM Exchange Date, each payment received by the Administrative Agent pursuant to any Loan Document in respect of the Designated Obligations shall be distributed to the Lenders pro rata in accordance with their respective CAM Percentages (to be redetermined as of each such date of payment).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ADMINISTRATIVE AGENT</w:t>
      </w:r>
    </w:p>
    <w:p>
      <w:pPr>
        <w:spacing w:after="0" w:line="225" w:lineRule="exact"/>
        <w:rPr>
          <w:sz w:val="20"/>
          <w:szCs w:val="20"/>
          <w:color w:val="auto"/>
        </w:rPr>
      </w:pPr>
    </w:p>
    <w:p>
      <w:pPr>
        <w:ind w:right="40" w:firstLine="991"/>
        <w:spacing w:after="0" w:line="293"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Appointment of the Administrative Agent</w:t>
      </w:r>
      <w:r>
        <w:rPr>
          <w:rFonts w:ascii="Arial" w:cs="Arial" w:eastAsia="Arial" w:hAnsi="Arial"/>
          <w:sz w:val="16"/>
          <w:szCs w:val="16"/>
          <w:color w:val="auto"/>
        </w:rPr>
        <w:t>. Each of the Lenders and the Issuing Bank hereby irrevocably appoints the Administrative Agent as its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Each of the Lenders and the Issuing Bank hereby irrevocably appoints the Collateral Agent as its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w:t>
      </w:r>
    </w:p>
    <w:p>
      <w:pPr>
        <w:spacing w:after="0" w:line="164"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Capacity as Lender</w:t>
      </w:r>
      <w:r>
        <w:rPr>
          <w:rFonts w:ascii="Arial" w:cs="Arial" w:eastAsia="Arial" w:hAnsi="Arial"/>
          <w:sz w:val="18"/>
          <w:szCs w:val="18"/>
          <w:color w:val="auto"/>
        </w:rPr>
        <w:t>. 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87" w:lineRule="exact"/>
        <w:rPr>
          <w:sz w:val="20"/>
          <w:szCs w:val="20"/>
          <w:color w:val="auto"/>
        </w:rPr>
      </w:pPr>
    </w:p>
    <w:p>
      <w:pPr>
        <w:ind w:right="220" w:firstLine="991"/>
        <w:spacing w:after="0" w:line="255"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Limitation of Duties; Exculpation</w:t>
      </w:r>
      <w:r>
        <w:rPr>
          <w:rFonts w:ascii="Arial" w:cs="Arial" w:eastAsia="Arial" w:hAnsi="Arial"/>
          <w:sz w:val="18"/>
          <w:szCs w:val="18"/>
          <w:color w:val="auto"/>
        </w:rPr>
        <w:t>.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by the Required Lenders, and (c) except as expressly set forth herein</w:t>
      </w:r>
    </w:p>
    <w:p>
      <w:pPr>
        <w:spacing w:after="0" w:line="125" w:lineRule="exact"/>
        <w:rPr>
          <w:sz w:val="20"/>
          <w:szCs w:val="20"/>
          <w:color w:val="auto"/>
        </w:rPr>
      </w:pPr>
    </w:p>
    <w:tbl>
      <w:tblPr>
        <w:tblLayout w:type="fixed"/>
        <w:tblInd w:w="5440" w:type="dxa"/>
        <w:tblCellMar>
          <w:top w:w="0" w:type="dxa"/>
          <w:left w:w="0" w:type="dxa"/>
          <w:bottom w:w="0" w:type="dxa"/>
          <w:right w:w="0" w:type="dxa"/>
        </w:tblCellMar>
      </w:tblPr>
      <w:tr>
        <w:trPr>
          <w:trHeight w:val="216"/>
        </w:trPr>
        <w:tc>
          <w:tcPr>
            <w:tcW w:w="1800" w:type="dxa"/>
            <w:vAlign w:val="bottom"/>
          </w:tcPr>
          <w:p>
            <w:pPr>
              <w:jc w:val="right"/>
              <w:ind w:right="1450"/>
              <w:spacing w:after="0"/>
              <w:rPr>
                <w:sz w:val="20"/>
                <w:szCs w:val="20"/>
                <w:color w:val="auto"/>
              </w:rPr>
            </w:pPr>
            <w:r>
              <w:rPr>
                <w:rFonts w:ascii="Arial" w:cs="Arial" w:eastAsia="Arial" w:hAnsi="Arial"/>
                <w:sz w:val="18"/>
                <w:szCs w:val="18"/>
                <w:color w:val="auto"/>
                <w:w w:val="79"/>
              </w:rPr>
              <w:t>113</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0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43" w:name="page144"/>
    <w:bookmarkEnd w:id="143"/>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and in the other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to any Lender or Issuing Bank for any action taken or not taken by it with the consent or at the request of the Required Lenders or in the absence of its own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herein or therein, other than to confirm receipt of items expressly required to be delivered to the Administrative Agent.</w:t>
      </w:r>
    </w:p>
    <w:p>
      <w:pPr>
        <w:spacing w:after="0" w:line="172" w:lineRule="exact"/>
        <w:rPr>
          <w:sz w:val="20"/>
          <w:szCs w:val="20"/>
          <w:color w:val="auto"/>
        </w:rPr>
      </w:pPr>
    </w:p>
    <w:p>
      <w:pPr>
        <w:ind w:right="80" w:firstLine="991"/>
        <w:spacing w:after="0" w:line="293"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Reliance</w:t>
      </w:r>
      <w:r>
        <w:rPr>
          <w:rFonts w:ascii="Arial" w:cs="Arial" w:eastAsia="Arial" w:hAnsi="Arial"/>
          <w:sz w:val="16"/>
          <w:szCs w:val="16"/>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64" w:lineRule="exact"/>
        <w:rPr>
          <w:sz w:val="20"/>
          <w:szCs w:val="20"/>
          <w:color w:val="auto"/>
        </w:rPr>
      </w:pPr>
    </w:p>
    <w:p>
      <w:pPr>
        <w:ind w:right="60" w:firstLine="991"/>
        <w:spacing w:after="0" w:line="291"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Sub-Agents</w:t>
      </w:r>
      <w:r>
        <w:rPr>
          <w:rFonts w:ascii="Arial" w:cs="Arial" w:eastAsia="Arial" w:hAnsi="Arial"/>
          <w:sz w:val="16"/>
          <w:szCs w:val="16"/>
          <w:color w:val="auto"/>
        </w:rPr>
        <w:t>. 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count of competent jurisdiction determines in a final and non-appealable judgment that the Administrative Agent acted with gross negligence or willful misconduct in the selection of such sub-agents.</w:t>
      </w:r>
    </w:p>
    <w:p>
      <w:pPr>
        <w:spacing w:after="0" w:line="166" w:lineRule="exact"/>
        <w:rPr>
          <w:sz w:val="20"/>
          <w:szCs w:val="20"/>
          <w:color w:val="auto"/>
        </w:rPr>
      </w:pPr>
    </w:p>
    <w:p>
      <w:pPr>
        <w:ind w:right="20" w:firstLine="991"/>
        <w:spacing w:after="0" w:line="279" w:lineRule="auto"/>
        <w:rPr>
          <w:sz w:val="20"/>
          <w:szCs w:val="20"/>
          <w:color w:val="auto"/>
        </w:rPr>
      </w:pPr>
      <w:r>
        <w:rPr>
          <w:rFonts w:ascii="Arial" w:cs="Arial" w:eastAsia="Arial" w:hAnsi="Arial"/>
          <w:sz w:val="17"/>
          <w:szCs w:val="17"/>
          <w:color w:val="auto"/>
        </w:rPr>
        <w:t xml:space="preserve">SECTION 8.06. </w:t>
      </w:r>
      <w:r>
        <w:rPr>
          <w:rFonts w:ascii="Arial" w:cs="Arial" w:eastAsia="Arial" w:hAnsi="Arial"/>
          <w:sz w:val="17"/>
          <w:szCs w:val="17"/>
          <w:u w:val="single" w:color="auto"/>
          <w:color w:val="auto"/>
        </w:rPr>
        <w:t>Resignation; Successor Administrative Agent</w:t>
      </w:r>
      <w:r>
        <w:rPr>
          <w:rFonts w:ascii="Arial" w:cs="Arial" w:eastAsia="Arial" w:hAnsi="Arial"/>
          <w:sz w:val="17"/>
          <w:szCs w:val="17"/>
          <w:color w:val="auto"/>
        </w:rPr>
        <w:t>. The Administrative Agent may resign at any time by notifying the Lenders, the Issuing Bank and the Borrower. Upon any such resignation, 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w:t>
      </w:r>
    </w:p>
    <w:p>
      <w:pPr>
        <w:spacing w:after="0" w:line="104" w:lineRule="exact"/>
        <w:rPr>
          <w:sz w:val="20"/>
          <w:szCs w:val="20"/>
          <w:color w:val="auto"/>
        </w:rPr>
      </w:pPr>
    </w:p>
    <w:tbl>
      <w:tblPr>
        <w:tblLayout w:type="fixed"/>
        <w:tblInd w:w="5440" w:type="dxa"/>
        <w:tblCellMar>
          <w:top w:w="0" w:type="dxa"/>
          <w:left w:w="0" w:type="dxa"/>
          <w:bottom w:w="0" w:type="dxa"/>
          <w:right w:w="0" w:type="dxa"/>
        </w:tblCellMar>
      </w:tblPr>
      <w:tr>
        <w:trPr>
          <w:trHeight w:val="216"/>
        </w:trPr>
        <w:tc>
          <w:tcPr>
            <w:tcW w:w="1800" w:type="dxa"/>
            <w:vAlign w:val="bottom"/>
          </w:tcPr>
          <w:p>
            <w:pPr>
              <w:jc w:val="right"/>
              <w:ind w:right="1450"/>
              <w:spacing w:after="0"/>
              <w:rPr>
                <w:sz w:val="20"/>
                <w:szCs w:val="20"/>
                <w:color w:val="auto"/>
              </w:rPr>
            </w:pPr>
            <w:r>
              <w:rPr>
                <w:rFonts w:ascii="Arial" w:cs="Arial" w:eastAsia="Arial" w:hAnsi="Arial"/>
                <w:sz w:val="18"/>
                <w:szCs w:val="18"/>
                <w:color w:val="auto"/>
                <w:w w:val="79"/>
              </w:rPr>
              <w:t>114</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0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44" w:name="page145"/>
    <w:bookmarkEnd w:id="144"/>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days after the retiring Administrative Agent gives notice of its resignation, then the retiring Administrative Agent’s resignation shall nonetheless become effective and (1) the retiring Administrative Agent shall be discharged from its duties and obligations hereunder and (2) the Required Lenders shall perform the duties of the Administrative Agent (and all payments and communications provided to be made by, to or through the Administrative Agent shall instead be made by or to each Lender directly) until such time as the Required Lenders appoint a successor agent as provided for above in this paragraph. Upon the acceptance of its appointment 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 predecessor unless otherwise agreed between the Borrower and such successor. After the Administrative Agent’s resignation hereunder, the provisions of this Article and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shall continue in effect for its benefit in respect of any actions taken or omitted to be taken by it while it was acting as Administrative Agent.</w:t>
      </w:r>
    </w:p>
    <w:p>
      <w:pPr>
        <w:spacing w:after="0" w:line="168" w:lineRule="exact"/>
        <w:rPr>
          <w:sz w:val="20"/>
          <w:szCs w:val="20"/>
          <w:color w:val="auto"/>
        </w:rPr>
      </w:pPr>
    </w:p>
    <w:p>
      <w:pPr>
        <w:ind w:right="180" w:firstLine="440"/>
        <w:spacing w:after="0" w:line="254" w:lineRule="auto"/>
        <w:rPr>
          <w:sz w:val="20"/>
          <w:szCs w:val="20"/>
          <w:color w:val="auto"/>
        </w:rPr>
      </w:pPr>
      <w:r>
        <w:rPr>
          <w:rFonts w:ascii="Arial" w:cs="Arial" w:eastAsia="Arial" w:hAnsi="Arial"/>
          <w:sz w:val="18"/>
          <w:szCs w:val="18"/>
          <w:color w:val="auto"/>
        </w:rPr>
        <w:t>Any resignation by SunTrust as Administrative Agent pursuant to this Section shall also constitute its resignation as Issuing Bank and Swingline Lender. Upon the acceptance of a successor’s appointment as Administrative Agent hereunder, (a) such successor shall succeed to and become vested with all of the rights, powers, privileges and duties of the retiring Issuing Bank and Swingline Lender,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95" w:lineRule="exact"/>
        <w:rPr>
          <w:sz w:val="20"/>
          <w:szCs w:val="20"/>
          <w:color w:val="auto"/>
        </w:rPr>
      </w:pPr>
    </w:p>
    <w:p>
      <w:pPr>
        <w:ind w:right="40" w:firstLine="991"/>
        <w:spacing w:after="0" w:line="270" w:lineRule="auto"/>
        <w:rPr>
          <w:sz w:val="20"/>
          <w:szCs w:val="20"/>
          <w:color w:val="auto"/>
        </w:rPr>
      </w:pPr>
      <w:r>
        <w:rPr>
          <w:rFonts w:ascii="Arial" w:cs="Arial" w:eastAsia="Arial" w:hAnsi="Arial"/>
          <w:sz w:val="17"/>
          <w:szCs w:val="17"/>
          <w:color w:val="auto"/>
        </w:rPr>
        <w:t xml:space="preserve">SECTION 8.07. </w:t>
      </w:r>
      <w:r>
        <w:rPr>
          <w:rFonts w:ascii="Arial" w:cs="Arial" w:eastAsia="Arial" w:hAnsi="Arial"/>
          <w:sz w:val="17"/>
          <w:szCs w:val="17"/>
          <w:u w:val="single" w:color="auto"/>
          <w:color w:val="auto"/>
        </w:rPr>
        <w:t>Reliance by Lenders</w:t>
      </w:r>
      <w:r>
        <w:rPr>
          <w:rFonts w:ascii="Arial" w:cs="Arial" w:eastAsia="Arial" w:hAnsi="Arial"/>
          <w:sz w:val="17"/>
          <w:szCs w:val="17"/>
          <w:color w:val="auto"/>
        </w:rPr>
        <w:t>. 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The Administrative Agent shall have no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the Administrative Agent shall have no responsibility with respect to the accuracy of or the completeness of any information provided to Lenders.</w:t>
      </w:r>
    </w:p>
    <w:p>
      <w:pPr>
        <w:spacing w:after="0" w:line="181"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Each Lender, by delivering its signature page to this Agreement or any Assignment and Assumption and funding any Loan shall be deemed to have acknowledged receipt of, and consented to and approved, each Loan Document and each other document required to be approved by the Administrative Agent, Required Lenders or Lenders.</w:t>
      </w:r>
    </w:p>
    <w:p>
      <w:pPr>
        <w:spacing w:after="0" w:line="116" w:lineRule="exact"/>
        <w:rPr>
          <w:sz w:val="20"/>
          <w:szCs w:val="20"/>
          <w:color w:val="auto"/>
        </w:rPr>
      </w:pPr>
    </w:p>
    <w:tbl>
      <w:tblPr>
        <w:tblLayout w:type="fixed"/>
        <w:tblInd w:w="5440" w:type="dxa"/>
        <w:tblCellMar>
          <w:top w:w="0" w:type="dxa"/>
          <w:left w:w="0" w:type="dxa"/>
          <w:bottom w:w="0" w:type="dxa"/>
          <w:right w:w="0" w:type="dxa"/>
        </w:tblCellMar>
      </w:tblPr>
      <w:tr>
        <w:trPr>
          <w:trHeight w:val="216"/>
        </w:trPr>
        <w:tc>
          <w:tcPr>
            <w:tcW w:w="1800" w:type="dxa"/>
            <w:vAlign w:val="bottom"/>
          </w:tcPr>
          <w:p>
            <w:pPr>
              <w:jc w:val="right"/>
              <w:ind w:right="1450"/>
              <w:spacing w:after="0"/>
              <w:rPr>
                <w:sz w:val="20"/>
                <w:szCs w:val="20"/>
                <w:color w:val="auto"/>
              </w:rPr>
            </w:pPr>
            <w:r>
              <w:rPr>
                <w:rFonts w:ascii="Arial" w:cs="Arial" w:eastAsia="Arial" w:hAnsi="Arial"/>
                <w:sz w:val="18"/>
                <w:szCs w:val="18"/>
                <w:color w:val="auto"/>
                <w:w w:val="79"/>
              </w:rPr>
              <w:t>115</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0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45" w:name="page146"/>
    <w:bookmarkEnd w:id="145"/>
    <w:p>
      <w:pPr>
        <w:ind w:right="20"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8.08. </w:t>
      </w:r>
      <w:r>
        <w:rPr>
          <w:rFonts w:ascii="Arial" w:cs="Arial" w:eastAsia="Arial" w:hAnsi="Arial"/>
          <w:sz w:val="16"/>
          <w:szCs w:val="16"/>
          <w:u w:val="single" w:color="auto"/>
          <w:color w:val="auto"/>
        </w:rPr>
        <w:t>Modifications to Loan Documents</w:t>
      </w:r>
      <w:r>
        <w:rPr>
          <w:rFonts w:ascii="Arial" w:cs="Arial" w:eastAsia="Arial" w:hAnsi="Arial"/>
          <w:sz w:val="16"/>
          <w:szCs w:val="16"/>
          <w:color w:val="auto"/>
        </w:rPr>
        <w:t xml:space="preserve">. Except as otherwise provided in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Agreement or the Security Documents with respect to this Agreement, the Administrative Agent may, with the prior consent of the Required Lenders (but not otherwise), consent to any modification, supplement or waiver under any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the prior consent of each Lender, the Administrative Agent shall not (except as provided herein or in the Security Documents) release all or substantially all of the Collateral or otherwise terminate all or substantially all of the Liens under any Security Document providing for collateral security, agree to additional obligations being secured by all or substantially all of such collateral security, or alter the relative priorities of the obligations entitled to the benefits of the Liens created under the Security Documents with respect to all or substantially all of the Collateral, except that no such consent shall be required, and the Administrative Agent is hereby authorized, (w) to release any Subsidiary Guarantor from its guarantee obligations to the extent it may be released in accordance with Section 10.03 of the Guarantee and Security Agreement, (x) to release any Lien covering property that is the subject of either a disposition of property permitted hereunder or a disposition to which the Required Lenders have consented, (y) for the avoidance of doubt, execute and deliver agreements, instruments and other documents reasonably requested by the Borrower to implement collateral sharing with respect to Secured Longer-Term Indebtedness and Secured Shorter-Term Indebtedness, and (z) following the (i) cancellation or termination of any commitment to extend credit or issue Letters of Credit under this Agreement or any other Loan Document, (ii) final payment and performance in full of all obligations under this Agreement or any other Loan Document so long as all Letters of Credit have expired, been terminated, Cash Collateralized or backstopped and all LC Disbursements have been reimbursed and (iii) termination of this Agreement, to release all Liens and guarantees by Obligors.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ind w:left="4760"/>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 Electronic Communications</w:t>
      </w:r>
      <w:r>
        <w:rPr>
          <w:rFonts w:ascii="Arial" w:cs="Arial" w:eastAsia="Arial" w:hAnsi="Arial"/>
          <w:sz w:val="18"/>
          <w:szCs w:val="18"/>
          <w:color w:val="auto"/>
        </w:rPr>
        <w:t>.</w:t>
      </w:r>
    </w:p>
    <w:p>
      <w:pPr>
        <w:spacing w:after="0" w:line="117" w:lineRule="exact"/>
        <w:rPr>
          <w:sz w:val="20"/>
          <w:szCs w:val="20"/>
          <w:color w:val="auto"/>
        </w:rPr>
      </w:pPr>
    </w:p>
    <w:p>
      <w:pPr>
        <w:ind w:right="160" w:firstLine="987"/>
        <w:spacing w:after="0" w:line="263" w:lineRule="auto"/>
        <w:tabs>
          <w:tab w:leader="none" w:pos="1371" w:val="left"/>
        </w:tabs>
        <w:numPr>
          <w:ilvl w:val="1"/>
          <w:numId w:val="176"/>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telecopy, as follows:</w:t>
      </w:r>
    </w:p>
    <w:p>
      <w:pPr>
        <w:spacing w:after="0" w:line="75" w:lineRule="exact"/>
        <w:rPr>
          <w:rFonts w:ascii="Arial" w:cs="Arial" w:eastAsia="Arial" w:hAnsi="Arial"/>
          <w:sz w:val="18"/>
          <w:szCs w:val="18"/>
          <w:color w:val="auto"/>
        </w:rPr>
      </w:pPr>
    </w:p>
    <w:p>
      <w:pPr>
        <w:ind w:left="1200" w:hanging="341"/>
        <w:spacing w:after="0"/>
        <w:tabs>
          <w:tab w:leader="none" w:pos="12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to the Borrower, to it at:</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PennantPark Investment Corporation</w:t>
      </w:r>
    </w:p>
    <w:p>
      <w:pPr>
        <w:spacing w:after="0" w:line="2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Aviv Efrat, Chief Financial Officer</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Telecopy Number: (212) 905-1075</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Telephone: (212) 905-1000</w:t>
      </w:r>
    </w:p>
    <w:p>
      <w:pPr>
        <w:spacing w:after="0" w:line="143" w:lineRule="exact"/>
        <w:rPr>
          <w:sz w:val="20"/>
          <w:szCs w:val="20"/>
          <w:color w:val="auto"/>
        </w:rPr>
      </w:pPr>
    </w:p>
    <w:tbl>
      <w:tblPr>
        <w:tblLayout w:type="fixed"/>
        <w:tblInd w:w="5440" w:type="dxa"/>
        <w:tblCellMar>
          <w:top w:w="0" w:type="dxa"/>
          <w:left w:w="0" w:type="dxa"/>
          <w:bottom w:w="0" w:type="dxa"/>
          <w:right w:w="0" w:type="dxa"/>
        </w:tblCellMar>
      </w:tblPr>
      <w:tr>
        <w:trPr>
          <w:trHeight w:val="216"/>
        </w:trPr>
        <w:tc>
          <w:tcPr>
            <w:tcW w:w="1800" w:type="dxa"/>
            <w:vAlign w:val="bottom"/>
          </w:tcPr>
          <w:p>
            <w:pPr>
              <w:jc w:val="right"/>
              <w:ind w:right="1450"/>
              <w:spacing w:after="0"/>
              <w:rPr>
                <w:sz w:val="20"/>
                <w:szCs w:val="20"/>
                <w:color w:val="auto"/>
              </w:rPr>
            </w:pPr>
            <w:r>
              <w:rPr>
                <w:rFonts w:ascii="Arial" w:cs="Arial" w:eastAsia="Arial" w:hAnsi="Arial"/>
                <w:sz w:val="18"/>
                <w:szCs w:val="18"/>
                <w:color w:val="auto"/>
                <w:w w:val="79"/>
              </w:rPr>
              <w:t>116</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0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46" w:name="page147"/>
    <w:bookmarkEnd w:id="146"/>
    <w:p>
      <w:pPr>
        <w:ind w:left="1260" w:hanging="401"/>
        <w:spacing w:after="0"/>
        <w:tabs>
          <w:tab w:leader="none" w:pos="12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the Administrative Agent or Swingline Lender, to it at:</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SunTrust Bank</w:t>
      </w:r>
    </w:p>
    <w:p>
      <w:pPr>
        <w:spacing w:after="0" w:line="2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3333 Peachtree Road, 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Atlanta, Georgia 30326</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Robert Ashcom</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Telecopy Number: (404) 581-1775</w:t>
      </w:r>
    </w:p>
    <w:p>
      <w:pPr>
        <w:spacing w:after="0" w:line="10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Agency Services</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3333 Peachtree Road, 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Atlanta, Georgia 30326</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Wanda Gregory</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Telecopy Number: (404) 658-4906</w:t>
      </w:r>
    </w:p>
    <w:p>
      <w:pPr>
        <w:spacing w:after="0" w:line="103" w:lineRule="exact"/>
        <w:rPr>
          <w:sz w:val="20"/>
          <w:szCs w:val="20"/>
          <w:color w:val="auto"/>
        </w:rPr>
      </w:pPr>
    </w:p>
    <w:p>
      <w:pPr>
        <w:ind w:left="1300" w:hanging="441"/>
        <w:spacing w:after="0"/>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if to the Issuing Bank, to it at:</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SunTrust Bank</w:t>
      </w:r>
    </w:p>
    <w:p>
      <w:pPr>
        <w:spacing w:after="0" w:line="2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3333 Peachtree Road, 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Atlanta, Georgia 30326</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Wanda Gregory</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Telecopy Number: (404) 658-4906</w:t>
      </w:r>
    </w:p>
    <w:p>
      <w:pPr>
        <w:spacing w:after="0" w:line="103"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6"/>
          <w:szCs w:val="16"/>
          <w:color w:val="auto"/>
        </w:rPr>
        <w:t>if to any other Lender, to it at its address (or telecopy number) set forth in its Administrative Questionnaire.</w:t>
      </w:r>
    </w:p>
    <w:p>
      <w:pPr>
        <w:spacing w:after="0" w:line="225"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below, shall be effective as provided in said </w:t>
      </w:r>
      <w:r>
        <w:rPr>
          <w:rFonts w:ascii="Arial" w:cs="Arial" w:eastAsia="Arial" w:hAnsi="Arial"/>
          <w:sz w:val="18"/>
          <w:szCs w:val="18"/>
          <w:u w:val="single" w:color="auto"/>
          <w:color w:val="auto"/>
        </w:rPr>
        <w:t>paragraph (b)</w:t>
      </w:r>
      <w:r>
        <w:rPr>
          <w:rFonts w:ascii="Arial" w:cs="Arial" w:eastAsia="Arial" w:hAnsi="Arial"/>
          <w:sz w:val="18"/>
          <w:szCs w:val="18"/>
          <w:color w:val="auto"/>
        </w:rPr>
        <w:t>.</w:t>
      </w:r>
    </w:p>
    <w:p>
      <w:pPr>
        <w:spacing w:after="0" w:line="79" w:lineRule="exact"/>
        <w:rPr>
          <w:sz w:val="20"/>
          <w:szCs w:val="20"/>
          <w:color w:val="auto"/>
        </w:rPr>
      </w:pPr>
    </w:p>
    <w:p>
      <w:pPr>
        <w:ind w:right="100" w:firstLine="987"/>
        <w:spacing w:after="0" w:line="254" w:lineRule="auto"/>
        <w:tabs>
          <w:tab w:leader="none" w:pos="1381"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and the Issuing Bank hereunder may be delivered or furnished by electronic communication (including 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or the Issuing Bank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if such Lender or the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87" w:lineRule="exact"/>
        <w:rPr>
          <w:sz w:val="20"/>
          <w:szCs w:val="20"/>
          <w:color w:val="auto"/>
        </w:rPr>
      </w:pPr>
    </w:p>
    <w:p>
      <w:pPr>
        <w:ind w:right="1240" w:firstLine="987"/>
        <w:spacing w:after="0" w:line="277" w:lineRule="auto"/>
        <w:tabs>
          <w:tab w:leader="none" w:pos="134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Notices and other communications sent to an e-mail address shall be deemed received upon the sender’s receipt of an acknowledgement from the intended recipient (such as by</w:t>
      </w:r>
    </w:p>
    <w:p>
      <w:pPr>
        <w:spacing w:after="0" w:line="103" w:lineRule="exact"/>
        <w:rPr>
          <w:sz w:val="20"/>
          <w:szCs w:val="20"/>
          <w:color w:val="auto"/>
        </w:rPr>
      </w:pPr>
    </w:p>
    <w:tbl>
      <w:tblPr>
        <w:tblLayout w:type="fixed"/>
        <w:tblInd w:w="5440" w:type="dxa"/>
        <w:tblCellMar>
          <w:top w:w="0" w:type="dxa"/>
          <w:left w:w="0" w:type="dxa"/>
          <w:bottom w:w="0" w:type="dxa"/>
          <w:right w:w="0" w:type="dxa"/>
        </w:tblCellMar>
      </w:tblPr>
      <w:tr>
        <w:trPr>
          <w:trHeight w:val="216"/>
        </w:trPr>
        <w:tc>
          <w:tcPr>
            <w:tcW w:w="1800" w:type="dxa"/>
            <w:vAlign w:val="bottom"/>
          </w:tcPr>
          <w:p>
            <w:pPr>
              <w:jc w:val="right"/>
              <w:ind w:right="1450"/>
              <w:spacing w:after="0"/>
              <w:rPr>
                <w:sz w:val="20"/>
                <w:szCs w:val="20"/>
                <w:color w:val="auto"/>
              </w:rPr>
            </w:pPr>
            <w:r>
              <w:rPr>
                <w:rFonts w:ascii="Arial" w:cs="Arial" w:eastAsia="Arial" w:hAnsi="Arial"/>
                <w:sz w:val="18"/>
                <w:szCs w:val="18"/>
                <w:color w:val="auto"/>
                <w:w w:val="79"/>
              </w:rPr>
              <w:t>117</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0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47" w:name="page148"/>
    <w:bookmarkEnd w:id="147"/>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“return receipt requested” function, as available, return e-mail or other written acknowledgement);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 communication is available and identifying the website address therefor.</w:t>
      </w:r>
    </w:p>
    <w:p>
      <w:pPr>
        <w:spacing w:after="0" w:line="188" w:lineRule="exact"/>
        <w:rPr>
          <w:sz w:val="20"/>
          <w:szCs w:val="20"/>
          <w:color w:val="auto"/>
        </w:rPr>
      </w:pPr>
    </w:p>
    <w:p>
      <w:pPr>
        <w:ind w:right="140" w:firstLine="991"/>
        <w:spacing w:after="0" w:line="289" w:lineRule="auto"/>
        <w:rPr>
          <w:sz w:val="20"/>
          <w:szCs w:val="20"/>
          <w:color w:val="auto"/>
        </w:rPr>
      </w:pPr>
      <w:r>
        <w:rPr>
          <w:rFonts w:ascii="Arial" w:cs="Arial" w:eastAsia="Arial" w:hAnsi="Arial"/>
          <w:sz w:val="16"/>
          <w:szCs w:val="16"/>
          <w:color w:val="auto"/>
        </w:rPr>
        <w:t>Each party hereto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willful misconduct or gross negligence of Administrative Agent, any Lender or their respective Related Parties, as determined by a final, non-appealable judgment of a court of competent jurisdiction. The Platform and any electronic communications media approved by the Administrative Agent as provided herein are provided “as is” and “as available”. None of the Administrative Agent or its Related Parties warrant the accuracy, adequacy, or completeness of such media or the Platform and each expressly disclaims liability for errors or omissions in the Platform and such media. No warranty of any kind, express, implied or statutory, including any warranty of merchantability, fitness for a particular purpose, non-infringement of third party rights or freedom from viruses or other code defects is made by the Administrative Agent and any of its Related Parties in connection with the Platform or the electronic communications media approved by the Administrative Agent as provided for herein.</w:t>
      </w:r>
    </w:p>
    <w:p>
      <w:pPr>
        <w:spacing w:after="0" w:line="58" w:lineRule="exact"/>
        <w:rPr>
          <w:sz w:val="20"/>
          <w:szCs w:val="20"/>
          <w:color w:val="auto"/>
        </w:rPr>
      </w:pPr>
    </w:p>
    <w:p>
      <w:pPr>
        <w:ind w:right="20" w:firstLine="987"/>
        <w:spacing w:after="0" w:line="270" w:lineRule="auto"/>
        <w:tabs>
          <w:tab w:leader="none" w:pos="1371"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Private Side Information Contacts</w:t>
      </w:r>
      <w:r>
        <w:rPr>
          <w:rFonts w:ascii="Arial" w:cs="Arial" w:eastAsia="Arial" w:hAnsi="Arial"/>
          <w:sz w:val="17"/>
          <w:szCs w:val="17"/>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its Subsidiaries or their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Borrower nor Administrative Agent has any responsibility for such Public Lender’s decision to limit the scope of the information it has obtained in connection with this Agreement and the other Loan Documents.</w:t>
      </w:r>
    </w:p>
    <w:p>
      <w:pPr>
        <w:spacing w:after="0" w:line="72" w:lineRule="exact"/>
        <w:rPr>
          <w:rFonts w:ascii="Arial" w:cs="Arial" w:eastAsia="Arial" w:hAnsi="Arial"/>
          <w:sz w:val="17"/>
          <w:szCs w:val="17"/>
          <w:color w:val="auto"/>
        </w:rPr>
      </w:pPr>
    </w:p>
    <w:p>
      <w:pPr>
        <w:ind w:right="40" w:firstLine="987"/>
        <w:spacing w:after="0" w:line="275" w:lineRule="auto"/>
        <w:tabs>
          <w:tab w:leader="none" w:pos="1381"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Documents to be Delivered under Sections 5.01 and 5.12(a)</w:t>
      </w:r>
      <w:r>
        <w:rPr>
          <w:rFonts w:ascii="Arial" w:cs="Arial" w:eastAsia="Arial" w:hAnsi="Arial"/>
          <w:sz w:val="17"/>
          <w:szCs w:val="17"/>
          <w:color w:val="auto"/>
        </w:rPr>
        <w:t>. For so long as an Intralinks</w:t>
      </w:r>
      <w:r>
        <w:rPr>
          <w:rFonts w:ascii="Arial" w:cs="Arial" w:eastAsia="Arial" w:hAnsi="Arial"/>
          <w:sz w:val="14"/>
          <w:szCs w:val="14"/>
          <w:color w:val="auto"/>
        </w:rPr>
        <w:t>™</w:t>
      </w:r>
      <w:r>
        <w:rPr>
          <w:rFonts w:ascii="Arial" w:cs="Arial" w:eastAsia="Arial" w:hAnsi="Arial"/>
          <w:sz w:val="17"/>
          <w:szCs w:val="17"/>
          <w:color w:val="auto"/>
        </w:rPr>
        <w:t xml:space="preserve"> or equivalent website is available to each of the Lenders hereunder, the Borrower may satisfy its obligation to deliver documents to the Administrative Agent or the Lenders under </w:t>
      </w:r>
      <w:r>
        <w:rPr>
          <w:rFonts w:ascii="Arial" w:cs="Arial" w:eastAsia="Arial" w:hAnsi="Arial"/>
          <w:sz w:val="17"/>
          <w:szCs w:val="17"/>
          <w:u w:val="single" w:color="auto"/>
          <w:color w:val="auto"/>
        </w:rPr>
        <w:t>Sections 5.01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5.12(a)</w:t>
      </w:r>
      <w:r>
        <w:rPr>
          <w:rFonts w:ascii="Arial" w:cs="Arial" w:eastAsia="Arial" w:hAnsi="Arial"/>
          <w:sz w:val="17"/>
          <w:szCs w:val="17"/>
          <w:color w:val="auto"/>
        </w:rPr>
        <w:t xml:space="preserve"> by delivering one hard copy thereof to the Administrative Agent and either an electronic copy or a notice identifying the website where such information is located for posting by the Administrative Agent on Intralinks</w:t>
      </w:r>
      <w:r>
        <w:rPr>
          <w:rFonts w:ascii="Arial" w:cs="Arial" w:eastAsia="Arial" w:hAnsi="Arial"/>
          <w:sz w:val="14"/>
          <w:szCs w:val="14"/>
          <w:color w:val="auto"/>
        </w:rPr>
        <w:t>™</w:t>
      </w:r>
      <w:r>
        <w:rPr>
          <w:rFonts w:ascii="Arial" w:cs="Arial" w:eastAsia="Arial" w:hAnsi="Arial"/>
          <w:sz w:val="17"/>
          <w:szCs w:val="17"/>
          <w:color w:val="auto"/>
        </w:rPr>
        <w:t xml:space="preserve"> or such equivalent website;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have no responsibility to maintain access to Intralinks</w:t>
      </w:r>
      <w:r>
        <w:rPr>
          <w:rFonts w:ascii="Arial" w:cs="Arial" w:eastAsia="Arial" w:hAnsi="Arial"/>
          <w:sz w:val="14"/>
          <w:szCs w:val="14"/>
          <w:color w:val="auto"/>
        </w:rPr>
        <w:t>™</w:t>
      </w:r>
      <w:r>
        <w:rPr>
          <w:rFonts w:ascii="Arial" w:cs="Arial" w:eastAsia="Arial" w:hAnsi="Arial"/>
          <w:sz w:val="17"/>
          <w:szCs w:val="17"/>
          <w:color w:val="auto"/>
        </w:rPr>
        <w:t xml:space="preserve"> or an equivalent website.</w:t>
      </w:r>
    </w:p>
    <w:p>
      <w:pPr>
        <w:spacing w:after="0" w:line="109" w:lineRule="exact"/>
        <w:rPr>
          <w:sz w:val="20"/>
          <w:szCs w:val="20"/>
          <w:color w:val="auto"/>
        </w:rPr>
      </w:pPr>
    </w:p>
    <w:tbl>
      <w:tblPr>
        <w:tblLayout w:type="fixed"/>
        <w:tblInd w:w="5440" w:type="dxa"/>
        <w:tblCellMar>
          <w:top w:w="0" w:type="dxa"/>
          <w:left w:w="0" w:type="dxa"/>
          <w:bottom w:w="0" w:type="dxa"/>
          <w:right w:w="0" w:type="dxa"/>
        </w:tblCellMar>
      </w:tblPr>
      <w:tr>
        <w:trPr>
          <w:trHeight w:val="216"/>
        </w:trPr>
        <w:tc>
          <w:tcPr>
            <w:tcW w:w="1800" w:type="dxa"/>
            <w:vAlign w:val="bottom"/>
          </w:tcPr>
          <w:p>
            <w:pPr>
              <w:jc w:val="right"/>
              <w:ind w:right="1450"/>
              <w:spacing w:after="0"/>
              <w:rPr>
                <w:sz w:val="20"/>
                <w:szCs w:val="20"/>
                <w:color w:val="auto"/>
              </w:rPr>
            </w:pPr>
            <w:r>
              <w:rPr>
                <w:rFonts w:ascii="Arial" w:cs="Arial" w:eastAsia="Arial" w:hAnsi="Arial"/>
                <w:sz w:val="18"/>
                <w:szCs w:val="18"/>
                <w:color w:val="auto"/>
                <w:w w:val="79"/>
              </w:rPr>
              <w:t>118</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0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48" w:name="page149"/>
    <w:bookmarkEnd w:id="14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9.02. </w:t>
      </w:r>
      <w:r>
        <w:rPr>
          <w:rFonts w:ascii="Arial" w:cs="Arial" w:eastAsia="Arial" w:hAnsi="Arial"/>
          <w:sz w:val="18"/>
          <w:szCs w:val="18"/>
          <w:u w:val="single" w:color="auto"/>
          <w:color w:val="auto"/>
        </w:rPr>
        <w:t>Waivers; Amendments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89" w:lineRule="auto"/>
        <w:tabs>
          <w:tab w:leader="none" w:pos="1371" w:val="left"/>
        </w:tabs>
        <w:numPr>
          <w:ilvl w:val="1"/>
          <w:numId w:val="183"/>
        </w:numPr>
        <w:rPr>
          <w:rFonts w:ascii="Arial" w:cs="Arial" w:eastAsia="Arial" w:hAnsi="Arial"/>
          <w:sz w:val="16"/>
          <w:szCs w:val="16"/>
          <w:color w:val="auto"/>
        </w:rPr>
      </w:pPr>
      <w:r>
        <w:rPr>
          <w:rFonts w:ascii="Arial" w:cs="Arial" w:eastAsia="Arial" w:hAnsi="Arial"/>
          <w:sz w:val="16"/>
          <w:szCs w:val="16"/>
          <w:u w:val="single" w:color="auto"/>
          <w:color w:val="auto"/>
        </w:rPr>
        <w:t>No Deemed Waivers Remedies Cumulative</w:t>
      </w:r>
      <w:r>
        <w:rPr>
          <w:rFonts w:ascii="Arial" w:cs="Arial" w:eastAsia="Arial" w:hAnsi="Arial"/>
          <w:sz w:val="16"/>
          <w:szCs w:val="16"/>
          <w:color w:val="auto"/>
        </w:rPr>
        <w:t xml:space="preserve">. No failure or delay by the Administrative Agent the Issuing Bank, the Swingline Lender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the Swingline Lender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and then such waiver or consent shall be effective only in the specific instance and for the purpose for which given. Without limiting the generality of the foregoing, the making of a Loan, Swingline Loan or issuance of a Letter of Credit shall not be construed as a waiver of any Default, regardless of whether the Administrative Agent, the Swingline Lender, any Lender or the Issuing Bank may have had notice or knowledge of such Default at the time.</w:t>
      </w:r>
    </w:p>
    <w:p>
      <w:pPr>
        <w:spacing w:after="0" w:line="58" w:lineRule="exact"/>
        <w:rPr>
          <w:rFonts w:ascii="Arial" w:cs="Arial" w:eastAsia="Arial" w:hAnsi="Arial"/>
          <w:sz w:val="16"/>
          <w:szCs w:val="16"/>
          <w:color w:val="auto"/>
        </w:rPr>
      </w:pPr>
    </w:p>
    <w:p>
      <w:pPr>
        <w:ind w:right="260" w:firstLine="987"/>
        <w:spacing w:after="0" w:line="263" w:lineRule="auto"/>
        <w:tabs>
          <w:tab w:leader="none" w:pos="1381" w:val="left"/>
        </w:tabs>
        <w:numPr>
          <w:ilvl w:val="1"/>
          <w:numId w:val="183"/>
        </w:numPr>
        <w:rPr>
          <w:rFonts w:ascii="Arial" w:cs="Arial" w:eastAsia="Arial" w:hAnsi="Arial"/>
          <w:sz w:val="18"/>
          <w:szCs w:val="18"/>
          <w:color w:val="auto"/>
        </w:rPr>
      </w:pPr>
      <w:r>
        <w:rPr>
          <w:rFonts w:ascii="Arial" w:cs="Arial" w:eastAsia="Arial" w:hAnsi="Arial"/>
          <w:sz w:val="18"/>
          <w:szCs w:val="18"/>
          <w:u w:val="single" w:color="auto"/>
          <w:color w:val="auto"/>
        </w:rPr>
        <w:t>Amendments to this Agreement</w:t>
      </w:r>
      <w:r>
        <w:rPr>
          <w:rFonts w:ascii="Arial" w:cs="Arial" w:eastAsia="Arial" w:hAnsi="Arial"/>
          <w:sz w:val="18"/>
          <w:szCs w:val="18"/>
          <w:color w:val="auto"/>
        </w:rPr>
        <w:t xml:space="preserve">.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agreement shall</w:t>
      </w:r>
    </w:p>
    <w:p>
      <w:pPr>
        <w:spacing w:after="0" w:line="75" w:lineRule="exact"/>
        <w:rPr>
          <w:rFonts w:ascii="Arial" w:cs="Arial" w:eastAsia="Arial" w:hAnsi="Arial"/>
          <w:sz w:val="18"/>
          <w:szCs w:val="18"/>
          <w:color w:val="auto"/>
        </w:rPr>
      </w:pPr>
    </w:p>
    <w:p>
      <w:pPr>
        <w:ind w:left="1200" w:hanging="341"/>
        <w:spacing w:after="0"/>
        <w:tabs>
          <w:tab w:leader="none" w:pos="12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increase the Commitment of any Lender without the written consent of such Lender,</w:t>
      </w:r>
    </w:p>
    <w:p>
      <w:pPr>
        <w:spacing w:after="0" w:line="117" w:lineRule="exact"/>
        <w:rPr>
          <w:rFonts w:ascii="Arial" w:cs="Arial" w:eastAsia="Arial" w:hAnsi="Arial"/>
          <w:sz w:val="18"/>
          <w:szCs w:val="18"/>
          <w:color w:val="auto"/>
        </w:rPr>
      </w:pPr>
    </w:p>
    <w:p>
      <w:pPr>
        <w:jc w:val="both"/>
        <w:ind w:left="440" w:right="460" w:firstLine="419"/>
        <w:spacing w:after="0" w:line="263" w:lineRule="auto"/>
        <w:tabs>
          <w:tab w:leader="none" w:pos="126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reduce the principal amount of any Loan or LC Disbursement or reduce the rate of interest thereon (other than with respect to the election of or the failure to elect the Default Rate), or reduce any fees payable hereunder, without the written consent of each Lender directly affected thereby,</w:t>
      </w:r>
    </w:p>
    <w:p>
      <w:pPr>
        <w:spacing w:after="0" w:line="75" w:lineRule="exact"/>
        <w:rPr>
          <w:rFonts w:ascii="Arial" w:cs="Arial" w:eastAsia="Arial" w:hAnsi="Arial"/>
          <w:sz w:val="18"/>
          <w:szCs w:val="18"/>
          <w:color w:val="auto"/>
        </w:rPr>
      </w:pPr>
    </w:p>
    <w:p>
      <w:pPr>
        <w:jc w:val="both"/>
        <w:ind w:left="440" w:right="80" w:firstLine="419"/>
        <w:spacing w:after="0" w:line="263" w:lineRule="auto"/>
        <w:tabs>
          <w:tab w:leader="none" w:pos="131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directly affected thereby,</w:t>
      </w:r>
    </w:p>
    <w:p>
      <w:pPr>
        <w:spacing w:after="0" w:line="75" w:lineRule="exact"/>
        <w:rPr>
          <w:rFonts w:ascii="Arial" w:cs="Arial" w:eastAsia="Arial" w:hAnsi="Arial"/>
          <w:sz w:val="18"/>
          <w:szCs w:val="18"/>
          <w:color w:val="auto"/>
        </w:rPr>
      </w:pPr>
    </w:p>
    <w:p>
      <w:pPr>
        <w:ind w:left="440" w:right="100" w:firstLine="419"/>
        <w:spacing w:after="0" w:line="277" w:lineRule="auto"/>
        <w:tabs>
          <w:tab w:leader="none" w:pos="130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2.17(b)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in a manner that would alter the pro rata sharing of payments, or making of disbursements, required thereby without the written consent of each Lender directly affected thereby, or</w:t>
      </w:r>
    </w:p>
    <w:p>
      <w:pPr>
        <w:spacing w:after="0" w:line="62" w:lineRule="exact"/>
        <w:rPr>
          <w:rFonts w:ascii="Arial" w:cs="Arial" w:eastAsia="Arial" w:hAnsi="Arial"/>
          <w:sz w:val="18"/>
          <w:szCs w:val="18"/>
          <w:color w:val="auto"/>
        </w:rPr>
      </w:pPr>
    </w:p>
    <w:p>
      <w:pPr>
        <w:ind w:left="440" w:right="160" w:firstLine="419"/>
        <w:spacing w:after="0" w:line="263" w:lineRule="auto"/>
        <w:tabs>
          <w:tab w:leader="none" w:pos="125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change any of the provisions of this Section or the definition of the term “Required Lenders” or any other provision hereof specifying the number or percentage of Lenders required to waive, amend or modify any rights hereunder or make any determination or grant any consent hereunder, without the written consent of each Lender directly affected thereby;</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(x) no such agreement shall amend, modify or otherwise affect the rights or duties of the Administrative Agent, the Issuing Bank or the Swingline Lender hereunder without</w:t>
      </w:r>
    </w:p>
    <w:p>
      <w:pPr>
        <w:spacing w:after="0" w:line="103" w:lineRule="exact"/>
        <w:rPr>
          <w:sz w:val="20"/>
          <w:szCs w:val="20"/>
          <w:color w:val="auto"/>
        </w:rPr>
      </w:pPr>
    </w:p>
    <w:tbl>
      <w:tblPr>
        <w:tblLayout w:type="fixed"/>
        <w:tblInd w:w="5440" w:type="dxa"/>
        <w:tblCellMar>
          <w:top w:w="0" w:type="dxa"/>
          <w:left w:w="0" w:type="dxa"/>
          <w:bottom w:w="0" w:type="dxa"/>
          <w:right w:w="0" w:type="dxa"/>
        </w:tblCellMar>
      </w:tblPr>
      <w:tr>
        <w:trPr>
          <w:trHeight w:val="216"/>
        </w:trPr>
        <w:tc>
          <w:tcPr>
            <w:tcW w:w="1800" w:type="dxa"/>
            <w:vAlign w:val="bottom"/>
          </w:tcPr>
          <w:p>
            <w:pPr>
              <w:jc w:val="right"/>
              <w:ind w:right="1450"/>
              <w:spacing w:after="0"/>
              <w:rPr>
                <w:sz w:val="20"/>
                <w:szCs w:val="20"/>
                <w:color w:val="auto"/>
              </w:rPr>
            </w:pPr>
            <w:r>
              <w:rPr>
                <w:rFonts w:ascii="Arial" w:cs="Arial" w:eastAsia="Arial" w:hAnsi="Arial"/>
                <w:sz w:val="18"/>
                <w:szCs w:val="18"/>
                <w:color w:val="auto"/>
                <w:w w:val="79"/>
              </w:rPr>
              <w:t>119</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0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49" w:name="page150"/>
    <w:bookmarkEnd w:id="149"/>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prior written consent of the Administrative Agent, the Issuing Bank or the Swingline Lender, as the case may be and (y) the consent of Lenders (other than Defaulting Lenders) holding not less than two-thirds of the Revolving Credit Exposure and unused Commitments (other than of Defaulting Lenders) will be required (A) for any adverse change affecting the provisions of this Agreement relating to the Borrowing Base (including the definitions used therein), or the provisions of </w:t>
      </w:r>
      <w:r>
        <w:rPr>
          <w:rFonts w:ascii="Arial" w:cs="Arial" w:eastAsia="Arial" w:hAnsi="Arial"/>
          <w:sz w:val="18"/>
          <w:szCs w:val="18"/>
          <w:u w:val="single" w:color="auto"/>
          <w:color w:val="auto"/>
        </w:rPr>
        <w:t>Section 5.12(c)(ii)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for any release of any material portion of the Collateral other than for fair value or as otherwise permitted hereunder or under the other Loan Documents.</w:t>
      </w:r>
    </w:p>
    <w:p>
      <w:pPr>
        <w:spacing w:after="0" w:line="188" w:lineRule="exact"/>
        <w:rPr>
          <w:sz w:val="20"/>
          <w:szCs w:val="20"/>
          <w:color w:val="auto"/>
        </w:rPr>
      </w:pPr>
    </w:p>
    <w:p>
      <w:pPr>
        <w:ind w:right="80" w:firstLine="991"/>
        <w:spacing w:after="0" w:line="269" w:lineRule="auto"/>
        <w:rPr>
          <w:sz w:val="20"/>
          <w:szCs w:val="20"/>
          <w:color w:val="auto"/>
        </w:rPr>
      </w:pPr>
      <w:r>
        <w:rPr>
          <w:rFonts w:ascii="Arial" w:cs="Arial" w:eastAsia="Arial" w:hAnsi="Arial"/>
          <w:sz w:val="17"/>
          <w:szCs w:val="17"/>
          <w:color w:val="auto"/>
        </w:rPr>
        <w:t xml:space="preserve">Anything in this Agreement to the contrary notwithstanding,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 Anything in this Agreement to the contrary notwithstanding, this Agreement may be amended by the Borrower with the consent of the Administrative Agent and any Non-Extending Lender (but without the consent of the Required Lenders) for the sole purpose of extending the Commitments of such Non-Extending Lender so that such Non-Extending Lender becomes an Extending Lender hereunder. Any Non-Extending Lender that has had all of its obligations under this Agreement and each other Loan Document paid in full shall cease to be a Lender under the Loan Documents following the earlier to occur of (i) such Non-Extending Lender’s Non-Extended Commitment Termination Date or (ii) the termination of such Non-Extending Lender’s Commitment in its entirety pursuant to </w:t>
      </w:r>
      <w:r>
        <w:rPr>
          <w:rFonts w:ascii="Arial" w:cs="Arial" w:eastAsia="Arial" w:hAnsi="Arial"/>
          <w:sz w:val="17"/>
          <w:szCs w:val="17"/>
          <w:u w:val="single" w:color="auto"/>
          <w:color w:val="auto"/>
        </w:rPr>
        <w:t>Section 2.08(f)</w:t>
      </w:r>
      <w:r>
        <w:rPr>
          <w:rFonts w:ascii="Arial" w:cs="Arial" w:eastAsia="Arial" w:hAnsi="Arial"/>
          <w:sz w:val="17"/>
          <w:szCs w:val="17"/>
          <w:color w:val="auto"/>
        </w:rPr>
        <w:t>, except with respect to any provision applicable to such Non-Extending Lender that expressly survives the termination of a Loan Document.</w:t>
      </w:r>
    </w:p>
    <w:p>
      <w:pPr>
        <w:spacing w:after="0" w:line="77" w:lineRule="exact"/>
        <w:rPr>
          <w:sz w:val="20"/>
          <w:szCs w:val="20"/>
          <w:color w:val="auto"/>
        </w:rPr>
      </w:pPr>
    </w:p>
    <w:p>
      <w:pPr>
        <w:ind w:right="80" w:firstLine="987"/>
        <w:spacing w:after="0" w:line="286" w:lineRule="auto"/>
        <w:tabs>
          <w:tab w:leader="none" w:pos="1371"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Amendments to Security Documents</w:t>
      </w:r>
      <w:r>
        <w:rPr>
          <w:rFonts w:ascii="Arial" w:cs="Arial" w:eastAsia="Arial" w:hAnsi="Arial"/>
          <w:sz w:val="16"/>
          <w:szCs w:val="16"/>
          <w:color w:val="auto"/>
        </w:rPr>
        <w:t xml:space="preserve">. No Security Document nor any provision thereof may be waived, amended or modified, nor may the Liens thereof be spread to secure any additional obligations (including any increase in Loans hereunder, but excluding any such increase pursuant to a Commitment Increase under </w:t>
      </w:r>
      <w:r>
        <w:rPr>
          <w:rFonts w:ascii="Arial" w:cs="Arial" w:eastAsia="Arial" w:hAnsi="Arial"/>
          <w:sz w:val="16"/>
          <w:szCs w:val="16"/>
          <w:u w:val="single" w:color="auto"/>
          <w:color w:val="auto"/>
        </w:rPr>
        <w:t>Section 2.08(e)</w:t>
      </w:r>
      <w:r>
        <w:rPr>
          <w:rFonts w:ascii="Arial" w:cs="Arial" w:eastAsia="Arial" w:hAnsi="Arial"/>
          <w:sz w:val="16"/>
          <w:szCs w:val="16"/>
          <w:color w:val="auto"/>
        </w:rPr>
        <w:t xml:space="preserve"> to an amount not greater than $750,000,000) except pursuant to an agreement or agreements in writing entered into by the Borrower, and by the Collateral Agent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without the written consent of each Lender, no such agreement shall release all or substantially all of the Obligors from their respective obligations under the Security Documents and (ii) without the written consent of each Lender, no such agreement shall release all or substantially all of the collateral security or otherwise terminate all or substantially all of the Liens under the Security Documents, alter the relative priorities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 of the guarantors under the Guarantee and Security Agreement from their guarantee obligations thereunder, except that no such consent shall be required, and the Administrative Agent is hereby authorized (and so agrees with the Borrower) to direct the Collateral Agent under the Guarantee and Security Agreement, (x) to release any Lien covering property (and to release any such guarantor) that is the subject of either a disposition of property permitted hereunder or a disposition to which the Required Lenders have consented, (y) to release any Lien and/or guarantee obligation in accordance with Section 10.03 of the Guarantee and Security Agreement and (z) to release (and to acknowledge the release of) all Liens and guarantees of Obligors with respect to the Revolving Credit Exposure upon the termination of this Agreement (including in connection with a complete refinancing) following the</w:t>
      </w:r>
    </w:p>
    <w:p>
      <w:pPr>
        <w:spacing w:after="0" w:line="100"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820" w:type="dxa"/>
            <w:vAlign w:val="bottom"/>
          </w:tcPr>
          <w:p>
            <w:pPr>
              <w:jc w:val="right"/>
              <w:ind w:right="1450"/>
              <w:spacing w:after="0"/>
              <w:rPr>
                <w:sz w:val="20"/>
                <w:szCs w:val="20"/>
                <w:color w:val="auto"/>
              </w:rPr>
            </w:pPr>
            <w:r>
              <w:rPr>
                <w:rFonts w:ascii="Arial" w:cs="Arial" w:eastAsia="Arial" w:hAnsi="Arial"/>
                <w:sz w:val="18"/>
                <w:szCs w:val="18"/>
                <w:color w:val="auto"/>
                <w:w w:val="86"/>
              </w:rPr>
              <w:t>120</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2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50" w:name="page151"/>
    <w:bookmarkEnd w:id="150"/>
    <w:p>
      <w:pPr>
        <w:jc w:val="both"/>
        <w:ind w:right="4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payment in full in cash of all Revolving Credit Exposure (other than contingent indemnification and fee reimbursement obligations) following the termination of the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the Administrative Agent shall not be required under this </w:t>
      </w:r>
      <w:r>
        <w:rPr>
          <w:rFonts w:ascii="Arial" w:cs="Arial" w:eastAsia="Arial" w:hAnsi="Arial"/>
          <w:sz w:val="16"/>
          <w:szCs w:val="16"/>
          <w:u w:val="single" w:color="auto"/>
          <w:color w:val="auto"/>
        </w:rPr>
        <w:t>clause (z)</w:t>
      </w:r>
      <w:r>
        <w:rPr>
          <w:rFonts w:ascii="Arial" w:cs="Arial" w:eastAsia="Arial" w:hAnsi="Arial"/>
          <w:sz w:val="16"/>
          <w:szCs w:val="16"/>
          <w:color w:val="auto"/>
        </w:rPr>
        <w:t xml:space="preserve"> to instruct the Collateral Agent to release any Lien or guarantee of an Obligor solely as it relates to such Lien securing or guarantee guaranteeing any Secured Obligations other than Credit Agreement Obligations (in each case, as defined in the Guarantee and Security Agreement).</w:t>
      </w:r>
    </w:p>
    <w:p>
      <w:pPr>
        <w:spacing w:after="0" w:line="49" w:lineRule="exact"/>
        <w:rPr>
          <w:sz w:val="20"/>
          <w:szCs w:val="20"/>
          <w:color w:val="auto"/>
        </w:rPr>
      </w:pPr>
    </w:p>
    <w:p>
      <w:pPr>
        <w:ind w:right="100" w:firstLine="987"/>
        <w:spacing w:after="0" w:line="273" w:lineRule="auto"/>
        <w:tabs>
          <w:tab w:leader="none" w:pos="1381"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Replacement of Non-Consenting Lender</w:t>
      </w:r>
      <w:r>
        <w:rPr>
          <w:rFonts w:ascii="Arial" w:cs="Arial" w:eastAsia="Arial" w:hAnsi="Arial"/>
          <w:sz w:val="17"/>
          <w:szCs w:val="17"/>
          <w:color w:val="auto"/>
        </w:rPr>
        <w:t xml:space="preserve">. If, in connection with any proposed change, waiver, discharge or termination to any of the provisions of this Agreement as contemplated by this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the consent of the Required Lenders shall have been obtained but the consent of one or more Lenders (each a “Non-Consenting Lender”) whose consent is required for such proposed change, waiver, discharge or termination is not obtained, then (so long as no Event of Default has occurred and is continuing) the Borrower shall have the right, at its sole cost and expense, to replace each such Non-Consenting Lender or Lenders with one or more replacement Lenders pursuant to </w:t>
      </w:r>
      <w:r>
        <w:rPr>
          <w:rFonts w:ascii="Arial" w:cs="Arial" w:eastAsia="Arial" w:hAnsi="Arial"/>
          <w:sz w:val="17"/>
          <w:szCs w:val="17"/>
          <w:u w:val="single" w:color="auto"/>
          <w:color w:val="auto"/>
        </w:rPr>
        <w:t>Section 2.18(b)</w:t>
      </w:r>
      <w:r>
        <w:rPr>
          <w:rFonts w:ascii="Arial" w:cs="Arial" w:eastAsia="Arial" w:hAnsi="Arial"/>
          <w:sz w:val="17"/>
          <w:szCs w:val="17"/>
          <w:color w:val="auto"/>
        </w:rPr>
        <w:t xml:space="preserve"> so long as at the time of such replacement, each such replacement Lender consents to the proposed change, waiver, discharge or termination.</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68" w:lineRule="auto"/>
        <w:tabs>
          <w:tab w:leader="none" w:pos="1371"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The Borrower shall pay (i) all reasonable and documented out-of-pocket costs and expenses incurred by the Administrative Agent, the Collateral Agent and their Affiliates, including the reasonable and documented fees, charges and disbursements of counsel for the Administrative Agent and the Collateral Agent, in connection with the syndication of the credit facilities provided for herein, the preparation and administration of this Agreement and the other Loan Documents and any amendments, modifications or waivers of the provisions hereof or thereof (whether or not the transactions contemplated hereby or thereby shall be consummated), (ii) all reasonable and documented out-of-pocket expenses incurred by the Issuing Bank in connection with the issuance, amendment, renewal or extension of any Letter of Credit or any demand for payment thereunder, (iii) all reasonable and documented out-of-pocket costs and expenses incurred by the Administrative Agent, the Issuing Bank, the Swingline Lender or any Lender, including the reasonable and documented fees, charges and disbursements of one outside counsel for the Administrative Agent, the Issuing Bank and the Swingline Lender as well as one outside counsel for the Lenders and additional counsel should any conflict of interest arise, in connection with the enforcement or protection of its rights in connection with this Agreement and the other Loan Documents, including its rights under this Section, or in connection with the Loans made or Letters of Credit issued hereunder, including all such documented out-of-pocket expenses incurred during any workout, restructuring or negotiations in respect thereof and (iv) and all documented costs, expenses, taxes, assessments and other charges reasonably incurred in connection with any filing, registration, recording or perfection of any security interest contemplated by any Security Document or any other document referred to therein.</w:t>
      </w:r>
    </w:p>
    <w:p>
      <w:pPr>
        <w:spacing w:after="0" w:line="76" w:lineRule="exact"/>
        <w:rPr>
          <w:rFonts w:ascii="Arial" w:cs="Arial" w:eastAsia="Arial" w:hAnsi="Arial"/>
          <w:sz w:val="17"/>
          <w:szCs w:val="17"/>
          <w:color w:val="auto"/>
        </w:rPr>
      </w:pPr>
    </w:p>
    <w:p>
      <w:pPr>
        <w:ind w:right="180" w:firstLine="987"/>
        <w:spacing w:after="0" w:line="301" w:lineRule="auto"/>
        <w:tabs>
          <w:tab w:leader="none" w:pos="1381"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 shall indemnify the Administrative Agent, the Issuing Bank, the Swingline Lender and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against, and hold each Indemnitee harmless from, any and all losses, claims, damages, liabilities, actions, judgments, suits, costs, expenses and disbursements of any kind or nature whatsoever (including the reasonable and documented out-of-pocket fees and disbursements of one outside counsel for</w:t>
      </w:r>
    </w:p>
    <w:p>
      <w:pPr>
        <w:spacing w:after="0" w:line="90"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820" w:type="dxa"/>
            <w:vAlign w:val="bottom"/>
          </w:tcPr>
          <w:p>
            <w:pPr>
              <w:jc w:val="right"/>
              <w:ind w:right="1450"/>
              <w:spacing w:after="0"/>
              <w:rPr>
                <w:sz w:val="20"/>
                <w:szCs w:val="20"/>
                <w:color w:val="auto"/>
              </w:rPr>
            </w:pPr>
            <w:r>
              <w:rPr>
                <w:rFonts w:ascii="Arial" w:cs="Arial" w:eastAsia="Arial" w:hAnsi="Arial"/>
                <w:sz w:val="18"/>
                <w:szCs w:val="18"/>
                <w:color w:val="auto"/>
                <w:w w:val="86"/>
              </w:rPr>
              <w:t>121</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2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51" w:name="page152"/>
    <w:bookmarkEnd w:id="151"/>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Indemnitees (and, if reasonably necessary, of one local counsel in any relevant jurisdiction for all Indemnitees) unless, in the reasonable opinion of an Indemnitee, representation of all Indemnitees by such counsel would be inappropriate due to the existence of an actual or potential conflict of interest)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in connection with any investigative, administrative or judicial proceeding or hearing commenced or threatened by any Person, whether 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and laws, statutes, rules or regulations relating to environmental, occupational safety and health or land use matters), on common law or equitable cause or on contract or otherwise and related expenses or disbursements of any kind (other than Taxes or Other Taxes which shall only be indemnified by the Borrower to the extent provided in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including the fees, charges and disbursements of counsel for any Indemnitee as specified above,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Swingline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and whether brought by the Borrower or a third party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are (A) determined by a court of competent jurisdiction by final and nonappealable judgment to have resulted from the willful misconduct or gross negligence of such Indemnitee or its Related Parties, (B) result from the settlement of any such claim, investigation, litigation or other proceedings described in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above unless the Borrower has consented to such settlement (which consent shall not be unreasonably withheld or delayed (provided that nothing in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restrict the right of any person to settle any claim for which it has waived its right of indemnity by the Borrower) or (C) result from disputes solely among Indemnitees and not involving any act or omission of an Obligor or any of Affiliate thereof (other than any dispute against the Administrative Agent in its capacity as such). Notwithstanding the foregoing, it is understood and agreed that indemnification for Taxes is subject to the provisions of </w:t>
      </w:r>
      <w:r>
        <w:rPr>
          <w:rFonts w:ascii="Arial" w:cs="Arial" w:eastAsia="Arial" w:hAnsi="Arial"/>
          <w:sz w:val="16"/>
          <w:szCs w:val="16"/>
          <w:u w:val="single" w:color="auto"/>
          <w:color w:val="auto"/>
        </w:rPr>
        <w:t>Section 2.16</w:t>
      </w:r>
      <w:r>
        <w:rPr>
          <w:rFonts w:ascii="Arial" w:cs="Arial" w:eastAsia="Arial" w:hAnsi="Arial"/>
          <w:sz w:val="16"/>
          <w:szCs w:val="16"/>
          <w:color w:val="auto"/>
        </w:rPr>
        <w:t>.</w:t>
      </w:r>
    </w:p>
    <w:p>
      <w:pPr>
        <w:spacing w:after="0" w:line="70" w:lineRule="exact"/>
        <w:rPr>
          <w:sz w:val="20"/>
          <w:szCs w:val="20"/>
          <w:color w:val="auto"/>
        </w:rPr>
      </w:pPr>
    </w:p>
    <w:p>
      <w:pPr>
        <w:ind w:right="60" w:firstLine="987"/>
        <w:spacing w:after="0" w:line="255" w:lineRule="auto"/>
        <w:tabs>
          <w:tab w:leader="none" w:pos="136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The Borrower shall not be liable to any Indemnitee for any special, indirect, consequential or punitive Losses (as opposed to direct or actual damages (which may include special, indirect, consequential or punitive Losses asserted against any such party hereto by a third party)) arising out of, in connection with, or as a result of this Agreement or any agreement or instrument contemplated hereby, the Transactions, any Loan or Letter of Credit or the use of proceeds thereof, asserted by an Indemnitee against the Borrower or any other Obligor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limitation shall not be deemed to impair or affect the obligations of the Borrower under the preceding provisions of this subsection with respect to Losses not expressly described in the foregoing limitation.</w:t>
      </w:r>
    </w:p>
    <w:p>
      <w:pPr>
        <w:spacing w:after="0" w:line="84" w:lineRule="exact"/>
        <w:rPr>
          <w:rFonts w:ascii="Arial" w:cs="Arial" w:eastAsia="Arial" w:hAnsi="Arial"/>
          <w:sz w:val="18"/>
          <w:szCs w:val="18"/>
          <w:color w:val="auto"/>
        </w:rPr>
      </w:pPr>
    </w:p>
    <w:p>
      <w:pPr>
        <w:ind w:right="240" w:firstLine="987"/>
        <w:spacing w:after="0" w:line="277" w:lineRule="auto"/>
        <w:tabs>
          <w:tab w:leader="none" w:pos="1381"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To the extent that the Borrower fails to pay any amount required to be paid by it to the Administrative Agent, the Issuing Bank or the Swingline</w:t>
      </w:r>
    </w:p>
    <w:p>
      <w:pPr>
        <w:spacing w:after="0" w:line="103"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820" w:type="dxa"/>
            <w:vAlign w:val="bottom"/>
          </w:tcPr>
          <w:p>
            <w:pPr>
              <w:jc w:val="right"/>
              <w:ind w:right="1450"/>
              <w:spacing w:after="0"/>
              <w:rPr>
                <w:sz w:val="20"/>
                <w:szCs w:val="20"/>
                <w:color w:val="auto"/>
              </w:rPr>
            </w:pPr>
            <w:r>
              <w:rPr>
                <w:rFonts w:ascii="Arial" w:cs="Arial" w:eastAsia="Arial" w:hAnsi="Arial"/>
                <w:sz w:val="18"/>
                <w:szCs w:val="18"/>
                <w:color w:val="auto"/>
                <w:w w:val="86"/>
              </w:rPr>
              <w:t>122</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2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52" w:name="page153"/>
    <w:bookmarkEnd w:id="152"/>
    <w:p>
      <w:pPr>
        <w:ind w:right="1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Lender under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each Lender severally agrees to pay to the Administrative Agent, the Issuing Bank or the Swingline Lender, as the case may be, such Lender’s Applicable Percentage (determined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the Issuing Bank or the Swingline Lender in its capacity as such.</w:t>
      </w:r>
    </w:p>
    <w:p>
      <w:pPr>
        <w:spacing w:after="0" w:line="49" w:lineRule="exact"/>
        <w:rPr>
          <w:sz w:val="20"/>
          <w:szCs w:val="20"/>
          <w:color w:val="auto"/>
        </w:rPr>
      </w:pPr>
    </w:p>
    <w:p>
      <w:pPr>
        <w:ind w:right="40" w:firstLine="987"/>
        <w:spacing w:after="0" w:line="254" w:lineRule="auto"/>
        <w:tabs>
          <w:tab w:leader="none" w:pos="1371"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the willful misconduct or gross negligence of such Indemnitee or its Related Parties, as determined by a final, non-appealable judgment of a court of competent jurisdiction.</w:t>
      </w:r>
    </w:p>
    <w:p>
      <w:pPr>
        <w:spacing w:after="0" w:line="83" w:lineRule="exact"/>
        <w:rPr>
          <w:rFonts w:ascii="Arial" w:cs="Arial" w:eastAsia="Arial" w:hAnsi="Arial"/>
          <w:sz w:val="18"/>
          <w:szCs w:val="18"/>
          <w:color w:val="auto"/>
        </w:rPr>
      </w:pPr>
    </w:p>
    <w:p>
      <w:pPr>
        <w:ind w:left="1340" w:hanging="353"/>
        <w:spacing w:after="0"/>
        <w:tabs>
          <w:tab w:leader="none" w:pos="134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promptly after written demand therefor.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71" w:lineRule="auto"/>
        <w:tabs>
          <w:tab w:leader="none" w:pos="1371" w:val="left"/>
        </w:tabs>
        <w:numPr>
          <w:ilvl w:val="1"/>
          <w:numId w:val="190"/>
        </w:numPr>
        <w:rPr>
          <w:rFonts w:ascii="Arial" w:cs="Arial" w:eastAsia="Arial" w:hAnsi="Arial"/>
          <w:sz w:val="17"/>
          <w:szCs w:val="17"/>
          <w:color w:val="auto"/>
        </w:rPr>
      </w:pPr>
      <w:r>
        <w:rPr>
          <w:rFonts w:ascii="Arial" w:cs="Arial" w:eastAsia="Arial" w:hAnsi="Arial"/>
          <w:sz w:val="17"/>
          <w:szCs w:val="17"/>
          <w:u w:val="single" w:color="auto"/>
          <w:color w:val="auto"/>
        </w:rPr>
        <w:t>Assignments Generally</w:t>
      </w:r>
      <w:r>
        <w:rPr>
          <w:rFonts w:ascii="Arial" w:cs="Arial" w:eastAsia="Arial" w:hAnsi="Arial"/>
          <w:sz w:val="17"/>
          <w:szCs w:val="17"/>
          <w:color w:val="auto"/>
        </w:rPr>
        <w:t>. 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and, to the extent expressly contemplated hereby, the Related Parties of each of the Administrative Agent, the Issuing Bank and the Lenders) any legal or equitable right, remedy or claim under or by reason of this Agreement.</w:t>
      </w:r>
    </w:p>
    <w:p>
      <w:pPr>
        <w:spacing w:after="0" w:line="70" w:lineRule="exact"/>
        <w:rPr>
          <w:rFonts w:ascii="Arial" w:cs="Arial" w:eastAsia="Arial" w:hAnsi="Arial"/>
          <w:sz w:val="17"/>
          <w:szCs w:val="17"/>
          <w:color w:val="auto"/>
        </w:rPr>
      </w:pPr>
    </w:p>
    <w:p>
      <w:pPr>
        <w:ind w:left="1380" w:hanging="393"/>
        <w:spacing w:after="0"/>
        <w:tabs>
          <w:tab w:leader="none" w:pos="1380"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40" w:firstLine="419"/>
        <w:spacing w:after="0" w:line="279" w:lineRule="auto"/>
        <w:tabs>
          <w:tab w:leader="none" w:pos="1213"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Assignments Generally</w:t>
      </w:r>
      <w:r>
        <w:rPr>
          <w:rFonts w:ascii="Arial" w:cs="Arial" w:eastAsia="Arial" w:hAnsi="Arial"/>
          <w:sz w:val="17"/>
          <w:szCs w:val="17"/>
          <w:color w:val="auto"/>
        </w:rPr>
        <w:t xml:space="preserve">. Subject to the conditions set forth in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below, any Lender may assign to one or more assignees (other than natural persons, any Defaulting Lender or any Person listed in the Prohibited Assignees and Participants Side Letter) all or a portion of its rights and obligations under this Agreement (including all or a portion of its Commitments and the Loans and LC Exposure at the time owing to it) with the prior written consent (such consent not to be unreasonably withheld or delayed) of:</w:t>
      </w:r>
    </w:p>
    <w:p>
      <w:pPr>
        <w:spacing w:after="0" w:line="63" w:lineRule="exact"/>
        <w:rPr>
          <w:rFonts w:ascii="Arial" w:cs="Arial" w:eastAsia="Arial" w:hAnsi="Arial"/>
          <w:sz w:val="17"/>
          <w:szCs w:val="17"/>
          <w:color w:val="auto"/>
        </w:rPr>
      </w:pPr>
    </w:p>
    <w:p>
      <w:pPr>
        <w:ind w:left="1420" w:right="40" w:firstLine="391"/>
        <w:spacing w:after="0" w:line="259" w:lineRule="auto"/>
        <w:tabs>
          <w:tab w:leader="none" w:pos="2233" w:val="left"/>
        </w:tabs>
        <w:numPr>
          <w:ilvl w:val="2"/>
          <w:numId w:val="191"/>
        </w:numPr>
        <w:rPr>
          <w:rFonts w:ascii="Arial" w:cs="Arial" w:eastAsia="Arial" w:hAnsi="Arial"/>
          <w:sz w:val="18"/>
          <w:szCs w:val="18"/>
          <w:color w:val="auto"/>
        </w:rPr>
      </w:pPr>
      <w:r>
        <w:rPr>
          <w:rFonts w:ascii="Arial" w:cs="Arial" w:eastAsia="Arial" w:hAnsi="Arial"/>
          <w:sz w:val="18"/>
          <w:szCs w:val="18"/>
          <w:color w:val="auto"/>
        </w:rPr>
        <w:t xml:space="preserve">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Borrower shall be required for an assignment to a Lender, an Affiliate of a Lender, or, if an Event of Default has occurred and is continuing, any other assignee;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Borrower shall be deemed to have consented to any such assignment unless it shall have objected thereto by written notice to the Administrative Agent within five Business Days after having received notice thereof; and</w:t>
      </w:r>
    </w:p>
    <w:p>
      <w:pPr>
        <w:spacing w:after="0" w:line="119"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820" w:type="dxa"/>
            <w:vAlign w:val="bottom"/>
          </w:tcPr>
          <w:p>
            <w:pPr>
              <w:jc w:val="right"/>
              <w:ind w:right="1450"/>
              <w:spacing w:after="0"/>
              <w:rPr>
                <w:sz w:val="20"/>
                <w:szCs w:val="20"/>
                <w:color w:val="auto"/>
              </w:rPr>
            </w:pPr>
            <w:r>
              <w:rPr>
                <w:rFonts w:ascii="Arial" w:cs="Arial" w:eastAsia="Arial" w:hAnsi="Arial"/>
                <w:sz w:val="18"/>
                <w:szCs w:val="18"/>
                <w:color w:val="auto"/>
                <w:w w:val="86"/>
              </w:rPr>
              <w:t>123</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2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53" w:name="page154"/>
    <w:bookmarkEnd w:id="153"/>
    <w:p>
      <w:pPr>
        <w:ind w:left="1381" w:hanging="429"/>
        <w:spacing w:after="0"/>
        <w:tabs>
          <w:tab w:leader="none" w:pos="1381" w:val="left"/>
        </w:tabs>
        <w:numPr>
          <w:ilvl w:val="2"/>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Administrative Agent and the Issuing Bank.</w:t>
      </w:r>
    </w:p>
    <w:p>
      <w:pPr>
        <w:spacing w:after="0" w:line="117" w:lineRule="exact"/>
        <w:rPr>
          <w:rFonts w:ascii="Arial" w:cs="Arial" w:eastAsia="Arial" w:hAnsi="Arial"/>
          <w:sz w:val="18"/>
          <w:szCs w:val="18"/>
          <w:color w:val="auto"/>
        </w:rPr>
      </w:pPr>
    </w:p>
    <w:p>
      <w:pPr>
        <w:ind w:left="401" w:hanging="401"/>
        <w:spacing w:after="0"/>
        <w:tabs>
          <w:tab w:leader="none" w:pos="401"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Certain Conditions to Assignments</w:t>
      </w:r>
      <w:r>
        <w:rPr>
          <w:rFonts w:ascii="Arial" w:cs="Arial" w:eastAsia="Arial" w:hAnsi="Arial"/>
          <w:sz w:val="18"/>
          <w:szCs w:val="18"/>
          <w:color w:val="auto"/>
        </w:rPr>
        <w:t>. Assignments shall be subject to the following additional conditions:</w:t>
      </w:r>
    </w:p>
    <w:p>
      <w:pPr>
        <w:spacing w:after="0" w:line="117" w:lineRule="exact"/>
        <w:rPr>
          <w:rFonts w:ascii="Arial" w:cs="Arial" w:eastAsia="Arial" w:hAnsi="Arial"/>
          <w:sz w:val="18"/>
          <w:szCs w:val="18"/>
          <w:color w:val="auto"/>
        </w:rPr>
      </w:pPr>
    </w:p>
    <w:p>
      <w:pPr>
        <w:ind w:left="121" w:right="140" w:firstLine="408"/>
        <w:spacing w:after="0" w:line="273" w:lineRule="auto"/>
        <w:tabs>
          <w:tab w:leader="none" w:pos="951" w:val="left"/>
        </w:tabs>
        <w:numPr>
          <w:ilvl w:val="1"/>
          <w:numId w:val="193"/>
        </w:numPr>
        <w:rPr>
          <w:rFonts w:ascii="Arial" w:cs="Arial" w:eastAsia="Arial" w:hAnsi="Arial"/>
          <w:sz w:val="17"/>
          <w:szCs w:val="17"/>
          <w:color w:val="auto"/>
        </w:rPr>
      </w:pPr>
      <w:r>
        <w:rPr>
          <w:rFonts w:ascii="Arial" w:cs="Arial" w:eastAsia="Arial" w:hAnsi="Arial"/>
          <w:sz w:val="17"/>
          <w:szCs w:val="17"/>
          <w:color w:val="auto"/>
        </w:rPr>
        <w:t xml:space="preserve">except in the case of an assignment to a Lender or an Affiliate of a Lender or an assignment of the entire remaining amount of the assigning Lender’s Commitment or Loans and LC Exposure of a Class, the amount of the Commitment or Loans and LC Exposure of such Class of the assigning Lender subject to each such assignment (determined as of the date the Assignment and Assumption with respect to such assignment is delivered to the Administrative Agent) shall not be less than U.S. $5,000,000 unless each of the Borrower and the Administrative Agent otherwise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consent of the Borrower shall be required if an Event of Default has occurred and is continuing;</w:t>
      </w:r>
    </w:p>
    <w:p>
      <w:pPr>
        <w:spacing w:after="0" w:line="69" w:lineRule="exact"/>
        <w:rPr>
          <w:rFonts w:ascii="Arial" w:cs="Arial" w:eastAsia="Arial" w:hAnsi="Arial"/>
          <w:sz w:val="17"/>
          <w:szCs w:val="17"/>
          <w:color w:val="auto"/>
        </w:rPr>
      </w:pPr>
    </w:p>
    <w:p>
      <w:pPr>
        <w:ind w:left="121" w:right="400" w:firstLine="408"/>
        <w:spacing w:after="0" w:line="263" w:lineRule="auto"/>
        <w:tabs>
          <w:tab w:leader="none" w:pos="941" w:val="left"/>
        </w:tabs>
        <w:numPr>
          <w:ilvl w:val="1"/>
          <w:numId w:val="193"/>
        </w:numPr>
        <w:rPr>
          <w:rFonts w:ascii="Arial" w:cs="Arial" w:eastAsia="Arial" w:hAnsi="Arial"/>
          <w:sz w:val="18"/>
          <w:szCs w:val="18"/>
          <w:color w:val="auto"/>
        </w:rPr>
      </w:pPr>
      <w:r>
        <w:rPr>
          <w:rFonts w:ascii="Arial" w:cs="Arial" w:eastAsia="Arial" w:hAnsi="Arial"/>
          <w:sz w:val="18"/>
          <w:szCs w:val="18"/>
          <w:color w:val="auto"/>
        </w:rPr>
        <w:t>each partial assignment of any Class of Commitments or Loans and LC Exposure shall be made as an assignment of a proportionate part of all the assigning Lender’s rights and obligations under this Agreement in respect of such Class of Commitments, Loans and LC Exposure;</w:t>
      </w:r>
    </w:p>
    <w:p>
      <w:pPr>
        <w:spacing w:after="0" w:line="75" w:lineRule="exact"/>
        <w:rPr>
          <w:rFonts w:ascii="Arial" w:cs="Arial" w:eastAsia="Arial" w:hAnsi="Arial"/>
          <w:sz w:val="18"/>
          <w:szCs w:val="18"/>
          <w:color w:val="auto"/>
        </w:rPr>
      </w:pPr>
    </w:p>
    <w:p>
      <w:pPr>
        <w:ind w:left="121" w:right="40" w:firstLine="408"/>
        <w:spacing w:after="0" w:line="259" w:lineRule="auto"/>
        <w:tabs>
          <w:tab w:leader="none" w:pos="941" w:val="left"/>
        </w:tabs>
        <w:numPr>
          <w:ilvl w:val="1"/>
          <w:numId w:val="193"/>
        </w:numPr>
        <w:rPr>
          <w:rFonts w:ascii="Arial" w:cs="Arial" w:eastAsia="Arial" w:hAnsi="Arial"/>
          <w:sz w:val="18"/>
          <w:szCs w:val="18"/>
          <w:color w:val="auto"/>
        </w:rPr>
      </w:pPr>
      <w:r>
        <w:rPr>
          <w:rFonts w:ascii="Arial" w:cs="Arial" w:eastAsia="Arial" w:hAnsi="Arial"/>
          <w:sz w:val="18"/>
          <w:szCs w:val="18"/>
          <w:color w:val="auto"/>
        </w:rPr>
        <w:t xml:space="preserve">the parties to each assignment shall execute and deliver to the Administrative Agent an Assignment and Assumption in substantially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together with a processing and recordation fee of U.S. $3,500 (which fee shall not be payable in connection with an assignment to a Lender or to an Affiliate of a Lender), for which the Borrower and the Guarantors shall not be obligated; and</w:t>
      </w:r>
    </w:p>
    <w:p>
      <w:pPr>
        <w:spacing w:after="0" w:line="78" w:lineRule="exact"/>
        <w:rPr>
          <w:rFonts w:ascii="Arial" w:cs="Arial" w:eastAsia="Arial" w:hAnsi="Arial"/>
          <w:sz w:val="18"/>
          <w:szCs w:val="18"/>
          <w:color w:val="auto"/>
        </w:rPr>
      </w:pPr>
    </w:p>
    <w:p>
      <w:pPr>
        <w:ind w:left="121" w:right="920" w:firstLine="408"/>
        <w:spacing w:after="0" w:line="277" w:lineRule="auto"/>
        <w:tabs>
          <w:tab w:leader="none" w:pos="951"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assignee, if it shall not already be a Lender of the applicable Class, shall deliver to the Administrative Agent an Administrative Questionnaire.</w:t>
      </w:r>
    </w:p>
    <w:p>
      <w:pPr>
        <w:spacing w:after="0" w:line="62" w:lineRule="exact"/>
        <w:rPr>
          <w:rFonts w:ascii="Arial" w:cs="Arial" w:eastAsia="Arial" w:hAnsi="Arial"/>
          <w:sz w:val="18"/>
          <w:szCs w:val="18"/>
          <w:color w:val="auto"/>
        </w:rPr>
      </w:pPr>
    </w:p>
    <w:p>
      <w:pPr>
        <w:ind w:left="-419" w:right="80" w:firstLine="419"/>
        <w:spacing w:after="0" w:line="296" w:lineRule="auto"/>
        <w:tabs>
          <w:tab w:leader="none" w:pos="453"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Effectiveness of Assignments</w:t>
      </w:r>
      <w:r>
        <w:rPr>
          <w:rFonts w:ascii="Arial" w:cs="Arial" w:eastAsia="Arial" w:hAnsi="Arial"/>
          <w:sz w:val="16"/>
          <w:szCs w:val="16"/>
          <w:color w:val="auto"/>
        </w:rPr>
        <w:t xml:space="preserve">. Subject to acceptance and recording thereof pursuant to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w:t>
      </w:r>
    </w:p>
    <w:p>
      <w:pPr>
        <w:spacing w:after="0" w:line="94" w:lineRule="exact"/>
        <w:rPr>
          <w:sz w:val="20"/>
          <w:szCs w:val="20"/>
          <w:color w:val="auto"/>
        </w:rPr>
      </w:pPr>
    </w:p>
    <w:tbl>
      <w:tblPr>
        <w:tblLayout w:type="fixed"/>
        <w:tblInd w:w="4561" w:type="dxa"/>
        <w:tblCellMar>
          <w:top w:w="0" w:type="dxa"/>
          <w:left w:w="0" w:type="dxa"/>
          <w:bottom w:w="0" w:type="dxa"/>
          <w:right w:w="0" w:type="dxa"/>
        </w:tblCellMar>
      </w:tblPr>
      <w:tr>
        <w:trPr>
          <w:trHeight w:val="216"/>
        </w:trPr>
        <w:tc>
          <w:tcPr>
            <w:tcW w:w="1820" w:type="dxa"/>
            <w:vAlign w:val="bottom"/>
          </w:tcPr>
          <w:p>
            <w:pPr>
              <w:jc w:val="right"/>
              <w:ind w:right="1450"/>
              <w:spacing w:after="0"/>
              <w:rPr>
                <w:sz w:val="20"/>
                <w:szCs w:val="20"/>
                <w:color w:val="auto"/>
              </w:rPr>
            </w:pPr>
            <w:r>
              <w:rPr>
                <w:rFonts w:ascii="Arial" w:cs="Arial" w:eastAsia="Arial" w:hAnsi="Arial"/>
                <w:sz w:val="18"/>
                <w:szCs w:val="18"/>
                <w:color w:val="auto"/>
                <w:w w:val="86"/>
              </w:rPr>
              <w:t>124</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2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0161"/>
          </w:cols>
          <w:pgMar w:left="1299" w:top="274" w:right="439" w:bottom="1440" w:gutter="0" w:footer="0" w:header="0"/>
        </w:sectPr>
      </w:pPr>
    </w:p>
    <w:bookmarkStart w:id="154" w:name="page155"/>
    <w:bookmarkEnd w:id="154"/>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Lender shall cease to be a party hereto but shall continue to be entitled to the benefits of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with respect to facts and circumstances occurring prior to the effective date of such assignment). Any assignment or transfer by a Lender of rights or obligations under this Agreement that does not comply with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of this Section. Notwithstanding anything to the contrary herein, in connection with any assignment of rights and obligations of any Defaulting Lender hereunder, no such assignment shall be effective unless and until, in addition to the other conditions set forth in </w:t>
      </w:r>
      <w:r>
        <w:rPr>
          <w:rFonts w:ascii="Arial" w:cs="Arial" w:eastAsia="Arial" w:hAnsi="Arial"/>
          <w:sz w:val="16"/>
          <w:szCs w:val="16"/>
          <w:u w:val="single" w:color="auto"/>
          <w:color w:val="auto"/>
        </w:rPr>
        <w:t>Section 9.04(b)(ii)</w:t>
      </w:r>
      <w:r>
        <w:rPr>
          <w:rFonts w:ascii="Arial" w:cs="Arial" w:eastAsia="Arial" w:hAnsi="Arial"/>
          <w:sz w:val="16"/>
          <w:szCs w:val="16"/>
          <w:color w:val="auto"/>
        </w:rPr>
        <w:t xml:space="preserve"> or otherwise,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Percentage of Loans previously requested but not funded by the Defaulting Lender, to each of which the applicable assignee and assignor hereby irrevocably consent), to (x) pay and satisfy in full all payment liabilities then owed by such Defaulting Lender to Administrative Agent, Issuing Bank, Swingline Lender and each Lender hereunder (and interest accrued thereon), and (y) acquire (and fund as appropriate) its full Applicable Percentage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59" w:lineRule="exact"/>
        <w:rPr>
          <w:sz w:val="20"/>
          <w:szCs w:val="20"/>
          <w:color w:val="auto"/>
        </w:rPr>
      </w:pPr>
    </w:p>
    <w:p>
      <w:pPr>
        <w:ind w:left="-440" w:right="120" w:firstLine="987"/>
        <w:spacing w:after="0" w:line="271" w:lineRule="auto"/>
        <w:tabs>
          <w:tab w:leader="none" w:pos="931"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Maintenance of Registers by Administrative Agent</w:t>
      </w:r>
      <w:r>
        <w:rPr>
          <w:rFonts w:ascii="Arial" w:cs="Arial" w:eastAsia="Arial" w:hAnsi="Arial"/>
          <w:sz w:val="17"/>
          <w:szCs w:val="17"/>
          <w:color w:val="auto"/>
        </w:rPr>
        <w:t>. The Administrative Agent, acting for this purpose as an agent of the Borrower, shall maintain at one of its offices in New York City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Arial" w:cs="Arial" w:eastAsia="Arial" w:hAnsi="Arial"/>
          <w:sz w:val="17"/>
          <w:szCs w:val="17"/>
          <w:u w:val="single" w:color="auto"/>
          <w:color w:val="auto"/>
        </w:rPr>
        <w:t>Registers</w:t>
      </w:r>
      <w:r>
        <w:rPr>
          <w:rFonts w:ascii="Arial" w:cs="Arial" w:eastAsia="Arial" w:hAnsi="Arial"/>
          <w:sz w:val="17"/>
          <w:szCs w:val="17"/>
          <w:color w:val="auto"/>
        </w:rPr>
        <w:t>” and each individually, a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Registers shall be conclusive absent manifest error, and the Borrower, the Administrative Agent, the Issuing Bank and the Lenders may treat each Person whose name is recorded in the Registers pursuant to the terms hereof as a Lender hereunder for all purposes of this Agreement, notwithstanding notice to the contrary. The Registers shall be available for inspection by the Borrower, the Issuing Bank and any Lender, at any reasonable time and from time to time upon reasonable prior notice.</w:t>
      </w:r>
    </w:p>
    <w:p>
      <w:pPr>
        <w:spacing w:after="0" w:line="70" w:lineRule="exact"/>
        <w:rPr>
          <w:rFonts w:ascii="Arial" w:cs="Arial" w:eastAsia="Arial" w:hAnsi="Arial"/>
          <w:sz w:val="17"/>
          <w:szCs w:val="17"/>
          <w:color w:val="auto"/>
        </w:rPr>
      </w:pPr>
    </w:p>
    <w:p>
      <w:pPr>
        <w:ind w:left="-440" w:right="40" w:firstLine="987"/>
        <w:spacing w:after="0" w:line="296" w:lineRule="auto"/>
        <w:tabs>
          <w:tab w:leader="none" w:pos="941"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Acceptance of Assignments by Administrative Agent</w:t>
      </w:r>
      <w:r>
        <w:rPr>
          <w:rFonts w:ascii="Arial" w:cs="Arial" w:eastAsia="Arial" w:hAnsi="Arial"/>
          <w:sz w:val="16"/>
          <w:szCs w:val="16"/>
          <w:color w:val="auto"/>
        </w:rPr>
        <w:t xml:space="preserve">.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and any written consent to such assignment required by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94" w:lineRule="exact"/>
        <w:rPr>
          <w:sz w:val="20"/>
          <w:szCs w:val="20"/>
          <w:color w:val="auto"/>
        </w:rPr>
      </w:pPr>
    </w:p>
    <w:tbl>
      <w:tblPr>
        <w:tblLayout w:type="fixed"/>
        <w:tblInd w:w="4980" w:type="dxa"/>
        <w:tblCellMar>
          <w:top w:w="0" w:type="dxa"/>
          <w:left w:w="0" w:type="dxa"/>
          <w:bottom w:w="0" w:type="dxa"/>
          <w:right w:w="0" w:type="dxa"/>
        </w:tblCellMar>
      </w:tblPr>
      <w:tr>
        <w:trPr>
          <w:trHeight w:val="216"/>
        </w:trPr>
        <w:tc>
          <w:tcPr>
            <w:tcW w:w="1820" w:type="dxa"/>
            <w:vAlign w:val="bottom"/>
          </w:tcPr>
          <w:p>
            <w:pPr>
              <w:jc w:val="right"/>
              <w:ind w:right="1450"/>
              <w:spacing w:after="0"/>
              <w:rPr>
                <w:sz w:val="20"/>
                <w:szCs w:val="20"/>
                <w:color w:val="auto"/>
              </w:rPr>
            </w:pPr>
            <w:r>
              <w:rPr>
                <w:rFonts w:ascii="Arial" w:cs="Arial" w:eastAsia="Arial" w:hAnsi="Arial"/>
                <w:sz w:val="18"/>
                <w:szCs w:val="18"/>
                <w:color w:val="auto"/>
                <w:w w:val="86"/>
              </w:rPr>
              <w:t>125</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2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0580"/>
          </w:cols>
          <w:pgMar w:left="880" w:top="274" w:right="439" w:bottom="1440" w:gutter="0" w:footer="0" w:header="0"/>
        </w:sectPr>
      </w:pPr>
    </w:p>
    <w:bookmarkStart w:id="155" w:name="page156"/>
    <w:bookmarkEnd w:id="155"/>
    <w:p>
      <w:pPr>
        <w:ind w:right="20" w:firstLine="987"/>
        <w:spacing w:after="0" w:line="269" w:lineRule="auto"/>
        <w:tabs>
          <w:tab w:leader="none" w:pos="1371"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Special Purposes Vehicles</w:t>
      </w:r>
      <w:r>
        <w:rPr>
          <w:rFonts w:ascii="Arial" w:cs="Arial" w:eastAsia="Arial" w:hAnsi="Arial"/>
          <w:sz w:val="17"/>
          <w:szCs w:val="17"/>
          <w:color w:val="auto"/>
        </w:rPr>
        <w:t>. Notwithstanding anything to the contrary contained herein, any Lender (a “</w:t>
      </w:r>
      <w:r>
        <w:rPr>
          <w:rFonts w:ascii="Arial" w:cs="Arial" w:eastAsia="Arial" w:hAnsi="Arial"/>
          <w:sz w:val="17"/>
          <w:szCs w:val="17"/>
          <w:u w:val="single" w:color="auto"/>
          <w:color w:val="auto"/>
        </w:rPr>
        <w:t>Granting Lender</w:t>
      </w:r>
      <w:r>
        <w:rPr>
          <w:rFonts w:ascii="Arial" w:cs="Arial" w:eastAsia="Arial" w:hAnsi="Arial"/>
          <w:sz w:val="17"/>
          <w:szCs w:val="17"/>
          <w:color w:val="auto"/>
        </w:rPr>
        <w:t>”) may grant to a special purpose funding vehicle (an “</w:t>
      </w:r>
      <w:r>
        <w:rPr>
          <w:rFonts w:ascii="Arial" w:cs="Arial" w:eastAsia="Arial" w:hAnsi="Arial"/>
          <w:sz w:val="17"/>
          <w:szCs w:val="17"/>
          <w:u w:val="single" w:color="auto"/>
          <w:color w:val="auto"/>
        </w:rPr>
        <w:t>SPC</w:t>
      </w:r>
      <w:r>
        <w:rPr>
          <w:rFonts w:ascii="Arial" w:cs="Arial" w:eastAsia="Arial" w:hAnsi="Arial"/>
          <w:sz w:val="17"/>
          <w:szCs w:val="17"/>
          <w:color w:val="auto"/>
        </w:rPr>
        <w:t xml:space="preserve">”) owned or administered by such Granting Lender, identified as such in writing from time to time by the Granting Lender to the Administrative Agent and the Borrower, the option to provide all or any part of any Loan that such Granting Lender would otherwise be obligated to make;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contained, and (iv) no SPC shall be entitled to the benefits of </w:t>
      </w:r>
      <w:r>
        <w:rPr>
          <w:rFonts w:ascii="Arial" w:cs="Arial" w:eastAsia="Arial" w:hAnsi="Arial"/>
          <w:sz w:val="17"/>
          <w:szCs w:val="17"/>
          <w:u w:val="single" w:color="auto"/>
          <w:color w:val="auto"/>
        </w:rPr>
        <w:t>Sections 2.14</w:t>
      </w:r>
      <w:r>
        <w:rPr>
          <w:rFonts w:ascii="Arial" w:cs="Arial" w:eastAsia="Arial" w:hAnsi="Arial"/>
          <w:sz w:val="17"/>
          <w:szCs w:val="17"/>
          <w:color w:val="auto"/>
        </w:rPr>
        <w:t xml:space="preserve"> (or any other increased costs protection provision),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2.16</w:t>
      </w:r>
      <w:r>
        <w:rPr>
          <w:rFonts w:ascii="Arial" w:cs="Arial" w:eastAsia="Arial" w:hAnsi="Arial"/>
          <w:sz w:val="17"/>
          <w:szCs w:val="17"/>
          <w:color w:val="auto"/>
        </w:rPr>
        <w:t>. Each SPC shall be conclusively presumed to have made arrangements with its Granting Lender for the exercise of voting and other rights hereunder in a manner which is acceptable to the SPC, the Administrative Agent, the Lenders and the Borrower, and each of the Administrative Agent, the Lenders and the Obligors shall be entitled to rely upon and deal solely with the Granting Lender with respect to Loans made by or through its SPC. The making of a Loan by an SPC hereunder shall utilize the Commitment of the Granting Lender to the same extent, and as if, such Loan were made by the Granting Lender.</w:t>
      </w:r>
    </w:p>
    <w:p>
      <w:pPr>
        <w:spacing w:after="0" w:line="179" w:lineRule="exact"/>
        <w:rPr>
          <w:sz w:val="20"/>
          <w:szCs w:val="20"/>
          <w:color w:val="auto"/>
        </w:rPr>
      </w:pPr>
    </w:p>
    <w:p>
      <w:pPr>
        <w:ind w:right="40" w:firstLine="991"/>
        <w:spacing w:after="0" w:line="286" w:lineRule="auto"/>
        <w:rPr>
          <w:sz w:val="20"/>
          <w:szCs w:val="20"/>
          <w:color w:val="auto"/>
        </w:rPr>
      </w:pPr>
      <w:r>
        <w:rPr>
          <w:rFonts w:ascii="Arial" w:cs="Arial" w:eastAsia="Arial" w:hAnsi="Arial"/>
          <w:sz w:val="16"/>
          <w:szCs w:val="16"/>
          <w:color w:val="auto"/>
        </w:rPr>
        <w:t xml:space="preserve">Each party hereto hereby agrees (which agreement shall survive the termination of this Agreement)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Granting Lender for 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 (i) 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 any) issued by such SPC to fund such Loans (but nothing contained herein shall be construed in derogation of the obligation of the Granting Lender to make Loans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consent of the SPC or of any such assignee shall be required for amendments or waivers hereunder except for those amendments or waivers for which the consent of participants is required under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below, and (ii) disclose on a confidential basis (in the same manner described in </w:t>
      </w:r>
      <w:r>
        <w:rPr>
          <w:rFonts w:ascii="Arial" w:cs="Arial" w:eastAsia="Arial" w:hAnsi="Arial"/>
          <w:sz w:val="16"/>
          <w:szCs w:val="16"/>
          <w:u w:val="single" w:color="auto"/>
          <w:color w:val="auto"/>
        </w:rPr>
        <w:t>Section 9.13(b)</w:t>
      </w:r>
      <w:r>
        <w:rPr>
          <w:rFonts w:ascii="Arial" w:cs="Arial" w:eastAsia="Arial" w:hAnsi="Arial"/>
          <w:sz w:val="16"/>
          <w:szCs w:val="16"/>
          <w:color w:val="auto"/>
        </w:rPr>
        <w:t>) any non-public information relating to its Loans to any rating agency, commercial paper dealer or provider of a surety, guarantee or credit or liquidity enhancement to such SPC.</w:t>
      </w:r>
    </w:p>
    <w:p>
      <w:pPr>
        <w:spacing w:after="0" w:line="66" w:lineRule="exact"/>
        <w:rPr>
          <w:sz w:val="20"/>
          <w:szCs w:val="20"/>
          <w:color w:val="auto"/>
        </w:rPr>
      </w:pPr>
    </w:p>
    <w:p>
      <w:pPr>
        <w:ind w:right="20" w:firstLine="987"/>
        <w:spacing w:after="0" w:line="301" w:lineRule="auto"/>
        <w:tabs>
          <w:tab w:leader="none" w:pos="1351"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with the consent of the Borrower (such consent not to be unreasonably withheld or delayed),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and the other Loan Documents (including all or a portion of its Commitments and the Loans and LC Disbursements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consent of the Borrower shall not be required if (x) an Event of Default has occurred and is continuing, (y) such Participant does not</w:t>
      </w:r>
    </w:p>
    <w:p>
      <w:pPr>
        <w:spacing w:after="0" w:line="90"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820" w:type="dxa"/>
            <w:vAlign w:val="bottom"/>
          </w:tcPr>
          <w:p>
            <w:pPr>
              <w:jc w:val="right"/>
              <w:ind w:right="1450"/>
              <w:spacing w:after="0"/>
              <w:rPr>
                <w:sz w:val="20"/>
                <w:szCs w:val="20"/>
                <w:color w:val="auto"/>
              </w:rPr>
            </w:pPr>
            <w:r>
              <w:rPr>
                <w:rFonts w:ascii="Arial" w:cs="Arial" w:eastAsia="Arial" w:hAnsi="Arial"/>
                <w:sz w:val="18"/>
                <w:szCs w:val="18"/>
                <w:color w:val="auto"/>
                <w:w w:val="86"/>
              </w:rPr>
              <w:t>126</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2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56" w:name="page157"/>
    <w:bookmarkEnd w:id="15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have any of the voting rights or consent rights permitted in the immediately succeeding sentence or (z) such Participant does not have the right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receive any non-public information that may be provided pursuant to this Agreement (and the Lender selling such participation agrees with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Borrower at the time of the sale of such participation that it will not deliver such non-public information to the Participant), (ii) such Lender’s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obligations under this Agreement and the other Loan Documents shall remain unchanged, (iii) such Lender shall remain solely responsible to the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parties hereto for the performance of such obligations, (iv) the Borrower, the Administrative Agent, the Issuing Bank and the other Lenders shall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continue to deal solely and directly with such Lender in connection with such Lender’s rights and obligations under this Agreement and the other Loan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Documents and (v) no Person listed in the Prohibited Assignees and Participants Side Letter may be a Participant. Any agreement or instrument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pursuant to which a Lender sells such a participation shall provide that such Lender shall retain the sole right to enforce this Agreement and the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Loan Documents and to approve any amendment, modification or waiver of any provision of this Agreement or any other Loan Document; </w:t>
      </w:r>
      <w:r>
        <w:rPr>
          <w:rFonts w:ascii="Arial" w:cs="Arial" w:eastAsia="Arial" w:hAnsi="Arial"/>
          <w:sz w:val="16"/>
          <w:szCs w:val="16"/>
          <w:u w:val="single" w:color="auto"/>
          <w:color w:val="auto"/>
        </w:rPr>
        <w:t>provided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such agreement or instrument may provide that such Lender will not, without the consent of the Participant, agree to any amendment, modification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or waiver described in the first proviso to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that affects such Participant. Subject to </w:t>
      </w:r>
      <w:r>
        <w:rPr>
          <w:rFonts w:ascii="Arial" w:cs="Arial" w:eastAsia="Arial" w:hAnsi="Arial"/>
          <w:sz w:val="16"/>
          <w:szCs w:val="16"/>
          <w:u w:val="single" w:color="auto"/>
          <w:color w:val="auto"/>
        </w:rPr>
        <w:t>paragraph (g)</w:t>
      </w:r>
      <w:r>
        <w:rPr>
          <w:rFonts w:ascii="Arial" w:cs="Arial" w:eastAsia="Arial" w:hAnsi="Arial"/>
          <w:sz w:val="16"/>
          <w:szCs w:val="16"/>
          <w:color w:val="auto"/>
        </w:rPr>
        <w:t xml:space="preserve"> of this Section, the Borrower agrees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each Participant shall be entitled to the benefits of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to the same extent as if it were a Lender and had acquired its interest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assignment pursuant to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shall not be entitled to receive any greater payment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2.16</w:t>
      </w:r>
      <w:r>
        <w:rPr>
          <w:rFonts w:ascii="Arial" w:cs="Arial" w:eastAsia="Arial" w:hAnsi="Arial"/>
          <w:sz w:val="16"/>
          <w:szCs w:val="16"/>
          <w:color w:val="auto"/>
        </w:rPr>
        <w:t>, with respect to any participation, than its participating Lenders would have been entitled to receive, except to the extent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entitlement to receive a greater payment results from a Change in Law that occurs after the Participant acquired the applicable participation; </w:t>
      </w:r>
      <w:r>
        <w:rPr>
          <w:rFonts w:ascii="Arial" w:cs="Arial" w:eastAsia="Arial" w:hAnsi="Arial"/>
          <w:sz w:val="16"/>
          <w:szCs w:val="16"/>
          <w:u w:val="single" w:color="auto"/>
          <w:color w:val="auto"/>
        </w:rPr>
        <w:t>provided</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Participant shall be entitled to the benefits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unless the Borrower is notified of the participation granted to such Participant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such Participant shall have complied with the requirements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as if such Participant is a Lender. To the extent permitted by law, each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Participant also shall be entitled to the benefits of </w:t>
      </w:r>
      <w:r>
        <w:rPr>
          <w:rFonts w:ascii="Arial" w:cs="Arial" w:eastAsia="Arial" w:hAnsi="Arial"/>
          <w:sz w:val="17"/>
          <w:szCs w:val="17"/>
          <w:u w:val="single" w:color="auto"/>
          <w:color w:val="auto"/>
        </w:rPr>
        <w:t>Section 9.08</w:t>
      </w:r>
      <w:r>
        <w:rPr>
          <w:rFonts w:ascii="Arial" w:cs="Arial" w:eastAsia="Arial" w:hAnsi="Arial"/>
          <w:sz w:val="17"/>
          <w:szCs w:val="17"/>
          <w:color w:val="auto"/>
        </w:rPr>
        <w:t xml:space="preserve"> as though it were a Lender; provided such Participant agrees to be subject to</w:t>
      </w:r>
    </w:p>
    <w:p>
      <w:pPr>
        <w:spacing w:after="0" w:line="21"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u w:val="single" w:color="auto"/>
          <w:color w:val="auto"/>
        </w:rPr>
        <w:t>Section 2.17(d)</w:t>
      </w:r>
      <w:r>
        <w:rPr>
          <w:rFonts w:ascii="Arial" w:cs="Arial" w:eastAsia="Arial" w:hAnsi="Arial"/>
          <w:sz w:val="16"/>
          <w:szCs w:val="16"/>
          <w:color w:val="auto"/>
        </w:rPr>
        <w:t xml:space="preserve"> as though it were a Lender hereunder.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provided that no Lender shall have any obligation to disclose all or any portion of the Participant Register (including the identity of any Participant or any other information relating to a Participant’s interest in any commitments, loans, letters of credit or is other obligations under any Loan Document) to any person except to the extent that such disclosures are necessary to establish that such commitment, loan, letter of credit or other obligation is in registered form under</w:t>
      </w:r>
    </w:p>
    <w:p>
      <w:pPr>
        <w:spacing w:after="0" w:line="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85" w:lineRule="exact"/>
        <w:rPr>
          <w:sz w:val="20"/>
          <w:szCs w:val="20"/>
          <w:color w:val="auto"/>
        </w:rPr>
      </w:pPr>
    </w:p>
    <w:p>
      <w:pPr>
        <w:ind w:right="220" w:firstLine="987"/>
        <w:spacing w:after="0" w:line="308" w:lineRule="auto"/>
        <w:tabs>
          <w:tab w:leader="none" w:pos="1381"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Limitations on Rights of Participants</w:t>
      </w:r>
      <w:r>
        <w:rPr>
          <w:rFonts w:ascii="Arial" w:cs="Arial" w:eastAsia="Arial" w:hAnsi="Arial"/>
          <w:sz w:val="17"/>
          <w:szCs w:val="17"/>
          <w:color w:val="auto"/>
        </w:rPr>
        <w:t xml:space="preserve">. A Participant shall not be entitled to receive any greater payment under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than the applicable Lender would have been entitled to receive with respect to the participation sold to such Participant, unless the</w:t>
      </w:r>
    </w:p>
    <w:p>
      <w:pPr>
        <w:spacing w:after="0" w:line="79"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820" w:type="dxa"/>
            <w:vAlign w:val="bottom"/>
          </w:tcPr>
          <w:p>
            <w:pPr>
              <w:jc w:val="right"/>
              <w:ind w:right="1450"/>
              <w:spacing w:after="0"/>
              <w:rPr>
                <w:sz w:val="20"/>
                <w:szCs w:val="20"/>
                <w:color w:val="auto"/>
              </w:rPr>
            </w:pPr>
            <w:r>
              <w:rPr>
                <w:rFonts w:ascii="Arial" w:cs="Arial" w:eastAsia="Arial" w:hAnsi="Arial"/>
                <w:sz w:val="18"/>
                <w:szCs w:val="18"/>
                <w:color w:val="auto"/>
                <w:w w:val="86"/>
              </w:rPr>
              <w:t>127</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2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57" w:name="page158"/>
    <w:bookmarkEnd w:id="157"/>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unless the Borrower is notified of the participation sold to such Participant and such Participant agrees, for the benefit of the Borrower, to comply with </w:t>
      </w:r>
      <w:r>
        <w:rPr>
          <w:rFonts w:ascii="Arial" w:cs="Arial" w:eastAsia="Arial" w:hAnsi="Arial"/>
          <w:sz w:val="17"/>
          <w:szCs w:val="17"/>
          <w:u w:val="single" w:color="auto"/>
          <w:color w:val="auto"/>
        </w:rPr>
        <w:t>paragraphs (e)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(f)</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as though it were a Lender and in the case of a Participant claiming exemption for portfolio interest under Section 871(h) or 881(c) of the Code, the applicable Lender shall provide the Borrower with satisfactory evidence that the participation is in registered form and shall permit the Borrower to review such register as reasonably needed for the Borrower to comply with its obligations under applicable laws and regulations.</w:t>
      </w:r>
    </w:p>
    <w:p>
      <w:pPr>
        <w:spacing w:after="0" w:line="70" w:lineRule="exact"/>
        <w:rPr>
          <w:sz w:val="20"/>
          <w:szCs w:val="20"/>
          <w:color w:val="auto"/>
        </w:rPr>
      </w:pPr>
    </w:p>
    <w:p>
      <w:pPr>
        <w:ind w:right="200" w:firstLine="987"/>
        <w:spacing w:after="0" w:line="257" w:lineRule="auto"/>
        <w:tabs>
          <w:tab w:leader="none" w:pos="1381"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to secure obligations of such Lender, including any such pledge or assignment to a Federal Reserve Bank or any other central bank having jurisdiction over such Lender,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assignee for such Lender as a party hereto.</w:t>
      </w:r>
    </w:p>
    <w:p>
      <w:pPr>
        <w:spacing w:after="0" w:line="79" w:lineRule="exact"/>
        <w:rPr>
          <w:rFonts w:ascii="Arial" w:cs="Arial" w:eastAsia="Arial" w:hAnsi="Arial"/>
          <w:sz w:val="18"/>
          <w:szCs w:val="18"/>
          <w:color w:val="auto"/>
        </w:rPr>
      </w:pPr>
    </w:p>
    <w:p>
      <w:pPr>
        <w:ind w:right="20" w:firstLine="987"/>
        <w:spacing w:after="0" w:line="263" w:lineRule="auto"/>
        <w:tabs>
          <w:tab w:leader="none" w:pos="1341"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No Assignments to the Borrower or Affiliates</w:t>
      </w:r>
      <w:r>
        <w:rPr>
          <w:rFonts w:ascii="Arial" w:cs="Arial" w:eastAsia="Arial" w:hAnsi="Arial"/>
          <w:sz w:val="18"/>
          <w:szCs w:val="18"/>
          <w:color w:val="auto"/>
        </w:rPr>
        <w:t>. Anything in this Section to the contrary notwithstanding, no Lender may assign or participate any interest in any Loan or LC Exposure held by it hereunder to the Borrower or any of its Affiliates or Subsidiaries without the prior consent of each Lender.</w:t>
      </w:r>
    </w:p>
    <w:p>
      <w:pPr>
        <w:spacing w:after="0" w:line="184" w:lineRule="exact"/>
        <w:rPr>
          <w:sz w:val="20"/>
          <w:szCs w:val="20"/>
          <w:color w:val="auto"/>
        </w:rPr>
      </w:pPr>
    </w:p>
    <w:p>
      <w:pPr>
        <w:ind w:right="120" w:firstLine="991"/>
        <w:spacing w:after="0" w:line="269"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17"/>
          <w:szCs w:val="17"/>
          <w:u w:val="single" w:color="auto"/>
          <w:color w:val="auto"/>
        </w:rPr>
        <w:t>Sections 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survive and remain in full force and effect regardless of the consummation of the transactions contemplated hereby, the repayment of the Loans, the expiration or termination, Cash Collateralization or backstop of the Letters of Credit and the Commitments or the termination of this Agreement or any provision hereof.</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Counterparts; Integration; Effectiveness; Electronic Execution</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301" w:lineRule="auto"/>
        <w:tabs>
          <w:tab w:leader="none" w:pos="1371" w:val="left"/>
        </w:tabs>
        <w:numPr>
          <w:ilvl w:val="0"/>
          <w:numId w:val="199"/>
        </w:numPr>
        <w:rPr>
          <w:rFonts w:ascii="Arial" w:cs="Arial" w:eastAsia="Arial" w:hAnsi="Arial"/>
          <w:sz w:val="16"/>
          <w:szCs w:val="16"/>
          <w:color w:val="auto"/>
        </w:rPr>
      </w:pP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w:t>
      </w:r>
    </w:p>
    <w:p>
      <w:pPr>
        <w:spacing w:after="0" w:line="90"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820" w:type="dxa"/>
            <w:vAlign w:val="bottom"/>
          </w:tcPr>
          <w:p>
            <w:pPr>
              <w:jc w:val="right"/>
              <w:ind w:right="1450"/>
              <w:spacing w:after="0"/>
              <w:rPr>
                <w:sz w:val="20"/>
                <w:szCs w:val="20"/>
                <w:color w:val="auto"/>
              </w:rPr>
            </w:pPr>
            <w:r>
              <w:rPr>
                <w:rFonts w:ascii="Arial" w:cs="Arial" w:eastAsia="Arial" w:hAnsi="Arial"/>
                <w:sz w:val="18"/>
                <w:szCs w:val="18"/>
                <w:color w:val="auto"/>
                <w:w w:val="86"/>
              </w:rPr>
              <w:t>128</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2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58" w:name="page159"/>
    <w:bookmarkEnd w:id="158"/>
    <w:p>
      <w:pPr>
        <w:ind w:left="4"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to the subject matter hereof. Except as provided in </w:t>
      </w:r>
      <w:r>
        <w:rPr>
          <w:rFonts w:ascii="Arial" w:cs="Arial" w:eastAsia="Arial" w:hAnsi="Arial"/>
          <w:sz w:val="18"/>
          <w:szCs w:val="18"/>
          <w:u w:val="single" w:color="auto"/>
          <w:color w:val="auto"/>
        </w:rPr>
        <w:t>Section 4.01</w:t>
      </w:r>
      <w:r>
        <w:rPr>
          <w:rFonts w:ascii="Arial" w:cs="Arial" w:eastAsia="Arial" w:hAnsi="Arial"/>
          <w:sz w:val="18"/>
          <w:szCs w:val="18"/>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to this Agreement by telecopy electronically (e.g. pdf) shall be effective as delivery of a manually executed counterpart of this Agreement.</w:t>
      </w:r>
    </w:p>
    <w:p>
      <w:pPr>
        <w:spacing w:after="0" w:line="80" w:lineRule="exact"/>
        <w:rPr>
          <w:sz w:val="20"/>
          <w:szCs w:val="20"/>
          <w:color w:val="auto"/>
        </w:rPr>
      </w:pPr>
    </w:p>
    <w:p>
      <w:pPr>
        <w:ind w:left="4" w:right="60" w:firstLine="987"/>
        <w:spacing w:after="0" w:line="275" w:lineRule="auto"/>
        <w:tabs>
          <w:tab w:leader="none" w:pos="1385"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Electronic Execution of Assignments</w:t>
      </w:r>
      <w:r>
        <w:rPr>
          <w:rFonts w:ascii="Arial" w:cs="Arial" w:eastAsia="Arial" w:hAnsi="Arial"/>
          <w:sz w:val="17"/>
          <w:szCs w:val="17"/>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6" w:lineRule="exact"/>
        <w:rPr>
          <w:sz w:val="20"/>
          <w:szCs w:val="20"/>
          <w:color w:val="auto"/>
        </w:rPr>
      </w:pPr>
    </w:p>
    <w:p>
      <w:pPr>
        <w:ind w:left="4" w:right="80" w:firstLine="991"/>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7" w:lineRule="exact"/>
        <w:rPr>
          <w:sz w:val="20"/>
          <w:szCs w:val="20"/>
          <w:color w:val="auto"/>
        </w:rPr>
      </w:pPr>
    </w:p>
    <w:p>
      <w:pPr>
        <w:ind w:left="4" w:right="140" w:firstLine="991"/>
        <w:spacing w:after="0" w:line="284" w:lineRule="auto"/>
        <w:rPr>
          <w:sz w:val="20"/>
          <w:szCs w:val="20"/>
          <w:color w:val="auto"/>
        </w:rPr>
      </w:pPr>
      <w:r>
        <w:rPr>
          <w:rFonts w:ascii="Arial" w:cs="Arial" w:eastAsia="Arial" w:hAnsi="Arial"/>
          <w:sz w:val="16"/>
          <w:szCs w:val="16"/>
          <w:color w:val="auto"/>
        </w:rPr>
        <w:t xml:space="preserve">SECTION 9.08.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 (x) all amounts so set off shall be paid over immediately to Administrative Agent for further application in accordance with the provisions of </w:t>
      </w:r>
      <w:r>
        <w:rPr>
          <w:rFonts w:ascii="Arial" w:cs="Arial" w:eastAsia="Arial" w:hAnsi="Arial"/>
          <w:sz w:val="16"/>
          <w:szCs w:val="16"/>
          <w:u w:val="single" w:color="auto"/>
          <w:color w:val="auto"/>
        </w:rPr>
        <w:t>Sections 2.17(d)</w:t>
      </w:r>
      <w:r>
        <w:rPr>
          <w:rFonts w:ascii="Arial" w:cs="Arial" w:eastAsia="Arial" w:hAnsi="Arial"/>
          <w:sz w:val="16"/>
          <w:szCs w:val="16"/>
          <w:color w:val="auto"/>
        </w:rPr>
        <w:t xml:space="preserve"> and, pending such payment, shall be segregated by such Defaulting Lender from its other funds and deemed held in trust for the benefit of Administrative Agent, the Issuing Bank, and the Lenders, and</w:t>
      </w:r>
    </w:p>
    <w:p>
      <w:pPr>
        <w:spacing w:after="0" w:line="1" w:lineRule="exact"/>
        <w:rPr>
          <w:sz w:val="20"/>
          <w:szCs w:val="20"/>
          <w:color w:val="auto"/>
        </w:rPr>
      </w:pPr>
    </w:p>
    <w:p>
      <w:pPr>
        <w:ind w:left="4" w:right="60" w:hanging="4"/>
        <w:spacing w:after="0" w:line="295" w:lineRule="auto"/>
        <w:tabs>
          <w:tab w:leader="none" w:pos="259"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the Defaulting Lender shall provide promptly to Administrative Agent a statement describing in reasonable detail the amounts owing to such Defaulting Lender hereunder as to which it exercised such right of setoff. The rights of each Lender under this Section are in addition to other rights and remedies (including other rights of setoff) which such Lender may have. Each Lender agrees to notify the Borrower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6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Governing Law; Jurisdiction; Etc</w:t>
      </w:r>
      <w:r>
        <w:rPr>
          <w:rFonts w:ascii="Arial" w:cs="Arial" w:eastAsia="Arial" w:hAnsi="Arial"/>
          <w:sz w:val="18"/>
          <w:szCs w:val="18"/>
          <w:color w:val="auto"/>
        </w:rPr>
        <w:t>.</w:t>
      </w:r>
    </w:p>
    <w:p>
      <w:pPr>
        <w:spacing w:after="0" w:line="117" w:lineRule="exact"/>
        <w:rPr>
          <w:sz w:val="20"/>
          <w:szCs w:val="20"/>
          <w:color w:val="auto"/>
        </w:rPr>
      </w:pPr>
    </w:p>
    <w:p>
      <w:pPr>
        <w:ind w:left="984"/>
        <w:spacing w:after="0"/>
        <w:tabs>
          <w:tab w:leader="none" w:pos="1344"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construed in accordance with and governed by the law of the State of New York.</w:t>
      </w:r>
    </w:p>
    <w:p>
      <w:pPr>
        <w:spacing w:after="0" w:line="158"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820" w:type="dxa"/>
            <w:vAlign w:val="bottom"/>
          </w:tcPr>
          <w:p>
            <w:pPr>
              <w:jc w:val="right"/>
              <w:ind w:right="1450"/>
              <w:spacing w:after="0"/>
              <w:rPr>
                <w:sz w:val="20"/>
                <w:szCs w:val="20"/>
                <w:color w:val="auto"/>
              </w:rPr>
            </w:pPr>
            <w:r>
              <w:rPr>
                <w:rFonts w:ascii="Arial" w:cs="Arial" w:eastAsia="Arial" w:hAnsi="Arial"/>
                <w:sz w:val="18"/>
                <w:szCs w:val="18"/>
                <w:color w:val="auto"/>
                <w:w w:val="86"/>
              </w:rPr>
              <w:t>129</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2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159" w:name="page160"/>
    <w:bookmarkEnd w:id="159"/>
    <w:p>
      <w:pPr>
        <w:ind w:left="4" w:right="20" w:firstLine="987"/>
        <w:spacing w:after="0" w:line="253" w:lineRule="auto"/>
        <w:tabs>
          <w:tab w:leader="none" w:pos="1385"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Submission to Jurisdiction</w:t>
      </w:r>
      <w:r>
        <w:rPr>
          <w:rFonts w:ascii="Arial" w:cs="Arial" w:eastAsia="Arial" w:hAnsi="Arial"/>
          <w:sz w:val="18"/>
          <w:szCs w:val="18"/>
          <w:color w:val="auto"/>
        </w:rPr>
        <w:t>. The Borrower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and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the Issuing Bank or any Lender may otherwise have to bring any action or proceeding relating to this Agreement against the Borrower or its properties in the courts of any jurisdiction.</w:t>
      </w:r>
    </w:p>
    <w:p>
      <w:pPr>
        <w:spacing w:after="0" w:line="88" w:lineRule="exact"/>
        <w:rPr>
          <w:rFonts w:ascii="Arial" w:cs="Arial" w:eastAsia="Arial" w:hAnsi="Arial"/>
          <w:sz w:val="18"/>
          <w:szCs w:val="18"/>
          <w:color w:val="auto"/>
        </w:rPr>
      </w:pPr>
    </w:p>
    <w:p>
      <w:pPr>
        <w:jc w:val="both"/>
        <w:ind w:left="4" w:right="80" w:firstLine="987"/>
        <w:spacing w:after="0" w:line="279" w:lineRule="auto"/>
        <w:tabs>
          <w:tab w:leader="none" w:pos="1375"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Waiver of Venue</w:t>
      </w:r>
      <w:r>
        <w:rPr>
          <w:rFonts w:ascii="Arial" w:cs="Arial" w:eastAsia="Arial" w:hAnsi="Arial"/>
          <w:sz w:val="17"/>
          <w:szCs w:val="17"/>
          <w:color w:val="auto"/>
        </w:rPr>
        <w:t xml:space="preserve">.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63" w:lineRule="exact"/>
        <w:rPr>
          <w:rFonts w:ascii="Arial" w:cs="Arial" w:eastAsia="Arial" w:hAnsi="Arial"/>
          <w:sz w:val="17"/>
          <w:szCs w:val="17"/>
          <w:color w:val="auto"/>
        </w:rPr>
      </w:pPr>
    </w:p>
    <w:p>
      <w:pPr>
        <w:jc w:val="both"/>
        <w:ind w:left="4" w:right="80" w:firstLine="987"/>
        <w:spacing w:after="0" w:line="279" w:lineRule="auto"/>
        <w:tabs>
          <w:tab w:leader="none" w:pos="1385"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Service of Process</w:t>
      </w:r>
      <w:r>
        <w:rPr>
          <w:rFonts w:ascii="Arial" w:cs="Arial" w:eastAsia="Arial" w:hAnsi="Arial"/>
          <w:sz w:val="17"/>
          <w:szCs w:val="17"/>
          <w:color w:val="auto"/>
        </w:rPr>
        <w:t xml:space="preserve">. Each party to this Agreement (i) irrevocably consents to service of process in the manner provided for notices in </w:t>
      </w:r>
      <w:r>
        <w:rPr>
          <w:rFonts w:ascii="Arial" w:cs="Arial" w:eastAsia="Arial" w:hAnsi="Arial"/>
          <w:sz w:val="17"/>
          <w:szCs w:val="17"/>
          <w:u w:val="single" w:color="auto"/>
          <w:color w:val="auto"/>
        </w:rPr>
        <w:t>Section 9.01</w:t>
      </w:r>
      <w:r>
        <w:rPr>
          <w:rFonts w:ascii="Arial" w:cs="Arial" w:eastAsia="Arial" w:hAnsi="Arial"/>
          <w:sz w:val="17"/>
          <w:szCs w:val="17"/>
          <w:color w:val="auto"/>
        </w:rPr>
        <w:t xml:space="preserve"> and (ii) agrees that service as provided in the manner provided for notices in </w:t>
      </w:r>
      <w:r>
        <w:rPr>
          <w:rFonts w:ascii="Arial" w:cs="Arial" w:eastAsia="Arial" w:hAnsi="Arial"/>
          <w:sz w:val="17"/>
          <w:szCs w:val="17"/>
          <w:u w:val="single" w:color="auto"/>
          <w:color w:val="auto"/>
        </w:rPr>
        <w:t>Section 9.01</w:t>
      </w:r>
      <w:r>
        <w:rPr>
          <w:rFonts w:ascii="Arial" w:cs="Arial" w:eastAsia="Arial" w:hAnsi="Arial"/>
          <w:sz w:val="17"/>
          <w:szCs w:val="17"/>
          <w:color w:val="auto"/>
        </w:rPr>
        <w:t xml:space="preserve"> is sufficient to 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spacing w:after="0" w:line="171" w:lineRule="exact"/>
        <w:rPr>
          <w:sz w:val="20"/>
          <w:szCs w:val="20"/>
          <w:color w:val="auto"/>
        </w:rPr>
      </w:pPr>
    </w:p>
    <w:p>
      <w:pPr>
        <w:ind w:left="4" w:right="20" w:firstLine="991"/>
        <w:spacing w:after="0" w:line="268"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WAIVES, TO THE FULLEST EXTENT PERMITTED BY APPLICABLE LAW, ANY RIGHT IT MAY HAVE TO A TRIAL BY JURY IN ANY LEGAL PROCEEDING DIRECTLY OR INDIRECTLY ARISING OUT OF OR RELATING TO THIS AGREEMENT, ANY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1" w:lineRule="exact"/>
        <w:rPr>
          <w:sz w:val="20"/>
          <w:szCs w:val="20"/>
          <w:color w:val="auto"/>
        </w:rPr>
      </w:pPr>
    </w:p>
    <w:p>
      <w:pPr>
        <w:ind w:left="4" w:right="380" w:hanging="4"/>
        <w:spacing w:after="0" w:line="260" w:lineRule="auto"/>
        <w:tabs>
          <w:tab w:leader="none" w:pos="27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ACKNOWLEDGES THAT IT AND THE OTHER PARTIES HERETO HAVE BEEN INDUCED TO ENTER INTO THIS AGREEMENT BY, AMONG OTHER THINGS, THE MUTUAL WAIVERS AND CERTIFICATIONS IN THIS SECTION.</w:t>
      </w:r>
    </w:p>
    <w:p>
      <w:pPr>
        <w:spacing w:after="0" w:line="185" w:lineRule="exact"/>
        <w:rPr>
          <w:sz w:val="20"/>
          <w:szCs w:val="20"/>
          <w:color w:val="auto"/>
        </w:rPr>
      </w:pPr>
    </w:p>
    <w:p>
      <w:pPr>
        <w:ind w:left="4" w:right="100" w:firstLine="991"/>
        <w:spacing w:after="0" w:line="301" w:lineRule="auto"/>
        <w:rPr>
          <w:sz w:val="20"/>
          <w:szCs w:val="20"/>
          <w:color w:val="auto"/>
        </w:rPr>
      </w:pPr>
      <w:r>
        <w:rPr>
          <w:rFonts w:ascii="Arial" w:cs="Arial" w:eastAsia="Arial" w:hAnsi="Arial"/>
          <w:sz w:val="16"/>
          <w:szCs w:val="16"/>
          <w:color w:val="auto"/>
        </w:rPr>
        <w:t xml:space="preserve">SECTION 9.11. </w:t>
      </w:r>
      <w:r>
        <w:rPr>
          <w:rFonts w:ascii="Arial" w:cs="Arial" w:eastAsia="Arial" w:hAnsi="Arial"/>
          <w:sz w:val="16"/>
          <w:szCs w:val="16"/>
          <w:u w:val="single" w:color="auto"/>
          <w:color w:val="auto"/>
        </w:rPr>
        <w:t>Judgment Currency</w:t>
      </w:r>
      <w:r>
        <w:rPr>
          <w:rFonts w:ascii="Arial" w:cs="Arial" w:eastAsia="Arial" w:hAnsi="Arial"/>
          <w:sz w:val="16"/>
          <w:szCs w:val="16"/>
          <w:color w:val="auto"/>
        </w:rPr>
        <w:t>. This is an international loan transaction in which the specification of Dollars or any Foreign Currency, as the case may be (the “</w:t>
      </w:r>
      <w:r>
        <w:rPr>
          <w:rFonts w:ascii="Arial" w:cs="Arial" w:eastAsia="Arial" w:hAnsi="Arial"/>
          <w:sz w:val="16"/>
          <w:szCs w:val="16"/>
          <w:u w:val="single" w:color="auto"/>
          <w:color w:val="auto"/>
        </w:rPr>
        <w:t>Specified Currency</w:t>
      </w:r>
      <w:r>
        <w:rPr>
          <w:rFonts w:ascii="Arial" w:cs="Arial" w:eastAsia="Arial" w:hAnsi="Arial"/>
          <w:sz w:val="16"/>
          <w:szCs w:val="16"/>
          <w:color w:val="auto"/>
        </w:rPr>
        <w:t>”), and payment in New York City or the country of the Specified Currency, as the case may be (the “</w:t>
      </w:r>
      <w:r>
        <w:rPr>
          <w:rFonts w:ascii="Arial" w:cs="Arial" w:eastAsia="Arial" w:hAnsi="Arial"/>
          <w:sz w:val="16"/>
          <w:szCs w:val="16"/>
          <w:u w:val="single" w:color="auto"/>
          <w:color w:val="auto"/>
        </w:rPr>
        <w:t>Specified Place</w:t>
      </w:r>
      <w:r>
        <w:rPr>
          <w:rFonts w:ascii="Arial" w:cs="Arial" w:eastAsia="Arial" w:hAnsi="Arial"/>
          <w:sz w:val="16"/>
          <w:szCs w:val="16"/>
          <w:color w:val="auto"/>
        </w:rPr>
        <w:t>”), is of the essence, and the Specified Currency shall be the currency of account in all events relating to Loans denominated in the Specified Currency. The payment obligations of the Borrower under this Agreement shall not be discharged or satisfied by an amount</w:t>
      </w:r>
    </w:p>
    <w:p>
      <w:pPr>
        <w:spacing w:after="0" w:line="90"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820" w:type="dxa"/>
            <w:vAlign w:val="bottom"/>
          </w:tcPr>
          <w:p>
            <w:pPr>
              <w:jc w:val="right"/>
              <w:ind w:right="1450"/>
              <w:spacing w:after="0"/>
              <w:rPr>
                <w:sz w:val="20"/>
                <w:szCs w:val="20"/>
                <w:color w:val="auto"/>
              </w:rPr>
            </w:pPr>
            <w:r>
              <w:rPr>
                <w:rFonts w:ascii="Arial" w:cs="Arial" w:eastAsia="Arial" w:hAnsi="Arial"/>
                <w:sz w:val="18"/>
                <w:szCs w:val="18"/>
                <w:color w:val="auto"/>
                <w:w w:val="86"/>
              </w:rPr>
              <w:t>130</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2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160" w:name="page161"/>
    <w:bookmarkEnd w:id="160"/>
    <w:p>
      <w:pPr>
        <w:ind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Arial" w:cs="Arial" w:eastAsia="Arial" w:hAnsi="Arial"/>
          <w:sz w:val="16"/>
          <w:szCs w:val="16"/>
          <w:u w:val="single" w:color="auto"/>
          <w:color w:val="auto"/>
        </w:rPr>
        <w:t>Second Currency</w:t>
      </w:r>
      <w:r>
        <w:rPr>
          <w:rFonts w:ascii="Arial" w:cs="Arial" w:eastAsia="Arial" w:hAnsi="Arial"/>
          <w:sz w:val="16"/>
          <w:szCs w:val="16"/>
          <w:color w:val="auto"/>
        </w:rPr>
        <w:t>”),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Loan Document (in this Section called an “</w:t>
      </w:r>
      <w:r>
        <w:rPr>
          <w:rFonts w:ascii="Arial" w:cs="Arial" w:eastAsia="Arial" w:hAnsi="Arial"/>
          <w:sz w:val="16"/>
          <w:szCs w:val="16"/>
          <w:u w:val="single" w:color="auto"/>
          <w:color w:val="auto"/>
        </w:rPr>
        <w:t>Entitled Person</w:t>
      </w:r>
      <w:r>
        <w:rPr>
          <w:rFonts w:ascii="Arial" w:cs="Arial" w:eastAsia="Arial" w:hAnsi="Arial"/>
          <w:sz w:val="16"/>
          <w:szCs w:val="16"/>
          <w:color w:val="auto"/>
        </w:rPr>
        <w:t>”)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pacing w:after="0" w:line="174" w:lineRule="exact"/>
        <w:rPr>
          <w:sz w:val="20"/>
          <w:szCs w:val="20"/>
          <w:color w:val="auto"/>
        </w:rPr>
      </w:pPr>
    </w:p>
    <w:p>
      <w:pPr>
        <w:ind w:right="180" w:firstLine="991"/>
        <w:spacing w:after="0" w:line="308" w:lineRule="auto"/>
        <w:rPr>
          <w:sz w:val="20"/>
          <w:szCs w:val="20"/>
          <w:color w:val="auto"/>
        </w:rPr>
      </w:pPr>
      <w:r>
        <w:rPr>
          <w:rFonts w:ascii="Arial" w:cs="Arial" w:eastAsia="Arial" w:hAnsi="Arial"/>
          <w:sz w:val="17"/>
          <w:szCs w:val="17"/>
          <w:color w:val="auto"/>
        </w:rPr>
        <w:t xml:space="preserve">SECTION 9.12. </w:t>
      </w:r>
      <w:r>
        <w:rPr>
          <w:rFonts w:ascii="Arial" w:cs="Arial" w:eastAsia="Arial" w:hAnsi="Arial"/>
          <w:sz w:val="17"/>
          <w:szCs w:val="17"/>
          <w:u w:val="single" w:color="auto"/>
          <w:color w:val="auto"/>
        </w:rPr>
        <w:t>Headings</w:t>
      </w:r>
      <w:r>
        <w:rPr>
          <w:rFonts w:ascii="Arial" w:cs="Arial" w:eastAsia="Arial" w:hAnsi="Arial"/>
          <w:sz w:val="17"/>
          <w:szCs w:val="17"/>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Treatment of Certain Information; No Fiduciary Duty; Confidentiality</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68" w:lineRule="auto"/>
        <w:tabs>
          <w:tab w:leader="none" w:pos="1371"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Treatment of Certain Information</w:t>
      </w:r>
      <w:r>
        <w:rPr>
          <w:rFonts w:ascii="Arial" w:cs="Arial" w:eastAsia="Arial" w:hAnsi="Arial"/>
          <w:sz w:val="17"/>
          <w:szCs w:val="17"/>
          <w:color w:val="auto"/>
        </w:rPr>
        <w:t xml:space="preserve">. The Borrower acknowledges that from time to time financial advisory, investment banking and other services may be offered or provided to the Borrower or one or more of its Subsidiaries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as if it were a Lender hereunder. Such authorization shall survive the repayment of the Loans, the expiration or termination of the Letters of Credit and the Commitments or the termination of this Agreement or any provision hereof. Each Lender shall use all information delivered to such Lender by the Borrower and its Subsidiaries pursuant to this Agreement, or in connection with the decision of such Lender to enter into this Agreement, in connection with providing services to the Borrower. The Administrative Agent, each Lender and their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 create an advisory, fiduciary or agency relationship or fiduciary or other implied duty between any Lender, on the one</w:t>
      </w:r>
    </w:p>
    <w:p>
      <w:pPr>
        <w:spacing w:after="0" w:line="119"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820" w:type="dxa"/>
            <w:vAlign w:val="bottom"/>
          </w:tcPr>
          <w:p>
            <w:pPr>
              <w:jc w:val="right"/>
              <w:ind w:right="1450"/>
              <w:spacing w:after="0"/>
              <w:rPr>
                <w:sz w:val="20"/>
                <w:szCs w:val="20"/>
                <w:color w:val="auto"/>
              </w:rPr>
            </w:pPr>
            <w:r>
              <w:rPr>
                <w:rFonts w:ascii="Arial" w:cs="Arial" w:eastAsia="Arial" w:hAnsi="Arial"/>
                <w:sz w:val="18"/>
                <w:szCs w:val="18"/>
                <w:color w:val="auto"/>
                <w:w w:val="86"/>
              </w:rPr>
              <w:t>131</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2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61" w:name="page162"/>
    <w:bookmarkEnd w:id="161"/>
    <w:p>
      <w:pPr>
        <w:ind w:left="4" w:right="3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hand, and the Borrower or any of its Subsidiaries, its stockholders or its affiliates, on the other. The Borrower and each of its Subsidiaries each acknowledge and agree that (i) the transactions contemplated by the Loan Documents (including the exercise of rights and remedies hereunder and thereunder) are arm’s-length commercial transactions between the Lenders, on the one hand, and the Borrower and its Subsidiaries, on the other, and</w:t>
      </w:r>
    </w:p>
    <w:p>
      <w:pPr>
        <w:spacing w:after="0" w:line="2" w:lineRule="exact"/>
        <w:rPr>
          <w:sz w:val="20"/>
          <w:szCs w:val="20"/>
          <w:color w:val="auto"/>
        </w:rPr>
      </w:pPr>
    </w:p>
    <w:p>
      <w:pPr>
        <w:ind w:left="4" w:right="80" w:hanging="4"/>
        <w:spacing w:after="0" w:line="286" w:lineRule="auto"/>
        <w:tabs>
          <w:tab w:leader="none" w:pos="269"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in connection therewith and with the process leading thereto, (x) no Lender has assumed an advisory or fiduciary responsibility in favor of the Borrower or any of its Subsidiaries, any of their stockholders or affiliates with respect to the transactions contemplated hereby (or the exercise of rights or remedies with respect thereto) or the process leading thereto (irrespective of whether any Lender has advised, is currently advising or will advise the Borrower or any of its Subsidiaries, their stockholders or their affiliates on other matters) or any other obligation to the Borrower or any of its Subsidiaries except the obligations expressly set forth in the Loan Documents and (y) each Lender is acting solely as principal and not as the agent or fiduciary of the Borrower or any of its Subsidiaries, their management, stockholders, creditors or any other Person. The Borrower and each of its Subsidiaries each acknowledge and agree that it has consulted its own legal and financial advisors to the extent it deemed appropriate and that it is responsible for making its own independent judgment with respect to such transactions and the process leading thereto. The Borrower and each of its Subsidiaries each agree that it will not claim that any Lender has rendered advisory services of any nature or respect, or owes a fiduciary or similar duty to the Borrower or any of its Subsidiaries, in connection with such transaction or the process leading thereto.</w:t>
      </w:r>
    </w:p>
    <w:p>
      <w:pPr>
        <w:spacing w:after="0" w:line="61" w:lineRule="exact"/>
        <w:rPr>
          <w:rFonts w:ascii="Arial" w:cs="Arial" w:eastAsia="Arial" w:hAnsi="Arial"/>
          <w:sz w:val="16"/>
          <w:szCs w:val="16"/>
          <w:color w:val="auto"/>
        </w:rPr>
      </w:pPr>
    </w:p>
    <w:p>
      <w:pPr>
        <w:ind w:left="4" w:right="40" w:firstLine="987"/>
        <w:spacing w:after="0" w:line="268" w:lineRule="auto"/>
        <w:tabs>
          <w:tab w:leader="none" w:pos="1385" w:val="left"/>
        </w:tabs>
        <w:numPr>
          <w:ilvl w:val="1"/>
          <w:numId w:val="205"/>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Each of the Administrative Agent, the Lenders, the Swingline Lender and the Issuing Bank agrees to maintain the confidentiality 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other than to any Person listed in the Prohibited Assignees and Participants Side Letter,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 (vii) to any rating agencies and market data collectors on a confidential basis, (viii) with the consent of the Borrower or (ix) to the extent such Information (x) becomes publicly available other than as a result of a breach of this Section or (y) becomes available to the Administrative Agent, any Lender, the Issuing Bank or any of their respective Affiliates on a nonconfidential basis from a source other than the Borrower.</w:t>
      </w:r>
    </w:p>
    <w:p>
      <w:pPr>
        <w:spacing w:after="0" w:line="184" w:lineRule="exact"/>
        <w:rPr>
          <w:sz w:val="20"/>
          <w:szCs w:val="20"/>
          <w:color w:val="auto"/>
        </w:rPr>
      </w:pPr>
    </w:p>
    <w:p>
      <w:pPr>
        <w:ind w:left="4" w:right="240" w:firstLine="991"/>
        <w:spacing w:after="0" w:line="263" w:lineRule="auto"/>
        <w:rPr>
          <w:sz w:val="20"/>
          <w:szCs w:val="20"/>
          <w:color w:val="auto"/>
        </w:rPr>
      </w:pPr>
      <w:r>
        <w:rPr>
          <w:rFonts w:ascii="Arial" w:cs="Arial" w:eastAsia="Arial" w:hAnsi="Arial"/>
          <w:sz w:val="18"/>
          <w:szCs w:val="18"/>
          <w:color w:val="auto"/>
        </w:rPr>
        <w:t>For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means all information received from the Borrower or any of its Subsidiaries relating to the Borrower or any of its Subsidiaries or any of their respective businesses, other than any such information that is available to the Administrative Agent any Lender or the Issuing Bank on a nonconfidential basis prior to disclosure</w:t>
      </w:r>
    </w:p>
    <w:p>
      <w:pPr>
        <w:spacing w:after="0" w:line="116"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820" w:type="dxa"/>
            <w:vAlign w:val="bottom"/>
          </w:tcPr>
          <w:p>
            <w:pPr>
              <w:jc w:val="right"/>
              <w:ind w:right="1450"/>
              <w:spacing w:after="0"/>
              <w:rPr>
                <w:sz w:val="20"/>
                <w:szCs w:val="20"/>
                <w:color w:val="auto"/>
              </w:rPr>
            </w:pPr>
            <w:r>
              <w:rPr>
                <w:rFonts w:ascii="Arial" w:cs="Arial" w:eastAsia="Arial" w:hAnsi="Arial"/>
                <w:sz w:val="18"/>
                <w:szCs w:val="18"/>
                <w:color w:val="auto"/>
                <w:w w:val="86"/>
              </w:rPr>
              <w:t>132</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2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4"/>
          </w:cols>
          <w:pgMar w:left="436" w:top="274" w:right="439" w:bottom="1440" w:gutter="0" w:footer="0" w:header="0"/>
        </w:sectPr>
      </w:pPr>
    </w:p>
    <w:bookmarkStart w:id="162" w:name="page163"/>
    <w:bookmarkEnd w:id="162"/>
    <w:p>
      <w:pPr>
        <w:ind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by the Borrower or any of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1" w:lineRule="exact"/>
        <w:rPr>
          <w:sz w:val="20"/>
          <w:szCs w:val="20"/>
          <w:color w:val="auto"/>
        </w:rPr>
      </w:pPr>
    </w:p>
    <w:p>
      <w:pPr>
        <w:ind w:right="120" w:firstLine="991"/>
        <w:spacing w:after="0" w:line="301" w:lineRule="auto"/>
        <w:rPr>
          <w:sz w:val="20"/>
          <w:szCs w:val="20"/>
          <w:color w:val="auto"/>
        </w:rPr>
      </w:pPr>
      <w:r>
        <w:rPr>
          <w:rFonts w:ascii="Arial" w:cs="Arial" w:eastAsia="Arial" w:hAnsi="Arial"/>
          <w:sz w:val="16"/>
          <w:szCs w:val="16"/>
          <w:color w:val="auto"/>
        </w:rPr>
        <w:t xml:space="preserve">SECTION 9.14. </w:t>
      </w:r>
      <w:r>
        <w:rPr>
          <w:rFonts w:ascii="Arial" w:cs="Arial" w:eastAsia="Arial" w:hAnsi="Arial"/>
          <w:sz w:val="16"/>
          <w:szCs w:val="16"/>
          <w:u w:val="single" w:color="auto"/>
          <w:color w:val="auto"/>
        </w:rPr>
        <w:t>USA PATRIOT Act</w:t>
      </w:r>
      <w:r>
        <w:rPr>
          <w:rFonts w:ascii="Arial" w:cs="Arial" w:eastAsia="Arial" w:hAnsi="Arial"/>
          <w:sz w:val="16"/>
          <w:szCs w:val="16"/>
          <w:color w:val="auto"/>
        </w:rPr>
        <w:t>. Each Lender hereby notifies the Borrower that pursuant to the requirements of the USA PATRIOT Act (Title III of Pub. L. 107-56 (signed into law October 26, 2001)), it is required to obtain, verify and record information that identifies the Borrower and each other Obligor, which information includes the name and address of the Borrower and each other Obligor and other information that will allow such Lender to identify the Borrower and each other Obligor in accordance with said Act and the Beneficial Ownership Regulation.</w:t>
      </w:r>
    </w:p>
    <w:p>
      <w:pPr>
        <w:spacing w:after="0" w:line="157" w:lineRule="exact"/>
        <w:rPr>
          <w:sz w:val="20"/>
          <w:szCs w:val="20"/>
          <w:color w:val="auto"/>
        </w:rPr>
      </w:pPr>
    </w:p>
    <w:p>
      <w:pPr>
        <w:ind w:right="60" w:firstLine="991"/>
        <w:spacing w:after="0" w:line="291"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u w:val="single" w:color="auto"/>
          <w:color w:val="auto"/>
        </w:rPr>
        <w:t>Effect of Amendment and Restatement of the Existing Agreement</w:t>
      </w:r>
      <w:r>
        <w:rPr>
          <w:rFonts w:ascii="Arial" w:cs="Arial" w:eastAsia="Arial" w:hAnsi="Arial"/>
          <w:sz w:val="16"/>
          <w:szCs w:val="16"/>
          <w:color w:val="auto"/>
        </w:rPr>
        <w:t>. On the Effective Date, the Existing Credit Agreement shall be amended and restated in its entirety. The parties hereto acknowledge and agree that (a) this Agreement and the other Loan Documents, whether executed and delivered in connection herewith or otherwise, do not constitute a novation or termination of the obligations for principal, interest or fees of the Borrower under the Existing Agreement as in effect immediately prior to the Effective Date and which remain outstanding; and (b) except for any of the Borrower’s obligations under the Existing Credit Agreement which are expressly contemplated to be repaid on the Effective Date and to the extent are in fact so repaid, the obligations of the Borrower under the Existing Credit Agreement (as amended and restated hereby and which are on and after the date hereof subject to the terms herein) are in all respects continuing, and shall continue to be secured as provided in the Security Documents.</w:t>
      </w:r>
    </w:p>
    <w:p>
      <w:pPr>
        <w:spacing w:after="0" w:line="166" w:lineRule="exact"/>
        <w:rPr>
          <w:sz w:val="20"/>
          <w:szCs w:val="20"/>
          <w:color w:val="auto"/>
        </w:rPr>
      </w:pPr>
    </w:p>
    <w:p>
      <w:pPr>
        <w:ind w:right="80" w:firstLine="991"/>
        <w:spacing w:after="0" w:line="279" w:lineRule="auto"/>
        <w:rPr>
          <w:sz w:val="20"/>
          <w:szCs w:val="20"/>
          <w:color w:val="auto"/>
        </w:rPr>
      </w:pPr>
      <w:r>
        <w:rPr>
          <w:rFonts w:ascii="Arial" w:cs="Arial" w:eastAsia="Arial" w:hAnsi="Arial"/>
          <w:sz w:val="17"/>
          <w:szCs w:val="17"/>
          <w:color w:val="auto"/>
        </w:rPr>
        <w:t xml:space="preserve">SECTION 9.16. </w:t>
      </w:r>
      <w:r>
        <w:rPr>
          <w:rFonts w:ascii="Arial" w:cs="Arial" w:eastAsia="Arial" w:hAnsi="Arial"/>
          <w:sz w:val="17"/>
          <w:szCs w:val="17"/>
          <w:u w:val="single" w:color="auto"/>
          <w:color w:val="auto"/>
        </w:rPr>
        <w:t>Acknowledgement and Consent to Bail-In of EEA Financial Institutions</w:t>
      </w:r>
      <w:r>
        <w:rPr>
          <w:rFonts w:ascii="Arial" w:cs="Arial" w:eastAsia="Arial" w:hAnsi="Arial"/>
          <w:sz w:val="17"/>
          <w:szCs w:val="17"/>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63" w:lineRule="exact"/>
        <w:rPr>
          <w:sz w:val="20"/>
          <w:szCs w:val="20"/>
          <w:color w:val="auto"/>
        </w:rPr>
      </w:pPr>
    </w:p>
    <w:p>
      <w:pPr>
        <w:ind w:right="100" w:firstLine="987"/>
        <w:spacing w:after="0" w:line="277" w:lineRule="auto"/>
        <w:tabs>
          <w:tab w:leader="none" w:pos="137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62" w:lineRule="exact"/>
        <w:rPr>
          <w:rFonts w:ascii="Arial" w:cs="Arial" w:eastAsia="Arial" w:hAnsi="Arial"/>
          <w:sz w:val="18"/>
          <w:szCs w:val="18"/>
          <w:color w:val="auto"/>
        </w:rPr>
      </w:pPr>
    </w:p>
    <w:p>
      <w:pPr>
        <w:ind w:left="1380" w:hanging="393"/>
        <w:spacing w:after="0"/>
        <w:tabs>
          <w:tab w:leader="none" w:pos="13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740" w:hanging="352"/>
        <w:spacing w:after="0"/>
        <w:tabs>
          <w:tab w:leader="none" w:pos="17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980" w:right="100" w:firstLine="408"/>
        <w:spacing w:after="0" w:line="259" w:lineRule="auto"/>
        <w:tabs>
          <w:tab w:leader="none" w:pos="1781"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19"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820" w:type="dxa"/>
            <w:vAlign w:val="bottom"/>
          </w:tcPr>
          <w:p>
            <w:pPr>
              <w:jc w:val="right"/>
              <w:ind w:right="1450"/>
              <w:spacing w:after="0"/>
              <w:rPr>
                <w:sz w:val="20"/>
                <w:szCs w:val="20"/>
                <w:color w:val="auto"/>
              </w:rPr>
            </w:pPr>
            <w:r>
              <w:rPr>
                <w:rFonts w:ascii="Arial" w:cs="Arial" w:eastAsia="Arial" w:hAnsi="Arial"/>
                <w:sz w:val="18"/>
                <w:szCs w:val="18"/>
                <w:color w:val="auto"/>
                <w:w w:val="86"/>
              </w:rPr>
              <w:t>133</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2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63" w:name="page164"/>
    <w:bookmarkEnd w:id="163"/>
    <w:p>
      <w:pPr>
        <w:ind w:left="980" w:right="380" w:firstLine="408"/>
        <w:spacing w:after="0" w:line="277" w:lineRule="auto"/>
        <w:tabs>
          <w:tab w:leader="none" w:pos="1831" w:val="left"/>
        </w:tabs>
        <w:numPr>
          <w:ilvl w:val="0"/>
          <w:numId w:val="2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variation of the terms of such liability in connection with the exercise of the write-down and conversion powers of any EEA Resolution Authority.</w:t>
      </w:r>
    </w:p>
    <w:p>
      <w:pPr>
        <w:spacing w:after="0" w:line="170"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 xml:space="preserve">SECTION 9.17. </w:t>
      </w:r>
      <w:r>
        <w:rPr>
          <w:rFonts w:ascii="Arial" w:cs="Arial" w:eastAsia="Arial" w:hAnsi="Arial"/>
          <w:sz w:val="17"/>
          <w:szCs w:val="17"/>
          <w:u w:val="single" w:color="auto"/>
          <w:color w:val="auto"/>
        </w:rPr>
        <w:t>Acknowledgement Regarding Any Supported QFCs</w:t>
      </w:r>
      <w:r>
        <w:rPr>
          <w:rFonts w:ascii="Arial" w:cs="Arial" w:eastAsia="Arial" w:hAnsi="Arial"/>
          <w:sz w:val="17"/>
          <w:szCs w:val="17"/>
          <w:color w:val="auto"/>
        </w:rPr>
        <w:t>. To the extent that the Loan Documents provide support, through a guarantee or otherwise, for Hedging Agreements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 “</w:t>
      </w:r>
      <w:r>
        <w:rPr>
          <w:rFonts w:ascii="Arial" w:cs="Arial" w:eastAsia="Arial" w:hAnsi="Arial"/>
          <w:sz w:val="17"/>
          <w:szCs w:val="17"/>
          <w:u w:val="single" w:color="auto"/>
          <w:color w:val="auto"/>
        </w:rPr>
        <w:t>Supported QFC</w:t>
      </w:r>
      <w:r>
        <w:rPr>
          <w:rFonts w:ascii="Arial" w:cs="Arial" w:eastAsia="Arial" w:hAnsi="Arial"/>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u w:val="single" w:color="auto"/>
          <w:color w:val="auto"/>
        </w:rPr>
        <w:t>U.S. Special Resolution Regimes</w:t>
      </w:r>
      <w:r>
        <w:rPr>
          <w:rFonts w:ascii="Arial" w:cs="Arial" w:eastAsia="Arial" w:hAnsi="Arial"/>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69" w:lineRule="exact"/>
        <w:rPr>
          <w:sz w:val="20"/>
          <w:szCs w:val="20"/>
          <w:color w:val="auto"/>
        </w:rPr>
      </w:pPr>
    </w:p>
    <w:p>
      <w:pPr>
        <w:ind w:right="20" w:firstLine="987"/>
        <w:spacing w:after="0" w:line="287" w:lineRule="auto"/>
        <w:tabs>
          <w:tab w:leader="none" w:pos="1371" w:val="left"/>
        </w:tabs>
        <w:numPr>
          <w:ilvl w:val="1"/>
          <w:numId w:val="208"/>
        </w:numPr>
        <w:rPr>
          <w:rFonts w:ascii="Arial" w:cs="Arial" w:eastAsia="Arial" w:hAnsi="Arial"/>
          <w:sz w:val="16"/>
          <w:szCs w:val="16"/>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63" w:lineRule="exact"/>
        <w:rPr>
          <w:rFonts w:ascii="Arial" w:cs="Arial" w:eastAsia="Arial" w:hAnsi="Arial"/>
          <w:sz w:val="16"/>
          <w:szCs w:val="16"/>
          <w:color w:val="auto"/>
        </w:rPr>
      </w:pPr>
    </w:p>
    <w:p>
      <w:pPr>
        <w:ind w:left="1360" w:hanging="373"/>
        <w:spacing w:after="0"/>
        <w:tabs>
          <w:tab w:leader="none" w:pos="136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9.17</w:t>
      </w:r>
      <w:r>
        <w:rPr>
          <w:rFonts w:ascii="Arial" w:cs="Arial" w:eastAsia="Arial" w:hAnsi="Arial"/>
          <w:sz w:val="18"/>
          <w:szCs w:val="18"/>
          <w:color w:val="auto"/>
        </w:rPr>
        <w:t>, the following terms have the following meanings:</w:t>
      </w:r>
    </w:p>
    <w:p>
      <w:pPr>
        <w:spacing w:after="0" w:line="117" w:lineRule="exact"/>
        <w:rPr>
          <w:rFonts w:ascii="Arial" w:cs="Arial" w:eastAsia="Arial" w:hAnsi="Arial"/>
          <w:sz w:val="18"/>
          <w:szCs w:val="18"/>
          <w:color w:val="auto"/>
        </w:rPr>
      </w:pPr>
    </w:p>
    <w:p>
      <w:pPr>
        <w:ind w:left="440" w:right="540" w:firstLine="419"/>
        <w:spacing w:after="0" w:line="277" w:lineRule="auto"/>
        <w:tabs>
          <w:tab w:leader="none" w:pos="121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103"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820" w:type="dxa"/>
            <w:vAlign w:val="bottom"/>
          </w:tcPr>
          <w:p>
            <w:pPr>
              <w:jc w:val="right"/>
              <w:ind w:right="1450"/>
              <w:spacing w:after="0"/>
              <w:rPr>
                <w:sz w:val="20"/>
                <w:szCs w:val="20"/>
                <w:color w:val="auto"/>
              </w:rPr>
            </w:pPr>
            <w:r>
              <w:rPr>
                <w:rFonts w:ascii="Arial" w:cs="Arial" w:eastAsia="Arial" w:hAnsi="Arial"/>
                <w:sz w:val="18"/>
                <w:szCs w:val="18"/>
                <w:color w:val="auto"/>
                <w:w w:val="86"/>
              </w:rPr>
              <w:t>134</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2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1020"/>
          </w:cols>
          <w:pgMar w:left="440" w:top="274" w:right="439" w:bottom="1440" w:gutter="0" w:footer="0" w:header="0"/>
        </w:sectPr>
      </w:pPr>
    </w:p>
    <w:bookmarkStart w:id="164" w:name="page165"/>
    <w:bookmarkEnd w:id="164"/>
    <w:p>
      <w:pPr>
        <w:ind w:left="401" w:hanging="401"/>
        <w:spacing w:after="0"/>
        <w:tabs>
          <w:tab w:leader="none" w:pos="401" w:val="left"/>
        </w:tabs>
        <w:numPr>
          <w:ilvl w:val="0"/>
          <w:numId w:val="2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117" w:lineRule="exact"/>
        <w:rPr>
          <w:rFonts w:ascii="Arial" w:cs="Arial" w:eastAsia="Arial" w:hAnsi="Arial"/>
          <w:sz w:val="18"/>
          <w:szCs w:val="18"/>
          <w:color w:val="auto"/>
        </w:rPr>
      </w:pPr>
    </w:p>
    <w:p>
      <w:pPr>
        <w:ind w:left="961" w:hanging="432"/>
        <w:spacing w:after="0"/>
        <w:tabs>
          <w:tab w:leader="none" w:pos="961"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941" w:hanging="412"/>
        <w:spacing w:after="0"/>
        <w:tabs>
          <w:tab w:leader="none" w:pos="941"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941" w:hanging="412"/>
        <w:spacing w:after="0"/>
        <w:tabs>
          <w:tab w:leader="none" w:pos="941"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17" w:lineRule="exact"/>
        <w:rPr>
          <w:rFonts w:ascii="Arial" w:cs="Arial" w:eastAsia="Arial" w:hAnsi="Arial"/>
          <w:sz w:val="18"/>
          <w:szCs w:val="18"/>
          <w:color w:val="auto"/>
        </w:rPr>
      </w:pPr>
    </w:p>
    <w:p>
      <w:pPr>
        <w:ind w:left="-419" w:right="320" w:firstLine="419"/>
        <w:spacing w:after="0" w:line="277" w:lineRule="auto"/>
        <w:tabs>
          <w:tab w:leader="none" w:pos="45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62" w:lineRule="exact"/>
        <w:rPr>
          <w:rFonts w:ascii="Arial" w:cs="Arial" w:eastAsia="Arial" w:hAnsi="Arial"/>
          <w:sz w:val="18"/>
          <w:szCs w:val="18"/>
          <w:color w:val="auto"/>
        </w:rPr>
      </w:pPr>
    </w:p>
    <w:p>
      <w:pPr>
        <w:ind w:left="-419" w:right="200" w:firstLine="419"/>
        <w:spacing w:after="0" w:line="277" w:lineRule="auto"/>
        <w:tabs>
          <w:tab w:leader="none" w:pos="44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 5390(c)(8)(D).</w:t>
      </w:r>
    </w:p>
    <w:p>
      <w:pPr>
        <w:spacing w:after="0" w:line="103" w:lineRule="exact"/>
        <w:rPr>
          <w:sz w:val="20"/>
          <w:szCs w:val="20"/>
          <w:color w:val="auto"/>
        </w:rPr>
      </w:pPr>
    </w:p>
    <w:tbl>
      <w:tblPr>
        <w:tblLayout w:type="fixed"/>
        <w:tblInd w:w="4561" w:type="dxa"/>
        <w:tblCellMar>
          <w:top w:w="0" w:type="dxa"/>
          <w:left w:w="0" w:type="dxa"/>
          <w:bottom w:w="0" w:type="dxa"/>
          <w:right w:w="0" w:type="dxa"/>
        </w:tblCellMar>
      </w:tblPr>
      <w:tr>
        <w:trPr>
          <w:trHeight w:val="216"/>
        </w:trPr>
        <w:tc>
          <w:tcPr>
            <w:tcW w:w="1820" w:type="dxa"/>
            <w:vAlign w:val="bottom"/>
          </w:tcPr>
          <w:p>
            <w:pPr>
              <w:jc w:val="right"/>
              <w:ind w:right="1450"/>
              <w:spacing w:after="0"/>
              <w:rPr>
                <w:sz w:val="20"/>
                <w:szCs w:val="20"/>
                <w:color w:val="auto"/>
              </w:rPr>
            </w:pPr>
            <w:r>
              <w:rPr>
                <w:rFonts w:ascii="Arial" w:cs="Arial" w:eastAsia="Arial" w:hAnsi="Arial"/>
                <w:sz w:val="18"/>
                <w:szCs w:val="18"/>
                <w:color w:val="auto"/>
                <w:w w:val="86"/>
              </w:rPr>
              <w:t>135</w:t>
            </w: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Second Amended and Restated</w:t>
            </w:r>
          </w:p>
        </w:tc>
      </w:tr>
      <w:tr>
        <w:trPr>
          <w:trHeight w:val="230"/>
        </w:trPr>
        <w:tc>
          <w:tcPr>
            <w:tcW w:w="1820" w:type="dxa"/>
            <w:vAlign w:val="bottom"/>
          </w:tcPr>
          <w:p>
            <w:pPr>
              <w:spacing w:after="0"/>
              <w:rPr>
                <w:sz w:val="20"/>
                <w:szCs w:val="20"/>
                <w:color w:val="auto"/>
              </w:rPr>
            </w:pPr>
          </w:p>
        </w:tc>
        <w:tc>
          <w:tcPr>
            <w:tcW w:w="3780" w:type="dxa"/>
            <w:vAlign w:val="bottom"/>
          </w:tcPr>
          <w:p>
            <w:pPr>
              <w:jc w:val="right"/>
              <w:spacing w:after="0"/>
              <w:rPr>
                <w:sz w:val="20"/>
                <w:szCs w:val="20"/>
                <w:color w:val="auto"/>
              </w:rPr>
            </w:pPr>
            <w:r>
              <w:rPr>
                <w:rFonts w:ascii="Arial" w:cs="Arial" w:eastAsia="Arial" w:hAnsi="Arial"/>
                <w:sz w:val="18"/>
                <w:szCs w:val="18"/>
                <w:i w:val="1"/>
                <w:iCs w:val="1"/>
                <w:color w:val="auto"/>
              </w:rPr>
              <w:t>Revolving Credit Agreement</w:t>
            </w:r>
          </w:p>
        </w:tc>
      </w:tr>
    </w:tbl>
    <w:p>
      <w:pPr>
        <w:sectPr>
          <w:pgSz w:w="11900" w:h="16838" w:orient="portrait"/>
          <w:cols w:equalWidth="0" w:num="1">
            <w:col w:w="10161"/>
          </w:cols>
          <w:pgMar w:left="1299" w:top="274" w:right="439" w:bottom="1440" w:gutter="0" w:footer="0" w:header="0"/>
        </w:sectPr>
      </w:pPr>
    </w:p>
    <w:bookmarkStart w:id="165" w:name="page166"/>
    <w:bookmarkEnd w:id="165"/>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Aviv Efrat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66" w:name="page167"/>
    <w:bookmarkEnd w:id="16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SUNTRUST BANK, as Administrative Agent, Swingline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 Issuing Bank and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ectPr>
          <w:pgSz w:w="11900" w:h="16838" w:orient="portrait"/>
          <w:cols w:equalWidth="0" w:num="1">
            <w:col w:w="10020"/>
          </w:cols>
          <w:pgMar w:left="1440" w:top="274" w:right="439" w:bottom="1440" w:gutter="0" w:footer="0" w:header="0"/>
        </w:sectPr>
      </w:pPr>
    </w:p>
    <w:bookmarkStart w:id="167" w:name="page168"/>
    <w:bookmarkEnd w:id="16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JPMORGAN CHASE BANK, N.A., as a Lender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ectPr>
          <w:pgSz w:w="11900" w:h="16838" w:orient="portrait"/>
          <w:cols w:equalWidth="0" w:num="1">
            <w:col w:w="10020"/>
          </w:cols>
          <w:pgMar w:left="1440" w:top="274" w:right="439" w:bottom="1440" w:gutter="0" w:footer="0" w:header="0"/>
        </w:sectPr>
      </w:pPr>
    </w:p>
    <w:bookmarkStart w:id="168" w:name="page169"/>
    <w:bookmarkEnd w:id="168"/>
    <w:p>
      <w:pPr>
        <w:jc w:val="center"/>
        <w:ind w:right="-100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1.01(a)</w:t>
      </w:r>
    </w:p>
    <w:p>
      <w:pPr>
        <w:spacing w:after="0" w:line="225" w:lineRule="exact"/>
        <w:rPr>
          <w:sz w:val="20"/>
          <w:szCs w:val="20"/>
          <w:color w:val="auto"/>
        </w:rPr>
      </w:pPr>
    </w:p>
    <w:p>
      <w:pPr>
        <w:jc w:val="right"/>
        <w:ind w:right="2599"/>
        <w:spacing w:after="0"/>
        <w:rPr>
          <w:sz w:val="20"/>
          <w:szCs w:val="20"/>
          <w:color w:val="auto"/>
        </w:rPr>
      </w:pPr>
      <w:r>
        <w:rPr>
          <w:rFonts w:ascii="Arial" w:cs="Arial" w:eastAsia="Arial" w:hAnsi="Arial"/>
          <w:sz w:val="18"/>
          <w:szCs w:val="18"/>
          <w:b w:val="1"/>
          <w:bCs w:val="1"/>
          <w:u w:val="single" w:color="auto"/>
          <w:color w:val="auto"/>
        </w:rPr>
        <w:t>Approved Dealers and Approved Pricing Services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Approved Dealers:</w:t>
      </w:r>
    </w:p>
    <w:p>
      <w:pPr>
        <w:spacing w:after="0" w:line="131" w:lineRule="exact"/>
        <w:rPr>
          <w:sz w:val="20"/>
          <w:szCs w:val="20"/>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ABN</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Banc of America</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Bank of Montreal</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Barclays</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BB&amp;T</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Bedrock Securities, LLC</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Cantor Fitzgerald &amp; Co.</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Capital Source</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Caylon/CL</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Chapdelaine &amp; Co.</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Churchill Financial</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CIBC</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Citigroup</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CommerzBank</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Credit Suisse/CSFB</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Deutsche Bank</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Dresdner</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Fortis</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Friedman Billings Ramsey</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GE</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Gleacher &amp; Company</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Global Hunter Securities</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Goldman Sachs</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HSBC</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Imperial Capital</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ING</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Jefferies &amp; Company</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JP Morgan</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Keefe, Bruyette &amp; Woods</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Knight Libertas LLC</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Lloyds</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Madison Capital</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Merrill Lynch</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Miller Tabak</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Morgan Stanley</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New Star</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Oppenheimer</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Robert W. Baird &amp; Co.</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Royal Bank of Canada</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Royal Bank of Scotland</w:t>
      </w:r>
    </w:p>
    <w:p>
      <w:pPr>
        <w:sectPr>
          <w:pgSz w:w="11900" w:h="16838" w:orient="portrait"/>
          <w:cols w:equalWidth="0" w:num="1">
            <w:col w:w="10023"/>
          </w:cols>
          <w:pgMar w:left="436" w:top="270" w:right="1440" w:bottom="1440" w:gutter="0" w:footer="0" w:header="0"/>
        </w:sectPr>
      </w:pPr>
    </w:p>
    <w:bookmarkStart w:id="169" w:name="page170"/>
    <w:bookmarkEnd w:id="169"/>
    <w:p>
      <w:pPr>
        <w:ind w:left="424" w:hanging="424"/>
        <w:spacing w:after="0"/>
        <w:tabs>
          <w:tab w:leader="none" w:pos="424" w:val="left"/>
        </w:tabs>
        <w:numPr>
          <w:ilvl w:val="0"/>
          <w:numId w:val="2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RW Pressprich</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Scotia</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SunTrust Robinson Humphrey</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Bank of New York</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Toronto Dominion</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UBS</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Unicredit/ HVB</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VinsonForbes Capital LLC</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Wachovia</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Wells Fargo</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WestLB</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color w:val="auto"/>
        </w:rPr>
        <w:t>Approved Pricing Services:</w:t>
      </w:r>
    </w:p>
    <w:p>
      <w:pPr>
        <w:spacing w:after="0" w:line="131" w:lineRule="exact"/>
        <w:rPr>
          <w:sz w:val="20"/>
          <w:szCs w:val="20"/>
          <w:color w:val="auto"/>
        </w:rPr>
      </w:pPr>
    </w:p>
    <w:p>
      <w:pPr>
        <w:ind w:left="424" w:hanging="424"/>
        <w:spacing w:after="0"/>
        <w:tabs>
          <w:tab w:leader="none" w:pos="42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Bloomberg</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FT Interactive Data Corporation</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Lincoln Partners Advisors LLC</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Loan Pricing Corporation</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Markit Partners</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3"/>
        </w:numPr>
        <w:rPr>
          <w:rFonts w:ascii="Arial" w:cs="Arial" w:eastAsia="Arial" w:hAnsi="Arial"/>
          <w:sz w:val="17"/>
          <w:szCs w:val="17"/>
          <w:color w:val="auto"/>
        </w:rPr>
      </w:pPr>
      <w:r>
        <w:rPr>
          <w:rFonts w:ascii="Arial" w:cs="Arial" w:eastAsia="Arial" w:hAnsi="Arial"/>
          <w:sz w:val="17"/>
          <w:szCs w:val="17"/>
          <w:color w:val="auto"/>
        </w:rPr>
        <w:t>Valuation Research Corporation</w:t>
      </w:r>
    </w:p>
    <w:p>
      <w:pPr>
        <w:spacing w:after="0" w:line="20" w:lineRule="exact"/>
        <w:rPr>
          <w:rFonts w:ascii="Arial" w:cs="Arial" w:eastAsia="Arial" w:hAnsi="Arial"/>
          <w:sz w:val="17"/>
          <w:szCs w:val="17"/>
          <w:color w:val="auto"/>
        </w:rPr>
      </w:pPr>
    </w:p>
    <w:p>
      <w:pPr>
        <w:ind w:left="424" w:hanging="424"/>
        <w:spacing w:after="0"/>
        <w:tabs>
          <w:tab w:leader="none" w:pos="424" w:val="left"/>
        </w:tabs>
        <w:numPr>
          <w:ilvl w:val="0"/>
          <w:numId w:val="213"/>
        </w:numPr>
        <w:rPr>
          <w:rFonts w:ascii="Arial" w:cs="Arial" w:eastAsia="Arial" w:hAnsi="Arial"/>
          <w:sz w:val="16"/>
          <w:szCs w:val="16"/>
          <w:color w:val="auto"/>
        </w:rPr>
      </w:pPr>
      <w:r>
        <w:rPr>
          <w:rFonts w:ascii="Arial" w:cs="Arial" w:eastAsia="Arial" w:hAnsi="Arial"/>
          <w:sz w:val="16"/>
          <w:szCs w:val="16"/>
          <w:color w:val="auto"/>
        </w:rPr>
        <w:t>Murray Devine Valuation Advisers</w:t>
      </w:r>
    </w:p>
    <w:p>
      <w:pPr>
        <w:sectPr>
          <w:pgSz w:w="11900" w:h="16838" w:orient="portrait"/>
          <w:cols w:equalWidth="0" w:num="1">
            <w:col w:w="10023"/>
          </w:cols>
          <w:pgMar w:left="436" w:top="274" w:right="1440" w:bottom="1440" w:gutter="0" w:footer="0" w:header="0"/>
        </w:sectPr>
      </w:pPr>
    </w:p>
    <w:bookmarkStart w:id="170" w:name="page171"/>
    <w:bookmarkEnd w:id="170"/>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1.01(b)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Commitments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Applicable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Applicable</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Aggregate</w:t>
            </w: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Extending/</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rPr>
              <w:t>Dollar</w:t>
            </w: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7"/>
              </w:rPr>
              <w:t>Multicurrency</w:t>
            </w: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Aggregate</w:t>
            </w:r>
          </w:p>
        </w:tc>
        <w:tc>
          <w:tcPr>
            <w:tcW w:w="1160" w:type="dxa"/>
            <w:vAlign w:val="bottom"/>
            <w:gridSpan w:val="2"/>
            <w:vMerge w:val="continue"/>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2"/>
              </w:rPr>
              <w:t>Non-Extending</w:t>
            </w:r>
          </w:p>
        </w:tc>
        <w:tc>
          <w:tcPr>
            <w:tcW w:w="0" w:type="dxa"/>
            <w:vAlign w:val="bottom"/>
          </w:tcPr>
          <w:p>
            <w:pPr>
              <w:spacing w:after="0"/>
              <w:rPr>
                <w:sz w:val="1"/>
                <w:szCs w:val="1"/>
                <w:color w:val="auto"/>
              </w:rPr>
            </w:pPr>
          </w:p>
        </w:tc>
      </w:tr>
      <w:tr>
        <w:trPr>
          <w:trHeight w:val="148"/>
        </w:trPr>
        <w:tc>
          <w:tcPr>
            <w:tcW w:w="2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Lender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Dollar</w:t>
            </w:r>
          </w:p>
        </w:tc>
        <w:tc>
          <w:tcPr>
            <w:tcW w:w="1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Multicurrency</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Commitment</w:t>
            </w: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Lender</w:t>
            </w:r>
          </w:p>
        </w:tc>
        <w:tc>
          <w:tcPr>
            <w:tcW w:w="0" w:type="dxa"/>
            <w:vAlign w:val="bottom"/>
          </w:tcPr>
          <w:p>
            <w:pPr>
              <w:spacing w:after="0"/>
              <w:rPr>
                <w:sz w:val="1"/>
                <w:szCs w:val="1"/>
                <w:color w:val="auto"/>
              </w:rPr>
            </w:pPr>
          </w:p>
        </w:tc>
      </w:tr>
      <w:tr>
        <w:trPr>
          <w:trHeight w:val="165"/>
        </w:trPr>
        <w:tc>
          <w:tcPr>
            <w:tcW w:w="29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3"/>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Commitment</w:t>
            </w:r>
          </w:p>
        </w:tc>
        <w:tc>
          <w:tcPr>
            <w:tcW w:w="9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Percentage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Commitment</w:t>
            </w:r>
          </w:p>
        </w:tc>
        <w:tc>
          <w:tcPr>
            <w:tcW w:w="11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Percentage</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Commitment</w:t>
            </w:r>
          </w:p>
        </w:tc>
        <w:tc>
          <w:tcPr>
            <w:tcW w:w="11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0"/>
              </w:rPr>
              <w:t>Percentage</w:t>
            </w:r>
          </w:p>
        </w:tc>
        <w:tc>
          <w:tcPr>
            <w:tcW w:w="100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89"/>
              </w:rPr>
              <w:t>Designation</w:t>
            </w:r>
          </w:p>
        </w:tc>
        <w:tc>
          <w:tcPr>
            <w:tcW w:w="0" w:type="dxa"/>
            <w:vAlign w:val="bottom"/>
          </w:tcPr>
          <w:p>
            <w:pPr>
              <w:spacing w:after="0"/>
              <w:rPr>
                <w:sz w:val="1"/>
                <w:szCs w:val="1"/>
                <w:color w:val="auto"/>
              </w:rPr>
            </w:pPr>
          </w:p>
        </w:tc>
      </w:tr>
      <w:tr>
        <w:trPr>
          <w:trHeight w:val="130"/>
        </w:trPr>
        <w:tc>
          <w:tcPr>
            <w:tcW w:w="460" w:type="dxa"/>
            <w:vAlign w:val="bottom"/>
            <w:tcBorders>
              <w:top w:val="single" w:sz="8" w:color="auto"/>
            </w:tcBorders>
            <w:shd w:val="clear" w:color="auto" w:fill="CCEEFF"/>
          </w:tcPr>
          <w:p>
            <w:pPr>
              <w:spacing w:after="0"/>
              <w:rPr>
                <w:sz w:val="11"/>
                <w:szCs w:val="11"/>
                <w:color w:val="auto"/>
              </w:rPr>
            </w:pPr>
          </w:p>
        </w:tc>
        <w:tc>
          <w:tcPr>
            <w:tcW w:w="25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Extending</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SunTrust Bank</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8"/>
              </w:rPr>
              <w:t>100,000,000.0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32.26%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2"/>
              </w:rPr>
              <w:t>100,000,000.00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21.05%</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Lender</w:t>
            </w:r>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Extending</w:t>
            </w:r>
          </w:p>
        </w:tc>
        <w:tc>
          <w:tcPr>
            <w:tcW w:w="0" w:type="dxa"/>
            <w:vAlign w:val="bottom"/>
          </w:tcPr>
          <w:p>
            <w:pPr>
              <w:spacing w:after="0"/>
              <w:rPr>
                <w:sz w:val="1"/>
                <w:szCs w:val="1"/>
                <w:color w:val="auto"/>
              </w:rPr>
            </w:pPr>
          </w:p>
        </w:tc>
      </w:tr>
      <w:tr>
        <w:trPr>
          <w:trHeight w:val="167"/>
        </w:trPr>
        <w:tc>
          <w:tcPr>
            <w:tcW w:w="2960" w:type="dxa"/>
            <w:vAlign w:val="bottom"/>
            <w:gridSpan w:val="2"/>
          </w:tcPr>
          <w:p>
            <w:pPr>
              <w:spacing w:after="0"/>
              <w:rPr>
                <w:sz w:val="20"/>
                <w:szCs w:val="20"/>
                <w:color w:val="auto"/>
              </w:rPr>
            </w:pPr>
            <w:r>
              <w:rPr>
                <w:rFonts w:ascii="Arial" w:cs="Arial" w:eastAsia="Arial" w:hAnsi="Arial"/>
                <w:sz w:val="14"/>
                <w:szCs w:val="14"/>
                <w:color w:val="auto"/>
              </w:rPr>
              <w:t>JPMorgan Chase Bank, N.A.</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75,000,000.00</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24.19%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75,000,000.00</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15.79%</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Lender</w:t>
            </w:r>
          </w:p>
        </w:tc>
        <w:tc>
          <w:tcPr>
            <w:tcW w:w="0" w:type="dxa"/>
            <w:vAlign w:val="bottom"/>
          </w:tcPr>
          <w:p>
            <w:pPr>
              <w:spacing w:after="0"/>
              <w:rPr>
                <w:sz w:val="1"/>
                <w:szCs w:val="1"/>
                <w:color w:val="auto"/>
              </w:rPr>
            </w:pPr>
          </w:p>
        </w:tc>
      </w:tr>
      <w:tr>
        <w:trPr>
          <w:trHeight w:val="130"/>
        </w:trPr>
        <w:tc>
          <w:tcPr>
            <w:tcW w:w="46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Non-Extending</w:t>
            </w:r>
          </w:p>
        </w:tc>
        <w:tc>
          <w:tcPr>
            <w:tcW w:w="0" w:type="dxa"/>
            <w:vAlign w:val="bottom"/>
          </w:tcPr>
          <w:p>
            <w:pPr>
              <w:spacing w:after="0"/>
              <w:rPr>
                <w:sz w:val="1"/>
                <w:szCs w:val="1"/>
                <w:color w:val="auto"/>
              </w:rPr>
            </w:pPr>
          </w:p>
        </w:tc>
      </w:tr>
      <w:tr>
        <w:trPr>
          <w:trHeight w:val="167"/>
        </w:trPr>
        <w:tc>
          <w:tcPr>
            <w:tcW w:w="2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Morgan Stanley Bank, N.A.</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8"/>
              </w:rPr>
              <w:t>55,000,000.00</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33.33%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55,000,000.00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Lender</w:t>
            </w:r>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Extending</w:t>
            </w:r>
          </w:p>
        </w:tc>
        <w:tc>
          <w:tcPr>
            <w:tcW w:w="0" w:type="dxa"/>
            <w:vAlign w:val="bottom"/>
          </w:tcPr>
          <w:p>
            <w:pPr>
              <w:spacing w:after="0"/>
              <w:rPr>
                <w:sz w:val="1"/>
                <w:szCs w:val="1"/>
                <w:color w:val="auto"/>
              </w:rPr>
            </w:pPr>
          </w:p>
        </w:tc>
      </w:tr>
      <w:tr>
        <w:trPr>
          <w:trHeight w:val="167"/>
        </w:trPr>
        <w:tc>
          <w:tcPr>
            <w:tcW w:w="2960" w:type="dxa"/>
            <w:vAlign w:val="bottom"/>
            <w:gridSpan w:val="2"/>
          </w:tcPr>
          <w:p>
            <w:pPr>
              <w:spacing w:after="0"/>
              <w:rPr>
                <w:sz w:val="20"/>
                <w:szCs w:val="20"/>
                <w:color w:val="auto"/>
              </w:rPr>
            </w:pPr>
            <w:r>
              <w:rPr>
                <w:rFonts w:ascii="Arial" w:cs="Arial" w:eastAsia="Arial" w:hAnsi="Arial"/>
                <w:sz w:val="14"/>
                <w:szCs w:val="14"/>
                <w:color w:val="auto"/>
              </w:rPr>
              <w:t>ING Capital LLC</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50,000,000.00</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16.13%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50,000,000.00</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10.53%</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Lender</w:t>
            </w:r>
          </w:p>
        </w:tc>
        <w:tc>
          <w:tcPr>
            <w:tcW w:w="0" w:type="dxa"/>
            <w:vAlign w:val="bottom"/>
          </w:tcPr>
          <w:p>
            <w:pPr>
              <w:spacing w:after="0"/>
              <w:rPr>
                <w:sz w:val="1"/>
                <w:szCs w:val="1"/>
                <w:color w:val="auto"/>
              </w:rPr>
            </w:pPr>
          </w:p>
        </w:tc>
      </w:tr>
      <w:tr>
        <w:trPr>
          <w:trHeight w:val="130"/>
        </w:trPr>
        <w:tc>
          <w:tcPr>
            <w:tcW w:w="46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Extending</w:t>
            </w:r>
          </w:p>
        </w:tc>
        <w:tc>
          <w:tcPr>
            <w:tcW w:w="0" w:type="dxa"/>
            <w:vAlign w:val="bottom"/>
          </w:tcPr>
          <w:p>
            <w:pPr>
              <w:spacing w:after="0"/>
              <w:rPr>
                <w:sz w:val="1"/>
                <w:szCs w:val="1"/>
                <w:color w:val="auto"/>
              </w:rPr>
            </w:pPr>
          </w:p>
        </w:tc>
      </w:tr>
      <w:tr>
        <w:trPr>
          <w:trHeight w:val="167"/>
        </w:trPr>
        <w:tc>
          <w:tcPr>
            <w:tcW w:w="2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CIBC</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8"/>
              </w:rPr>
              <w:t>25,000,000.00</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15.15%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25,000,000.00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Lender</w:t>
            </w:r>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Extending</w:t>
            </w:r>
          </w:p>
        </w:tc>
        <w:tc>
          <w:tcPr>
            <w:tcW w:w="0" w:type="dxa"/>
            <w:vAlign w:val="bottom"/>
          </w:tcPr>
          <w:p>
            <w:pPr>
              <w:spacing w:after="0"/>
              <w:rPr>
                <w:sz w:val="1"/>
                <w:szCs w:val="1"/>
                <w:color w:val="auto"/>
              </w:rPr>
            </w:pPr>
          </w:p>
        </w:tc>
      </w:tr>
      <w:tr>
        <w:trPr>
          <w:trHeight w:val="167"/>
        </w:trPr>
        <w:tc>
          <w:tcPr>
            <w:tcW w:w="2960" w:type="dxa"/>
            <w:vAlign w:val="bottom"/>
            <w:gridSpan w:val="2"/>
          </w:tcPr>
          <w:p>
            <w:pPr>
              <w:spacing w:after="0"/>
              <w:rPr>
                <w:sz w:val="20"/>
                <w:szCs w:val="20"/>
                <w:color w:val="auto"/>
              </w:rPr>
            </w:pPr>
            <w:r>
              <w:rPr>
                <w:rFonts w:ascii="Arial" w:cs="Arial" w:eastAsia="Arial" w:hAnsi="Arial"/>
                <w:sz w:val="14"/>
                <w:szCs w:val="14"/>
                <w:color w:val="auto"/>
              </w:rPr>
              <w:t>Customers Bank</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w w:val="98"/>
              </w:rPr>
              <w:t>25,000,000.00</w:t>
            </w:r>
          </w:p>
        </w:tc>
        <w:tc>
          <w:tcPr>
            <w:tcW w:w="2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15.15%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25,000,000.00</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5.26%</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Lender</w:t>
            </w:r>
          </w:p>
        </w:tc>
        <w:tc>
          <w:tcPr>
            <w:tcW w:w="0" w:type="dxa"/>
            <w:vAlign w:val="bottom"/>
          </w:tcPr>
          <w:p>
            <w:pPr>
              <w:spacing w:after="0"/>
              <w:rPr>
                <w:sz w:val="1"/>
                <w:szCs w:val="1"/>
                <w:color w:val="auto"/>
              </w:rPr>
            </w:pPr>
          </w:p>
        </w:tc>
      </w:tr>
      <w:tr>
        <w:trPr>
          <w:trHeight w:val="130"/>
        </w:trPr>
        <w:tc>
          <w:tcPr>
            <w:tcW w:w="46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Extending</w:t>
            </w:r>
          </w:p>
        </w:tc>
        <w:tc>
          <w:tcPr>
            <w:tcW w:w="0" w:type="dxa"/>
            <w:vAlign w:val="bottom"/>
          </w:tcPr>
          <w:p>
            <w:pPr>
              <w:spacing w:after="0"/>
              <w:rPr>
                <w:sz w:val="1"/>
                <w:szCs w:val="1"/>
                <w:color w:val="auto"/>
              </w:rPr>
            </w:pPr>
          </w:p>
        </w:tc>
      </w:tr>
      <w:tr>
        <w:trPr>
          <w:trHeight w:val="167"/>
        </w:trPr>
        <w:tc>
          <w:tcPr>
            <w:tcW w:w="2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Goldman Sachs Bank USA</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8"/>
              </w:rPr>
              <w:t>25,000,000.00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25,000,000.00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Lender</w:t>
            </w:r>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Extending</w:t>
            </w:r>
          </w:p>
        </w:tc>
        <w:tc>
          <w:tcPr>
            <w:tcW w:w="0" w:type="dxa"/>
            <w:vAlign w:val="bottom"/>
          </w:tcPr>
          <w:p>
            <w:pPr>
              <w:spacing w:after="0"/>
              <w:rPr>
                <w:sz w:val="1"/>
                <w:szCs w:val="1"/>
                <w:color w:val="auto"/>
              </w:rPr>
            </w:pPr>
          </w:p>
        </w:tc>
      </w:tr>
      <w:tr>
        <w:trPr>
          <w:trHeight w:val="167"/>
        </w:trPr>
        <w:tc>
          <w:tcPr>
            <w:tcW w:w="2960" w:type="dxa"/>
            <w:vAlign w:val="bottom"/>
            <w:gridSpan w:val="2"/>
          </w:tcPr>
          <w:p>
            <w:pPr>
              <w:spacing w:after="0"/>
              <w:rPr>
                <w:sz w:val="20"/>
                <w:szCs w:val="20"/>
                <w:color w:val="auto"/>
              </w:rPr>
            </w:pPr>
            <w:r>
              <w:rPr>
                <w:rFonts w:ascii="Arial" w:cs="Arial" w:eastAsia="Arial" w:hAnsi="Arial"/>
                <w:sz w:val="14"/>
                <w:szCs w:val="14"/>
                <w:color w:val="auto"/>
              </w:rPr>
              <w:t>CIT Bank, N.A.</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w w:val="98"/>
              </w:rPr>
              <w:t>25,000,000.00</w:t>
            </w:r>
          </w:p>
        </w:tc>
        <w:tc>
          <w:tcPr>
            <w:tcW w:w="2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15.15%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25,000,000.00</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5.26%</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Lender</w:t>
            </w:r>
          </w:p>
        </w:tc>
        <w:tc>
          <w:tcPr>
            <w:tcW w:w="0" w:type="dxa"/>
            <w:vAlign w:val="bottom"/>
          </w:tcPr>
          <w:p>
            <w:pPr>
              <w:spacing w:after="0"/>
              <w:rPr>
                <w:sz w:val="1"/>
                <w:szCs w:val="1"/>
                <w:color w:val="auto"/>
              </w:rPr>
            </w:pPr>
          </w:p>
        </w:tc>
      </w:tr>
      <w:tr>
        <w:trPr>
          <w:trHeight w:val="130"/>
        </w:trPr>
        <w:tc>
          <w:tcPr>
            <w:tcW w:w="46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Extending</w:t>
            </w:r>
          </w:p>
        </w:tc>
        <w:tc>
          <w:tcPr>
            <w:tcW w:w="0" w:type="dxa"/>
            <w:vAlign w:val="bottom"/>
          </w:tcPr>
          <w:p>
            <w:pPr>
              <w:spacing w:after="0"/>
              <w:rPr>
                <w:sz w:val="1"/>
                <w:szCs w:val="1"/>
                <w:color w:val="auto"/>
              </w:rPr>
            </w:pPr>
          </w:p>
        </w:tc>
      </w:tr>
      <w:tr>
        <w:trPr>
          <w:trHeight w:val="167"/>
        </w:trPr>
        <w:tc>
          <w:tcPr>
            <w:tcW w:w="2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State Street Bank</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8"/>
              </w:rPr>
              <w:t>25,000,000.00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25,000,000.00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Lender</w:t>
            </w:r>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Extending</w:t>
            </w:r>
          </w:p>
        </w:tc>
        <w:tc>
          <w:tcPr>
            <w:tcW w:w="0" w:type="dxa"/>
            <w:vAlign w:val="bottom"/>
          </w:tcPr>
          <w:p>
            <w:pPr>
              <w:spacing w:after="0"/>
              <w:rPr>
                <w:sz w:val="1"/>
                <w:szCs w:val="1"/>
                <w:color w:val="auto"/>
              </w:rPr>
            </w:pPr>
          </w:p>
        </w:tc>
      </w:tr>
      <w:tr>
        <w:trPr>
          <w:trHeight w:val="167"/>
        </w:trPr>
        <w:tc>
          <w:tcPr>
            <w:tcW w:w="2960" w:type="dxa"/>
            <w:vAlign w:val="bottom"/>
            <w:gridSpan w:val="2"/>
          </w:tcPr>
          <w:p>
            <w:pPr>
              <w:spacing w:after="0"/>
              <w:rPr>
                <w:sz w:val="20"/>
                <w:szCs w:val="20"/>
                <w:color w:val="auto"/>
              </w:rPr>
            </w:pPr>
            <w:r>
              <w:rPr>
                <w:rFonts w:ascii="Arial" w:cs="Arial" w:eastAsia="Arial" w:hAnsi="Arial"/>
                <w:sz w:val="14"/>
                <w:szCs w:val="14"/>
                <w:color w:val="auto"/>
              </w:rPr>
              <w:t>City National Bank</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20,000,000.00</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6.45%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20,000,000.00</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4.21%</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Lender</w:t>
            </w:r>
          </w:p>
        </w:tc>
        <w:tc>
          <w:tcPr>
            <w:tcW w:w="0" w:type="dxa"/>
            <w:vAlign w:val="bottom"/>
          </w:tcPr>
          <w:p>
            <w:pPr>
              <w:spacing w:after="0"/>
              <w:rPr>
                <w:sz w:val="1"/>
                <w:szCs w:val="1"/>
                <w:color w:val="auto"/>
              </w:rPr>
            </w:pPr>
          </w:p>
        </w:tc>
      </w:tr>
      <w:tr>
        <w:trPr>
          <w:trHeight w:val="130"/>
        </w:trPr>
        <w:tc>
          <w:tcPr>
            <w:tcW w:w="46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Extending</w:t>
            </w:r>
          </w:p>
        </w:tc>
        <w:tc>
          <w:tcPr>
            <w:tcW w:w="0" w:type="dxa"/>
            <w:vAlign w:val="bottom"/>
          </w:tcPr>
          <w:p>
            <w:pPr>
              <w:spacing w:after="0"/>
              <w:rPr>
                <w:sz w:val="1"/>
                <w:szCs w:val="1"/>
                <w:color w:val="auto"/>
              </w:rPr>
            </w:pPr>
          </w:p>
        </w:tc>
      </w:tr>
      <w:tr>
        <w:trPr>
          <w:trHeight w:val="167"/>
        </w:trPr>
        <w:tc>
          <w:tcPr>
            <w:tcW w:w="2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Stifel Bank &amp; Trust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8"/>
              </w:rPr>
              <w:t>20,000,000.00</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20,000,000.00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4.21%</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Lender</w:t>
            </w:r>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Extending</w:t>
            </w:r>
          </w:p>
        </w:tc>
        <w:tc>
          <w:tcPr>
            <w:tcW w:w="0" w:type="dxa"/>
            <w:vAlign w:val="bottom"/>
          </w:tcPr>
          <w:p>
            <w:pPr>
              <w:spacing w:after="0"/>
              <w:rPr>
                <w:sz w:val="1"/>
                <w:szCs w:val="1"/>
                <w:color w:val="auto"/>
              </w:rPr>
            </w:pPr>
          </w:p>
        </w:tc>
      </w:tr>
      <w:tr>
        <w:trPr>
          <w:trHeight w:val="167"/>
        </w:trPr>
        <w:tc>
          <w:tcPr>
            <w:tcW w:w="2960" w:type="dxa"/>
            <w:vAlign w:val="bottom"/>
            <w:gridSpan w:val="2"/>
          </w:tcPr>
          <w:p>
            <w:pPr>
              <w:spacing w:after="0"/>
              <w:rPr>
                <w:sz w:val="20"/>
                <w:szCs w:val="20"/>
                <w:color w:val="auto"/>
              </w:rPr>
            </w:pPr>
            <w:r>
              <w:rPr>
                <w:rFonts w:ascii="Arial" w:cs="Arial" w:eastAsia="Arial" w:hAnsi="Arial"/>
                <w:sz w:val="14"/>
                <w:szCs w:val="14"/>
                <w:color w:val="auto"/>
              </w:rPr>
              <w:t>The Bank of New York Mellon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15,000,000.00</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4.84%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15,000,000.00</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3.16%</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Lender</w:t>
            </w:r>
          </w:p>
        </w:tc>
        <w:tc>
          <w:tcPr>
            <w:tcW w:w="0" w:type="dxa"/>
            <w:vAlign w:val="bottom"/>
          </w:tcPr>
          <w:p>
            <w:pPr>
              <w:spacing w:after="0"/>
              <w:rPr>
                <w:sz w:val="1"/>
                <w:szCs w:val="1"/>
                <w:color w:val="auto"/>
              </w:rPr>
            </w:pPr>
          </w:p>
        </w:tc>
      </w:tr>
      <w:tr>
        <w:trPr>
          <w:trHeight w:val="130"/>
        </w:trPr>
        <w:tc>
          <w:tcPr>
            <w:tcW w:w="46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Extending</w:t>
            </w:r>
          </w:p>
        </w:tc>
        <w:tc>
          <w:tcPr>
            <w:tcW w:w="0" w:type="dxa"/>
            <w:vAlign w:val="bottom"/>
          </w:tcPr>
          <w:p>
            <w:pPr>
              <w:spacing w:after="0"/>
              <w:rPr>
                <w:sz w:val="1"/>
                <w:szCs w:val="1"/>
                <w:color w:val="auto"/>
              </w:rPr>
            </w:pPr>
          </w:p>
        </w:tc>
      </w:tr>
      <w:tr>
        <w:trPr>
          <w:trHeight w:val="167"/>
        </w:trPr>
        <w:tc>
          <w:tcPr>
            <w:tcW w:w="2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Comerica Bank</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8"/>
              </w:rPr>
              <w:t>15,000,000.00</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9.09%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15,000,000.00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Lender</w:t>
            </w: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6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5"/>
                <w:szCs w:val="5"/>
                <w:b w:val="1"/>
                <w:bCs w:val="1"/>
                <w:u w:val="single" w:color="auto"/>
                <w:color w:val="auto"/>
                <w:w w:val="70"/>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0"/>
              </w:rPr>
              <w:t>165,000,000.00</w:t>
            </w:r>
          </w:p>
        </w:tc>
        <w:tc>
          <w:tcPr>
            <w:tcW w:w="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92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100.00%</w:t>
            </w:r>
          </w:p>
        </w:tc>
        <w:tc>
          <w:tcPr>
            <w:tcW w:w="12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0"/>
              </w:rPr>
              <w:t>310,000,000.00</w:t>
            </w:r>
          </w:p>
        </w:tc>
        <w:tc>
          <w:tcPr>
            <w:tcW w:w="220" w:type="dxa"/>
            <w:vAlign w:val="bottom"/>
            <w:vMerge w:val="continue"/>
          </w:tcPr>
          <w:p>
            <w:pPr>
              <w:spacing w:after="0"/>
              <w:rPr>
                <w:sz w:val="13"/>
                <w:szCs w:val="13"/>
                <w:color w:val="auto"/>
              </w:rPr>
            </w:pPr>
          </w:p>
        </w:tc>
        <w:tc>
          <w:tcPr>
            <w:tcW w:w="11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100.00%</w:t>
            </w:r>
          </w:p>
        </w:tc>
        <w:tc>
          <w:tcPr>
            <w:tcW w:w="12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2"/>
              </w:rPr>
              <w:t>475,000,000.00</w:t>
            </w:r>
          </w:p>
        </w:tc>
        <w:tc>
          <w:tcPr>
            <w:tcW w:w="220" w:type="dxa"/>
            <w:vAlign w:val="bottom"/>
            <w:vMerge w:val="continue"/>
          </w:tcPr>
          <w:p>
            <w:pPr>
              <w:spacing w:after="0"/>
              <w:rPr>
                <w:sz w:val="13"/>
                <w:szCs w:val="13"/>
                <w:color w:val="auto"/>
              </w:rPr>
            </w:pPr>
          </w:p>
        </w:tc>
        <w:tc>
          <w:tcPr>
            <w:tcW w:w="116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100.00%</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71" w:name="page172"/>
    <w:bookmarkEnd w:id="17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gridSpan w:val="4"/>
          </w:tcPr>
          <w:p>
            <w:pPr>
              <w:ind w:left="700"/>
              <w:spacing w:after="0"/>
              <w:rPr>
                <w:sz w:val="20"/>
                <w:szCs w:val="20"/>
                <w:color w:val="auto"/>
              </w:rPr>
            </w:pPr>
            <w:r>
              <w:rPr>
                <w:rFonts w:ascii="Arial" w:cs="Arial" w:eastAsia="Arial" w:hAnsi="Arial"/>
                <w:sz w:val="18"/>
                <w:szCs w:val="18"/>
                <w:b w:val="1"/>
                <w:bCs w:val="1"/>
                <w:color w:val="auto"/>
              </w:rPr>
              <w:t>Schedule 1.01(c)</w:t>
            </w:r>
          </w:p>
        </w:tc>
        <w:tc>
          <w:tcPr>
            <w:tcW w:w="30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0" w:type="dxa"/>
            <w:vAlign w:val="bottom"/>
            <w:gridSpan w:val="5"/>
          </w:tcPr>
          <w:p>
            <w:pPr>
              <w:ind w:left="20"/>
              <w:spacing w:after="0"/>
              <w:rPr>
                <w:sz w:val="20"/>
                <w:szCs w:val="20"/>
                <w:color w:val="auto"/>
              </w:rPr>
            </w:pPr>
            <w:r>
              <w:rPr>
                <w:rFonts w:ascii="Arial" w:cs="Arial" w:eastAsia="Arial" w:hAnsi="Arial"/>
                <w:sz w:val="18"/>
                <w:szCs w:val="18"/>
                <w:b w:val="1"/>
                <w:bCs w:val="1"/>
                <w:color w:val="auto"/>
              </w:rPr>
              <w:t>Industry Classification Group List</w:t>
            </w:r>
          </w:p>
        </w:tc>
        <w:tc>
          <w:tcPr>
            <w:tcW w:w="3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53"/>
        </w:trPr>
        <w:tc>
          <w:tcPr>
            <w:tcW w:w="3720" w:type="dxa"/>
            <w:vAlign w:val="bottom"/>
            <w:gridSpan w:val="2"/>
          </w:tcPr>
          <w:p>
            <w:pPr>
              <w:spacing w:after="0"/>
              <w:rPr>
                <w:sz w:val="20"/>
                <w:szCs w:val="20"/>
                <w:color w:val="auto"/>
              </w:rPr>
            </w:pPr>
            <w:r>
              <w:rPr>
                <w:rFonts w:ascii="Arial" w:cs="Arial" w:eastAsia="Arial" w:hAnsi="Arial"/>
                <w:sz w:val="18"/>
                <w:szCs w:val="18"/>
                <w:color w:val="auto"/>
              </w:rPr>
              <w:t>Industry Classification Groups: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45"/>
        </w:trPr>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480" w:type="dxa"/>
            <w:vAlign w:val="bottom"/>
          </w:tcPr>
          <w:p>
            <w:pPr>
              <w:ind w:left="100"/>
              <w:spacing w:after="0"/>
              <w:rPr>
                <w:sz w:val="20"/>
                <w:szCs w:val="20"/>
                <w:color w:val="auto"/>
              </w:rPr>
            </w:pPr>
            <w:r>
              <w:rPr>
                <w:rFonts w:ascii="Arial" w:cs="Arial" w:eastAsia="Arial" w:hAnsi="Arial"/>
                <w:sz w:val="18"/>
                <w:szCs w:val="18"/>
                <w:color w:val="auto"/>
              </w:rPr>
              <w:t>Aerospace and Defense</w:t>
            </w:r>
          </w:p>
        </w:tc>
        <w:tc>
          <w:tcPr>
            <w:tcW w:w="3840" w:type="dxa"/>
            <w:vAlign w:val="bottom"/>
            <w:gridSpan w:val="6"/>
          </w:tcPr>
          <w:p>
            <w:pPr>
              <w:ind w:left="340"/>
              <w:spacing w:after="0"/>
              <w:rPr>
                <w:sz w:val="20"/>
                <w:szCs w:val="20"/>
                <w:color w:val="auto"/>
              </w:rPr>
            </w:pPr>
            <w:r>
              <w:rPr>
                <w:rFonts w:ascii="Arial" w:cs="Arial" w:eastAsia="Arial" w:hAnsi="Arial"/>
                <w:sz w:val="18"/>
                <w:szCs w:val="18"/>
                <w:color w:val="auto"/>
              </w:rPr>
              <w:t>•  Diversified Natural Resources, Precious</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2920" w:type="dxa"/>
            <w:vAlign w:val="bottom"/>
          </w:tcPr>
          <w:p>
            <w:pPr>
              <w:ind w:left="100"/>
              <w:spacing w:after="0"/>
              <w:rPr>
                <w:sz w:val="20"/>
                <w:szCs w:val="20"/>
                <w:color w:val="auto"/>
              </w:rPr>
            </w:pPr>
            <w:r>
              <w:rPr>
                <w:rFonts w:ascii="Arial" w:cs="Arial" w:eastAsia="Arial" w:hAnsi="Arial"/>
                <w:sz w:val="18"/>
                <w:szCs w:val="18"/>
                <w:color w:val="auto"/>
              </w:rPr>
              <w:t>Machinery (Non-Agriculture,</w:t>
            </w:r>
          </w:p>
        </w:tc>
      </w:tr>
      <w:tr>
        <w:trPr>
          <w:trHeight w:val="230"/>
        </w:trPr>
        <w:tc>
          <w:tcPr>
            <w:tcW w:w="2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80" w:type="dxa"/>
            <w:vAlign w:val="bottom"/>
            <w:gridSpan w:val="4"/>
          </w:tcPr>
          <w:p>
            <w:pPr>
              <w:ind w:left="160"/>
              <w:spacing w:after="0"/>
              <w:rPr>
                <w:sz w:val="20"/>
                <w:szCs w:val="20"/>
                <w:color w:val="auto"/>
              </w:rPr>
            </w:pPr>
            <w:r>
              <w:rPr>
                <w:rFonts w:ascii="Arial" w:cs="Arial" w:eastAsia="Arial" w:hAnsi="Arial"/>
                <w:sz w:val="18"/>
                <w:szCs w:val="18"/>
                <w:color w:val="auto"/>
              </w:rPr>
              <w:t>Metals and Minerals</w:t>
            </w:r>
          </w:p>
        </w:tc>
        <w:tc>
          <w:tcPr>
            <w:tcW w:w="300" w:type="dxa"/>
            <w:vAlign w:val="bottom"/>
          </w:tcPr>
          <w:p>
            <w:pPr>
              <w:spacing w:after="0"/>
              <w:rPr>
                <w:sz w:val="20"/>
                <w:szCs w:val="20"/>
                <w:color w:val="auto"/>
              </w:rPr>
            </w:pPr>
          </w:p>
        </w:tc>
        <w:tc>
          <w:tcPr>
            <w:tcW w:w="2920" w:type="dxa"/>
            <w:vAlign w:val="bottom"/>
          </w:tcPr>
          <w:p>
            <w:pPr>
              <w:ind w:left="100"/>
              <w:spacing w:after="0"/>
              <w:rPr>
                <w:sz w:val="20"/>
                <w:szCs w:val="20"/>
                <w:color w:val="auto"/>
              </w:rPr>
            </w:pPr>
            <w:r>
              <w:rPr>
                <w:rFonts w:ascii="Arial" w:cs="Arial" w:eastAsia="Arial" w:hAnsi="Arial"/>
                <w:sz w:val="18"/>
                <w:szCs w:val="18"/>
                <w:color w:val="auto"/>
                <w:w w:val="92"/>
              </w:rPr>
              <w:t>Non-Construction and Non-Electronic)</w:t>
            </w:r>
          </w:p>
        </w:tc>
      </w:tr>
      <w:tr>
        <w:trPr>
          <w:trHeight w:val="324"/>
        </w:trPr>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480" w:type="dxa"/>
            <w:vAlign w:val="bottom"/>
          </w:tcPr>
          <w:p>
            <w:pPr>
              <w:ind w:left="100"/>
              <w:spacing w:after="0"/>
              <w:rPr>
                <w:sz w:val="20"/>
                <w:szCs w:val="20"/>
                <w:color w:val="auto"/>
              </w:rPr>
            </w:pPr>
            <w:r>
              <w:rPr>
                <w:rFonts w:ascii="Arial" w:cs="Arial" w:eastAsia="Arial" w:hAnsi="Arial"/>
                <w:sz w:val="18"/>
                <w:szCs w:val="18"/>
                <w:color w:val="auto"/>
              </w:rPr>
              <w:t>Auto sector</w:t>
            </w: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Arial" w:cs="Arial" w:eastAsia="Arial" w:hAnsi="Arial"/>
                <w:sz w:val="18"/>
                <w:szCs w:val="18"/>
                <w:color w:val="auto"/>
              </w:rPr>
              <w:t>Ecological</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2920" w:type="dxa"/>
            <w:vAlign w:val="bottom"/>
          </w:tcPr>
          <w:p>
            <w:pPr>
              <w:ind w:left="100"/>
              <w:spacing w:after="0"/>
              <w:rPr>
                <w:sz w:val="20"/>
                <w:szCs w:val="20"/>
                <w:color w:val="auto"/>
              </w:rPr>
            </w:pPr>
            <w:r>
              <w:rPr>
                <w:rFonts w:ascii="Arial" w:cs="Arial" w:eastAsia="Arial" w:hAnsi="Arial"/>
                <w:sz w:val="18"/>
                <w:szCs w:val="18"/>
                <w:color w:val="auto"/>
              </w:rPr>
              <w:t>Manufacturing/ Basic industry</w:t>
            </w:r>
          </w:p>
        </w:tc>
      </w:tr>
      <w:tr>
        <w:trPr>
          <w:trHeight w:val="324"/>
        </w:trPr>
        <w:tc>
          <w:tcPr>
            <w:tcW w:w="3720" w:type="dxa"/>
            <w:vAlign w:val="bottom"/>
            <w:gridSpan w:val="2"/>
          </w:tcPr>
          <w:p>
            <w:pPr>
              <w:ind w:left="80"/>
              <w:spacing w:after="0"/>
              <w:rPr>
                <w:sz w:val="20"/>
                <w:szCs w:val="20"/>
                <w:color w:val="auto"/>
              </w:rPr>
            </w:pPr>
            <w:r>
              <w:rPr>
                <w:rFonts w:ascii="Arial" w:cs="Arial" w:eastAsia="Arial" w:hAnsi="Arial"/>
                <w:sz w:val="18"/>
                <w:szCs w:val="18"/>
                <w:color w:val="auto"/>
              </w:rPr>
              <w:t>•  Beverage, Food and Tobacco</w:t>
            </w: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Arial" w:cs="Arial" w:eastAsia="Arial" w:hAnsi="Arial"/>
                <w:sz w:val="18"/>
                <w:szCs w:val="18"/>
                <w:color w:val="auto"/>
              </w:rPr>
              <w:t>Education</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2920" w:type="dxa"/>
            <w:vAlign w:val="bottom"/>
          </w:tcPr>
          <w:p>
            <w:pPr>
              <w:ind w:left="100"/>
              <w:spacing w:after="0"/>
              <w:rPr>
                <w:sz w:val="20"/>
                <w:szCs w:val="20"/>
                <w:color w:val="auto"/>
              </w:rPr>
            </w:pPr>
            <w:r>
              <w:rPr>
                <w:rFonts w:ascii="Arial" w:cs="Arial" w:eastAsia="Arial" w:hAnsi="Arial"/>
                <w:sz w:val="18"/>
                <w:szCs w:val="18"/>
                <w:color w:val="auto"/>
              </w:rPr>
              <w:t>Media</w:t>
            </w:r>
          </w:p>
        </w:tc>
      </w:tr>
      <w:tr>
        <w:trPr>
          <w:trHeight w:val="310"/>
        </w:trPr>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480" w:type="dxa"/>
            <w:vAlign w:val="bottom"/>
          </w:tcPr>
          <w:p>
            <w:pPr>
              <w:ind w:left="100"/>
              <w:spacing w:after="0"/>
              <w:rPr>
                <w:sz w:val="20"/>
                <w:szCs w:val="20"/>
                <w:color w:val="auto"/>
              </w:rPr>
            </w:pPr>
            <w:r>
              <w:rPr>
                <w:rFonts w:ascii="Arial" w:cs="Arial" w:eastAsia="Arial" w:hAnsi="Arial"/>
                <w:sz w:val="18"/>
                <w:szCs w:val="18"/>
                <w:color w:val="auto"/>
              </w:rPr>
              <w:t>Broadcasting and entertainment</w:t>
            </w: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Arial" w:cs="Arial" w:eastAsia="Arial" w:hAnsi="Arial"/>
                <w:sz w:val="18"/>
                <w:szCs w:val="18"/>
                <w:color w:val="auto"/>
              </w:rPr>
              <w:t>Electronics</w:t>
            </w:r>
          </w:p>
        </w:tc>
        <w:tc>
          <w:tcPr>
            <w:tcW w:w="3220" w:type="dxa"/>
            <w:vAlign w:val="bottom"/>
            <w:gridSpan w:val="2"/>
          </w:tcPr>
          <w:p>
            <w:pPr>
              <w:ind w:left="140"/>
              <w:spacing w:after="0"/>
              <w:rPr>
                <w:sz w:val="20"/>
                <w:szCs w:val="20"/>
                <w:color w:val="auto"/>
              </w:rPr>
            </w:pPr>
            <w:r>
              <w:rPr>
                <w:rFonts w:ascii="Arial" w:cs="Arial" w:eastAsia="Arial" w:hAnsi="Arial"/>
                <w:sz w:val="18"/>
                <w:szCs w:val="18"/>
                <w:color w:val="auto"/>
                <w:w w:val="98"/>
              </w:rPr>
              <w:t>•  Mining, Steel, Iron and Non-Precious</w:t>
            </w:r>
          </w:p>
        </w:tc>
      </w:tr>
      <w:tr>
        <w:trPr>
          <w:trHeight w:val="230"/>
        </w:trPr>
        <w:tc>
          <w:tcPr>
            <w:tcW w:w="2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tcPr>
          <w:p>
            <w:pPr>
              <w:ind w:left="100"/>
              <w:spacing w:after="0"/>
              <w:rPr>
                <w:sz w:val="20"/>
                <w:szCs w:val="20"/>
                <w:color w:val="auto"/>
              </w:rPr>
            </w:pPr>
            <w:r>
              <w:rPr>
                <w:rFonts w:ascii="Arial" w:cs="Arial" w:eastAsia="Arial" w:hAnsi="Arial"/>
                <w:sz w:val="18"/>
                <w:szCs w:val="18"/>
                <w:color w:val="auto"/>
              </w:rPr>
              <w:t>Metals</w:t>
            </w:r>
          </w:p>
        </w:tc>
      </w:tr>
      <w:tr>
        <w:trPr>
          <w:trHeight w:val="324"/>
        </w:trPr>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480" w:type="dxa"/>
            <w:vAlign w:val="bottom"/>
          </w:tcPr>
          <w:p>
            <w:pPr>
              <w:ind w:left="100"/>
              <w:spacing w:after="0"/>
              <w:rPr>
                <w:sz w:val="20"/>
                <w:szCs w:val="20"/>
                <w:color w:val="auto"/>
              </w:rPr>
            </w:pPr>
            <w:r>
              <w:rPr>
                <w:rFonts w:ascii="Arial" w:cs="Arial" w:eastAsia="Arial" w:hAnsi="Arial"/>
                <w:sz w:val="18"/>
                <w:szCs w:val="18"/>
                <w:color w:val="auto"/>
              </w:rPr>
              <w:t>Building materials</w:t>
            </w: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Arial" w:cs="Arial" w:eastAsia="Arial" w:hAnsi="Arial"/>
                <w:sz w:val="18"/>
                <w:szCs w:val="18"/>
                <w:color w:val="auto"/>
              </w:rPr>
              <w:t>Energy/Utilities</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2920" w:type="dxa"/>
            <w:vAlign w:val="bottom"/>
          </w:tcPr>
          <w:p>
            <w:pPr>
              <w:ind w:left="100"/>
              <w:spacing w:after="0"/>
              <w:rPr>
                <w:sz w:val="20"/>
                <w:szCs w:val="20"/>
                <w:color w:val="auto"/>
              </w:rPr>
            </w:pPr>
            <w:r>
              <w:rPr>
                <w:rFonts w:ascii="Arial" w:cs="Arial" w:eastAsia="Arial" w:hAnsi="Arial"/>
                <w:sz w:val="18"/>
                <w:szCs w:val="18"/>
                <w:color w:val="auto"/>
              </w:rPr>
              <w:t>Oil and Gas</w:t>
            </w:r>
          </w:p>
        </w:tc>
      </w:tr>
      <w:tr>
        <w:trPr>
          <w:trHeight w:val="324"/>
        </w:trPr>
        <w:tc>
          <w:tcPr>
            <w:tcW w:w="3720" w:type="dxa"/>
            <w:vAlign w:val="bottom"/>
            <w:gridSpan w:val="2"/>
          </w:tcPr>
          <w:p>
            <w:pPr>
              <w:ind w:left="80"/>
              <w:spacing w:after="0"/>
              <w:rPr>
                <w:sz w:val="20"/>
                <w:szCs w:val="20"/>
                <w:color w:val="auto"/>
              </w:rPr>
            </w:pPr>
            <w:r>
              <w:rPr>
                <w:rFonts w:ascii="Arial" w:cs="Arial" w:eastAsia="Arial" w:hAnsi="Arial"/>
                <w:sz w:val="18"/>
                <w:szCs w:val="18"/>
                <w:color w:val="auto"/>
              </w:rPr>
              <w:t>•  Buildings and real estate</w:t>
            </w: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Arial" w:cs="Arial" w:eastAsia="Arial" w:hAnsi="Arial"/>
                <w:sz w:val="18"/>
                <w:szCs w:val="18"/>
                <w:color w:val="auto"/>
              </w:rPr>
              <w:t>Environmental services</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2920" w:type="dxa"/>
            <w:vAlign w:val="bottom"/>
          </w:tcPr>
          <w:p>
            <w:pPr>
              <w:ind w:left="100"/>
              <w:spacing w:after="0"/>
              <w:rPr>
                <w:sz w:val="20"/>
                <w:szCs w:val="20"/>
                <w:color w:val="auto"/>
              </w:rPr>
            </w:pPr>
            <w:r>
              <w:rPr>
                <w:rFonts w:ascii="Arial" w:cs="Arial" w:eastAsia="Arial" w:hAnsi="Arial"/>
                <w:sz w:val="18"/>
                <w:szCs w:val="18"/>
                <w:color w:val="auto"/>
              </w:rPr>
              <w:t>Other Media</w:t>
            </w:r>
          </w:p>
        </w:tc>
      </w:tr>
      <w:tr>
        <w:trPr>
          <w:trHeight w:val="324"/>
        </w:trPr>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480" w:type="dxa"/>
            <w:vAlign w:val="bottom"/>
          </w:tcPr>
          <w:p>
            <w:pPr>
              <w:ind w:left="100"/>
              <w:spacing w:after="0"/>
              <w:rPr>
                <w:sz w:val="20"/>
                <w:szCs w:val="20"/>
                <w:color w:val="auto"/>
              </w:rPr>
            </w:pPr>
            <w:r>
              <w:rPr>
                <w:rFonts w:ascii="Arial" w:cs="Arial" w:eastAsia="Arial" w:hAnsi="Arial"/>
                <w:sz w:val="18"/>
                <w:szCs w:val="18"/>
                <w:color w:val="auto"/>
              </w:rPr>
              <w:t>Business services</w:t>
            </w: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Arial" w:cs="Arial" w:eastAsia="Arial" w:hAnsi="Arial"/>
                <w:sz w:val="18"/>
                <w:szCs w:val="18"/>
                <w:color w:val="auto"/>
              </w:rPr>
              <w:t>Farming and Agriculture</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2920" w:type="dxa"/>
            <w:vAlign w:val="bottom"/>
          </w:tcPr>
          <w:p>
            <w:pPr>
              <w:ind w:left="100"/>
              <w:spacing w:after="0"/>
              <w:rPr>
                <w:sz w:val="20"/>
                <w:szCs w:val="20"/>
                <w:color w:val="auto"/>
              </w:rPr>
            </w:pPr>
            <w:r>
              <w:rPr>
                <w:rFonts w:ascii="Arial" w:cs="Arial" w:eastAsia="Arial" w:hAnsi="Arial"/>
                <w:sz w:val="18"/>
                <w:szCs w:val="18"/>
                <w:color w:val="auto"/>
              </w:rPr>
              <w:t>Packaging</w:t>
            </w:r>
          </w:p>
        </w:tc>
      </w:tr>
      <w:tr>
        <w:trPr>
          <w:trHeight w:val="310"/>
        </w:trPr>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480" w:type="dxa"/>
            <w:vAlign w:val="bottom"/>
          </w:tcPr>
          <w:p>
            <w:pPr>
              <w:ind w:left="100"/>
              <w:spacing w:after="0"/>
              <w:rPr>
                <w:sz w:val="20"/>
                <w:szCs w:val="20"/>
                <w:color w:val="auto"/>
              </w:rPr>
            </w:pPr>
            <w:r>
              <w:rPr>
                <w:rFonts w:ascii="Arial" w:cs="Arial" w:eastAsia="Arial" w:hAnsi="Arial"/>
                <w:sz w:val="18"/>
                <w:szCs w:val="18"/>
                <w:color w:val="auto"/>
              </w:rPr>
              <w:t>Cable television</w:t>
            </w: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Arial" w:cs="Arial" w:eastAsia="Arial" w:hAnsi="Arial"/>
                <w:sz w:val="18"/>
                <w:szCs w:val="18"/>
                <w:color w:val="auto"/>
              </w:rPr>
              <w:t>Finance</w:t>
            </w:r>
          </w:p>
        </w:tc>
        <w:tc>
          <w:tcPr>
            <w:tcW w:w="3220" w:type="dxa"/>
            <w:vAlign w:val="bottom"/>
            <w:gridSpan w:val="2"/>
          </w:tcPr>
          <w:p>
            <w:pPr>
              <w:ind w:left="140"/>
              <w:spacing w:after="0"/>
              <w:rPr>
                <w:sz w:val="20"/>
                <w:szCs w:val="20"/>
                <w:color w:val="auto"/>
              </w:rPr>
            </w:pPr>
            <w:r>
              <w:rPr>
                <w:rFonts w:ascii="Arial" w:cs="Arial" w:eastAsia="Arial" w:hAnsi="Arial"/>
                <w:sz w:val="18"/>
                <w:szCs w:val="18"/>
                <w:color w:val="auto"/>
                <w:w w:val="96"/>
              </w:rPr>
              <w:t>•  Personal and Non-Durable Consumer</w:t>
            </w:r>
          </w:p>
        </w:tc>
      </w:tr>
      <w:tr>
        <w:trPr>
          <w:trHeight w:val="230"/>
        </w:trPr>
        <w:tc>
          <w:tcPr>
            <w:tcW w:w="2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tcPr>
          <w:p>
            <w:pPr>
              <w:ind w:left="100"/>
              <w:spacing w:after="0"/>
              <w:rPr>
                <w:sz w:val="20"/>
                <w:szCs w:val="20"/>
                <w:color w:val="auto"/>
              </w:rPr>
            </w:pPr>
            <w:r>
              <w:rPr>
                <w:rFonts w:ascii="Arial" w:cs="Arial" w:eastAsia="Arial" w:hAnsi="Arial"/>
                <w:sz w:val="18"/>
                <w:szCs w:val="18"/>
                <w:color w:val="auto"/>
              </w:rPr>
              <w:t>Products (Manufacturing Only)</w:t>
            </w:r>
          </w:p>
        </w:tc>
      </w:tr>
      <w:tr>
        <w:trPr>
          <w:trHeight w:val="310"/>
        </w:trPr>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480" w:type="dxa"/>
            <w:vAlign w:val="bottom"/>
          </w:tcPr>
          <w:p>
            <w:pPr>
              <w:ind w:left="100"/>
              <w:spacing w:after="0"/>
              <w:rPr>
                <w:sz w:val="20"/>
                <w:szCs w:val="20"/>
                <w:color w:val="auto"/>
              </w:rPr>
            </w:pPr>
            <w:r>
              <w:rPr>
                <w:rFonts w:ascii="Arial" w:cs="Arial" w:eastAsia="Arial" w:hAnsi="Arial"/>
                <w:sz w:val="18"/>
                <w:szCs w:val="18"/>
                <w:color w:val="auto"/>
              </w:rPr>
              <w:t>Cargo Transport</w:t>
            </w: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Arial" w:cs="Arial" w:eastAsia="Arial" w:hAnsi="Arial"/>
                <w:sz w:val="18"/>
                <w:szCs w:val="18"/>
                <w:color w:val="auto"/>
              </w:rPr>
              <w:t>Financial services</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2920" w:type="dxa"/>
            <w:vAlign w:val="bottom"/>
          </w:tcPr>
          <w:p>
            <w:pPr>
              <w:ind w:left="100"/>
              <w:spacing w:after="0"/>
              <w:rPr>
                <w:sz w:val="20"/>
                <w:szCs w:val="20"/>
                <w:color w:val="auto"/>
              </w:rPr>
            </w:pPr>
            <w:r>
              <w:rPr>
                <w:rFonts w:ascii="Arial" w:cs="Arial" w:eastAsia="Arial" w:hAnsi="Arial"/>
                <w:sz w:val="18"/>
                <w:szCs w:val="18"/>
                <w:color w:val="auto"/>
              </w:rPr>
              <w:t>Personal, Food and</w:t>
            </w:r>
          </w:p>
        </w:tc>
      </w:tr>
      <w:tr>
        <w:trPr>
          <w:trHeight w:val="230"/>
        </w:trPr>
        <w:tc>
          <w:tcPr>
            <w:tcW w:w="2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tcPr>
          <w:p>
            <w:pPr>
              <w:ind w:left="100"/>
              <w:spacing w:after="0"/>
              <w:rPr>
                <w:sz w:val="20"/>
                <w:szCs w:val="20"/>
                <w:color w:val="auto"/>
              </w:rPr>
            </w:pPr>
            <w:r>
              <w:rPr>
                <w:rFonts w:ascii="Arial" w:cs="Arial" w:eastAsia="Arial" w:hAnsi="Arial"/>
                <w:sz w:val="18"/>
                <w:szCs w:val="18"/>
                <w:color w:val="auto"/>
              </w:rPr>
              <w:t>Miscellaneous Services</w:t>
            </w:r>
          </w:p>
        </w:tc>
      </w:tr>
      <w:tr>
        <w:trPr>
          <w:trHeight w:val="324"/>
        </w:trPr>
        <w:tc>
          <w:tcPr>
            <w:tcW w:w="3720" w:type="dxa"/>
            <w:vAlign w:val="bottom"/>
            <w:gridSpan w:val="2"/>
          </w:tcPr>
          <w:p>
            <w:pPr>
              <w:ind w:left="80"/>
              <w:spacing w:after="0"/>
              <w:rPr>
                <w:sz w:val="20"/>
                <w:szCs w:val="20"/>
                <w:color w:val="auto"/>
              </w:rPr>
            </w:pPr>
            <w:r>
              <w:rPr>
                <w:rFonts w:ascii="Arial" w:cs="Arial" w:eastAsia="Arial" w:hAnsi="Arial"/>
                <w:sz w:val="18"/>
                <w:szCs w:val="18"/>
                <w:color w:val="auto"/>
              </w:rPr>
              <w:t>•  Chemicals, Plastics and Rubber</w:t>
            </w: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Arial" w:cs="Arial" w:eastAsia="Arial" w:hAnsi="Arial"/>
                <w:sz w:val="18"/>
                <w:szCs w:val="18"/>
                <w:color w:val="auto"/>
              </w:rPr>
              <w:t>Food</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2920" w:type="dxa"/>
            <w:vAlign w:val="bottom"/>
          </w:tcPr>
          <w:p>
            <w:pPr>
              <w:ind w:left="100"/>
              <w:spacing w:after="0"/>
              <w:rPr>
                <w:sz w:val="20"/>
                <w:szCs w:val="20"/>
                <w:color w:val="auto"/>
              </w:rPr>
            </w:pPr>
            <w:r>
              <w:rPr>
                <w:rFonts w:ascii="Arial" w:cs="Arial" w:eastAsia="Arial" w:hAnsi="Arial"/>
                <w:sz w:val="18"/>
                <w:szCs w:val="18"/>
                <w:color w:val="auto"/>
              </w:rPr>
              <w:t>Personal Transportation</w:t>
            </w:r>
          </w:p>
        </w:tc>
      </w:tr>
      <w:tr>
        <w:trPr>
          <w:trHeight w:val="324"/>
        </w:trPr>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480" w:type="dxa"/>
            <w:vAlign w:val="bottom"/>
          </w:tcPr>
          <w:p>
            <w:pPr>
              <w:ind w:left="100"/>
              <w:spacing w:after="0"/>
              <w:rPr>
                <w:sz w:val="20"/>
                <w:szCs w:val="20"/>
                <w:color w:val="auto"/>
              </w:rPr>
            </w:pPr>
            <w:r>
              <w:rPr>
                <w:rFonts w:ascii="Arial" w:cs="Arial" w:eastAsia="Arial" w:hAnsi="Arial"/>
                <w:sz w:val="18"/>
                <w:szCs w:val="18"/>
                <w:color w:val="auto"/>
              </w:rPr>
              <w:t>Communications</w:t>
            </w: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Arial" w:cs="Arial" w:eastAsia="Arial" w:hAnsi="Arial"/>
                <w:sz w:val="18"/>
                <w:szCs w:val="18"/>
                <w:color w:val="auto"/>
              </w:rPr>
              <w:t>Grocery</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2920" w:type="dxa"/>
            <w:vAlign w:val="bottom"/>
          </w:tcPr>
          <w:p>
            <w:pPr>
              <w:ind w:left="100"/>
              <w:spacing w:after="0"/>
              <w:rPr>
                <w:sz w:val="20"/>
                <w:szCs w:val="20"/>
                <w:color w:val="auto"/>
              </w:rPr>
            </w:pPr>
            <w:r>
              <w:rPr>
                <w:rFonts w:ascii="Arial" w:cs="Arial" w:eastAsia="Arial" w:hAnsi="Arial"/>
                <w:sz w:val="18"/>
                <w:szCs w:val="18"/>
                <w:color w:val="auto"/>
              </w:rPr>
              <w:t>Printing and Publishing</w:t>
            </w:r>
          </w:p>
        </w:tc>
      </w:tr>
      <w:tr>
        <w:trPr>
          <w:trHeight w:val="324"/>
        </w:trPr>
        <w:tc>
          <w:tcPr>
            <w:tcW w:w="3720" w:type="dxa"/>
            <w:vAlign w:val="bottom"/>
            <w:gridSpan w:val="2"/>
          </w:tcPr>
          <w:p>
            <w:pPr>
              <w:ind w:left="80"/>
              <w:spacing w:after="0"/>
              <w:rPr>
                <w:sz w:val="20"/>
                <w:szCs w:val="20"/>
                <w:color w:val="auto"/>
              </w:rPr>
            </w:pPr>
            <w:r>
              <w:rPr>
                <w:rFonts w:ascii="Arial" w:cs="Arial" w:eastAsia="Arial" w:hAnsi="Arial"/>
                <w:sz w:val="18"/>
                <w:szCs w:val="18"/>
                <w:color w:val="auto"/>
              </w:rPr>
              <w:t>•  Containers, packaging and glass</w:t>
            </w:r>
          </w:p>
        </w:tc>
        <w:tc>
          <w:tcPr>
            <w:tcW w:w="3840" w:type="dxa"/>
            <w:vAlign w:val="bottom"/>
            <w:gridSpan w:val="6"/>
          </w:tcPr>
          <w:p>
            <w:pPr>
              <w:ind w:left="340"/>
              <w:spacing w:after="0"/>
              <w:rPr>
                <w:sz w:val="20"/>
                <w:szCs w:val="20"/>
                <w:color w:val="auto"/>
              </w:rPr>
            </w:pPr>
            <w:r>
              <w:rPr>
                <w:rFonts w:ascii="Arial" w:cs="Arial" w:eastAsia="Arial" w:hAnsi="Arial"/>
                <w:sz w:val="18"/>
                <w:szCs w:val="18"/>
                <w:color w:val="auto"/>
              </w:rPr>
              <w:t>•  Healthcare, Education and Childcare</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2920" w:type="dxa"/>
            <w:vAlign w:val="bottom"/>
          </w:tcPr>
          <w:p>
            <w:pPr>
              <w:ind w:left="100"/>
              <w:spacing w:after="0"/>
              <w:rPr>
                <w:sz w:val="20"/>
                <w:szCs w:val="20"/>
                <w:color w:val="auto"/>
              </w:rPr>
            </w:pPr>
            <w:r>
              <w:rPr>
                <w:rFonts w:ascii="Arial" w:cs="Arial" w:eastAsia="Arial" w:hAnsi="Arial"/>
                <w:sz w:val="18"/>
                <w:szCs w:val="18"/>
                <w:color w:val="auto"/>
              </w:rPr>
              <w:t>Restaurants</w:t>
            </w:r>
          </w:p>
        </w:tc>
      </w:tr>
      <w:tr>
        <w:trPr>
          <w:trHeight w:val="310"/>
        </w:trPr>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480" w:type="dxa"/>
            <w:vAlign w:val="bottom"/>
          </w:tcPr>
          <w:p>
            <w:pPr>
              <w:ind w:left="100"/>
              <w:spacing w:after="0"/>
              <w:rPr>
                <w:sz w:val="20"/>
                <w:szCs w:val="20"/>
                <w:color w:val="auto"/>
              </w:rPr>
            </w:pPr>
            <w:r>
              <w:rPr>
                <w:rFonts w:ascii="Arial" w:cs="Arial" w:eastAsia="Arial" w:hAnsi="Arial"/>
                <w:sz w:val="18"/>
                <w:szCs w:val="18"/>
                <w:color w:val="auto"/>
              </w:rPr>
              <w:t>Consumer products</w:t>
            </w:r>
          </w:p>
        </w:tc>
        <w:tc>
          <w:tcPr>
            <w:tcW w:w="3840" w:type="dxa"/>
            <w:vAlign w:val="bottom"/>
            <w:gridSpan w:val="6"/>
          </w:tcPr>
          <w:p>
            <w:pPr>
              <w:ind w:left="340"/>
              <w:spacing w:after="0"/>
              <w:rPr>
                <w:sz w:val="20"/>
                <w:szCs w:val="20"/>
                <w:color w:val="auto"/>
              </w:rPr>
            </w:pPr>
            <w:r>
              <w:rPr>
                <w:rFonts w:ascii="Arial" w:cs="Arial" w:eastAsia="Arial" w:hAnsi="Arial"/>
                <w:sz w:val="18"/>
                <w:szCs w:val="18"/>
                <w:color w:val="auto"/>
                <w:w w:val="96"/>
              </w:rPr>
              <w:t>•  Home and Office Furnishings, Housewares</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2920" w:type="dxa"/>
            <w:vAlign w:val="bottom"/>
          </w:tcPr>
          <w:p>
            <w:pPr>
              <w:ind w:left="100"/>
              <w:spacing w:after="0"/>
              <w:rPr>
                <w:sz w:val="20"/>
                <w:szCs w:val="20"/>
                <w:color w:val="auto"/>
              </w:rPr>
            </w:pPr>
            <w:r>
              <w:rPr>
                <w:rFonts w:ascii="Arial" w:cs="Arial" w:eastAsia="Arial" w:hAnsi="Arial"/>
                <w:sz w:val="18"/>
                <w:szCs w:val="18"/>
                <w:color w:val="auto"/>
              </w:rPr>
              <w:t>Retail</w:t>
            </w:r>
          </w:p>
        </w:tc>
      </w:tr>
      <w:tr>
        <w:trPr>
          <w:trHeight w:val="230"/>
        </w:trPr>
        <w:tc>
          <w:tcPr>
            <w:tcW w:w="2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80" w:type="dxa"/>
            <w:vAlign w:val="bottom"/>
            <w:gridSpan w:val="4"/>
          </w:tcPr>
          <w:p>
            <w:pPr>
              <w:ind w:left="160"/>
              <w:spacing w:after="0"/>
              <w:rPr>
                <w:sz w:val="20"/>
                <w:szCs w:val="20"/>
                <w:color w:val="auto"/>
              </w:rPr>
            </w:pPr>
            <w:r>
              <w:rPr>
                <w:rFonts w:ascii="Arial" w:cs="Arial" w:eastAsia="Arial" w:hAnsi="Arial"/>
                <w:sz w:val="18"/>
                <w:szCs w:val="18"/>
                <w:color w:val="auto"/>
              </w:rPr>
              <w:t>and Durable Consumer Products</w:t>
            </w:r>
          </w:p>
        </w:tc>
        <w:tc>
          <w:tcPr>
            <w:tcW w:w="30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324"/>
        </w:trPr>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480" w:type="dxa"/>
            <w:vAlign w:val="bottom"/>
          </w:tcPr>
          <w:p>
            <w:pPr>
              <w:ind w:left="100"/>
              <w:spacing w:after="0"/>
              <w:rPr>
                <w:sz w:val="20"/>
                <w:szCs w:val="20"/>
                <w:color w:val="auto"/>
              </w:rPr>
            </w:pPr>
            <w:r>
              <w:rPr>
                <w:rFonts w:ascii="Arial" w:cs="Arial" w:eastAsia="Arial" w:hAnsi="Arial"/>
                <w:sz w:val="18"/>
                <w:szCs w:val="18"/>
                <w:color w:val="auto"/>
              </w:rPr>
              <w:t>Distribution</w:t>
            </w: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Arial" w:cs="Arial" w:eastAsia="Arial" w:hAnsi="Arial"/>
                <w:sz w:val="18"/>
                <w:szCs w:val="18"/>
                <w:color w:val="auto"/>
              </w:rPr>
              <w:t>Homebuilding</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2920" w:type="dxa"/>
            <w:vAlign w:val="bottom"/>
          </w:tcPr>
          <w:p>
            <w:pPr>
              <w:ind w:left="100"/>
              <w:spacing w:after="0"/>
              <w:rPr>
                <w:sz w:val="20"/>
                <w:szCs w:val="20"/>
                <w:color w:val="auto"/>
              </w:rPr>
            </w:pPr>
            <w:r>
              <w:rPr>
                <w:rFonts w:ascii="Arial" w:cs="Arial" w:eastAsia="Arial" w:hAnsi="Arial"/>
                <w:sz w:val="18"/>
                <w:szCs w:val="18"/>
                <w:color w:val="auto"/>
              </w:rPr>
              <w:t>Retail Store</w:t>
            </w:r>
          </w:p>
        </w:tc>
      </w:tr>
      <w:tr>
        <w:trPr>
          <w:trHeight w:val="324"/>
        </w:trPr>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480" w:type="dxa"/>
            <w:vAlign w:val="bottom"/>
          </w:tcPr>
          <w:p>
            <w:pPr>
              <w:ind w:left="100"/>
              <w:spacing w:after="0"/>
              <w:rPr>
                <w:sz w:val="20"/>
                <w:szCs w:val="20"/>
                <w:color w:val="auto"/>
              </w:rPr>
            </w:pPr>
            <w:r>
              <w:rPr>
                <w:rFonts w:ascii="Arial" w:cs="Arial" w:eastAsia="Arial" w:hAnsi="Arial"/>
                <w:sz w:val="18"/>
                <w:szCs w:val="18"/>
                <w:color w:val="auto"/>
              </w:rPr>
              <w:t>Diversified/ Conglomerate Manufacturing</w:t>
            </w:r>
          </w:p>
        </w:tc>
        <w:tc>
          <w:tcPr>
            <w:tcW w:w="3840" w:type="dxa"/>
            <w:vAlign w:val="bottom"/>
            <w:gridSpan w:val="6"/>
          </w:tcPr>
          <w:p>
            <w:pPr>
              <w:ind w:left="340"/>
              <w:spacing w:after="0"/>
              <w:rPr>
                <w:sz w:val="20"/>
                <w:szCs w:val="20"/>
                <w:color w:val="auto"/>
              </w:rPr>
            </w:pPr>
            <w:r>
              <w:rPr>
                <w:rFonts w:ascii="Arial" w:cs="Arial" w:eastAsia="Arial" w:hAnsi="Arial"/>
                <w:sz w:val="18"/>
                <w:szCs w:val="18"/>
                <w:color w:val="auto"/>
              </w:rPr>
              <w:t>•  Hotels, Motels, Inns and Gaming</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2920" w:type="dxa"/>
            <w:vAlign w:val="bottom"/>
          </w:tcPr>
          <w:p>
            <w:pPr>
              <w:ind w:left="100"/>
              <w:spacing w:after="0"/>
              <w:rPr>
                <w:sz w:val="20"/>
                <w:szCs w:val="20"/>
                <w:color w:val="auto"/>
              </w:rPr>
            </w:pPr>
            <w:r>
              <w:rPr>
                <w:rFonts w:ascii="Arial" w:cs="Arial" w:eastAsia="Arial" w:hAnsi="Arial"/>
                <w:sz w:val="18"/>
                <w:szCs w:val="18"/>
                <w:color w:val="auto"/>
              </w:rPr>
              <w:t>Telecommunications</w:t>
            </w:r>
          </w:p>
        </w:tc>
      </w:tr>
      <w:tr>
        <w:trPr>
          <w:trHeight w:val="310"/>
        </w:trPr>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480" w:type="dxa"/>
            <w:vAlign w:val="bottom"/>
          </w:tcPr>
          <w:p>
            <w:pPr>
              <w:ind w:left="100"/>
              <w:spacing w:after="0"/>
              <w:rPr>
                <w:sz w:val="20"/>
                <w:szCs w:val="20"/>
                <w:color w:val="auto"/>
              </w:rPr>
            </w:pPr>
            <w:r>
              <w:rPr>
                <w:rFonts w:ascii="Arial" w:cs="Arial" w:eastAsia="Arial" w:hAnsi="Arial"/>
                <w:sz w:val="18"/>
                <w:szCs w:val="18"/>
                <w:color w:val="auto"/>
              </w:rPr>
              <w:t>Diversified/ Conglomerate Service</w:t>
            </w:r>
          </w:p>
        </w:tc>
        <w:tc>
          <w:tcPr>
            <w:tcW w:w="3840" w:type="dxa"/>
            <w:vAlign w:val="bottom"/>
            <w:gridSpan w:val="6"/>
          </w:tcPr>
          <w:p>
            <w:pPr>
              <w:ind w:left="340"/>
              <w:spacing w:after="0"/>
              <w:rPr>
                <w:sz w:val="20"/>
                <w:szCs w:val="20"/>
                <w:color w:val="auto"/>
              </w:rPr>
            </w:pPr>
            <w:r>
              <w:rPr>
                <w:rFonts w:ascii="Arial" w:cs="Arial" w:eastAsia="Arial" w:hAnsi="Arial"/>
                <w:sz w:val="18"/>
                <w:szCs w:val="18"/>
                <w:color w:val="auto"/>
              </w:rPr>
              <w:t>•  Leisure, Amusement, Motion Pictures,</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2920" w:type="dxa"/>
            <w:vAlign w:val="bottom"/>
          </w:tcPr>
          <w:p>
            <w:pPr>
              <w:ind w:left="100"/>
              <w:spacing w:after="0"/>
              <w:rPr>
                <w:sz w:val="20"/>
                <w:szCs w:val="20"/>
                <w:color w:val="auto"/>
              </w:rPr>
            </w:pPr>
            <w:r>
              <w:rPr>
                <w:rFonts w:ascii="Arial" w:cs="Arial" w:eastAsia="Arial" w:hAnsi="Arial"/>
                <w:sz w:val="18"/>
                <w:szCs w:val="18"/>
                <w:color w:val="auto"/>
              </w:rPr>
              <w:t>Textiles and Leather</w:t>
            </w:r>
          </w:p>
        </w:tc>
      </w:tr>
      <w:tr>
        <w:trPr>
          <w:trHeight w:val="230"/>
        </w:trPr>
        <w:tc>
          <w:tcPr>
            <w:tcW w:w="2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80" w:type="dxa"/>
            <w:vAlign w:val="bottom"/>
            <w:gridSpan w:val="4"/>
          </w:tcPr>
          <w:p>
            <w:pPr>
              <w:ind w:left="160"/>
              <w:spacing w:after="0"/>
              <w:rPr>
                <w:sz w:val="20"/>
                <w:szCs w:val="20"/>
                <w:color w:val="auto"/>
              </w:rPr>
            </w:pPr>
            <w:r>
              <w:rPr>
                <w:rFonts w:ascii="Arial" w:cs="Arial" w:eastAsia="Arial" w:hAnsi="Arial"/>
                <w:sz w:val="18"/>
                <w:szCs w:val="18"/>
                <w:color w:val="auto"/>
              </w:rPr>
              <w:t>Entertainment</w:t>
            </w:r>
          </w:p>
        </w:tc>
        <w:tc>
          <w:tcPr>
            <w:tcW w:w="30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324"/>
        </w:trPr>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480" w:type="dxa"/>
            <w:vAlign w:val="bottom"/>
          </w:tcPr>
          <w:p>
            <w:pPr>
              <w:ind w:left="100"/>
              <w:spacing w:after="0"/>
              <w:rPr>
                <w:sz w:val="20"/>
                <w:szCs w:val="20"/>
                <w:color w:val="auto"/>
              </w:rPr>
            </w:pPr>
            <w:r>
              <w:rPr>
                <w:rFonts w:ascii="Arial" w:cs="Arial" w:eastAsia="Arial" w:hAnsi="Arial"/>
                <w:sz w:val="18"/>
                <w:szCs w:val="18"/>
                <w:color w:val="auto"/>
              </w:rPr>
              <w:t>Utilities</w:t>
            </w: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Arial" w:cs="Arial" w:eastAsia="Arial" w:hAnsi="Arial"/>
                <w:sz w:val="18"/>
                <w:szCs w:val="18"/>
                <w:color w:val="auto"/>
              </w:rPr>
              <w:t>Lodging, Leisure, Resorts</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2920" w:type="dxa"/>
            <w:vAlign w:val="bottom"/>
          </w:tcPr>
          <w:p>
            <w:pPr>
              <w:ind w:left="100"/>
              <w:spacing w:after="0"/>
              <w:rPr>
                <w:sz w:val="20"/>
                <w:szCs w:val="20"/>
                <w:color w:val="auto"/>
              </w:rPr>
            </w:pPr>
            <w:r>
              <w:rPr>
                <w:rFonts w:ascii="Arial" w:cs="Arial" w:eastAsia="Arial" w:hAnsi="Arial"/>
                <w:sz w:val="18"/>
                <w:szCs w:val="18"/>
                <w:color w:val="auto"/>
              </w:rPr>
              <w:t>Transportation</w:t>
            </w:r>
          </w:p>
        </w:tc>
      </w:tr>
      <w:tr>
        <w:trPr>
          <w:trHeight w:val="432"/>
        </w:trPr>
        <w:tc>
          <w:tcPr>
            <w:tcW w:w="7560" w:type="dxa"/>
            <w:vAlign w:val="bottom"/>
            <w:gridSpan w:val="8"/>
          </w:tcPr>
          <w:p>
            <w:pPr>
              <w:spacing w:after="0"/>
              <w:rPr>
                <w:sz w:val="20"/>
                <w:szCs w:val="20"/>
                <w:color w:val="auto"/>
              </w:rPr>
            </w:pPr>
            <w:r>
              <w:rPr>
                <w:rFonts w:ascii="Arial" w:cs="Arial" w:eastAsia="Arial" w:hAnsi="Arial"/>
                <w:sz w:val="18"/>
                <w:szCs w:val="18"/>
                <w:color w:val="auto"/>
                <w:w w:val="93"/>
              </w:rPr>
              <w:t>Additional Industry Classification Group Designated Pursuant to Section 5.12 as of the Effective Date:</w:t>
            </w:r>
          </w:p>
        </w:tc>
        <w:tc>
          <w:tcPr>
            <w:tcW w:w="3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32"/>
        </w:trPr>
        <w:tc>
          <w:tcPr>
            <w:tcW w:w="3720" w:type="dxa"/>
            <w:vAlign w:val="bottom"/>
            <w:gridSpan w:val="2"/>
          </w:tcPr>
          <w:p>
            <w:pPr>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20" w:type="dxa"/>
            <w:vAlign w:val="bottom"/>
          </w:tcPr>
          <w:p>
            <w:pPr>
              <w:spacing w:after="0"/>
              <w:rPr>
                <w:sz w:val="24"/>
                <w:szCs w:val="24"/>
                <w:color w:val="auto"/>
              </w:rPr>
            </w:pPr>
          </w:p>
        </w:tc>
      </w:tr>
    </w:tbl>
    <w:p>
      <w:pPr>
        <w:sectPr>
          <w:pgSz w:w="11900" w:h="16838" w:orient="portrait"/>
          <w:cols w:equalWidth="0" w:num="1">
            <w:col w:w="10780"/>
          </w:cols>
          <w:pgMar w:left="440" w:top="257" w:right="67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Material Agreements and Liens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Corporation’s 6.25% Senior Notes due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SBA debentures issued by PennantPark SBIC LP (the “SBA Debentures”);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UCC Liens: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Debtor</w:t>
            </w:r>
          </w:p>
        </w:tc>
        <w:tc>
          <w:tcPr>
            <w:tcW w:w="440" w:type="dxa"/>
            <w:vAlign w:val="bottom"/>
          </w:tcPr>
          <w:p>
            <w:pPr>
              <w:spacing w:after="0"/>
              <w:rPr>
                <w:sz w:val="14"/>
                <w:szCs w:val="14"/>
                <w:color w:val="auto"/>
              </w:rPr>
            </w:pPr>
          </w:p>
        </w:tc>
        <w:tc>
          <w:tcPr>
            <w:tcW w:w="1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Secured Party</w:t>
            </w:r>
          </w:p>
        </w:tc>
        <w:tc>
          <w:tcPr>
            <w:tcW w:w="16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Jurisdiction/ Office</w:t>
            </w:r>
          </w:p>
        </w:tc>
        <w:tc>
          <w:tcPr>
            <w:tcW w:w="660" w:type="dxa"/>
            <w:vAlign w:val="bottom"/>
          </w:tcPr>
          <w:p>
            <w:pPr>
              <w:spacing w:after="0"/>
              <w:rPr>
                <w:sz w:val="14"/>
                <w:szCs w:val="14"/>
                <w:color w:val="auto"/>
              </w:rPr>
            </w:pPr>
          </w:p>
        </w:tc>
        <w:tc>
          <w:tcPr>
            <w:tcW w:w="24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7"/>
              </w:rPr>
              <w:t>Filing Number</w:t>
            </w: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1120" w:type="dxa"/>
            <w:vAlign w:val="bottom"/>
          </w:tcPr>
          <w:p>
            <w:pPr>
              <w:ind w:left="2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148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64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2460" w:type="dxa"/>
            <w:vAlign w:val="bottom"/>
            <w:gridSpan w:val="2"/>
          </w:tcPr>
          <w:p>
            <w:pPr>
              <w:jc w:val="center"/>
              <w:ind w:right="660"/>
              <w:spacing w:after="0" w:line="158" w:lineRule="exact"/>
              <w:rPr>
                <w:sz w:val="20"/>
                <w:szCs w:val="20"/>
                <w:color w:val="auto"/>
              </w:rPr>
            </w:pPr>
            <w:r>
              <w:rPr>
                <w:rFonts w:ascii="Arial" w:cs="Arial" w:eastAsia="Arial" w:hAnsi="Arial"/>
                <w:sz w:val="14"/>
                <w:szCs w:val="14"/>
                <w:b w:val="1"/>
                <w:bCs w:val="1"/>
                <w:color w:val="auto"/>
                <w:w w:val="95"/>
              </w:rPr>
              <w:t>Date Filed</w:t>
            </w:r>
          </w:p>
        </w:tc>
        <w:tc>
          <w:tcPr>
            <w:tcW w:w="1320" w:type="dxa"/>
            <w:vAlign w:val="bottom"/>
            <w:gridSpan w:val="2"/>
            <w:vMerge w:val="continue"/>
          </w:tcPr>
          <w:p>
            <w:pPr>
              <w:spacing w:after="0"/>
              <w:rPr>
                <w:sz w:val="13"/>
                <w:szCs w:val="13"/>
                <w:color w:val="auto"/>
              </w:rPr>
            </w:pPr>
          </w:p>
        </w:tc>
        <w:tc>
          <w:tcPr>
            <w:tcW w:w="1120" w:type="dxa"/>
            <w:vAlign w:val="bottom"/>
          </w:tcPr>
          <w:p>
            <w:pPr>
              <w:ind w:left="200"/>
              <w:spacing w:after="0" w:line="158" w:lineRule="exact"/>
              <w:rPr>
                <w:sz w:val="20"/>
                <w:szCs w:val="20"/>
                <w:color w:val="auto"/>
              </w:rPr>
            </w:pPr>
            <w:r>
              <w:rPr>
                <w:rFonts w:ascii="Arial" w:cs="Arial" w:eastAsia="Arial" w:hAnsi="Arial"/>
                <w:sz w:val="14"/>
                <w:szCs w:val="14"/>
                <w:b w:val="1"/>
                <w:bCs w:val="1"/>
                <w:color w:val="auto"/>
              </w:rPr>
              <w:t>of collateral</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480" w:type="dxa"/>
            <w:vAlign w:val="bottom"/>
            <w:gridSpan w:val="2"/>
          </w:tcPr>
          <w:p>
            <w:pPr>
              <w:spacing w:after="0" w:line="171" w:lineRule="exact"/>
              <w:rPr>
                <w:sz w:val="20"/>
                <w:szCs w:val="20"/>
                <w:color w:val="auto"/>
              </w:rPr>
            </w:pPr>
            <w:r>
              <w:rPr>
                <w:rFonts w:ascii="Arial" w:cs="Arial" w:eastAsia="Arial" w:hAnsi="Arial"/>
                <w:sz w:val="18"/>
                <w:szCs w:val="18"/>
                <w:b w:val="1"/>
                <w:bCs w:val="1"/>
                <w:color w:val="auto"/>
              </w:rPr>
              <w:t>PennantPark</w:t>
            </w:r>
          </w:p>
        </w:tc>
        <w:tc>
          <w:tcPr>
            <w:tcW w:w="440" w:type="dxa"/>
            <w:vAlign w:val="bottom"/>
            <w:vMerge w:val="continue"/>
          </w:tcPr>
          <w:p>
            <w:pPr>
              <w:spacing w:after="0"/>
              <w:rPr>
                <w:sz w:val="14"/>
                <w:szCs w:val="14"/>
                <w:color w:val="auto"/>
              </w:rPr>
            </w:pPr>
          </w:p>
        </w:tc>
        <w:tc>
          <w:tcPr>
            <w:tcW w:w="1260" w:type="dxa"/>
            <w:vAlign w:val="bottom"/>
          </w:tcPr>
          <w:p>
            <w:pPr>
              <w:spacing w:after="0" w:line="171" w:lineRule="exact"/>
              <w:rPr>
                <w:sz w:val="20"/>
                <w:szCs w:val="20"/>
                <w:color w:val="auto"/>
              </w:rPr>
            </w:pPr>
            <w:r>
              <w:rPr>
                <w:rFonts w:ascii="Arial" w:cs="Arial" w:eastAsia="Arial" w:hAnsi="Arial"/>
                <w:sz w:val="18"/>
                <w:szCs w:val="18"/>
                <w:b w:val="1"/>
                <w:bCs w:val="1"/>
                <w:color w:val="auto"/>
              </w:rPr>
              <w:t>EverBank</w:t>
            </w:r>
          </w:p>
        </w:tc>
        <w:tc>
          <w:tcPr>
            <w:tcW w:w="640" w:type="dxa"/>
            <w:vAlign w:val="bottom"/>
            <w:vMerge w:val="continue"/>
          </w:tcPr>
          <w:p>
            <w:pPr>
              <w:spacing w:after="0"/>
              <w:rPr>
                <w:sz w:val="14"/>
                <w:szCs w:val="14"/>
                <w:color w:val="auto"/>
              </w:rPr>
            </w:pPr>
          </w:p>
        </w:tc>
        <w:tc>
          <w:tcPr>
            <w:tcW w:w="1640" w:type="dxa"/>
            <w:vAlign w:val="bottom"/>
          </w:tcPr>
          <w:p>
            <w:pPr>
              <w:ind w:left="20"/>
              <w:spacing w:after="0" w:line="171" w:lineRule="exact"/>
              <w:rPr>
                <w:sz w:val="20"/>
                <w:szCs w:val="20"/>
                <w:color w:val="auto"/>
              </w:rPr>
            </w:pPr>
            <w:r>
              <w:rPr>
                <w:rFonts w:ascii="Arial" w:cs="Arial" w:eastAsia="Arial" w:hAnsi="Arial"/>
                <w:sz w:val="18"/>
                <w:szCs w:val="18"/>
                <w:b w:val="1"/>
                <w:bCs w:val="1"/>
                <w:color w:val="auto"/>
              </w:rPr>
              <w:t>Maryland</w:t>
            </w:r>
          </w:p>
        </w:tc>
        <w:tc>
          <w:tcPr>
            <w:tcW w:w="660" w:type="dxa"/>
            <w:vAlign w:val="bottom"/>
            <w:vMerge w:val="continue"/>
          </w:tcPr>
          <w:p>
            <w:pPr>
              <w:spacing w:after="0"/>
              <w:rPr>
                <w:sz w:val="14"/>
                <w:szCs w:val="14"/>
                <w:color w:val="auto"/>
              </w:rPr>
            </w:pPr>
          </w:p>
        </w:tc>
        <w:tc>
          <w:tcPr>
            <w:tcW w:w="1820" w:type="dxa"/>
            <w:vAlign w:val="bottom"/>
          </w:tcPr>
          <w:p>
            <w:pPr>
              <w:spacing w:after="0" w:line="171" w:lineRule="exact"/>
              <w:rPr>
                <w:sz w:val="20"/>
                <w:szCs w:val="20"/>
                <w:color w:val="auto"/>
              </w:rPr>
            </w:pPr>
            <w:r>
              <w:rPr>
                <w:rFonts w:ascii="Arial" w:cs="Arial" w:eastAsia="Arial" w:hAnsi="Arial"/>
                <w:sz w:val="18"/>
                <w:szCs w:val="18"/>
                <w:b w:val="1"/>
                <w:bCs w:val="1"/>
                <w:color w:val="auto"/>
              </w:rPr>
              <w:t>0000000181470645</w:t>
            </w:r>
          </w:p>
        </w:tc>
        <w:tc>
          <w:tcPr>
            <w:tcW w:w="640" w:type="dxa"/>
            <w:vAlign w:val="bottom"/>
            <w:vMerge w:val="continue"/>
          </w:tcPr>
          <w:p>
            <w:pPr>
              <w:spacing w:after="0"/>
              <w:rPr>
                <w:sz w:val="14"/>
                <w:szCs w:val="14"/>
                <w:color w:val="auto"/>
              </w:rPr>
            </w:pPr>
          </w:p>
        </w:tc>
        <w:tc>
          <w:tcPr>
            <w:tcW w:w="680" w:type="dxa"/>
            <w:vAlign w:val="bottom"/>
          </w:tcPr>
          <w:p>
            <w:pPr>
              <w:spacing w:after="0" w:line="171" w:lineRule="exact"/>
              <w:rPr>
                <w:sz w:val="20"/>
                <w:szCs w:val="20"/>
                <w:color w:val="auto"/>
              </w:rPr>
            </w:pPr>
            <w:r>
              <w:rPr>
                <w:rFonts w:ascii="Arial" w:cs="Arial" w:eastAsia="Arial" w:hAnsi="Arial"/>
                <w:sz w:val="18"/>
                <w:szCs w:val="18"/>
                <w:b w:val="1"/>
                <w:bCs w:val="1"/>
                <w:color w:val="auto"/>
              </w:rPr>
              <w:t>UCC-1</w:t>
            </w:r>
          </w:p>
        </w:tc>
        <w:tc>
          <w:tcPr>
            <w:tcW w:w="640" w:type="dxa"/>
            <w:vAlign w:val="bottom"/>
            <w:vMerge w:val="continue"/>
          </w:tcPr>
          <w:p>
            <w:pPr>
              <w:spacing w:after="0"/>
              <w:rPr>
                <w:sz w:val="14"/>
                <w:szCs w:val="14"/>
                <w:color w:val="auto"/>
              </w:rPr>
            </w:pPr>
          </w:p>
        </w:tc>
        <w:tc>
          <w:tcPr>
            <w:tcW w:w="1120" w:type="dxa"/>
            <w:vAlign w:val="bottom"/>
          </w:tcPr>
          <w:p>
            <w:pPr>
              <w:spacing w:after="0" w:line="171" w:lineRule="exact"/>
              <w:rPr>
                <w:sz w:val="20"/>
                <w:szCs w:val="20"/>
                <w:color w:val="auto"/>
              </w:rPr>
            </w:pPr>
            <w:r>
              <w:rPr>
                <w:rFonts w:ascii="Arial" w:cs="Arial" w:eastAsia="Arial" w:hAnsi="Arial"/>
                <w:sz w:val="18"/>
                <w:szCs w:val="18"/>
                <w:b w:val="1"/>
                <w:bCs w:val="1"/>
                <w:color w:val="auto"/>
              </w:rPr>
              <w:t>Office</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2340" w:type="dxa"/>
            <w:vAlign w:val="bottom"/>
            <w:gridSpan w:val="3"/>
          </w:tcPr>
          <w:p>
            <w:pPr>
              <w:ind w:left="440"/>
              <w:spacing w:after="0"/>
              <w:rPr>
                <w:sz w:val="20"/>
                <w:szCs w:val="20"/>
                <w:color w:val="auto"/>
              </w:rPr>
            </w:pPr>
            <w:r>
              <w:rPr>
                <w:rFonts w:ascii="Arial" w:cs="Arial" w:eastAsia="Arial" w:hAnsi="Arial"/>
                <w:sz w:val="18"/>
                <w:szCs w:val="18"/>
                <w:b w:val="1"/>
                <w:bCs w:val="1"/>
                <w:color w:val="auto"/>
              </w:rPr>
              <w:t>Commercial</w:t>
            </w:r>
          </w:p>
        </w:tc>
        <w:tc>
          <w:tcPr>
            <w:tcW w:w="1640" w:type="dxa"/>
            <w:vAlign w:val="bottom"/>
          </w:tcPr>
          <w:p>
            <w:pPr>
              <w:ind w:left="20"/>
              <w:spacing w:after="0"/>
              <w:rPr>
                <w:sz w:val="20"/>
                <w:szCs w:val="20"/>
                <w:color w:val="auto"/>
              </w:rPr>
            </w:pPr>
            <w:r>
              <w:rPr>
                <w:rFonts w:ascii="Arial" w:cs="Arial" w:eastAsia="Arial" w:hAnsi="Arial"/>
                <w:sz w:val="18"/>
                <w:szCs w:val="18"/>
                <w:b w:val="1"/>
                <w:bCs w:val="1"/>
                <w:color w:val="auto"/>
              </w:rPr>
              <w:t>Department of</w:t>
            </w:r>
          </w:p>
        </w:tc>
        <w:tc>
          <w:tcPr>
            <w:tcW w:w="2480" w:type="dxa"/>
            <w:vAlign w:val="bottom"/>
            <w:gridSpan w:val="2"/>
          </w:tcPr>
          <w:p>
            <w:pPr>
              <w:ind w:left="660"/>
              <w:spacing w:after="0"/>
              <w:rPr>
                <w:sz w:val="20"/>
                <w:szCs w:val="20"/>
                <w:color w:val="auto"/>
              </w:rPr>
            </w:pPr>
            <w:r>
              <w:rPr>
                <w:rFonts w:ascii="Arial" w:cs="Arial" w:eastAsia="Arial" w:hAnsi="Arial"/>
                <w:sz w:val="18"/>
                <w:szCs w:val="18"/>
                <w:b w:val="1"/>
                <w:bCs w:val="1"/>
                <w:color w:val="auto"/>
              </w:rPr>
              <w:t>4/24/2013</w:t>
            </w: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Equipment</w:t>
            </w:r>
          </w:p>
        </w:tc>
        <w:tc>
          <w:tcPr>
            <w:tcW w:w="0" w:type="dxa"/>
            <w:vAlign w:val="bottom"/>
          </w:tcPr>
          <w:p>
            <w:pPr>
              <w:spacing w:after="0"/>
              <w:rPr>
                <w:sz w:val="1"/>
                <w:szCs w:val="1"/>
                <w:color w:val="auto"/>
              </w:rPr>
            </w:pPr>
          </w:p>
        </w:tc>
      </w:tr>
      <w:tr>
        <w:trPr>
          <w:trHeight w:val="229"/>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Corporation</w:t>
            </w:r>
          </w:p>
        </w:tc>
        <w:tc>
          <w:tcPr>
            <w:tcW w:w="2340" w:type="dxa"/>
            <w:vAlign w:val="bottom"/>
            <w:gridSpan w:val="3"/>
          </w:tcPr>
          <w:p>
            <w:pPr>
              <w:ind w:left="440"/>
              <w:spacing w:after="0"/>
              <w:rPr>
                <w:sz w:val="20"/>
                <w:szCs w:val="20"/>
                <w:color w:val="auto"/>
              </w:rPr>
            </w:pPr>
            <w:r>
              <w:rPr>
                <w:rFonts w:ascii="Arial" w:cs="Arial" w:eastAsia="Arial" w:hAnsi="Arial"/>
                <w:sz w:val="18"/>
                <w:szCs w:val="18"/>
                <w:b w:val="1"/>
                <w:bCs w:val="1"/>
                <w:color w:val="auto"/>
              </w:rPr>
              <w:t>Finance, Inc.</w:t>
            </w:r>
          </w:p>
        </w:tc>
        <w:tc>
          <w:tcPr>
            <w:tcW w:w="1640" w:type="dxa"/>
            <w:vAlign w:val="bottom"/>
          </w:tcPr>
          <w:p>
            <w:pPr>
              <w:ind w:left="20"/>
              <w:spacing w:after="0"/>
              <w:rPr>
                <w:sz w:val="20"/>
                <w:szCs w:val="20"/>
                <w:color w:val="auto"/>
              </w:rPr>
            </w:pPr>
            <w:r>
              <w:rPr>
                <w:rFonts w:ascii="Arial" w:cs="Arial" w:eastAsia="Arial" w:hAnsi="Arial"/>
                <w:sz w:val="18"/>
                <w:szCs w:val="18"/>
                <w:b w:val="1"/>
                <w:bCs w:val="1"/>
                <w:color w:val="auto"/>
              </w:rPr>
              <w:t>Assessments and</w:t>
            </w:r>
          </w:p>
        </w:tc>
        <w:tc>
          <w:tcPr>
            <w:tcW w:w="6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40" w:type="dxa"/>
            <w:vAlign w:val="bottom"/>
          </w:tcPr>
          <w:p>
            <w:pPr>
              <w:ind w:left="20"/>
              <w:spacing w:after="0"/>
              <w:rPr>
                <w:sz w:val="20"/>
                <w:szCs w:val="20"/>
                <w:color w:val="auto"/>
              </w:rPr>
            </w:pPr>
            <w:r>
              <w:rPr>
                <w:rFonts w:ascii="Arial" w:cs="Arial" w:eastAsia="Arial" w:hAnsi="Arial"/>
                <w:sz w:val="18"/>
                <w:szCs w:val="18"/>
                <w:b w:val="1"/>
                <w:bCs w:val="1"/>
                <w:color w:val="auto"/>
              </w:rPr>
              <w:t>Taxation</w:t>
            </w:r>
          </w:p>
        </w:tc>
        <w:tc>
          <w:tcPr>
            <w:tcW w:w="6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Liens: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SBA Debentures are secured by all the investment portfolio assets of PennantPark SBIC LP and PennantPark SBIC II LP and have priority claim over such assets relative to all creditors.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Holdings of PennantPark SBIC LP which are pledged to the U.S. Government Small Business Administration: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Bottom Line Systems,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Broder Bros., 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Cano Health,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Cascade Environmental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Corfin Industries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Credit Infonet,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DermaRite Industries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Harbortouch Payments,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Juniper Landscaping of Florida, LLC</w:t>
      </w:r>
    </w:p>
    <w:p>
      <w:pPr>
        <w:sectPr>
          <w:pgSz w:w="11900" w:h="16838" w:orient="portrait"/>
          <w:cols w:equalWidth="0" w:num="1">
            <w:col w:w="11020"/>
          </w:cols>
          <w:pgMar w:left="440" w:top="270" w:right="4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K2 Pure Solutions NoCal,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Roto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Sonny’s Enterprises,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 Well Services, LLC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Holdings of PennantPark SBIC II LP which are pledged to the U.S. Government Small Business Administration: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Infogroup Parent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Infogroup,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MailSouth,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MidOcean JF Holdings Corp.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Patriot National,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Randall-Reilly,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Triad Manufacturing,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Veritext Corp.</w:t>
      </w:r>
    </w:p>
    <w:p>
      <w:pPr>
        <w:sectPr>
          <w:pgSz w:w="11900" w:h="16838" w:orient="portrait"/>
          <w:cols w:equalWidth="0" w:num="1">
            <w:col w:w="10019"/>
          </w:cols>
          <w:pgMar w:left="440" w:top="274" w:right="1440" w:bottom="1440" w:gutter="0" w:footer="0" w:header="0"/>
        </w:sectPr>
      </w:pPr>
    </w:p>
    <w:bookmarkStart w:id="174" w:name="page175"/>
    <w:bookmarkEnd w:id="174"/>
    <w:p>
      <w:pPr>
        <w:jc w:val="center"/>
        <w:ind w:right="-1000"/>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3.12(a)</w:t>
      </w:r>
    </w:p>
    <w:p>
      <w:pPr>
        <w:spacing w:after="0" w:line="2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u w:val="single" w:color="auto"/>
          <w:color w:val="auto"/>
        </w:rPr>
        <w:t>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PNNT Alabama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PNNT CI (GALLS) Prime Investment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PNNT Transportation 100 Holdco,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PennantPark SBIC GP,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PennantPark SBIC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PNNT Acentia,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PennantPark SBIC GP 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PennantPark SBIC II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PNNT Power Products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PNNT New Gulf Resources,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PNNT ecoserve,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PNNT CI (FBM) Investment Holdings LLC</w:t>
      </w:r>
    </w:p>
    <w:p>
      <w:pPr>
        <w:sectPr>
          <w:pgSz w:w="11900" w:h="16838" w:orient="portrait"/>
          <w:cols w:equalWidth="0" w:num="1">
            <w:col w:w="10019"/>
          </w:cols>
          <w:pgMar w:left="440" w:top="270" w:right="1440"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3.12(b)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Investments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of Investment</w:t>
            </w:r>
          </w:p>
        </w:tc>
        <w:tc>
          <w:tcPr>
            <w:tcW w:w="1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Person Holding the Investment</w:t>
            </w:r>
          </w:p>
        </w:tc>
        <w:tc>
          <w:tcPr>
            <w:tcW w:w="200" w:type="dxa"/>
            <w:vAlign w:val="bottom"/>
          </w:tcPr>
          <w:p>
            <w:pPr>
              <w:spacing w:after="0"/>
              <w:rPr>
                <w:sz w:val="16"/>
                <w:szCs w:val="16"/>
                <w:color w:val="auto"/>
              </w:rPr>
            </w:pPr>
          </w:p>
        </w:tc>
        <w:tc>
          <w:tcPr>
            <w:tcW w:w="272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Nature of the Investment</w:t>
            </w:r>
          </w:p>
        </w:tc>
      </w:tr>
      <w:tr>
        <w:trPr>
          <w:trHeight w:val="189"/>
        </w:trPr>
        <w:tc>
          <w:tcPr>
            <w:tcW w:w="3220" w:type="dxa"/>
            <w:vAlign w:val="bottom"/>
            <w:gridSpan w:val="2"/>
          </w:tcPr>
          <w:p>
            <w:pPr>
              <w:spacing w:after="0" w:line="189" w:lineRule="exact"/>
              <w:rPr>
                <w:sz w:val="20"/>
                <w:szCs w:val="20"/>
                <w:color w:val="auto"/>
              </w:rPr>
            </w:pPr>
            <w:r>
              <w:rPr>
                <w:rFonts w:ascii="Arial" w:cs="Arial" w:eastAsia="Arial" w:hAnsi="Arial"/>
                <w:sz w:val="18"/>
                <w:szCs w:val="18"/>
                <w:color w:val="auto"/>
              </w:rPr>
              <w:t>American Gilsonite Company</w:t>
            </w:r>
          </w:p>
        </w:tc>
        <w:tc>
          <w:tcPr>
            <w:tcW w:w="940" w:type="dxa"/>
            <w:vAlign w:val="bottom"/>
          </w:tcPr>
          <w:p>
            <w:pPr>
              <w:spacing w:after="0"/>
              <w:rPr>
                <w:sz w:val="16"/>
                <w:szCs w:val="16"/>
                <w:color w:val="auto"/>
              </w:rPr>
            </w:pPr>
          </w:p>
        </w:tc>
        <w:tc>
          <w:tcPr>
            <w:tcW w:w="3040" w:type="dxa"/>
            <w:vAlign w:val="bottom"/>
          </w:tcPr>
          <w:p>
            <w:pPr>
              <w:spacing w:after="0" w:line="189" w:lineRule="exact"/>
              <w:rPr>
                <w:sz w:val="20"/>
                <w:szCs w:val="20"/>
                <w:color w:val="auto"/>
              </w:rPr>
            </w:pPr>
            <w:r>
              <w:rPr>
                <w:rFonts w:ascii="Arial" w:cs="Arial" w:eastAsia="Arial" w:hAnsi="Arial"/>
                <w:sz w:val="18"/>
                <w:szCs w:val="18"/>
                <w:color w:val="auto"/>
              </w:rPr>
              <w:t>PennantPark Investment Corporation</w:t>
            </w:r>
          </w:p>
        </w:tc>
        <w:tc>
          <w:tcPr>
            <w:tcW w:w="200" w:type="dxa"/>
            <w:vAlign w:val="bottom"/>
          </w:tcPr>
          <w:p>
            <w:pPr>
              <w:spacing w:after="0"/>
              <w:rPr>
                <w:sz w:val="16"/>
                <w:szCs w:val="16"/>
                <w:color w:val="auto"/>
              </w:rPr>
            </w:pPr>
          </w:p>
        </w:tc>
        <w:tc>
          <w:tcPr>
            <w:tcW w:w="2720" w:type="dxa"/>
            <w:vAlign w:val="bottom"/>
          </w:tcPr>
          <w:p>
            <w:pPr>
              <w:spacing w:after="0" w:line="189" w:lineRule="exact"/>
              <w:rPr>
                <w:sz w:val="20"/>
                <w:szCs w:val="20"/>
                <w:color w:val="auto"/>
              </w:rPr>
            </w:pPr>
            <w:r>
              <w:rPr>
                <w:rFonts w:ascii="Arial" w:cs="Arial" w:eastAsia="Arial" w:hAnsi="Arial"/>
                <w:sz w:val="18"/>
                <w:szCs w:val="18"/>
                <w:color w:val="auto"/>
              </w:rPr>
              <w:t>First Lien</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Broder Bros., Co. (Tranche A)</w:t>
            </w:r>
          </w:p>
        </w:tc>
        <w:tc>
          <w:tcPr>
            <w:tcW w:w="3980" w:type="dxa"/>
            <w:vAlign w:val="bottom"/>
            <w:gridSpan w:val="2"/>
          </w:tcPr>
          <w:p>
            <w:pPr>
              <w:ind w:left="94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First Lien</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Broder Bros., Co. (Tranche B)</w:t>
            </w:r>
          </w:p>
        </w:tc>
        <w:tc>
          <w:tcPr>
            <w:tcW w:w="3980" w:type="dxa"/>
            <w:vAlign w:val="bottom"/>
            <w:gridSpan w:val="2"/>
          </w:tcPr>
          <w:p>
            <w:pPr>
              <w:ind w:left="94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First Lien</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Cano Health, LLC</w:t>
            </w:r>
          </w:p>
        </w:tc>
        <w:tc>
          <w:tcPr>
            <w:tcW w:w="3980" w:type="dxa"/>
            <w:vAlign w:val="bottom"/>
            <w:gridSpan w:val="2"/>
          </w:tcPr>
          <w:p>
            <w:pPr>
              <w:ind w:left="94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First Lien</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Corfin Industries LLC</w:t>
            </w:r>
          </w:p>
        </w:tc>
        <w:tc>
          <w:tcPr>
            <w:tcW w:w="3980" w:type="dxa"/>
            <w:vAlign w:val="bottom"/>
            <w:gridSpan w:val="2"/>
          </w:tcPr>
          <w:p>
            <w:pPr>
              <w:ind w:left="94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First Lien</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Hollander Sleep Products, LLC</w:t>
            </w:r>
          </w:p>
        </w:tc>
        <w:tc>
          <w:tcPr>
            <w:tcW w:w="3980" w:type="dxa"/>
            <w:vAlign w:val="bottom"/>
            <w:gridSpan w:val="2"/>
          </w:tcPr>
          <w:p>
            <w:pPr>
              <w:ind w:left="94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First Lien</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Interior Specialists, Inc.</w:t>
            </w:r>
          </w:p>
        </w:tc>
        <w:tc>
          <w:tcPr>
            <w:tcW w:w="3980" w:type="dxa"/>
            <w:vAlign w:val="bottom"/>
            <w:gridSpan w:val="2"/>
          </w:tcPr>
          <w:p>
            <w:pPr>
              <w:ind w:left="94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First Lien</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One Sixty Over Ninety, LLC</w:t>
            </w:r>
          </w:p>
        </w:tc>
        <w:tc>
          <w:tcPr>
            <w:tcW w:w="3980" w:type="dxa"/>
            <w:vAlign w:val="bottom"/>
            <w:gridSpan w:val="2"/>
          </w:tcPr>
          <w:p>
            <w:pPr>
              <w:ind w:left="94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First Lien</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Prince Mineral Holding Corp.</w:t>
            </w:r>
          </w:p>
        </w:tc>
        <w:tc>
          <w:tcPr>
            <w:tcW w:w="3980" w:type="dxa"/>
            <w:vAlign w:val="bottom"/>
            <w:gridSpan w:val="2"/>
          </w:tcPr>
          <w:p>
            <w:pPr>
              <w:ind w:left="94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First Lien</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RAM Energy LLC - Tranche A</w:t>
            </w:r>
          </w:p>
        </w:tc>
        <w:tc>
          <w:tcPr>
            <w:tcW w:w="3980" w:type="dxa"/>
            <w:vAlign w:val="bottom"/>
            <w:gridSpan w:val="2"/>
          </w:tcPr>
          <w:p>
            <w:pPr>
              <w:ind w:left="94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First Lien</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Robertshaw US Holding Corp.</w:t>
            </w:r>
          </w:p>
        </w:tc>
        <w:tc>
          <w:tcPr>
            <w:tcW w:w="3980" w:type="dxa"/>
            <w:vAlign w:val="bottom"/>
            <w:gridSpan w:val="2"/>
          </w:tcPr>
          <w:p>
            <w:pPr>
              <w:ind w:left="94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First Lien</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Sunborn Oy, Sunborn Saga Oy</w:t>
            </w:r>
          </w:p>
        </w:tc>
        <w:tc>
          <w:tcPr>
            <w:tcW w:w="3980" w:type="dxa"/>
            <w:vAlign w:val="bottom"/>
            <w:gridSpan w:val="2"/>
          </w:tcPr>
          <w:p>
            <w:pPr>
              <w:ind w:left="94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First Lien</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Superior Digital Displays, LLC</w:t>
            </w:r>
          </w:p>
        </w:tc>
        <w:tc>
          <w:tcPr>
            <w:tcW w:w="3980" w:type="dxa"/>
            <w:vAlign w:val="bottom"/>
            <w:gridSpan w:val="2"/>
          </w:tcPr>
          <w:p>
            <w:pPr>
              <w:ind w:left="94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First Lien</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TRAK Acquisition Corp.</w:t>
            </w:r>
          </w:p>
        </w:tc>
        <w:tc>
          <w:tcPr>
            <w:tcW w:w="3980" w:type="dxa"/>
            <w:vAlign w:val="bottom"/>
            <w:gridSpan w:val="2"/>
          </w:tcPr>
          <w:p>
            <w:pPr>
              <w:ind w:left="94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First Lien</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Triad Manufacturing, Inc.</w:t>
            </w:r>
          </w:p>
        </w:tc>
        <w:tc>
          <w:tcPr>
            <w:tcW w:w="3980" w:type="dxa"/>
            <w:vAlign w:val="bottom"/>
            <w:gridSpan w:val="2"/>
          </w:tcPr>
          <w:p>
            <w:pPr>
              <w:ind w:left="94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First Lien</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Trust Inns Limited</w:t>
            </w:r>
          </w:p>
        </w:tc>
        <w:tc>
          <w:tcPr>
            <w:tcW w:w="3980" w:type="dxa"/>
            <w:vAlign w:val="bottom"/>
            <w:gridSpan w:val="2"/>
          </w:tcPr>
          <w:p>
            <w:pPr>
              <w:ind w:left="94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First Lien</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US Med Acquisition, Inc.</w:t>
            </w:r>
          </w:p>
        </w:tc>
        <w:tc>
          <w:tcPr>
            <w:tcW w:w="3980" w:type="dxa"/>
            <w:vAlign w:val="bottom"/>
            <w:gridSpan w:val="2"/>
          </w:tcPr>
          <w:p>
            <w:pPr>
              <w:ind w:left="94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First Lien</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U.S. Well Services, LLC</w:t>
            </w:r>
          </w:p>
        </w:tc>
        <w:tc>
          <w:tcPr>
            <w:tcW w:w="3980" w:type="dxa"/>
            <w:vAlign w:val="bottom"/>
            <w:gridSpan w:val="2"/>
          </w:tcPr>
          <w:p>
            <w:pPr>
              <w:ind w:left="94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First Lien</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Acre Operating Company, LLC</w:t>
            </w:r>
          </w:p>
        </w:tc>
        <w:tc>
          <w:tcPr>
            <w:tcW w:w="3980" w:type="dxa"/>
            <w:vAlign w:val="bottom"/>
            <w:gridSpan w:val="2"/>
          </w:tcPr>
          <w:p>
            <w:pPr>
              <w:ind w:left="94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Second Lien</w:t>
            </w: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Balboa Capital Corporation</w:t>
            </w:r>
          </w:p>
        </w:tc>
        <w:tc>
          <w:tcPr>
            <w:tcW w:w="3980" w:type="dxa"/>
            <w:vAlign w:val="bottom"/>
            <w:gridSpan w:val="2"/>
          </w:tcPr>
          <w:p>
            <w:pPr>
              <w:ind w:left="94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Second Lien</w:t>
            </w:r>
          </w:p>
        </w:tc>
      </w:tr>
    </w:tbl>
    <w:p>
      <w:pPr>
        <w:sectPr>
          <w:pgSz w:w="11900" w:h="16838" w:orient="portrait"/>
          <w:cols w:equalWidth="0" w:num="1">
            <w:col w:w="10120"/>
          </w:cols>
          <w:pgMar w:left="880" w:top="270" w:right="899" w:bottom="1440" w:gutter="0" w:footer="0" w:header="0"/>
        </w:sectPr>
      </w:pPr>
    </w:p>
    <w:bookmarkStart w:id="176" w:name="page177"/>
    <w:bookmarkEnd w:id="17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Name of Investment</w:t>
            </w:r>
          </w:p>
        </w:tc>
        <w:tc>
          <w:tcPr>
            <w:tcW w:w="120" w:type="dxa"/>
            <w:vAlign w:val="bottom"/>
          </w:tcPr>
          <w:p>
            <w:pPr>
              <w:spacing w:after="0"/>
              <w:rPr>
                <w:sz w:val="16"/>
                <w:szCs w:val="16"/>
                <w:color w:val="auto"/>
              </w:rPr>
            </w:pPr>
          </w:p>
        </w:tc>
        <w:tc>
          <w:tcPr>
            <w:tcW w:w="3040" w:type="dxa"/>
            <w:vAlign w:val="bottom"/>
          </w:tcPr>
          <w:p>
            <w:pPr>
              <w:ind w:left="560"/>
              <w:spacing w:after="0"/>
              <w:rPr>
                <w:sz w:val="20"/>
                <w:szCs w:val="20"/>
                <w:color w:val="auto"/>
              </w:rPr>
            </w:pPr>
            <w:r>
              <w:rPr>
                <w:rFonts w:ascii="Arial" w:cs="Arial" w:eastAsia="Arial" w:hAnsi="Arial"/>
                <w:sz w:val="14"/>
                <w:szCs w:val="14"/>
                <w:b w:val="1"/>
                <w:bCs w:val="1"/>
                <w:color w:val="auto"/>
              </w:rPr>
              <w:t>Person Holding the Investment</w:t>
            </w:r>
          </w:p>
        </w:tc>
        <w:tc>
          <w:tcPr>
            <w:tcW w:w="200" w:type="dxa"/>
            <w:vAlign w:val="bottom"/>
          </w:tcPr>
          <w:p>
            <w:pPr>
              <w:spacing w:after="0"/>
              <w:rPr>
                <w:sz w:val="16"/>
                <w:szCs w:val="16"/>
                <w:color w:val="auto"/>
              </w:rPr>
            </w:pPr>
          </w:p>
        </w:tc>
        <w:tc>
          <w:tcPr>
            <w:tcW w:w="2720" w:type="dxa"/>
            <w:vAlign w:val="bottom"/>
          </w:tcPr>
          <w:p>
            <w:pPr>
              <w:ind w:left="600"/>
              <w:spacing w:after="0"/>
              <w:rPr>
                <w:sz w:val="20"/>
                <w:szCs w:val="20"/>
                <w:color w:val="auto"/>
              </w:rPr>
            </w:pPr>
            <w:r>
              <w:rPr>
                <w:rFonts w:ascii="Arial" w:cs="Arial" w:eastAsia="Arial" w:hAnsi="Arial"/>
                <w:sz w:val="14"/>
                <w:szCs w:val="14"/>
                <w:b w:val="1"/>
                <w:bCs w:val="1"/>
                <w:color w:val="auto"/>
              </w:rPr>
              <w:t>Nature of the Investment</w:t>
            </w:r>
          </w:p>
        </w:tc>
      </w:tr>
      <w:tr>
        <w:trPr>
          <w:trHeight w:val="189"/>
        </w:trPr>
        <w:tc>
          <w:tcPr>
            <w:tcW w:w="12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7"/>
              </w:rPr>
              <w:t>EnviroSolutions</w:t>
            </w:r>
          </w:p>
        </w:tc>
        <w:tc>
          <w:tcPr>
            <w:tcW w:w="2800" w:type="dxa"/>
            <w:vAlign w:val="bottom"/>
          </w:tcPr>
          <w:p>
            <w:pPr>
              <w:spacing w:after="0" w:line="189" w:lineRule="exact"/>
              <w:rPr>
                <w:sz w:val="20"/>
                <w:szCs w:val="20"/>
                <w:color w:val="auto"/>
              </w:rPr>
            </w:pPr>
            <w:r>
              <w:rPr>
                <w:rFonts w:ascii="Arial" w:cs="Arial" w:eastAsia="Arial" w:hAnsi="Arial"/>
                <w:sz w:val="18"/>
                <w:szCs w:val="18"/>
                <w:color w:val="auto"/>
              </w:rPr>
              <w:t>Real Property Holdings, Inc.</w:t>
            </w:r>
          </w:p>
        </w:tc>
        <w:tc>
          <w:tcPr>
            <w:tcW w:w="120" w:type="dxa"/>
            <w:vAlign w:val="bottom"/>
          </w:tcPr>
          <w:p>
            <w:pPr>
              <w:spacing w:after="0"/>
              <w:rPr>
                <w:sz w:val="16"/>
                <w:szCs w:val="16"/>
                <w:color w:val="auto"/>
              </w:rPr>
            </w:pPr>
          </w:p>
        </w:tc>
        <w:tc>
          <w:tcPr>
            <w:tcW w:w="30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PennantPark Investment Corporation</w:t>
            </w:r>
          </w:p>
        </w:tc>
        <w:tc>
          <w:tcPr>
            <w:tcW w:w="200" w:type="dxa"/>
            <w:vAlign w:val="bottom"/>
          </w:tcPr>
          <w:p>
            <w:pPr>
              <w:spacing w:after="0"/>
              <w:rPr>
                <w:sz w:val="16"/>
                <w:szCs w:val="16"/>
                <w:color w:val="auto"/>
              </w:rPr>
            </w:pPr>
          </w:p>
        </w:tc>
        <w:tc>
          <w:tcPr>
            <w:tcW w:w="27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Second Lien</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Harbortouch Payments, LLC</w:t>
            </w: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Second Lien</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Howard Berger Co. LLC</w:t>
            </w: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Second Lien</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Intermediate Transportation 100, LLC</w:t>
            </w: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Second Lien</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MailSouth, Inc.</w:t>
            </w: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Second Lien</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Novitex Acquisition, LLC</w:t>
            </w: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Second Lien</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Parq Holdings Limited Partnership</w:t>
            </w: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Second Lien</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Pre-Paid Legal Services, Inc.</w:t>
            </w: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Second Lien</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Superior Digital Displays, LLC</w:t>
            </w: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Second Lien</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Affinion International Holdings Limited</w:t>
            </w: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Subordinate Debt/Corporate Note</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American Gilsonite Company</w:t>
            </w: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Subordinate Debt/Corporate Note</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Cascade Environmental LLC</w:t>
            </w: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Subordinate Debt/Corporate Note</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ETX Energy, LLC</w:t>
            </w: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Subordinate Debt/Corporate Note</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Goldsun Trading Limited</w:t>
            </w: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Subordinate Debt/Corporate Note</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Randall-Reilly, LLC</w:t>
            </w: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Subordinate Debt/Corporate Note</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AH Holdings, Inc.</w:t>
            </w: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Equity/Preferred</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Alegeus Technologies Holdings Corp.</w:t>
            </w: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Equity/Preferred</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Convergint Technologies Holdings, LLC</w:t>
            </w: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Equity/Preferred</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HW Holdco, LLC</w:t>
            </w: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Equity/Preferred</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Superior Digital Display Holdings, Inc.</w:t>
            </w: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Equity/Preferred</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Affinion Group Holdings, Inc.</w:t>
            </w: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Equity/Common</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w w:val="94"/>
              </w:rPr>
              <w:t>Affinion Group Holdings, Inc. - Series C and Series D</w:t>
            </w: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Equity/Common</w:t>
            </w: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Alegeus Technologies Holdings Corp. - Class A</w:t>
            </w: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Equity/Common</w:t>
            </w:r>
          </w:p>
        </w:tc>
      </w:tr>
    </w:tbl>
    <w:p>
      <w:pPr>
        <w:sectPr>
          <w:pgSz w:w="11900" w:h="16838" w:orient="portrait"/>
          <w:cols w:equalWidth="0" w:num="1">
            <w:col w:w="10120"/>
          </w:cols>
          <w:pgMar w:left="880" w:top="265" w:right="899" w:bottom="1440" w:gutter="0" w:footer="0" w:header="0"/>
        </w:sectPr>
      </w:pPr>
    </w:p>
    <w:bookmarkStart w:id="177" w:name="page178"/>
    <w:bookmarkEnd w:id="1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of Investment</w:t>
            </w:r>
          </w:p>
        </w:tc>
        <w:tc>
          <w:tcPr>
            <w:tcW w:w="2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Person Holding the Investment</w:t>
            </w:r>
          </w:p>
        </w:tc>
        <w:tc>
          <w:tcPr>
            <w:tcW w:w="200" w:type="dxa"/>
            <w:vAlign w:val="bottom"/>
          </w:tcPr>
          <w:p>
            <w:pPr>
              <w:spacing w:after="0"/>
              <w:rPr>
                <w:sz w:val="16"/>
                <w:szCs w:val="16"/>
                <w:color w:val="auto"/>
              </w:rPr>
            </w:pPr>
          </w:p>
        </w:tc>
        <w:tc>
          <w:tcPr>
            <w:tcW w:w="272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Nature of the Investment</w:t>
            </w:r>
          </w:p>
        </w:tc>
      </w:tr>
      <w:tr>
        <w:trPr>
          <w:trHeight w:val="189"/>
        </w:trPr>
        <w:tc>
          <w:tcPr>
            <w:tcW w:w="3660" w:type="dxa"/>
            <w:vAlign w:val="bottom"/>
            <w:gridSpan w:val="2"/>
          </w:tcPr>
          <w:p>
            <w:pPr>
              <w:spacing w:after="0" w:line="189" w:lineRule="exact"/>
              <w:rPr>
                <w:sz w:val="20"/>
                <w:szCs w:val="20"/>
                <w:color w:val="auto"/>
              </w:rPr>
            </w:pPr>
            <w:r>
              <w:rPr>
                <w:rFonts w:ascii="Arial" w:cs="Arial" w:eastAsia="Arial" w:hAnsi="Arial"/>
                <w:sz w:val="18"/>
                <w:szCs w:val="18"/>
                <w:color w:val="auto"/>
              </w:rPr>
              <w:t>American Gilsonite Company</w:t>
            </w:r>
          </w:p>
        </w:tc>
        <w:tc>
          <w:tcPr>
            <w:tcW w:w="500" w:type="dxa"/>
            <w:vAlign w:val="bottom"/>
          </w:tcPr>
          <w:p>
            <w:pPr>
              <w:spacing w:after="0"/>
              <w:rPr>
                <w:sz w:val="16"/>
                <w:szCs w:val="16"/>
                <w:color w:val="auto"/>
              </w:rPr>
            </w:pPr>
          </w:p>
        </w:tc>
        <w:tc>
          <w:tcPr>
            <w:tcW w:w="3040" w:type="dxa"/>
            <w:vAlign w:val="bottom"/>
          </w:tcPr>
          <w:p>
            <w:pPr>
              <w:spacing w:after="0" w:line="189" w:lineRule="exact"/>
              <w:rPr>
                <w:sz w:val="20"/>
                <w:szCs w:val="20"/>
                <w:color w:val="auto"/>
              </w:rPr>
            </w:pPr>
            <w:r>
              <w:rPr>
                <w:rFonts w:ascii="Arial" w:cs="Arial" w:eastAsia="Arial" w:hAnsi="Arial"/>
                <w:sz w:val="18"/>
                <w:szCs w:val="18"/>
                <w:color w:val="auto"/>
              </w:rPr>
              <w:t>PennantPark Investment Corporation</w:t>
            </w:r>
          </w:p>
        </w:tc>
        <w:tc>
          <w:tcPr>
            <w:tcW w:w="200" w:type="dxa"/>
            <w:vAlign w:val="bottom"/>
          </w:tcPr>
          <w:p>
            <w:pPr>
              <w:spacing w:after="0"/>
              <w:rPr>
                <w:sz w:val="16"/>
                <w:szCs w:val="16"/>
                <w:color w:val="auto"/>
              </w:rPr>
            </w:pPr>
          </w:p>
        </w:tc>
        <w:tc>
          <w:tcPr>
            <w:tcW w:w="2720" w:type="dxa"/>
            <w:vAlign w:val="bottom"/>
          </w:tcPr>
          <w:p>
            <w:pPr>
              <w:spacing w:after="0" w:line="189" w:lineRule="exact"/>
              <w:rPr>
                <w:sz w:val="20"/>
                <w:szCs w:val="20"/>
                <w:color w:val="auto"/>
              </w:rPr>
            </w:pPr>
            <w:r>
              <w:rPr>
                <w:rFonts w:ascii="Arial" w:cs="Arial" w:eastAsia="Arial" w:hAnsi="Arial"/>
                <w:sz w:val="18"/>
                <w:szCs w:val="18"/>
                <w:color w:val="auto"/>
              </w:rPr>
              <w:t>Equity/Common</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Autumn Games, LLC</w:t>
            </w:r>
          </w:p>
        </w:tc>
        <w:tc>
          <w:tcPr>
            <w:tcW w:w="3540" w:type="dxa"/>
            <w:vAlign w:val="bottom"/>
            <w:gridSpan w:val="2"/>
          </w:tcPr>
          <w:p>
            <w:pPr>
              <w:ind w:left="50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Equity/Common</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Cardinal Logistics Holdings LLC</w:t>
            </w:r>
          </w:p>
        </w:tc>
        <w:tc>
          <w:tcPr>
            <w:tcW w:w="3540" w:type="dxa"/>
            <w:vAlign w:val="bottom"/>
            <w:gridSpan w:val="2"/>
          </w:tcPr>
          <w:p>
            <w:pPr>
              <w:ind w:left="50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Equity/Common</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Cascade Environmental LLC</w:t>
            </w:r>
          </w:p>
        </w:tc>
        <w:tc>
          <w:tcPr>
            <w:tcW w:w="3540" w:type="dxa"/>
            <w:vAlign w:val="bottom"/>
            <w:gridSpan w:val="2"/>
          </w:tcPr>
          <w:p>
            <w:pPr>
              <w:ind w:left="50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Equity/Common</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CI (Galls) Prime Investment Holdings, LLC</w:t>
            </w:r>
          </w:p>
        </w:tc>
        <w:tc>
          <w:tcPr>
            <w:tcW w:w="3540" w:type="dxa"/>
            <w:vAlign w:val="bottom"/>
            <w:gridSpan w:val="2"/>
          </w:tcPr>
          <w:p>
            <w:pPr>
              <w:ind w:left="50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Equity/Common</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Convergint Technologies Holdings, LLC</w:t>
            </w:r>
          </w:p>
        </w:tc>
        <w:tc>
          <w:tcPr>
            <w:tcW w:w="3540" w:type="dxa"/>
            <w:vAlign w:val="bottom"/>
            <w:gridSpan w:val="2"/>
          </w:tcPr>
          <w:p>
            <w:pPr>
              <w:ind w:left="50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Equity/Common</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Corfin InvestCo, L.P.</w:t>
            </w:r>
          </w:p>
        </w:tc>
        <w:tc>
          <w:tcPr>
            <w:tcW w:w="3540" w:type="dxa"/>
            <w:vAlign w:val="bottom"/>
            <w:gridSpan w:val="2"/>
          </w:tcPr>
          <w:p>
            <w:pPr>
              <w:ind w:left="50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Equity/Common</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e.l.f. Beauty, Inc.</w:t>
            </w:r>
          </w:p>
        </w:tc>
        <w:tc>
          <w:tcPr>
            <w:tcW w:w="3540" w:type="dxa"/>
            <w:vAlign w:val="bottom"/>
            <w:gridSpan w:val="2"/>
          </w:tcPr>
          <w:p>
            <w:pPr>
              <w:ind w:left="50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Equity/Common</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EnviroSolutions Holdings, Inc.</w:t>
            </w:r>
          </w:p>
        </w:tc>
        <w:tc>
          <w:tcPr>
            <w:tcW w:w="3540" w:type="dxa"/>
            <w:vAlign w:val="bottom"/>
            <w:gridSpan w:val="2"/>
          </w:tcPr>
          <w:p>
            <w:pPr>
              <w:ind w:left="50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Equity/Common</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ETX Energy, LLC</w:t>
            </w:r>
          </w:p>
        </w:tc>
        <w:tc>
          <w:tcPr>
            <w:tcW w:w="3540" w:type="dxa"/>
            <w:vAlign w:val="bottom"/>
            <w:gridSpan w:val="2"/>
          </w:tcPr>
          <w:p>
            <w:pPr>
              <w:ind w:left="50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Equity/Common</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ETX Energy Management Company, LLC</w:t>
            </w:r>
          </w:p>
        </w:tc>
        <w:tc>
          <w:tcPr>
            <w:tcW w:w="3540" w:type="dxa"/>
            <w:vAlign w:val="bottom"/>
            <w:gridSpan w:val="2"/>
          </w:tcPr>
          <w:p>
            <w:pPr>
              <w:ind w:left="50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Equity/Common</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Faraday Holdings, LLC</w:t>
            </w:r>
          </w:p>
        </w:tc>
        <w:tc>
          <w:tcPr>
            <w:tcW w:w="3540" w:type="dxa"/>
            <w:vAlign w:val="bottom"/>
            <w:gridSpan w:val="2"/>
          </w:tcPr>
          <w:p>
            <w:pPr>
              <w:ind w:left="50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Equity/Common</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HW Holdco, LLC</w:t>
            </w:r>
          </w:p>
        </w:tc>
        <w:tc>
          <w:tcPr>
            <w:tcW w:w="3540" w:type="dxa"/>
            <w:vAlign w:val="bottom"/>
            <w:gridSpan w:val="2"/>
          </w:tcPr>
          <w:p>
            <w:pPr>
              <w:ind w:left="50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Equity/Common</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ITC Rumba, LLC</w:t>
            </w:r>
          </w:p>
        </w:tc>
        <w:tc>
          <w:tcPr>
            <w:tcW w:w="3540" w:type="dxa"/>
            <w:vAlign w:val="bottom"/>
            <w:gridSpan w:val="2"/>
          </w:tcPr>
          <w:p>
            <w:pPr>
              <w:ind w:left="50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Equity/Common</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Kadmon Holdings, Inc.</w:t>
            </w:r>
          </w:p>
        </w:tc>
        <w:tc>
          <w:tcPr>
            <w:tcW w:w="3540" w:type="dxa"/>
            <w:vAlign w:val="bottom"/>
            <w:gridSpan w:val="2"/>
          </w:tcPr>
          <w:p>
            <w:pPr>
              <w:ind w:left="50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Equity/Common</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LaMi Acquisition, LLC</w:t>
            </w:r>
          </w:p>
        </w:tc>
        <w:tc>
          <w:tcPr>
            <w:tcW w:w="3540" w:type="dxa"/>
            <w:vAlign w:val="bottom"/>
            <w:gridSpan w:val="2"/>
          </w:tcPr>
          <w:p>
            <w:pPr>
              <w:ind w:left="50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Equity/Common</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Lariat ecoserv Co-Invest Holdings, LLC</w:t>
            </w:r>
          </w:p>
        </w:tc>
        <w:tc>
          <w:tcPr>
            <w:tcW w:w="3540" w:type="dxa"/>
            <w:vAlign w:val="bottom"/>
            <w:gridSpan w:val="2"/>
          </w:tcPr>
          <w:p>
            <w:pPr>
              <w:ind w:left="50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Equity/Common</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MidOcean JF Holdings Corp.</w:t>
            </w:r>
          </w:p>
        </w:tc>
        <w:tc>
          <w:tcPr>
            <w:tcW w:w="3540" w:type="dxa"/>
            <w:vAlign w:val="bottom"/>
            <w:gridSpan w:val="2"/>
          </w:tcPr>
          <w:p>
            <w:pPr>
              <w:ind w:left="50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Equity/Common</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MidOcean PPL Holdings, Corp.</w:t>
            </w:r>
          </w:p>
        </w:tc>
        <w:tc>
          <w:tcPr>
            <w:tcW w:w="3540" w:type="dxa"/>
            <w:vAlign w:val="bottom"/>
            <w:gridSpan w:val="2"/>
          </w:tcPr>
          <w:p>
            <w:pPr>
              <w:ind w:left="50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Equity/Common</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Patriot National, Inc.</w:t>
            </w:r>
          </w:p>
        </w:tc>
        <w:tc>
          <w:tcPr>
            <w:tcW w:w="3540" w:type="dxa"/>
            <w:vAlign w:val="bottom"/>
            <w:gridSpan w:val="2"/>
          </w:tcPr>
          <w:p>
            <w:pPr>
              <w:ind w:left="50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Equity/Common</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RAM Energy Holdings LLC</w:t>
            </w:r>
          </w:p>
        </w:tc>
        <w:tc>
          <w:tcPr>
            <w:tcW w:w="3540" w:type="dxa"/>
            <w:vAlign w:val="bottom"/>
            <w:gridSpan w:val="2"/>
          </w:tcPr>
          <w:p>
            <w:pPr>
              <w:ind w:left="50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Equity/Common</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Superior Digital Displays Holdings, Inc.</w:t>
            </w:r>
          </w:p>
        </w:tc>
        <w:tc>
          <w:tcPr>
            <w:tcW w:w="3540" w:type="dxa"/>
            <w:vAlign w:val="bottom"/>
            <w:gridSpan w:val="2"/>
          </w:tcPr>
          <w:p>
            <w:pPr>
              <w:ind w:left="50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Equity/Common</w:t>
            </w: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TRAK Acquisition Corp.</w:t>
            </w:r>
          </w:p>
        </w:tc>
        <w:tc>
          <w:tcPr>
            <w:tcW w:w="3540" w:type="dxa"/>
            <w:vAlign w:val="bottom"/>
            <w:gridSpan w:val="2"/>
          </w:tcPr>
          <w:p>
            <w:pPr>
              <w:ind w:left="50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Equity/Common</w:t>
            </w:r>
          </w:p>
        </w:tc>
      </w:tr>
    </w:tbl>
    <w:p>
      <w:pPr>
        <w:sectPr>
          <w:pgSz w:w="11900" w:h="16838" w:orient="portrait"/>
          <w:cols w:equalWidth="0" w:num="1">
            <w:col w:w="10120"/>
          </w:cols>
          <w:pgMar w:left="880" w:top="265" w:right="899" w:bottom="1440" w:gutter="0" w:footer="0" w:header="0"/>
        </w:sectPr>
      </w:pPr>
    </w:p>
    <w:bookmarkStart w:id="178" w:name="page179"/>
    <w:bookmarkEnd w:id="1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Name of Investment</w:t>
            </w:r>
          </w:p>
        </w:tc>
        <w:tc>
          <w:tcPr>
            <w:tcW w:w="460" w:type="dxa"/>
            <w:vAlign w:val="bottom"/>
          </w:tcPr>
          <w:p>
            <w:pPr>
              <w:spacing w:after="0"/>
              <w:rPr>
                <w:sz w:val="16"/>
                <w:szCs w:val="16"/>
                <w:color w:val="auto"/>
              </w:rPr>
            </w:pPr>
          </w:p>
        </w:tc>
        <w:tc>
          <w:tcPr>
            <w:tcW w:w="3040" w:type="dxa"/>
            <w:vAlign w:val="bottom"/>
          </w:tcPr>
          <w:p>
            <w:pPr>
              <w:ind w:left="560"/>
              <w:spacing w:after="0"/>
              <w:rPr>
                <w:sz w:val="20"/>
                <w:szCs w:val="20"/>
                <w:color w:val="auto"/>
              </w:rPr>
            </w:pPr>
            <w:r>
              <w:rPr>
                <w:rFonts w:ascii="Arial" w:cs="Arial" w:eastAsia="Arial" w:hAnsi="Arial"/>
                <w:sz w:val="14"/>
                <w:szCs w:val="14"/>
                <w:b w:val="1"/>
                <w:bCs w:val="1"/>
                <w:color w:val="auto"/>
              </w:rPr>
              <w:t>Person Holding the Investment</w:t>
            </w:r>
          </w:p>
        </w:tc>
        <w:tc>
          <w:tcPr>
            <w:tcW w:w="200" w:type="dxa"/>
            <w:vAlign w:val="bottom"/>
          </w:tcPr>
          <w:p>
            <w:pPr>
              <w:spacing w:after="0"/>
              <w:rPr>
                <w:sz w:val="16"/>
                <w:szCs w:val="16"/>
                <w:color w:val="auto"/>
              </w:rPr>
            </w:pPr>
          </w:p>
        </w:tc>
        <w:tc>
          <w:tcPr>
            <w:tcW w:w="2720" w:type="dxa"/>
            <w:vAlign w:val="bottom"/>
          </w:tcPr>
          <w:p>
            <w:pPr>
              <w:ind w:left="600"/>
              <w:spacing w:after="0"/>
              <w:rPr>
                <w:sz w:val="20"/>
                <w:szCs w:val="20"/>
                <w:color w:val="auto"/>
              </w:rPr>
            </w:pPr>
            <w:r>
              <w:rPr>
                <w:rFonts w:ascii="Arial" w:cs="Arial" w:eastAsia="Arial" w:hAnsi="Arial"/>
                <w:sz w:val="14"/>
                <w:szCs w:val="14"/>
                <w:b w:val="1"/>
                <w:bCs w:val="1"/>
                <w:color w:val="auto"/>
              </w:rPr>
              <w:t>Nature of the Investment</w:t>
            </w:r>
          </w:p>
        </w:tc>
      </w:tr>
      <w:tr>
        <w:trPr>
          <w:trHeight w:val="189"/>
        </w:trPr>
        <w:tc>
          <w:tcPr>
            <w:tcW w:w="12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0"/>
              </w:rPr>
              <w:t>USWS Holdings,</w:t>
            </w:r>
          </w:p>
        </w:tc>
        <w:tc>
          <w:tcPr>
            <w:tcW w:w="2460" w:type="dxa"/>
            <w:vAlign w:val="bottom"/>
          </w:tcPr>
          <w:p>
            <w:pPr>
              <w:ind w:left="60"/>
              <w:spacing w:after="0" w:line="189" w:lineRule="exact"/>
              <w:rPr>
                <w:sz w:val="20"/>
                <w:szCs w:val="20"/>
                <w:color w:val="auto"/>
              </w:rPr>
            </w:pPr>
            <w:r>
              <w:rPr>
                <w:rFonts w:ascii="Arial" w:cs="Arial" w:eastAsia="Arial" w:hAnsi="Arial"/>
                <w:sz w:val="18"/>
                <w:szCs w:val="18"/>
                <w:color w:val="auto"/>
              </w:rPr>
              <w:t>LLC - Class A and Class B</w:t>
            </w:r>
          </w:p>
        </w:tc>
        <w:tc>
          <w:tcPr>
            <w:tcW w:w="460" w:type="dxa"/>
            <w:vAlign w:val="bottom"/>
          </w:tcPr>
          <w:p>
            <w:pPr>
              <w:spacing w:after="0"/>
              <w:rPr>
                <w:sz w:val="16"/>
                <w:szCs w:val="16"/>
                <w:color w:val="auto"/>
              </w:rPr>
            </w:pPr>
          </w:p>
        </w:tc>
        <w:tc>
          <w:tcPr>
            <w:tcW w:w="30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PennantPark Investment Corporation</w:t>
            </w:r>
          </w:p>
        </w:tc>
        <w:tc>
          <w:tcPr>
            <w:tcW w:w="200" w:type="dxa"/>
            <w:vAlign w:val="bottom"/>
          </w:tcPr>
          <w:p>
            <w:pPr>
              <w:spacing w:after="0"/>
              <w:rPr>
                <w:sz w:val="16"/>
                <w:szCs w:val="16"/>
                <w:color w:val="auto"/>
              </w:rPr>
            </w:pPr>
          </w:p>
        </w:tc>
        <w:tc>
          <w:tcPr>
            <w:tcW w:w="27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Equity/Common</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ZS Juniper L.P.</w:t>
            </w:r>
          </w:p>
        </w:tc>
        <w:tc>
          <w:tcPr>
            <w:tcW w:w="3500" w:type="dxa"/>
            <w:vAlign w:val="bottom"/>
            <w:gridSpan w:val="2"/>
          </w:tcPr>
          <w:p>
            <w:pPr>
              <w:ind w:left="46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Equity/Common</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AH Holdings, Inc.</w:t>
            </w:r>
          </w:p>
        </w:tc>
        <w:tc>
          <w:tcPr>
            <w:tcW w:w="3500" w:type="dxa"/>
            <w:vAlign w:val="bottom"/>
            <w:gridSpan w:val="2"/>
          </w:tcPr>
          <w:p>
            <w:pPr>
              <w:ind w:left="46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Equity/Warrants</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ASP LCG Holdings, Inc.</w:t>
            </w:r>
          </w:p>
        </w:tc>
        <w:tc>
          <w:tcPr>
            <w:tcW w:w="3500" w:type="dxa"/>
            <w:vAlign w:val="bottom"/>
            <w:gridSpan w:val="2"/>
          </w:tcPr>
          <w:p>
            <w:pPr>
              <w:ind w:left="460"/>
              <w:spacing w:after="0"/>
              <w:rPr>
                <w:sz w:val="20"/>
                <w:szCs w:val="20"/>
                <w:color w:val="auto"/>
              </w:rPr>
            </w:pPr>
            <w:r>
              <w:rPr>
                <w:rFonts w:ascii="Arial" w:cs="Arial" w:eastAsia="Arial" w:hAnsi="Arial"/>
                <w:sz w:val="18"/>
                <w:szCs w:val="18"/>
                <w:color w:val="auto"/>
              </w:rPr>
              <w:t>PennantPark Investment Corporation</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Equity/Warrants</w:t>
            </w:r>
          </w:p>
        </w:tc>
      </w:tr>
    </w:tbl>
    <w:p>
      <w:pPr>
        <w:sectPr>
          <w:pgSz w:w="11900" w:h="16838" w:orient="portrait"/>
          <w:cols w:equalWidth="0" w:num="1">
            <w:col w:w="10120"/>
          </w:cols>
          <w:pgMar w:left="880" w:top="265" w:right="899" w:bottom="1440" w:gutter="0" w:footer="0" w:header="0"/>
        </w:sectPr>
      </w:pPr>
    </w:p>
    <w:bookmarkStart w:id="179" w:name="page180"/>
    <w:bookmarkEnd w:id="179"/>
    <w:p>
      <w:pPr>
        <w:jc w:val="center"/>
        <w:ind w:right="-10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6.08</w:t>
      </w:r>
    </w:p>
    <w:p>
      <w:pPr>
        <w:spacing w:after="0" w:line="225"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u w:val="single" w:color="auto"/>
          <w:color w:val="auto"/>
        </w:rPr>
        <w:t>Transactions with Affiliates</w:t>
      </w:r>
    </w:p>
    <w:p>
      <w:pPr>
        <w:spacing w:after="0" w:line="229" w:lineRule="exact"/>
        <w:rPr>
          <w:sz w:val="20"/>
          <w:szCs w:val="20"/>
          <w:color w:val="auto"/>
        </w:rPr>
      </w:pPr>
    </w:p>
    <w:p>
      <w:pPr>
        <w:ind w:left="4" w:right="720" w:hanging="4"/>
        <w:spacing w:after="0" w:line="277" w:lineRule="auto"/>
        <w:tabs>
          <w:tab w:leader="none" w:pos="31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We hold the debt and equity of EnviroSolutions, Inc., Performance Holdings, Inc. and SuttonPark Holdings Inc. and we enter into certain transactions with such Persons (including receiving and making distributions).</w:t>
      </w:r>
    </w:p>
    <w:p>
      <w:pPr>
        <w:spacing w:after="0" w:line="170" w:lineRule="exact"/>
        <w:rPr>
          <w:rFonts w:ascii="Arial" w:cs="Arial" w:eastAsia="Arial" w:hAnsi="Arial"/>
          <w:sz w:val="18"/>
          <w:szCs w:val="18"/>
          <w:color w:val="auto"/>
        </w:rPr>
      </w:pPr>
    </w:p>
    <w:p>
      <w:pPr>
        <w:ind w:left="4" w:right="20" w:hanging="4"/>
        <w:spacing w:after="0" w:line="272" w:lineRule="auto"/>
        <w:tabs>
          <w:tab w:leader="none" w:pos="316" w:val="left"/>
        </w:tabs>
        <w:numPr>
          <w:ilvl w:val="0"/>
          <w:numId w:val="214"/>
        </w:numPr>
        <w:rPr>
          <w:rFonts w:ascii="Arial" w:cs="Arial" w:eastAsia="Arial" w:hAnsi="Arial"/>
          <w:sz w:val="17"/>
          <w:szCs w:val="17"/>
          <w:color w:val="auto"/>
        </w:rPr>
      </w:pPr>
      <w:r>
        <w:rPr>
          <w:rFonts w:ascii="Arial" w:cs="Arial" w:eastAsia="Arial" w:hAnsi="Arial"/>
          <w:sz w:val="17"/>
          <w:szCs w:val="17"/>
          <w:color w:val="auto"/>
        </w:rPr>
        <w:t>We entered into an administration agreement with our controlled affiliate, SuttonPark Holdings Inc. (“SPH”). Under the administration agreement with SPH (the “SPH Administration Agreement”), PennantPark Investment Corporation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of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their respective staffs.</w:t>
      </w:r>
    </w:p>
    <w:p>
      <w:pPr>
        <w:spacing w:after="0" w:line="177" w:lineRule="exact"/>
        <w:rPr>
          <w:rFonts w:ascii="Arial" w:cs="Arial" w:eastAsia="Arial" w:hAnsi="Arial"/>
          <w:sz w:val="17"/>
          <w:szCs w:val="17"/>
          <w:color w:val="auto"/>
        </w:rPr>
      </w:pPr>
    </w:p>
    <w:p>
      <w:pPr>
        <w:ind w:left="4" w:right="40" w:hanging="4"/>
        <w:spacing w:after="0" w:line="291" w:lineRule="auto"/>
        <w:tabs>
          <w:tab w:leader="none" w:pos="316" w:val="left"/>
        </w:tabs>
        <w:numPr>
          <w:ilvl w:val="0"/>
          <w:numId w:val="214"/>
        </w:numPr>
        <w:rPr>
          <w:rFonts w:ascii="Arial" w:cs="Arial" w:eastAsia="Arial" w:hAnsi="Arial"/>
          <w:sz w:val="16"/>
          <w:szCs w:val="16"/>
          <w:color w:val="auto"/>
        </w:rPr>
      </w:pPr>
      <w:r>
        <w:rPr>
          <w:rFonts w:ascii="Arial" w:cs="Arial" w:eastAsia="Arial" w:hAnsi="Arial"/>
          <w:sz w:val="16"/>
          <w:szCs w:val="16"/>
          <w:color w:val="auto"/>
        </w:rPr>
        <w:t>We entered into an administration agreement, dated December 28, 2012, with PennantPark SBIC II LP (“SBIC II”) and PennantPark SBIC GP II, LLC. Under the administration agreement with SBIC II (the “SBIC II Administration Agreement”), PennantPark Investment Corporation through the Administrator furnishes SBIC II with office facilities, equipment and clerical, bookkeeping and record keeping services at such facilities. Additionally, the Administrator performs or oversees the performance of SBIC II’s required administrative services, which include, among other things, maintaining financial records, preparing financial reports and filing of tax returns. Payments under the SBIC II Administration Agreement are equal to an amount based upon SBIC II’s allocable portion of the Administrator’s overhead in performing its obligations under the SBIC II Administration Agreement, including rent and allocable portion of the cost of compensation and related expenses of our chief financial officer and their respective staffs.</w:t>
      </w:r>
    </w:p>
    <w:p>
      <w:pPr>
        <w:spacing w:after="0" w:line="166" w:lineRule="exact"/>
        <w:rPr>
          <w:rFonts w:ascii="Arial" w:cs="Arial" w:eastAsia="Arial" w:hAnsi="Arial"/>
          <w:sz w:val="16"/>
          <w:szCs w:val="16"/>
          <w:color w:val="auto"/>
        </w:rPr>
      </w:pPr>
    </w:p>
    <w:p>
      <w:pPr>
        <w:ind w:left="4" w:hanging="4"/>
        <w:spacing w:after="0" w:line="279" w:lineRule="auto"/>
        <w:tabs>
          <w:tab w:leader="none" w:pos="316" w:val="left"/>
        </w:tabs>
        <w:numPr>
          <w:ilvl w:val="0"/>
          <w:numId w:val="214"/>
        </w:numPr>
        <w:rPr>
          <w:rFonts w:ascii="Arial" w:cs="Arial" w:eastAsia="Arial" w:hAnsi="Arial"/>
          <w:sz w:val="17"/>
          <w:szCs w:val="17"/>
          <w:color w:val="auto"/>
        </w:rPr>
      </w:pPr>
      <w:r>
        <w:rPr>
          <w:rFonts w:ascii="Arial" w:cs="Arial" w:eastAsia="Arial" w:hAnsi="Arial"/>
          <w:sz w:val="17"/>
          <w:szCs w:val="17"/>
          <w:color w:val="auto"/>
        </w:rPr>
        <w:t>We entered into an investment advisory agreement, dated December 28, 2012, with SBIC II and PennantPark SBIC GP II, LLC. Under the investment advisory agreement (the “SBIC II Investment Agreement), PennantPark Investment Corporation through the Investment Advisor/Manager provides SBIC II with experienced investment professionals to assist in federal law and regulation compliance. Payments under the SBIC II Investment Agreement are pursuant to Section 3.05 of the agreement of limited partnership of the SBIC II.</w:t>
      </w:r>
    </w:p>
    <w:p>
      <w:pPr>
        <w:sectPr>
          <w:pgSz w:w="11900" w:h="16838" w:orient="portrait"/>
          <w:cols w:equalWidth="0" w:num="1">
            <w:col w:w="10904"/>
          </w:cols>
          <w:pgMar w:left="436" w:top="270" w:right="559" w:bottom="1440" w:gutter="0" w:footer="0" w:header="0"/>
        </w:sectPr>
      </w:pPr>
    </w:p>
    <w:bookmarkStart w:id="180" w:name="page181"/>
    <w:bookmarkEnd w:id="18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ASSIGNMENT AND ASSUMPTION</w:t>
      </w:r>
    </w:p>
    <w:p>
      <w:pPr>
        <w:spacing w:after="0" w:line="229" w:lineRule="exact"/>
        <w:rPr>
          <w:sz w:val="20"/>
          <w:szCs w:val="20"/>
          <w:color w:val="auto"/>
        </w:rPr>
      </w:pPr>
    </w:p>
    <w:p>
      <w:pPr>
        <w:ind w:left="4" w:right="80" w:firstLine="440"/>
        <w:spacing w:after="0" w:line="255" w:lineRule="auto"/>
        <w:rPr>
          <w:sz w:val="20"/>
          <w:szCs w:val="20"/>
          <w:color w:val="auto"/>
        </w:rPr>
      </w:pPr>
      <w:r>
        <w:rPr>
          <w:rFonts w:ascii="Arial" w:cs="Arial" w:eastAsia="Arial" w:hAnsi="Arial"/>
          <w:sz w:val="18"/>
          <w:szCs w:val="18"/>
          <w:color w:val="auto"/>
        </w:rPr>
        <w:t>This Assignment and Assumption (the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 below and is entered into by and between [</w:t>
      </w:r>
      <w:r>
        <w:rPr>
          <w:rFonts w:ascii="Arial" w:cs="Arial" w:eastAsia="Arial" w:hAnsi="Arial"/>
          <w:sz w:val="18"/>
          <w:szCs w:val="18"/>
          <w:i w:val="1"/>
          <w:iCs w:val="1"/>
          <w:color w:val="auto"/>
        </w:rPr>
        <w:t>Insert name of Assignor</w:t>
      </w:r>
      <w:r>
        <w:rPr>
          <w:rFonts w:ascii="Arial" w:cs="Arial" w:eastAsia="Arial" w:hAnsi="Arial"/>
          <w:sz w:val="18"/>
          <w:szCs w:val="18"/>
          <w:color w:val="auto"/>
        </w:rPr>
        <w:t>] (the “</w:t>
      </w:r>
      <w:r>
        <w:rPr>
          <w:rFonts w:ascii="Arial" w:cs="Arial" w:eastAsia="Arial" w:hAnsi="Arial"/>
          <w:sz w:val="18"/>
          <w:szCs w:val="18"/>
          <w:u w:val="single" w:color="auto"/>
          <w:color w:val="auto"/>
        </w:rPr>
        <w:t>Assignor</w:t>
      </w:r>
      <w:r>
        <w:rPr>
          <w:rFonts w:ascii="Arial" w:cs="Arial" w:eastAsia="Arial" w:hAnsi="Arial"/>
          <w:sz w:val="18"/>
          <w:szCs w:val="18"/>
          <w:color w:val="auto"/>
        </w:rPr>
        <w:t>”) and [</w:t>
      </w:r>
      <w:r>
        <w:rPr>
          <w:rFonts w:ascii="Arial" w:cs="Arial" w:eastAsia="Arial" w:hAnsi="Arial"/>
          <w:sz w:val="18"/>
          <w:szCs w:val="18"/>
          <w:i w:val="1"/>
          <w:iCs w:val="1"/>
          <w:color w:val="auto"/>
        </w:rPr>
        <w:t>Insert name of Assignee</w:t>
      </w:r>
      <w:r>
        <w:rPr>
          <w:rFonts w:ascii="Arial" w:cs="Arial" w:eastAsia="Arial" w:hAnsi="Arial"/>
          <w:sz w:val="18"/>
          <w:szCs w:val="18"/>
          <w:color w:val="auto"/>
        </w:rPr>
        <w:t>] (the “</w:t>
      </w:r>
      <w:r>
        <w:rPr>
          <w:rFonts w:ascii="Arial" w:cs="Arial" w:eastAsia="Arial" w:hAnsi="Arial"/>
          <w:sz w:val="18"/>
          <w:szCs w:val="18"/>
          <w:u w:val="single" w:color="auto"/>
          <w:color w:val="auto"/>
        </w:rPr>
        <w:t>Assignee</w:t>
      </w:r>
      <w:r>
        <w:rPr>
          <w:rFonts w:ascii="Arial" w:cs="Arial" w:eastAsia="Arial" w:hAnsi="Arial"/>
          <w:sz w:val="18"/>
          <w:szCs w:val="18"/>
          <w:color w:val="auto"/>
        </w:rPr>
        <w:t>”). Capitalized terms used but not defined herein shall have the meanings given to them in the Credit Agreement identified below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receipt of a copy of which is hereby acknowledged by the Assignee. The Standard Terms and Conditions set forth in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attached hereto are hereby agreed to and incorporated herein by reference and made a part of this Assignment and Assumption as if set forth herein in full.</w:t>
      </w:r>
    </w:p>
    <w:p>
      <w:pPr>
        <w:spacing w:after="0" w:line="192"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 xml:space="preserve">For an agreed consideration, the Assignor hereby irrevocably sells and assigns to the Assignee, and the Assignee hereby irrevocably purchases and assumes from the Assignor, subject to and in accordance with the Standard Terms and Conditions set forth in Annex I attached hereto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claims at law or in equity related to the rights and obligations sold and assigned pursuant to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(the rights and obligations sold and assigned pursuant to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being referred to herein collectively as the “</w:t>
      </w:r>
      <w:r>
        <w:rPr>
          <w:rFonts w:ascii="Arial" w:cs="Arial" w:eastAsia="Arial" w:hAnsi="Arial"/>
          <w:sz w:val="17"/>
          <w:szCs w:val="17"/>
          <w:u w:val="single" w:color="auto"/>
          <w:color w:val="auto"/>
        </w:rPr>
        <w:t>Assigned Interest</w:t>
      </w:r>
      <w:r>
        <w:rPr>
          <w:rFonts w:ascii="Arial" w:cs="Arial" w:eastAsia="Arial" w:hAnsi="Arial"/>
          <w:sz w:val="17"/>
          <w:szCs w:val="17"/>
          <w:color w:val="auto"/>
        </w:rPr>
        <w:t>”). Such sale and assignment is without recourse to the Assignor and, except as expressly provided in this Assignment and Assumption, without representation or warranty by the Assignor.</w:t>
      </w:r>
    </w:p>
    <w:p>
      <w:pPr>
        <w:spacing w:after="0" w:line="213" w:lineRule="exact"/>
        <w:rPr>
          <w:sz w:val="20"/>
          <w:szCs w:val="20"/>
          <w:color w:val="auto"/>
        </w:rPr>
      </w:pPr>
    </w:p>
    <w:p>
      <w:pPr>
        <w:ind w:left="464" w:hanging="464"/>
        <w:spacing w:after="0"/>
        <w:tabs>
          <w:tab w:leader="none" w:pos="46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Assignor:</w:t>
      </w:r>
    </w:p>
    <w:p>
      <w:pPr>
        <w:spacing w:after="0" w:line="144" w:lineRule="exact"/>
        <w:rPr>
          <w:rFonts w:ascii="Arial" w:cs="Arial" w:eastAsia="Arial" w:hAnsi="Arial"/>
          <w:sz w:val="18"/>
          <w:szCs w:val="18"/>
          <w:color w:val="auto"/>
        </w:rPr>
      </w:pPr>
    </w:p>
    <w:p>
      <w:pPr>
        <w:ind w:left="464" w:hanging="464"/>
        <w:spacing w:after="0"/>
        <w:tabs>
          <w:tab w:leader="none" w:pos="46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-207645</wp:posOffset>
            </wp:positionV>
            <wp:extent cx="21602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60270" cy="8255"/>
                    </a:xfrm>
                    <a:prstGeom prst="rect">
                      <a:avLst/>
                    </a:prstGeom>
                    <a:noFill/>
                  </pic:spPr>
                </pic:pic>
              </a:graphicData>
            </a:graphic>
          </wp:anchor>
        </w:drawing>
        <w:drawing>
          <wp:anchor simplePos="0" relativeHeight="251657728" behindDoc="1" locked="0" layoutInCell="0" allowOverlap="1">
            <wp:simplePos x="0" y="0"/>
            <wp:positionH relativeFrom="column">
              <wp:posOffset>925830</wp:posOffset>
            </wp:positionH>
            <wp:positionV relativeFrom="paragraph">
              <wp:posOffset>14605</wp:posOffset>
            </wp:positionV>
            <wp:extent cx="21602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16" w:lineRule="exact"/>
        <w:rPr>
          <w:sz w:val="20"/>
          <w:szCs w:val="20"/>
          <w:color w:val="auto"/>
        </w:rPr>
      </w:pPr>
    </w:p>
    <w:p>
      <w:pPr>
        <w:ind w:left="1464"/>
        <w:spacing w:after="0"/>
        <w:rPr>
          <w:sz w:val="20"/>
          <w:szCs w:val="20"/>
          <w:color w:val="auto"/>
        </w:rPr>
      </w:pPr>
      <w:r>
        <w:rPr>
          <w:rFonts w:ascii="Arial" w:cs="Arial" w:eastAsia="Arial" w:hAnsi="Arial"/>
          <w:sz w:val="18"/>
          <w:szCs w:val="18"/>
          <w:color w:val="auto"/>
        </w:rPr>
        <w:t>[and is an Affiliate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r>
        <w:rPr>
          <w:rFonts w:ascii="Arial" w:cs="Arial" w:eastAsia="Arial" w:hAnsi="Arial"/>
          <w:sz w:val="15"/>
          <w:szCs w:val="15"/>
          <w:color w:val="auto"/>
        </w:rPr>
        <w:t>1</w:t>
      </w:r>
      <w:r>
        <w:rPr>
          <w:rFonts w:ascii="Arial" w:cs="Arial" w:eastAsia="Arial" w:hAnsi="Arial"/>
          <w:sz w:val="18"/>
          <w:szCs w:val="18"/>
          <w:color w:val="auto"/>
        </w:rPr>
        <w:t>]</w:t>
      </w:r>
    </w:p>
    <w:p>
      <w:pPr>
        <w:spacing w:after="0" w:line="117" w:lineRule="exact"/>
        <w:rPr>
          <w:sz w:val="20"/>
          <w:szCs w:val="20"/>
          <w:color w:val="auto"/>
        </w:rPr>
      </w:pPr>
    </w:p>
    <w:p>
      <w:pPr>
        <w:ind w:left="464" w:hanging="464"/>
        <w:spacing w:after="0"/>
        <w:tabs>
          <w:tab w:leader="none" w:pos="46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Borrower:   PennantPark Investment Corporation</w:t>
      </w:r>
    </w:p>
    <w:p>
      <w:pPr>
        <w:spacing w:after="0" w:line="117" w:lineRule="exact"/>
        <w:rPr>
          <w:rFonts w:ascii="Arial" w:cs="Arial" w:eastAsia="Arial" w:hAnsi="Arial"/>
          <w:sz w:val="18"/>
          <w:szCs w:val="18"/>
          <w:color w:val="auto"/>
        </w:rPr>
      </w:pPr>
    </w:p>
    <w:p>
      <w:pPr>
        <w:ind w:left="464" w:hanging="464"/>
        <w:spacing w:after="0"/>
        <w:tabs>
          <w:tab w:leader="none" w:pos="46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Administrative Agent: SunTrust Bank, as the administrative agent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64" w:hanging="124"/>
        <w:spacing w:after="0"/>
        <w:tabs>
          <w:tab w:leader="none" w:pos="564" w:val="left"/>
        </w:tabs>
        <w:numPr>
          <w:ilvl w:val="0"/>
          <w:numId w:val="217"/>
        </w:numPr>
        <w:rPr>
          <w:rFonts w:ascii="Arial" w:cs="Arial" w:eastAsia="Arial" w:hAnsi="Arial"/>
          <w:sz w:val="15"/>
          <w:szCs w:val="15"/>
          <w:color w:val="auto"/>
        </w:rPr>
      </w:pPr>
      <w:r>
        <w:rPr>
          <w:rFonts w:ascii="Arial" w:cs="Arial" w:eastAsia="Arial" w:hAnsi="Arial"/>
          <w:sz w:val="18"/>
          <w:szCs w:val="18"/>
          <w:color w:val="auto"/>
        </w:rPr>
        <w:t>Select as applicable.</w:t>
      </w:r>
    </w:p>
    <w:p>
      <w:pPr>
        <w:sectPr>
          <w:pgSz w:w="11900" w:h="16838" w:orient="portrait"/>
          <w:cols w:equalWidth="0" w:num="1">
            <w:col w:w="11004"/>
          </w:cols>
          <w:pgMar w:left="436" w:top="270" w:right="459" w:bottom="1440" w:gutter="0" w:footer="0" w:header="0"/>
        </w:sectPr>
      </w:pPr>
    </w:p>
    <w:bookmarkStart w:id="181" w:name="page182"/>
    <w:bookmarkEnd w:id="181"/>
    <w:p>
      <w:pPr>
        <w:ind w:left="504" w:right="140" w:hanging="504"/>
        <w:spacing w:after="0" w:line="263" w:lineRule="auto"/>
        <w:tabs>
          <w:tab w:leader="none" w:pos="504" w:val="left"/>
        </w:tabs>
        <w:numPr>
          <w:ilvl w:val="0"/>
          <w:numId w:val="2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Credit Agreement: The $445,000,000 Second Amended and Restated Senior Secured Revolving Credit Agreement dated as of June 25, 2014, as amended, restated, supplemented or otherwise modified from time to time, among PennantPark Investment Corporation, the Lenders parties thereto and SunTrust Bank, as Administrative Agent</w:t>
      </w:r>
    </w:p>
    <w:p>
      <w:pPr>
        <w:spacing w:after="0" w:line="75" w:lineRule="exact"/>
        <w:rPr>
          <w:rFonts w:ascii="Arial" w:cs="Arial" w:eastAsia="Arial" w:hAnsi="Arial"/>
          <w:sz w:val="18"/>
          <w:szCs w:val="18"/>
          <w:color w:val="auto"/>
        </w:rPr>
      </w:pPr>
    </w:p>
    <w:p>
      <w:pPr>
        <w:ind w:left="504" w:hanging="504"/>
        <w:spacing w:after="0"/>
        <w:tabs>
          <w:tab w:leader="none" w:pos="50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Assigned Interest:</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w w:val="93"/>
              </w:rPr>
              <w:t>Aggregate Amount of</w:t>
            </w:r>
          </w:p>
        </w:tc>
        <w:tc>
          <w:tcPr>
            <w:tcW w:w="2080" w:type="dxa"/>
            <w:vAlign w:val="bottom"/>
          </w:tcPr>
          <w:p>
            <w:pPr>
              <w:spacing w:after="0"/>
              <w:rPr>
                <w:sz w:val="14"/>
                <w:szCs w:val="14"/>
                <w:color w:val="auto"/>
              </w:rPr>
            </w:pPr>
          </w:p>
        </w:tc>
        <w:tc>
          <w:tcPr>
            <w:tcW w:w="3280" w:type="dxa"/>
            <w:vAlign w:val="bottom"/>
            <w:gridSpan w:val="2"/>
          </w:tcPr>
          <w:p>
            <w:pPr>
              <w:jc w:val="center"/>
              <w:ind w:right="2100"/>
              <w:spacing w:after="0"/>
              <w:rPr>
                <w:sz w:val="20"/>
                <w:szCs w:val="20"/>
                <w:color w:val="auto"/>
              </w:rPr>
            </w:pPr>
            <w:r>
              <w:rPr>
                <w:rFonts w:ascii="Arial" w:cs="Arial" w:eastAsia="Arial" w:hAnsi="Arial"/>
                <w:sz w:val="14"/>
                <w:szCs w:val="14"/>
                <w:color w:val="auto"/>
                <w:w w:val="97"/>
              </w:rPr>
              <w:t>Amount of</w:t>
            </w:r>
          </w:p>
        </w:tc>
        <w:tc>
          <w:tcPr>
            <w:tcW w:w="1420" w:type="dxa"/>
            <w:vAlign w:val="bottom"/>
            <w:gridSpan w:val="2"/>
          </w:tcPr>
          <w:p>
            <w:pPr>
              <w:jc w:val="center"/>
              <w:ind w:right="130"/>
              <w:spacing w:after="0"/>
              <w:rPr>
                <w:sz w:val="20"/>
                <w:szCs w:val="20"/>
                <w:color w:val="auto"/>
              </w:rPr>
            </w:pPr>
            <w:r>
              <w:rPr>
                <w:rFonts w:ascii="Arial" w:cs="Arial" w:eastAsia="Arial" w:hAnsi="Arial"/>
                <w:sz w:val="14"/>
                <w:szCs w:val="14"/>
                <w:color w:val="auto"/>
                <w:w w:val="90"/>
              </w:rPr>
              <w:t>Percentage Assigned</w:t>
            </w:r>
          </w:p>
        </w:tc>
      </w:tr>
      <w:tr>
        <w:trPr>
          <w:trHeight w:val="148"/>
        </w:trPr>
        <w:tc>
          <w:tcPr>
            <w:tcW w:w="9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3"/>
              </w:rPr>
              <w:t>Commitment/Loans</w:t>
            </w:r>
          </w:p>
        </w:tc>
        <w:tc>
          <w:tcPr>
            <w:tcW w:w="2080" w:type="dxa"/>
            <w:vAlign w:val="bottom"/>
          </w:tcPr>
          <w:p>
            <w:pPr>
              <w:spacing w:after="0"/>
              <w:rPr>
                <w:sz w:val="12"/>
                <w:szCs w:val="12"/>
                <w:color w:val="auto"/>
              </w:rPr>
            </w:pPr>
          </w:p>
        </w:tc>
        <w:tc>
          <w:tcPr>
            <w:tcW w:w="32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Commitment/Loans</w:t>
            </w:r>
          </w:p>
        </w:tc>
        <w:tc>
          <w:tcPr>
            <w:tcW w:w="1420" w:type="dxa"/>
            <w:vAlign w:val="bottom"/>
            <w:gridSpan w:val="2"/>
          </w:tcPr>
          <w:p>
            <w:pPr>
              <w:jc w:val="center"/>
              <w:ind w:right="130"/>
              <w:spacing w:after="0" w:line="149" w:lineRule="exact"/>
              <w:rPr>
                <w:sz w:val="20"/>
                <w:szCs w:val="20"/>
                <w:color w:val="auto"/>
              </w:rPr>
            </w:pPr>
            <w:r>
              <w:rPr>
                <w:rFonts w:ascii="Arial" w:cs="Arial" w:eastAsia="Arial" w:hAnsi="Arial"/>
                <w:sz w:val="14"/>
                <w:szCs w:val="14"/>
                <w:color w:val="auto"/>
              </w:rPr>
              <w:t>of</w:t>
            </w:r>
          </w:p>
        </w:tc>
      </w:tr>
      <w:tr>
        <w:trPr>
          <w:trHeight w:val="167"/>
        </w:trPr>
        <w:tc>
          <w:tcPr>
            <w:tcW w:w="940" w:type="dxa"/>
            <w:vAlign w:val="bottom"/>
          </w:tcPr>
          <w:p>
            <w:pPr>
              <w:spacing w:after="0"/>
              <w:rPr>
                <w:sz w:val="20"/>
                <w:szCs w:val="20"/>
                <w:color w:val="auto"/>
              </w:rPr>
            </w:pPr>
            <w:r>
              <w:rPr>
                <w:rFonts w:ascii="Arial" w:cs="Arial" w:eastAsia="Arial" w:hAnsi="Arial"/>
                <w:sz w:val="14"/>
                <w:szCs w:val="14"/>
                <w:color w:val="auto"/>
                <w:w w:val="89"/>
              </w:rPr>
              <w:t>Class Assigned</w:t>
            </w:r>
            <w:r>
              <w:rPr>
                <w:rFonts w:ascii="Arial" w:cs="Arial" w:eastAsia="Arial" w:hAnsi="Arial"/>
                <w:sz w:val="12"/>
                <w:szCs w:val="12"/>
                <w:color w:val="auto"/>
                <w:w w:val="89"/>
              </w:rPr>
              <w:t>2</w:t>
            </w:r>
          </w:p>
        </w:tc>
        <w:tc>
          <w:tcPr>
            <w:tcW w:w="20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6"/>
              </w:rPr>
              <w:t>for all Lenders</w:t>
            </w:r>
          </w:p>
        </w:tc>
        <w:tc>
          <w:tcPr>
            <w:tcW w:w="2080" w:type="dxa"/>
            <w:vAlign w:val="bottom"/>
          </w:tcPr>
          <w:p>
            <w:pPr>
              <w:spacing w:after="0"/>
              <w:rPr>
                <w:sz w:val="14"/>
                <w:szCs w:val="14"/>
                <w:color w:val="auto"/>
              </w:rPr>
            </w:pPr>
          </w:p>
        </w:tc>
        <w:tc>
          <w:tcPr>
            <w:tcW w:w="3280" w:type="dxa"/>
            <w:vAlign w:val="bottom"/>
            <w:gridSpan w:val="2"/>
          </w:tcPr>
          <w:p>
            <w:pPr>
              <w:jc w:val="center"/>
              <w:ind w:right="2100"/>
              <w:spacing w:after="0"/>
              <w:rPr>
                <w:sz w:val="20"/>
                <w:szCs w:val="20"/>
                <w:color w:val="auto"/>
              </w:rPr>
            </w:pPr>
            <w:r>
              <w:rPr>
                <w:rFonts w:ascii="Arial" w:cs="Arial" w:eastAsia="Arial" w:hAnsi="Arial"/>
                <w:sz w:val="14"/>
                <w:szCs w:val="14"/>
                <w:color w:val="auto"/>
                <w:w w:val="93"/>
              </w:rPr>
              <w:t>Assigned</w:t>
            </w:r>
          </w:p>
        </w:tc>
        <w:tc>
          <w:tcPr>
            <w:tcW w:w="1420" w:type="dxa"/>
            <w:vAlign w:val="bottom"/>
            <w:gridSpan w:val="2"/>
          </w:tcPr>
          <w:p>
            <w:pPr>
              <w:jc w:val="center"/>
              <w:ind w:right="130"/>
              <w:spacing w:after="0"/>
              <w:rPr>
                <w:sz w:val="20"/>
                <w:szCs w:val="20"/>
                <w:color w:val="auto"/>
              </w:rPr>
            </w:pPr>
            <w:r>
              <w:rPr>
                <w:rFonts w:ascii="Arial" w:cs="Arial" w:eastAsia="Arial" w:hAnsi="Arial"/>
                <w:sz w:val="14"/>
                <w:szCs w:val="14"/>
                <w:color w:val="auto"/>
                <w:w w:val="93"/>
              </w:rPr>
              <w:t>Commitment/Loans</w:t>
            </w:r>
            <w:r>
              <w:rPr>
                <w:rFonts w:ascii="Arial" w:cs="Arial" w:eastAsia="Arial" w:hAnsi="Arial"/>
                <w:sz w:val="12"/>
                <w:szCs w:val="12"/>
                <w:color w:val="auto"/>
                <w:w w:val="93"/>
              </w:rPr>
              <w:t>3</w:t>
            </w:r>
          </w:p>
        </w:tc>
      </w:tr>
      <w:tr>
        <w:trPr>
          <w:trHeight w:val="209"/>
        </w:trPr>
        <w:tc>
          <w:tcPr>
            <w:tcW w:w="94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940" w:type="dxa"/>
            <w:vAlign w:val="bottom"/>
          </w:tcPr>
          <w:p>
            <w:pPr>
              <w:spacing w:after="0"/>
              <w:rPr>
                <w:sz w:val="18"/>
                <w:szCs w:val="18"/>
                <w:color w:val="auto"/>
              </w:rPr>
            </w:pPr>
          </w:p>
        </w:tc>
        <w:tc>
          <w:tcPr>
            <w:tcW w:w="330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2080"/>
              <w:spacing w:after="0"/>
              <w:rPr>
                <w:sz w:val="20"/>
                <w:szCs w:val="20"/>
                <w:color w:val="auto"/>
              </w:rPr>
            </w:pPr>
            <w:r>
              <w:rPr>
                <w:rFonts w:ascii="Arial" w:cs="Arial" w:eastAsia="Arial" w:hAnsi="Arial"/>
                <w:sz w:val="18"/>
                <w:szCs w:val="18"/>
                <w:color w:val="auto"/>
              </w:rPr>
              <w:t>$</w:t>
            </w:r>
          </w:p>
        </w:tc>
        <w:tc>
          <w:tcPr>
            <w:tcW w:w="21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324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7"/>
          <w:szCs w:val="17"/>
          <w:color w:val="auto"/>
        </w:rPr>
        <w:t>Effective Date: _______________, 201__ [TO BE INSERTED BY ADMINISTRATIVE AGENT AND WHICH SHALL BE THE EFFECTIVE DATE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OF RECORDATION OF TRANSFER IN THE REGISTER THEREFOR.]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u w:val="single" w:color="auto"/>
          <w:color w:val="auto"/>
        </w:rPr>
        <w:t>ASSIGNOR</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OF ASSIGNOR]</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14605</wp:posOffset>
            </wp:positionV>
            <wp:extent cx="259715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6624"/>
        <w:spacing w:after="0"/>
        <w:rPr>
          <w:sz w:val="20"/>
          <w:szCs w:val="20"/>
          <w:color w:val="auto"/>
        </w:rPr>
      </w:pPr>
      <w:r>
        <w:rPr>
          <w:rFonts w:ascii="Arial" w:cs="Arial" w:eastAsia="Arial" w:hAnsi="Arial"/>
          <w:sz w:val="18"/>
          <w:szCs w:val="18"/>
          <w:u w:val="single" w:color="auto"/>
          <w:color w:val="auto"/>
        </w:rPr>
        <w:t>ASSIGNEE</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OF ASSIGNEE]</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14605</wp:posOffset>
            </wp:positionV>
            <wp:extent cx="25971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7715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right="400" w:firstLine="436"/>
        <w:spacing w:after="0" w:line="258" w:lineRule="auto"/>
        <w:tabs>
          <w:tab w:leader="none" w:pos="566" w:val="left"/>
        </w:tabs>
        <w:numPr>
          <w:ilvl w:val="0"/>
          <w:numId w:val="219"/>
        </w:numPr>
        <w:rPr>
          <w:rFonts w:ascii="Arial" w:cs="Arial" w:eastAsia="Arial" w:hAnsi="Arial"/>
          <w:sz w:val="15"/>
          <w:szCs w:val="15"/>
          <w:color w:val="auto"/>
        </w:rPr>
      </w:pPr>
      <w:r>
        <w:rPr>
          <w:rFonts w:ascii="Arial" w:cs="Arial" w:eastAsia="Arial" w:hAnsi="Arial"/>
          <w:sz w:val="18"/>
          <w:szCs w:val="18"/>
          <w:color w:val="auto"/>
        </w:rPr>
        <w:t>Fill in the appropriate terminology for the types of facilities under the Credit Agreement that are being assigned under this Assignment (e.g. “Dollar Commitment”, “Multicurrency Commitment”, etc.).</w:t>
      </w:r>
    </w:p>
    <w:p>
      <w:pPr>
        <w:spacing w:after="0" w:line="1" w:lineRule="exact"/>
        <w:rPr>
          <w:rFonts w:ascii="Arial" w:cs="Arial" w:eastAsia="Arial" w:hAnsi="Arial"/>
          <w:sz w:val="15"/>
          <w:szCs w:val="15"/>
          <w:color w:val="auto"/>
        </w:rPr>
      </w:pPr>
    </w:p>
    <w:p>
      <w:pPr>
        <w:ind w:left="444"/>
        <w:spacing w:after="0"/>
        <w:rPr>
          <w:rFonts w:ascii="Arial" w:cs="Arial" w:eastAsia="Arial" w:hAnsi="Arial"/>
          <w:sz w:val="15"/>
          <w:szCs w:val="15"/>
          <w:color w:val="auto"/>
        </w:rPr>
      </w:pPr>
      <w:r>
        <w:rPr>
          <w:rFonts w:ascii="Arial" w:cs="Arial" w:eastAsia="Arial" w:hAnsi="Arial"/>
          <w:sz w:val="15"/>
          <w:szCs w:val="15"/>
          <w:color w:val="auto"/>
        </w:rPr>
        <w:t xml:space="preserve">3 </w:t>
      </w:r>
      <w:r>
        <w:rPr>
          <w:rFonts w:ascii="Arial" w:cs="Arial" w:eastAsia="Arial" w:hAnsi="Arial"/>
          <w:sz w:val="17"/>
          <w:szCs w:val="17"/>
          <w:color w:val="auto"/>
        </w:rPr>
        <w:t>Set forth, to at least 9 decimals, as a percentage of the Commitment/Loans of all Lenders thereunder.</w:t>
      </w:r>
    </w:p>
    <w:p>
      <w:pPr>
        <w:spacing w:after="0" w:line="15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4" w:right="4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[Consented to and]</w:t>
      </w:r>
      <w:r>
        <w:rPr>
          <w:rFonts w:ascii="Arial" w:cs="Arial" w:eastAsia="Arial" w:hAnsi="Arial"/>
          <w:sz w:val="15"/>
          <w:szCs w:val="15"/>
          <w:color w:val="auto"/>
        </w:rPr>
        <w:t>4</w:t>
      </w:r>
      <w:r>
        <w:rPr>
          <w:rFonts w:ascii="Arial" w:cs="Arial" w:eastAsia="Arial" w:hAnsi="Arial"/>
          <w:sz w:val="18"/>
          <w:szCs w:val="18"/>
          <w:color w:val="auto"/>
        </w:rPr>
        <w:t xml:space="preserve">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SUNTRUST BANK,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SUNTRUST BANK,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Issuing Bank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15"/>
          <w:szCs w:val="15"/>
          <w:color w:val="auto"/>
        </w:rPr>
        <w:t>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254635</wp:posOffset>
            </wp:positionV>
            <wp:extent cx="7715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60" w:hanging="124"/>
        <w:spacing w:after="0"/>
        <w:tabs>
          <w:tab w:leader="none" w:pos="560" w:val="left"/>
        </w:tabs>
        <w:numPr>
          <w:ilvl w:val="0"/>
          <w:numId w:val="220"/>
        </w:numPr>
        <w:rPr>
          <w:rFonts w:ascii="Arial" w:cs="Arial" w:eastAsia="Arial" w:hAnsi="Arial"/>
          <w:sz w:val="13"/>
          <w:szCs w:val="13"/>
          <w:color w:val="auto"/>
        </w:rPr>
      </w:pPr>
      <w:r>
        <w:rPr>
          <w:rFonts w:ascii="Arial" w:cs="Arial" w:eastAsia="Arial" w:hAnsi="Arial"/>
          <w:sz w:val="16"/>
          <w:szCs w:val="16"/>
          <w:color w:val="auto"/>
        </w:rPr>
        <w:t>To be added only if the consent of the Administrative Agent is required by the terms of the Credit Agreement.</w:t>
      </w:r>
    </w:p>
    <w:p>
      <w:pPr>
        <w:spacing w:after="0" w:line="46"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5"/>
          <w:szCs w:val="15"/>
          <w:color w:val="auto"/>
        </w:rPr>
        <w:t xml:space="preserve">5 </w:t>
      </w:r>
      <w:r>
        <w:rPr>
          <w:rFonts w:ascii="Arial" w:cs="Arial" w:eastAsia="Arial" w:hAnsi="Arial"/>
          <w:sz w:val="17"/>
          <w:szCs w:val="17"/>
          <w:color w:val="auto"/>
        </w:rPr>
        <w:t>To be added only when the consent of the Borrower is required by the terms of the Credit Agreement.</w:t>
      </w:r>
    </w:p>
    <w:p>
      <w:pPr>
        <w:spacing w:after="0" w:line="15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19"/>
          </w:cols>
          <w:pgMar w:left="440" w:top="274" w:right="1440" w:bottom="1440" w:gutter="0" w:footer="0" w:header="0"/>
        </w:sectPr>
      </w:pPr>
    </w:p>
    <w:bookmarkStart w:id="183" w:name="page184"/>
    <w:bookmarkEnd w:id="183"/>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STANDARD TERMS AND CONDITIONS FOR</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ASSIGNMENT AND ASSUMPTION</w:t>
      </w:r>
    </w:p>
    <w:p>
      <w:pPr>
        <w:spacing w:after="0" w:line="211" w:lineRule="exact"/>
        <w:rPr>
          <w:sz w:val="20"/>
          <w:szCs w:val="20"/>
          <w:color w:val="auto"/>
        </w:rPr>
      </w:pPr>
    </w:p>
    <w:p>
      <w:pPr>
        <w:ind w:left="764" w:hanging="324"/>
        <w:spacing w:after="0"/>
        <w:tabs>
          <w:tab w:leader="none" w:pos="76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66" w:lineRule="exact"/>
        <w:rPr>
          <w:sz w:val="20"/>
          <w:szCs w:val="20"/>
          <w:color w:val="auto"/>
        </w:rPr>
      </w:pPr>
    </w:p>
    <w:p>
      <w:pPr>
        <w:jc w:val="both"/>
        <w:ind w:left="4" w:right="40" w:firstLine="440"/>
        <w:spacing w:after="0" w:line="291"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w:t>
      </w:r>
    </w:p>
    <w:p>
      <w:pPr>
        <w:ind w:left="4" w:hanging="4"/>
        <w:spacing w:after="0" w:line="281" w:lineRule="auto"/>
        <w:tabs>
          <w:tab w:leader="none" w:pos="269" w:val="left"/>
        </w:tabs>
        <w:numPr>
          <w:ilvl w:val="0"/>
          <w:numId w:val="222"/>
        </w:numPr>
        <w:rPr>
          <w:rFonts w:ascii="Arial" w:cs="Arial" w:eastAsia="Arial" w:hAnsi="Arial"/>
          <w:sz w:val="16"/>
          <w:szCs w:val="16"/>
          <w:color w:val="auto"/>
        </w:rPr>
      </w:pPr>
      <w:r>
        <w:rPr>
          <w:rFonts w:ascii="Arial" w:cs="Arial" w:eastAsia="Arial" w:hAnsi="Arial"/>
          <w:sz w:val="16"/>
          <w:szCs w:val="16"/>
          <w:color w:val="auto"/>
        </w:rPr>
        <w:t>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5.01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w:t>
      </w:r>
    </w:p>
    <w:p>
      <w:pPr>
        <w:spacing w:after="0" w:line="3" w:lineRule="exact"/>
        <w:rPr>
          <w:rFonts w:ascii="Arial" w:cs="Arial" w:eastAsia="Arial" w:hAnsi="Arial"/>
          <w:sz w:val="16"/>
          <w:szCs w:val="16"/>
          <w:color w:val="auto"/>
        </w:rPr>
      </w:pPr>
    </w:p>
    <w:p>
      <w:pPr>
        <w:ind w:left="4" w:right="20" w:hanging="4"/>
        <w:spacing w:after="0" w:line="271" w:lineRule="auto"/>
        <w:tabs>
          <w:tab w:leader="none" w:pos="259"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if it is a Foreign Lender,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78" w:lineRule="exact"/>
        <w:rPr>
          <w:rFonts w:ascii="Arial" w:cs="Arial" w:eastAsia="Arial" w:hAnsi="Arial"/>
          <w:sz w:val="17"/>
          <w:szCs w:val="17"/>
          <w:color w:val="auto"/>
        </w:rPr>
      </w:pPr>
    </w:p>
    <w:p>
      <w:pPr>
        <w:ind w:left="4" w:right="60" w:firstLine="436"/>
        <w:spacing w:after="0" w:line="263" w:lineRule="auto"/>
        <w:tabs>
          <w:tab w:leader="none" w:pos="759" w:val="left"/>
        </w:tabs>
        <w:numPr>
          <w:ilvl w:val="1"/>
          <w:numId w:val="223"/>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 Assigned Interest (including payments of principal, interest, fees and other amounts) to the Assignor for amounts which have accrued up to but excluding the Effective Date and to the Assignee for amounts which have accrued from and after the Effective Date.</w:t>
      </w:r>
    </w:p>
    <w:p>
      <w:pPr>
        <w:sectPr>
          <w:pgSz w:w="11900" w:h="16838" w:orient="portrait"/>
          <w:cols w:equalWidth="0" w:num="1">
            <w:col w:w="11004"/>
          </w:cols>
          <w:pgMar w:left="436" w:top="274" w:right="459" w:bottom="1440" w:gutter="0" w:footer="0" w:header="0"/>
        </w:sectPr>
      </w:pPr>
    </w:p>
    <w:bookmarkStart w:id="184" w:name="page185"/>
    <w:bookmarkEnd w:id="184"/>
    <w:p>
      <w:pPr>
        <w:ind w:left="-436" w:firstLine="436"/>
        <w:spacing w:after="0" w:line="275" w:lineRule="auto"/>
        <w:tabs>
          <w:tab w:leader="none" w:pos="319"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General Provisions</w:t>
      </w:r>
      <w:r>
        <w:rPr>
          <w:rFonts w:ascii="Arial" w:cs="Arial" w:eastAsia="Arial" w:hAnsi="Arial"/>
          <w:sz w:val="17"/>
          <w:szCs w:val="17"/>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email or other electronic method of transmission shall be effective as deliver of a manually executed counterpart of this Assignment and Assumption. This Assignment and Assumption shall be governed by, and construed in accordance with, the laws of the State of New York.</w:t>
      </w:r>
    </w:p>
    <w:p>
      <w:pPr>
        <w:sectPr>
          <w:pgSz w:w="11900" w:h="16838" w:orient="portrait"/>
          <w:cols w:equalWidth="0" w:num="1">
            <w:col w:w="10564"/>
          </w:cols>
          <w:pgMar w:left="876" w:top="274" w:right="459" w:bottom="1440" w:gutter="0" w:footer="0" w:header="0"/>
        </w:sectPr>
      </w:pPr>
    </w:p>
    <w:bookmarkStart w:id="185" w:name="page186"/>
    <w:bookmarkEnd w:id="18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BORROWING BASE CERTIFICATE</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Monthly accounting period ended _______________, 201__</w:t>
      </w:r>
    </w:p>
    <w:p>
      <w:pPr>
        <w:spacing w:after="0" w:line="229"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Reference is made to that certain Second Amended and Restated Senior Secured Revolving Credit Agreement, dated as of June 25, 2014 (as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PENNANTPARK INVESTMENT CORPORATION, a Maryland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financial institutions party thereto as Lenders, and SunTrust Bank, as the Administrative Agent. Capitalized terms used herein without definition are so used as defined in the Credit Agreement.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Section 5.01(d) of the Credit Agreement, the undersigned, the _________________ of the Borrower, and as such a Financial Officer</w:t>
      </w:r>
    </w:p>
    <w:p>
      <w:pPr>
        <w:spacing w:after="0" w:line="46"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 xml:space="preserve">of the Borrower, hereby certifies, represents and warrants on behalf of the Borrower that (a) attached hereto as </w:t>
      </w:r>
      <w:r>
        <w:rPr>
          <w:rFonts w:ascii="Arial" w:cs="Arial" w:eastAsia="Arial" w:hAnsi="Arial"/>
          <w:sz w:val="16"/>
          <w:szCs w:val="16"/>
          <w:u w:val="single" w:color="auto"/>
          <w:color w:val="auto"/>
        </w:rPr>
        <w:t>Annex 1</w:t>
      </w:r>
      <w:r>
        <w:rPr>
          <w:rFonts w:ascii="Arial" w:cs="Arial" w:eastAsia="Arial" w:hAnsi="Arial"/>
          <w:sz w:val="16"/>
          <w:szCs w:val="16"/>
          <w:color w:val="auto"/>
        </w:rPr>
        <w:t xml:space="preserve"> is (i) a complete and correct list as at the end of the monthly accounting period ended ______________, 201__ of all Portfolio Investments included in the Collateral and (ii) a true and</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correct calculation of the Borrowing Base as at the end of such monthly accounting period determined in accordance with the requirements of the Credit Agreement, and (b) without limiting the generality of the foregoing, all Portfolio Investments included in the calculation of the Borrowing Base herein have been Delivered (as defined in the Guarantee and Security Agreement) to the Collateral Agent.</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WITNESS WHEREOF, the undersigned has caused this certificate to be duly executed as of the ___________ day of 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201__.</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60"/>
          </w:cols>
          <w:pgMar w:left="440" w:top="270" w:right="49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BORROWING REQUEST</w:t>
      </w:r>
    </w:p>
    <w:p>
      <w:pPr>
        <w:spacing w:after="0" w:line="229" w:lineRule="exact"/>
        <w:rPr>
          <w:sz w:val="20"/>
          <w:szCs w:val="20"/>
          <w:color w:val="auto"/>
        </w:rPr>
      </w:pPr>
    </w:p>
    <w:p>
      <w:pPr>
        <w:ind w:left="9000"/>
        <w:spacing w:after="0"/>
        <w:rPr>
          <w:sz w:val="20"/>
          <w:szCs w:val="20"/>
          <w:color w:val="auto"/>
        </w:rPr>
      </w:pPr>
      <w:r>
        <w:rPr>
          <w:rFonts w:ascii="Arial" w:cs="Arial" w:eastAsia="Arial" w:hAnsi="Arial"/>
          <w:sz w:val="16"/>
          <w:szCs w:val="16"/>
          <w:color w:val="auto"/>
        </w:rPr>
        <w:t>Date:____________, _____</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SunTrust Bank, as Administrative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Reference is made to that certain Second Amended and Restated Senior Secured Revolving Credit Agreement, dated as of June 25, 2014 (as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PENNANTPARK INVESTMENT CORPORATION, a Maryland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financial institutions party thereto as Lenders, and SunTrust Bank, as the Administrative Agent. Capitalized terms used herein without definition are so used as defined in the Credit Agreement.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Borrower hereby requests a Borrowing of Loans:</w:t>
      </w:r>
    </w:p>
    <w:p>
      <w:pPr>
        <w:spacing w:after="0" w:line="252" w:lineRule="exact"/>
        <w:rPr>
          <w:sz w:val="20"/>
          <w:szCs w:val="20"/>
          <w:color w:val="auto"/>
        </w:rPr>
      </w:pPr>
    </w:p>
    <w:p>
      <w:pPr>
        <w:ind w:left="880" w:hanging="439"/>
        <w:spacing w:after="0"/>
        <w:tabs>
          <w:tab w:leader="none" w:pos="8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On ____ (a Business Day).</w:t>
      </w:r>
    </w:p>
    <w:p>
      <w:pPr>
        <w:spacing w:after="0" w:line="117" w:lineRule="exact"/>
        <w:rPr>
          <w:rFonts w:ascii="Arial" w:cs="Arial" w:eastAsia="Arial" w:hAnsi="Arial"/>
          <w:sz w:val="18"/>
          <w:szCs w:val="18"/>
          <w:color w:val="auto"/>
        </w:rPr>
      </w:pPr>
    </w:p>
    <w:p>
      <w:pPr>
        <w:ind w:left="880" w:hanging="439"/>
        <w:spacing w:after="0"/>
        <w:tabs>
          <w:tab w:leader="none" w:pos="8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In the amount of ______.</w:t>
      </w:r>
    </w:p>
    <w:p>
      <w:pPr>
        <w:spacing w:after="0" w:line="117" w:lineRule="exact"/>
        <w:rPr>
          <w:rFonts w:ascii="Arial" w:cs="Arial" w:eastAsia="Arial" w:hAnsi="Arial"/>
          <w:sz w:val="18"/>
          <w:szCs w:val="18"/>
          <w:color w:val="auto"/>
        </w:rPr>
      </w:pPr>
    </w:p>
    <w:p>
      <w:pPr>
        <w:ind w:left="2040" w:right="5360" w:hanging="1599"/>
        <w:spacing w:after="0" w:line="342" w:lineRule="auto"/>
        <w:tabs>
          <w:tab w:leader="none" w:pos="893" w:val="left"/>
        </w:tabs>
        <w:numPr>
          <w:ilvl w:val="0"/>
          <w:numId w:val="225"/>
        </w:numPr>
        <w:rPr>
          <w:rFonts w:ascii="Arial" w:cs="Arial" w:eastAsia="Arial" w:hAnsi="Arial"/>
          <w:sz w:val="16"/>
          <w:szCs w:val="16"/>
          <w:color w:val="auto"/>
        </w:rPr>
      </w:pPr>
      <w:r>
        <w:rPr>
          <w:rFonts w:ascii="Arial" w:cs="Arial" w:eastAsia="Arial" w:hAnsi="Arial"/>
          <w:sz w:val="16"/>
          <w:szCs w:val="16"/>
          <w:color w:val="auto"/>
        </w:rPr>
        <w:t>Comprised of _______________________________________.</w:t>
      </w:r>
      <w:r>
        <w:rPr>
          <w:rFonts w:ascii="Arial" w:cs="Arial" w:eastAsia="Arial" w:hAnsi="Arial"/>
          <w:sz w:val="13"/>
          <w:szCs w:val="13"/>
          <w:color w:val="auto"/>
        </w:rPr>
        <w:t>6</w:t>
      </w:r>
      <w:r>
        <w:rPr>
          <w:rFonts w:ascii="Arial" w:cs="Arial" w:eastAsia="Arial" w:hAnsi="Arial"/>
          <w:sz w:val="16"/>
          <w:szCs w:val="16"/>
          <w:color w:val="auto"/>
        </w:rPr>
        <w:t xml:space="preserve"> </w:t>
      </w:r>
      <w:r>
        <w:rPr>
          <w:rFonts w:ascii="Arial" w:cs="Arial" w:eastAsia="Arial" w:hAnsi="Arial"/>
          <w:sz w:val="16"/>
          <w:szCs w:val="16"/>
          <w:i w:val="1"/>
          <w:iCs w:val="1"/>
          <w:color w:val="auto"/>
        </w:rPr>
        <w:t>[Type of Borrowing requested]</w:t>
      </w:r>
    </w:p>
    <w:p>
      <w:pPr>
        <w:spacing w:after="0" w:line="15" w:lineRule="exact"/>
        <w:rPr>
          <w:rFonts w:ascii="Arial" w:cs="Arial" w:eastAsia="Arial" w:hAnsi="Arial"/>
          <w:sz w:val="16"/>
          <w:szCs w:val="16"/>
          <w:color w:val="auto"/>
        </w:rPr>
      </w:pPr>
    </w:p>
    <w:p>
      <w:pPr>
        <w:ind w:left="880" w:hanging="439"/>
        <w:spacing w:after="0"/>
        <w:tabs>
          <w:tab w:leader="none" w:pos="8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Type of Commitment: __________________.</w:t>
      </w:r>
      <w:r>
        <w:rPr>
          <w:rFonts w:ascii="Arial" w:cs="Arial" w:eastAsia="Arial" w:hAnsi="Arial"/>
          <w:sz w:val="15"/>
          <w:szCs w:val="15"/>
          <w:color w:val="auto"/>
        </w:rPr>
        <w:t>7</w:t>
      </w:r>
    </w:p>
    <w:p>
      <w:pPr>
        <w:spacing w:after="0" w:line="117" w:lineRule="exact"/>
        <w:rPr>
          <w:rFonts w:ascii="Arial" w:cs="Arial" w:eastAsia="Arial" w:hAnsi="Arial"/>
          <w:sz w:val="18"/>
          <w:szCs w:val="18"/>
          <w:color w:val="auto"/>
        </w:rPr>
      </w:pPr>
    </w:p>
    <w:p>
      <w:pPr>
        <w:ind w:left="880" w:hanging="439"/>
        <w:spacing w:after="0"/>
        <w:tabs>
          <w:tab w:leader="none" w:pos="8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In the following currency: __________________.</w:t>
      </w:r>
    </w:p>
    <w:p>
      <w:pPr>
        <w:spacing w:after="0" w:line="117" w:lineRule="exact"/>
        <w:rPr>
          <w:rFonts w:ascii="Arial" w:cs="Arial" w:eastAsia="Arial" w:hAnsi="Arial"/>
          <w:sz w:val="18"/>
          <w:szCs w:val="18"/>
          <w:color w:val="auto"/>
        </w:rPr>
      </w:pPr>
    </w:p>
    <w:p>
      <w:pPr>
        <w:ind w:left="880" w:hanging="439"/>
        <w:spacing w:after="0"/>
        <w:tabs>
          <w:tab w:leader="none" w:pos="8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[For Eurocurrency Borrowings: with an Interest Period of ____ months.]</w:t>
      </w:r>
      <w:r>
        <w:rPr>
          <w:rFonts w:ascii="Arial" w:cs="Arial" w:eastAsia="Arial" w:hAnsi="Arial"/>
          <w:sz w:val="15"/>
          <w:szCs w:val="15"/>
          <w:color w:val="auto"/>
        </w:rPr>
        <w:t>8</w:t>
      </w:r>
    </w:p>
    <w:p>
      <w:pPr>
        <w:spacing w:after="0" w:line="117" w:lineRule="exact"/>
        <w:rPr>
          <w:rFonts w:ascii="Arial" w:cs="Arial" w:eastAsia="Arial" w:hAnsi="Arial"/>
          <w:sz w:val="18"/>
          <w:szCs w:val="18"/>
          <w:color w:val="auto"/>
        </w:rPr>
      </w:pPr>
    </w:p>
    <w:p>
      <w:pPr>
        <w:ind w:left="880" w:hanging="439"/>
        <w:spacing w:after="0"/>
        <w:tabs>
          <w:tab w:leader="none" w:pos="8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Borrower’s account number ______________ located at ______________.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7715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right="180" w:firstLine="436"/>
        <w:spacing w:after="0" w:line="258" w:lineRule="auto"/>
        <w:tabs>
          <w:tab w:leader="none" w:pos="562" w:val="left"/>
        </w:tabs>
        <w:numPr>
          <w:ilvl w:val="0"/>
          <w:numId w:val="226"/>
        </w:numPr>
        <w:rPr>
          <w:rFonts w:ascii="Arial" w:cs="Arial" w:eastAsia="Arial" w:hAnsi="Arial"/>
          <w:sz w:val="15"/>
          <w:szCs w:val="15"/>
          <w:color w:val="auto"/>
        </w:rPr>
      </w:pPr>
      <w:r>
        <w:rPr>
          <w:rFonts w:ascii="Arial" w:cs="Arial" w:eastAsia="Arial" w:hAnsi="Arial"/>
          <w:sz w:val="18"/>
          <w:szCs w:val="18"/>
          <w:color w:val="auto"/>
        </w:rPr>
        <w:t>In the case of a Syndicated Borrowing denominated in Dollars, specify whether such Borrowing is to be an ABR Borrowing or a Eurocurrency Borrowing</w:t>
      </w:r>
    </w:p>
    <w:p>
      <w:pPr>
        <w:spacing w:after="0" w:line="1" w:lineRule="exact"/>
        <w:rPr>
          <w:rFonts w:ascii="Arial" w:cs="Arial" w:eastAsia="Arial" w:hAnsi="Arial"/>
          <w:sz w:val="15"/>
          <w:szCs w:val="15"/>
          <w:color w:val="auto"/>
        </w:rPr>
      </w:pPr>
    </w:p>
    <w:p>
      <w:pPr>
        <w:ind w:right="140" w:firstLine="440"/>
        <w:spacing w:after="0" w:line="265" w:lineRule="auto"/>
        <w:rPr>
          <w:rFonts w:ascii="Arial" w:cs="Arial" w:eastAsia="Arial" w:hAnsi="Arial"/>
          <w:sz w:val="15"/>
          <w:szCs w:val="15"/>
          <w:color w:val="auto"/>
        </w:rPr>
      </w:pPr>
      <w:r>
        <w:rPr>
          <w:rFonts w:ascii="Arial" w:cs="Arial" w:eastAsia="Arial" w:hAnsi="Arial"/>
          <w:sz w:val="15"/>
          <w:szCs w:val="15"/>
          <w:color w:val="auto"/>
        </w:rPr>
        <w:t xml:space="preserve">7 </w:t>
      </w:r>
      <w:r>
        <w:rPr>
          <w:rFonts w:ascii="Arial" w:cs="Arial" w:eastAsia="Arial" w:hAnsi="Arial"/>
          <w:sz w:val="17"/>
          <w:szCs w:val="17"/>
          <w:color w:val="auto"/>
        </w:rPr>
        <w:t>Specify whether the Borrowing is to be made under the Dollar Commitments or the Multicurrency Commitments;</w:t>
      </w:r>
      <w:r>
        <w:rPr>
          <w:rFonts w:ascii="Arial" w:cs="Arial" w:eastAsia="Arial" w:hAnsi="Arial"/>
          <w:sz w:val="15"/>
          <w:szCs w:val="15"/>
          <w:color w:val="auto"/>
        </w:rPr>
        <w:t xml:space="preserve"> </w:t>
      </w:r>
      <w:r>
        <w:rPr>
          <w:rFonts w:ascii="Arial" w:cs="Arial" w:eastAsia="Arial" w:hAnsi="Arial"/>
          <w:sz w:val="17"/>
          <w:szCs w:val="17"/>
          <w:u w:val="single" w:color="auto"/>
          <w:color w:val="auto"/>
        </w:rPr>
        <w:t>provided</w:t>
      </w:r>
      <w:r>
        <w:rPr>
          <w:rFonts w:ascii="Arial" w:cs="Arial" w:eastAsia="Arial" w:hAnsi="Arial"/>
          <w:sz w:val="15"/>
          <w:szCs w:val="15"/>
          <w:color w:val="auto"/>
        </w:rPr>
        <w:t xml:space="preserve"> </w:t>
      </w:r>
      <w:r>
        <w:rPr>
          <w:rFonts w:ascii="Arial" w:cs="Arial" w:eastAsia="Arial" w:hAnsi="Arial"/>
          <w:sz w:val="17"/>
          <w:szCs w:val="17"/>
          <w:color w:val="auto"/>
        </w:rPr>
        <w:t>that any Borrowing</w:t>
      </w:r>
      <w:r>
        <w:rPr>
          <w:rFonts w:ascii="Arial" w:cs="Arial" w:eastAsia="Arial" w:hAnsi="Arial"/>
          <w:sz w:val="15"/>
          <w:szCs w:val="15"/>
          <w:color w:val="auto"/>
        </w:rPr>
        <w:t xml:space="preserve"> </w:t>
      </w:r>
      <w:r>
        <w:rPr>
          <w:rFonts w:ascii="Arial" w:cs="Arial" w:eastAsia="Arial" w:hAnsi="Arial"/>
          <w:sz w:val="17"/>
          <w:szCs w:val="17"/>
          <w:color w:val="auto"/>
        </w:rPr>
        <w:t>in Dollars shall be allocated between the Dollar Commitments and the Multicurrency Commitments on a pro rata basis.</w:t>
      </w:r>
    </w:p>
    <w:p>
      <w:pPr>
        <w:ind w:left="440"/>
        <w:spacing w:after="0"/>
        <w:rPr>
          <w:rFonts w:ascii="Arial" w:cs="Arial" w:eastAsia="Arial" w:hAnsi="Arial"/>
          <w:sz w:val="15"/>
          <w:szCs w:val="15"/>
          <w:color w:val="auto"/>
        </w:rPr>
      </w:pPr>
      <w:r>
        <w:rPr>
          <w:rFonts w:ascii="Arial" w:cs="Arial" w:eastAsia="Arial" w:hAnsi="Arial"/>
          <w:sz w:val="15"/>
          <w:szCs w:val="15"/>
          <w:color w:val="auto"/>
        </w:rPr>
        <w:t xml:space="preserve">8 </w:t>
      </w:r>
      <w:r>
        <w:rPr>
          <w:rFonts w:ascii="Arial" w:cs="Arial" w:eastAsia="Arial" w:hAnsi="Arial"/>
          <w:sz w:val="17"/>
          <w:szCs w:val="17"/>
          <w:color w:val="auto"/>
        </w:rPr>
        <w:t>Include for Eurocurrency Borrowings only; to be one, two or three months or, subject to availability to all the Lenders, six or twelve months.</w:t>
      </w:r>
    </w:p>
    <w:p>
      <w:pPr>
        <w:sectPr>
          <w:pgSz w:w="11900" w:h="16838" w:orient="portrait"/>
          <w:cols w:equalWidth="0" w:num="1">
            <w:col w:w="11020"/>
          </w:cols>
          <w:pgMar w:left="440" w:top="270" w:right="4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this Borrowing Request has been executed by the undersigned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00"/>
          </w:cols>
          <w:pgMar w:left="880" w:top="274" w:right="81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825625" cy="4368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82562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PennantPark Investment Corporation Announces Completion of Amended Credit Facility</w:t>
      </w:r>
    </w:p>
    <w:p>
      <w:pPr>
        <w:spacing w:after="0" w:line="229" w:lineRule="exact"/>
        <w:rPr>
          <w:sz w:val="20"/>
          <w:szCs w:val="20"/>
          <w:color w:val="auto"/>
        </w:rPr>
      </w:pPr>
    </w:p>
    <w:p>
      <w:pPr>
        <w:ind w:left="4" w:right="140"/>
        <w:spacing w:after="0" w:line="293" w:lineRule="auto"/>
        <w:rPr>
          <w:sz w:val="20"/>
          <w:szCs w:val="20"/>
          <w:color w:val="auto"/>
        </w:rPr>
      </w:pPr>
      <w:r>
        <w:rPr>
          <w:rFonts w:ascii="Arial" w:cs="Arial" w:eastAsia="Arial" w:hAnsi="Arial"/>
          <w:sz w:val="16"/>
          <w:szCs w:val="16"/>
          <w:color w:val="auto"/>
        </w:rPr>
        <w:t>NEW YORK, September 9, 2019 (GLOBE NEWSWIRE) — PennantPark Investment Corporation (“we,” “our,” “us” or “PennantPark”) (NASDAQ: PNNT) announced today that it has completed all the necessary amendments to its multi-currency, senior secured revolving credit facility with certain lenders and SunTrust Bank acting as administrative agent (the “Credit Facility”). The facility extends the term of the revolving period from May 25, 2021 to September 4, 2023 and the final maturity date from May 25, 2022 to September 4, 2024, for $420 million out of the total $475 million commitments. The facility also amends the covenants in the Credit Facility, in combination with PennantPark’s other existing debt sources, enabling us to utilize the flexibility and incremental leverage provided by the Small Business Credit Availability Act (“SBCAA”) in the future.</w:t>
      </w:r>
    </w:p>
    <w:p>
      <w:pPr>
        <w:spacing w:after="0" w:line="164" w:lineRule="exact"/>
        <w:rPr>
          <w:sz w:val="20"/>
          <w:szCs w:val="20"/>
          <w:color w:val="auto"/>
        </w:rPr>
      </w:pPr>
    </w:p>
    <w:p>
      <w:pPr>
        <w:ind w:left="4" w:right="260"/>
        <w:spacing w:after="0" w:line="311" w:lineRule="auto"/>
        <w:rPr>
          <w:sz w:val="20"/>
          <w:szCs w:val="20"/>
          <w:color w:val="auto"/>
        </w:rPr>
      </w:pPr>
      <w:r>
        <w:rPr>
          <w:rFonts w:ascii="Arial" w:cs="Arial" w:eastAsia="Arial" w:hAnsi="Arial"/>
          <w:sz w:val="16"/>
          <w:szCs w:val="16"/>
          <w:color w:val="auto"/>
        </w:rPr>
        <w:t>The Credit Facility for the $420 million of commitments – which includes the increased commitment size of $30 million – has a five year term with a four year reinvestment period during which pricing remains at LIBOR plus 2.25%. The key terms are such that, in combination with PennantPark’s existing debt sources, we will be able to operate within the asset coverage covenant that the SBCAA reduced from 200% to 150%.</w:t>
      </w:r>
    </w:p>
    <w:p>
      <w:pPr>
        <w:spacing w:after="0" w:line="149" w:lineRule="exact"/>
        <w:rPr>
          <w:sz w:val="20"/>
          <w:szCs w:val="20"/>
          <w:color w:val="auto"/>
        </w:rPr>
      </w:pPr>
    </w:p>
    <w:p>
      <w:pPr>
        <w:ind w:left="4" w:right="240"/>
        <w:spacing w:after="0" w:line="257" w:lineRule="auto"/>
        <w:rPr>
          <w:sz w:val="20"/>
          <w:szCs w:val="20"/>
          <w:color w:val="auto"/>
        </w:rPr>
      </w:pPr>
      <w:r>
        <w:rPr>
          <w:rFonts w:ascii="Arial" w:cs="Arial" w:eastAsia="Arial" w:hAnsi="Arial"/>
          <w:sz w:val="18"/>
          <w:szCs w:val="18"/>
          <w:color w:val="auto"/>
        </w:rPr>
        <w:t>“We are pleased with the extension of our Credit Facility, and believe that maintaining our cost and amending covenants will give PennantPark the flexibility to obtain the benefits provided by the SBCAA. We also believe this will result in enhanced profitability while maintaining our conservative and prudent debt profile,” said Art Penn, Chairman and Chief Executive Officer, “Additionally, we are appreciative of the support from our existing lending partners and pleased to have added two new lending partners to the facility. Their support highlights the confidence they have in our excellent long term track record.”</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color w:val="auto"/>
        </w:rPr>
        <w:t>ABOUT PENNANTPARK INVESTMENT CORPORATION</w:t>
      </w:r>
    </w:p>
    <w:p>
      <w:pPr>
        <w:spacing w:after="0" w:line="117"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color w:val="auto"/>
        </w:rPr>
        <w:t>ABOUT PENNANTPARK INVESTMENT ADVISERS, LLC</w:t>
      </w:r>
    </w:p>
    <w:p>
      <w:pPr>
        <w:spacing w:after="0" w:line="117" w:lineRule="exact"/>
        <w:rPr>
          <w:sz w:val="20"/>
          <w:szCs w:val="20"/>
          <w:color w:val="auto"/>
        </w:rPr>
      </w:pPr>
    </w:p>
    <w:p>
      <w:pPr>
        <w:ind w:left="4" w:right="260"/>
        <w:spacing w:after="0" w:line="301" w:lineRule="auto"/>
        <w:rPr>
          <w:sz w:val="20"/>
          <w:szCs w:val="20"/>
          <w:color w:val="auto"/>
        </w:rPr>
      </w:pPr>
      <w:r>
        <w:rPr>
          <w:rFonts w:ascii="Arial" w:cs="Arial" w:eastAsia="Arial" w:hAnsi="Arial"/>
          <w:sz w:val="16"/>
          <w:szCs w:val="16"/>
          <w:color w:val="auto"/>
        </w:rPr>
        <w:t>PennantPark Investment Advisers, LLC is a leading middle market credit platform, which has approximately $3.2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265"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ind w:left="4" w:right="20"/>
        <w:spacing w:after="0" w:line="270" w:lineRule="auto"/>
        <w:rPr>
          <w:sz w:val="20"/>
          <w:szCs w:val="20"/>
          <w:color w:val="auto"/>
        </w:rPr>
      </w:pPr>
      <w:r>
        <w:rPr>
          <w:rFonts w:ascii="Arial" w:cs="Arial" w:eastAsia="Arial" w:hAnsi="Arial"/>
          <w:sz w:val="17"/>
          <w:szCs w:val="17"/>
          <w:color w:val="auto"/>
        </w:rPr>
        <w:t>This press release may contain “forward-looking statements” within the meaning of the Private Securities Litigation Reform Act of 1995. You should understand that under Section 27A(b)(2)(B) of the Securities Act and Section 21E(b)(2)(B) of the Securities Exchange Act of 1934, as amended, or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1" w:lineRule="exact"/>
        <w:rPr>
          <w:sz w:val="20"/>
          <w:szCs w:val="20"/>
          <w:color w:val="auto"/>
        </w:rPr>
      </w:pPr>
    </w:p>
    <w:p>
      <w:pPr>
        <w:ind w:left="4" w:right="240"/>
        <w:spacing w:after="0" w:line="259" w:lineRule="auto"/>
        <w:rPr>
          <w:sz w:val="20"/>
          <w:szCs w:val="20"/>
          <w:color w:val="auto"/>
        </w:rPr>
      </w:pPr>
      <w:r>
        <w:rPr>
          <w:rFonts w:ascii="Arial" w:cs="Arial" w:eastAsia="Arial" w:hAnsi="Arial"/>
          <w:sz w:val="18"/>
          <w:szCs w:val="18"/>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ind w:left="4" w:right="9360" w:hanging="4"/>
        <w:spacing w:after="0" w:line="323" w:lineRule="auto"/>
        <w:tabs>
          <w:tab w:leader="none" w:pos="439" w:val="left"/>
        </w:tabs>
        <w:numPr>
          <w:ilvl w:val="0"/>
          <w:numId w:val="227"/>
        </w:numPr>
        <w:rPr>
          <w:rFonts w:ascii="Arial" w:cs="Arial" w:eastAsia="Arial" w:hAnsi="Arial"/>
          <w:sz w:val="16"/>
          <w:szCs w:val="16"/>
          <w:color w:val="auto"/>
        </w:rPr>
      </w:pPr>
      <w:r>
        <w:rPr>
          <w:rFonts w:ascii="Arial" w:cs="Arial" w:eastAsia="Arial" w:hAnsi="Arial"/>
          <w:sz w:val="16"/>
          <w:szCs w:val="16"/>
          <w:color w:val="auto"/>
        </w:rPr>
        <w:t>905-1000 www.pennantpark.com</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E7FFA2B"/>
    <w:multiLevelType w:val="hybridMultilevel"/>
    <w:lvl w:ilvl="0">
      <w:lvlJc w:val="left"/>
      <w:lvlText w:val="☐"/>
      <w:numFmt w:val="bullet"/>
      <w:start w:val="1"/>
    </w:lvl>
  </w:abstractNum>
  <w:abstractNum w:abstractNumId="1">
    <w:nsid w:val="3C5991AA"/>
    <w:multiLevelType w:val="hybridMultilevel"/>
    <w:lvl w:ilvl="0">
      <w:lvlJc w:val="left"/>
      <w:lvlText w:val="(%1)"/>
      <w:numFmt w:val="lowerLetter"/>
      <w:start w:val="1"/>
    </w:lvl>
  </w:abstractNum>
  <w:abstractNum w:abstractNumId="2">
    <w:nsid w:val="4BD8591A"/>
    <w:multiLevelType w:val="hybridMultilevel"/>
    <w:lvl w:ilvl="0">
      <w:lvlJc w:val="left"/>
      <w:lvlText w:val="(%1)"/>
      <w:numFmt w:val="lowerLetter"/>
      <w:start w:val="1"/>
    </w:lvl>
    <w:lvl w:ilvl="1">
      <w:lvlJc w:val="left"/>
      <w:lvlText w:val="(%2)"/>
      <w:numFmt w:val="lowerRoman"/>
      <w:start w:val="1"/>
    </w:lvl>
  </w:abstractNum>
  <w:abstractNum w:abstractNumId="3">
    <w:nsid w:val="78DF6A55"/>
    <w:multiLevelType w:val="hybridMultilevel"/>
    <w:lvl w:ilvl="0">
      <w:lvlJc w:val="left"/>
      <w:lvlText w:val="(%1)"/>
      <w:numFmt w:val="lowerRoman"/>
      <w:start w:val="3"/>
    </w:lvl>
  </w:abstractNum>
  <w:abstractNum w:abstractNumId="4">
    <w:nsid w:val="39B7AAA2"/>
    <w:multiLevelType w:val="hybridMultilevel"/>
    <w:lvl w:ilvl="0">
      <w:lvlJc w:val="left"/>
      <w:lvlText w:val="(%1)"/>
      <w:numFmt w:val="lowerLetter"/>
      <w:start w:val="1"/>
    </w:lvl>
  </w:abstractNum>
  <w:abstractNum w:abstractNumId="5">
    <w:nsid w:val="2B0D8DBE"/>
    <w:multiLevelType w:val="hybridMultilevel"/>
    <w:lvl w:ilvl="0">
      <w:lvlJc w:val="left"/>
      <w:lvlText w:val="(%1)"/>
      <w:numFmt w:val="lowerLetter"/>
      <w:start w:val="3"/>
    </w:lvl>
  </w:abstractNum>
  <w:abstractNum w:abstractNumId="6">
    <w:nsid w:val="6C80EC70"/>
    <w:multiLevelType w:val="hybridMultilevel"/>
    <w:lvl w:ilvl="0">
      <w:lvlJc w:val="left"/>
      <w:lvlText w:val="(%1)"/>
      <w:numFmt w:val="lowerLetter"/>
      <w:start w:val="9"/>
    </w:lvl>
  </w:abstractNum>
  <w:abstractNum w:abstractNumId="7">
    <w:nsid w:val="379E21B5"/>
    <w:multiLevelType w:val="hybridMultilevel"/>
    <w:lvl w:ilvl="0">
      <w:lvlJc w:val="left"/>
      <w:lvlText w:val="(%1)"/>
      <w:numFmt w:val="lowerLetter"/>
      <w:start w:val="4"/>
    </w:lvl>
  </w:abstractNum>
  <w:abstractNum w:abstractNumId="8">
    <w:nsid w:val="69E373"/>
    <w:multiLevelType w:val="hybridMultilevel"/>
    <w:lvl w:ilvl="0">
      <w:lvlJc w:val="left"/>
      <w:lvlText w:val="(%1)"/>
      <w:numFmt w:val="lowerLetter"/>
      <w:start w:val="9"/>
    </w:lvl>
  </w:abstractNum>
  <w:abstractNum w:abstractNumId="9">
    <w:nsid w:val="2C27173B"/>
    <w:multiLevelType w:val="hybridMultilevel"/>
    <w:lvl w:ilvl="0">
      <w:lvlJc w:val="left"/>
      <w:lvlText w:val="(%1)"/>
      <w:numFmt w:val="lowerLetter"/>
      <w:start w:val="3"/>
    </w:lvl>
  </w:abstractNum>
  <w:abstractNum w:abstractNumId="10">
    <w:nsid w:val="4C9B0904"/>
    <w:multiLevelType w:val="hybridMultilevel"/>
    <w:lvl w:ilvl="0">
      <w:lvlJc w:val="left"/>
      <w:lvlText w:val="(%1)"/>
      <w:numFmt w:val="lowerRoman"/>
      <w:start w:val="10"/>
    </w:lvl>
  </w:abstractNum>
  <w:abstractNum w:abstractNumId="11">
    <w:nsid w:val="6AA7B75C"/>
    <w:multiLevelType w:val="hybridMultilevel"/>
    <w:lvl w:ilvl="0">
      <w:lvlJc w:val="left"/>
      <w:lvlText w:val="(%1)"/>
      <w:numFmt w:val="lowerLetter"/>
      <w:start w:val="2"/>
    </w:lvl>
  </w:abstractNum>
  <w:abstractNum w:abstractNumId="12">
    <w:nsid w:val="1DF029D3"/>
    <w:multiLevelType w:val="hybridMultilevel"/>
    <w:lvl w:ilvl="0">
      <w:lvlJc w:val="left"/>
      <w:lvlText w:val="(%1)"/>
      <w:numFmt w:val="lowerLetter"/>
      <w:start w:val="25"/>
    </w:lvl>
  </w:abstractNum>
  <w:abstractNum w:abstractNumId="13">
    <w:nsid w:val="5675FF36"/>
    <w:multiLevelType w:val="hybridMultilevel"/>
    <w:lvl w:ilvl="0">
      <w:lvlJc w:val="left"/>
      <w:lvlText w:val="(%1)"/>
      <w:numFmt w:val="lowerLetter"/>
      <w:start w:val="1"/>
    </w:lvl>
  </w:abstractNum>
  <w:abstractNum w:abstractNumId="14">
    <w:nsid w:val="3DD15094"/>
    <w:multiLevelType w:val="hybridMultilevel"/>
    <w:lvl w:ilvl="0">
      <w:lvlJc w:val="left"/>
      <w:lvlText w:val="(%1)"/>
      <w:numFmt w:val="lowerLetter"/>
      <w:start w:val="2"/>
    </w:lvl>
  </w:abstractNum>
  <w:abstractNum w:abstractNumId="15">
    <w:nsid w:val="3DB012B3"/>
    <w:multiLevelType w:val="hybridMultilevel"/>
    <w:lvl w:ilvl="0">
      <w:lvlJc w:val="left"/>
      <w:lvlText w:val="(%1)"/>
      <w:numFmt w:val="lowerLetter"/>
      <w:start w:val="1"/>
    </w:lvl>
  </w:abstractNum>
  <w:abstractNum w:abstractNumId="16">
    <w:nsid w:val="2708C9AF"/>
    <w:multiLevelType w:val="hybridMultilevel"/>
    <w:lvl w:ilvl="0">
      <w:lvlJc w:val="left"/>
      <w:lvlText w:val="%1"/>
      <w:numFmt w:val="decimal"/>
      <w:start w:val="1"/>
    </w:lvl>
    <w:lvl w:ilvl="1">
      <w:lvlJc w:val="left"/>
      <w:lvlText w:val="(%2)"/>
      <w:numFmt w:val="lowerLetter"/>
      <w:start w:val="1"/>
    </w:lvl>
  </w:abstractNum>
  <w:abstractNum w:abstractNumId="17">
    <w:nsid w:val="5B25ACE2"/>
    <w:multiLevelType w:val="hybridMultilevel"/>
    <w:lvl w:ilvl="0">
      <w:lvlJc w:val="left"/>
      <w:lvlText w:val="(%1)"/>
      <w:numFmt w:val="lowerLetter"/>
      <w:start w:val="6"/>
    </w:lvl>
  </w:abstractNum>
  <w:abstractNum w:abstractNumId="18">
    <w:nsid w:val="175DFCF0"/>
    <w:multiLevelType w:val="hybridMultilevel"/>
    <w:lvl w:ilvl="0">
      <w:lvlJc w:val="left"/>
      <w:lvlText w:val="(%1)"/>
      <w:numFmt w:val="lowerLetter"/>
      <w:start w:val="1"/>
    </w:lvl>
  </w:abstractNum>
  <w:abstractNum w:abstractNumId="19">
    <w:nsid w:val="4F97E3E4"/>
    <w:multiLevelType w:val="hybridMultilevel"/>
    <w:lvl w:ilvl="0">
      <w:lvlJc w:val="left"/>
      <w:lvlText w:val="(%1)"/>
      <w:numFmt w:val="lowerLetter"/>
      <w:start w:val="2"/>
    </w:lvl>
  </w:abstractNum>
  <w:abstractNum w:abstractNumId="20">
    <w:nsid w:val="53B0A9E"/>
    <w:multiLevelType w:val="hybridMultilevel"/>
    <w:lvl w:ilvl="0">
      <w:lvlJc w:val="left"/>
      <w:lvlText w:val="(%1)"/>
      <w:numFmt w:val="lowerLetter"/>
      <w:start w:val="8"/>
    </w:lvl>
  </w:abstractNum>
  <w:abstractNum w:abstractNumId="21">
    <w:nsid w:val="34FD6B4F"/>
    <w:multiLevelType w:val="hybridMultilevel"/>
    <w:lvl w:ilvl="0">
      <w:lvlJc w:val="left"/>
      <w:lvlText w:val="(%1)"/>
      <w:numFmt w:val="lowerLetter"/>
      <w:start w:val="25"/>
    </w:lvl>
  </w:abstractNum>
  <w:abstractNum w:abstractNumId="22">
    <w:nsid w:val="5915FF32"/>
    <w:multiLevelType w:val="hybridMultilevel"/>
    <w:lvl w:ilvl="0">
      <w:lvlJc w:val="left"/>
      <w:lvlText w:val="(%1)"/>
      <w:numFmt w:val="lowerLetter"/>
      <w:start w:val="2"/>
    </w:lvl>
  </w:abstractNum>
  <w:abstractNum w:abstractNumId="23">
    <w:nsid w:val="56438D15"/>
    <w:multiLevelType w:val="hybridMultilevel"/>
    <w:lvl w:ilvl="0">
      <w:lvlJc w:val="left"/>
      <w:lvlText w:val="(%1)"/>
      <w:numFmt w:val="lowerRoman"/>
      <w:start w:val="2"/>
    </w:lvl>
  </w:abstractNum>
  <w:abstractNum w:abstractNumId="24">
    <w:nsid w:val="519E3149"/>
    <w:multiLevelType w:val="hybridMultilevel"/>
    <w:lvl w:ilvl="0">
      <w:lvlJc w:val="left"/>
      <w:lvlText w:val="(%1)"/>
      <w:numFmt w:val="lowerLetter"/>
      <w:start w:val="1"/>
    </w:lvl>
  </w:abstractNum>
  <w:abstractNum w:abstractNumId="25">
    <w:nsid w:val="2C6E4AFD"/>
    <w:multiLevelType w:val="hybridMultilevel"/>
    <w:lvl w:ilvl="0">
      <w:lvlJc w:val="left"/>
      <w:lvlText w:val="(%1)"/>
      <w:numFmt w:val="lowerRoman"/>
      <w:start w:val="3"/>
    </w:lvl>
  </w:abstractNum>
  <w:abstractNum w:abstractNumId="26">
    <w:nsid w:val="17A1B582"/>
    <w:multiLevelType w:val="hybridMultilevel"/>
    <w:lvl w:ilvl="0">
      <w:lvlJc w:val="left"/>
      <w:lvlText w:val="(%1)"/>
      <w:numFmt w:val="lowerLetter"/>
      <w:start w:val="25"/>
    </w:lvl>
  </w:abstractNum>
  <w:abstractNum w:abstractNumId="27">
    <w:nsid w:val="4DF72E4E"/>
    <w:multiLevelType w:val="hybridMultilevel"/>
    <w:lvl w:ilvl="0">
      <w:lvlJc w:val="left"/>
      <w:lvlText w:val="%1"/>
      <w:numFmt w:val="lowerLetter"/>
      <w:start w:val="1"/>
    </w:lvl>
    <w:lvl w:ilvl="1">
      <w:lvlJc w:val="left"/>
      <w:lvlText w:val="(%2)"/>
      <w:numFmt w:val="lowerLetter"/>
      <w:start w:val="1"/>
    </w:lvl>
  </w:abstractNum>
  <w:abstractNum w:abstractNumId="28">
    <w:nsid w:val="5046B5A9"/>
    <w:multiLevelType w:val="hybridMultilevel"/>
    <w:lvl w:ilvl="0">
      <w:lvlJc w:val="left"/>
      <w:lvlText w:val="(%1)"/>
      <w:numFmt w:val="lowerLetter"/>
      <w:start w:val="9"/>
    </w:lvl>
    <w:lvl w:ilvl="1">
      <w:lvlJc w:val="left"/>
      <w:lvlText w:val="(%2)"/>
      <w:numFmt w:val="lowerLetter"/>
      <w:start w:val="2"/>
    </w:lvl>
  </w:abstractNum>
  <w:abstractNum w:abstractNumId="29">
    <w:nsid w:val="5D888A08"/>
    <w:multiLevelType w:val="hybridMultilevel"/>
    <w:lvl w:ilvl="0">
      <w:lvlJc w:val="left"/>
      <w:lvlText w:val="(%1)"/>
      <w:numFmt w:val="lowerLetter"/>
      <w:start w:val="1"/>
    </w:lvl>
  </w:abstractNum>
  <w:abstractNum w:abstractNumId="30">
    <w:nsid w:val="2A082C70"/>
    <w:multiLevelType w:val="hybridMultilevel"/>
    <w:lvl w:ilvl="0">
      <w:lvlJc w:val="left"/>
      <w:lvlText w:val="(%1)"/>
      <w:numFmt w:val="lowerLetter"/>
      <w:start w:val="2"/>
    </w:lvl>
  </w:abstractNum>
  <w:abstractNum w:abstractNumId="31">
    <w:nsid w:val="5EC6AFD4"/>
    <w:multiLevelType w:val="hybridMultilevel"/>
    <w:lvl w:ilvl="0">
      <w:lvlJc w:val="left"/>
      <w:lvlText w:val="(%1)"/>
      <w:numFmt w:val="lowerLetter"/>
      <w:start w:val="1"/>
    </w:lvl>
  </w:abstractNum>
  <w:abstractNum w:abstractNumId="32">
    <w:nsid w:val="19E21BB2"/>
    <w:multiLevelType w:val="hybridMultilevel"/>
    <w:lvl w:ilvl="0">
      <w:lvlJc w:val="left"/>
      <w:lvlText w:val="(%1)"/>
      <w:numFmt w:val="lowerLetter"/>
      <w:start w:val="5"/>
    </w:lvl>
  </w:abstractNum>
  <w:abstractNum w:abstractNumId="33">
    <w:nsid w:val="75E0858A"/>
    <w:multiLevelType w:val="hybridMultilevel"/>
    <w:lvl w:ilvl="0">
      <w:lvlJc w:val="left"/>
      <w:lvlText w:val="%1"/>
      <w:numFmt w:val="lowerRoman"/>
      <w:start w:val="1"/>
    </w:lvl>
    <w:lvl w:ilvl="1">
      <w:lvlJc w:val="left"/>
      <w:lvlText w:val="(%2)"/>
      <w:numFmt w:val="lowerLetter"/>
      <w:start w:val="1"/>
    </w:lvl>
  </w:abstractNum>
  <w:abstractNum w:abstractNumId="34">
    <w:nsid w:val="57A61A29"/>
    <w:multiLevelType w:val="hybridMultilevel"/>
    <w:lvl w:ilvl="0">
      <w:lvlJc w:val="left"/>
      <w:lvlText w:val="(%1)"/>
      <w:numFmt w:val="lowerRoman"/>
      <w:start w:val="1"/>
    </w:lvl>
    <w:lvl w:ilvl="1">
      <w:lvlJc w:val="left"/>
      <w:lvlText w:val="(%2)"/>
      <w:numFmt w:val="lowerLetter"/>
      <w:start w:val="3"/>
    </w:lvl>
  </w:abstractNum>
  <w:abstractNum w:abstractNumId="35">
    <w:nsid w:val="5399C654"/>
    <w:multiLevelType w:val="hybridMultilevel"/>
    <w:lvl w:ilvl="0">
      <w:lvlJc w:val="left"/>
      <w:lvlText w:val="(%1)"/>
      <w:numFmt w:val="lowerLetter"/>
      <w:start w:val="4"/>
    </w:lvl>
  </w:abstractNum>
  <w:abstractNum w:abstractNumId="36">
    <w:nsid w:val="20EE1348"/>
    <w:multiLevelType w:val="hybridMultilevel"/>
    <w:lvl w:ilvl="0">
      <w:lvlJc w:val="left"/>
      <w:lvlText w:val="(%1)"/>
      <w:numFmt w:val="lowerLetter"/>
      <w:start w:val="1"/>
    </w:lvl>
  </w:abstractNum>
  <w:abstractNum w:abstractNumId="37">
    <w:nsid w:val="4427069A"/>
    <w:multiLevelType w:val="hybridMultilevel"/>
    <w:lvl w:ilvl="0">
      <w:lvlJc w:val="left"/>
      <w:lvlText w:val="(%1)"/>
      <w:numFmt w:val="lowerLetter"/>
      <w:start w:val="4"/>
    </w:lvl>
  </w:abstractNum>
  <w:abstractNum w:abstractNumId="38">
    <w:nsid w:val="B37E80A"/>
    <w:multiLevelType w:val="hybridMultilevel"/>
    <w:lvl w:ilvl="0">
      <w:lvlJc w:val="left"/>
      <w:lvlText w:val="(%1)"/>
      <w:numFmt w:val="lowerLetter"/>
      <w:start w:val="1"/>
    </w:lvl>
  </w:abstractNum>
  <w:abstractNum w:abstractNumId="39">
    <w:nsid w:val="2157F6BC"/>
    <w:multiLevelType w:val="hybridMultilevel"/>
    <w:lvl w:ilvl="0">
      <w:lvlJc w:val="left"/>
      <w:lvlText w:val="(%1)"/>
      <w:numFmt w:val="lowerLetter"/>
      <w:start w:val="4"/>
    </w:lvl>
  </w:abstractNum>
  <w:abstractNum w:abstractNumId="40">
    <w:nsid w:val="704E1DD5"/>
    <w:multiLevelType w:val="hybridMultilevel"/>
    <w:lvl w:ilvl="0">
      <w:lvlJc w:val="left"/>
      <w:lvlText w:val="(%1)"/>
      <w:numFmt w:val="lowerLetter"/>
      <w:start w:val="6"/>
    </w:lvl>
  </w:abstractNum>
  <w:abstractNum w:abstractNumId="41">
    <w:nsid w:val="57D2F10E"/>
    <w:multiLevelType w:val="hybridMultilevel"/>
    <w:lvl w:ilvl="0">
      <w:lvlJc w:val="left"/>
      <w:lvlText w:val="(%1)"/>
      <w:numFmt w:val="lowerLetter"/>
      <w:start w:val="7"/>
    </w:lvl>
  </w:abstractNum>
  <w:abstractNum w:abstractNumId="42">
    <w:nsid w:val="BFFAE18"/>
    <w:multiLevelType w:val="hybridMultilevel"/>
    <w:lvl w:ilvl="0">
      <w:lvlJc w:val="left"/>
      <w:lvlText w:val="(%1)"/>
      <w:numFmt w:val="lowerRoman"/>
      <w:start w:val="1"/>
    </w:lvl>
    <w:lvl w:ilvl="1">
      <w:lvlJc w:val="left"/>
      <w:lvlText w:val="(%2)"/>
      <w:numFmt w:val="lowerLetter"/>
      <w:start w:val="8"/>
    </w:lvl>
  </w:abstractNum>
  <w:abstractNum w:abstractNumId="43">
    <w:nsid w:val="E3E47A8"/>
    <w:multiLevelType w:val="hybridMultilevel"/>
    <w:lvl w:ilvl="0">
      <w:lvlJc w:val="left"/>
      <w:lvlText w:val="(%1)"/>
      <w:numFmt w:val="lowerLetter"/>
      <w:start w:val="10"/>
    </w:lvl>
  </w:abstractNum>
  <w:abstractNum w:abstractNumId="44">
    <w:nsid w:val="2E48F044"/>
    <w:multiLevelType w:val="hybridMultilevel"/>
    <w:lvl w:ilvl="0">
      <w:lvlJc w:val="left"/>
      <w:lvlText w:val="(%1)"/>
      <w:numFmt w:val="lowerLetter"/>
      <w:start w:val="1"/>
    </w:lvl>
  </w:abstractNum>
  <w:abstractNum w:abstractNumId="45">
    <w:nsid w:val="49D0FEAC"/>
    <w:multiLevelType w:val="hybridMultilevel"/>
    <w:lvl w:ilvl="0">
      <w:lvlJc w:val="left"/>
      <w:lvlText w:val="(%1)"/>
      <w:numFmt w:val="lowerLetter"/>
      <w:start w:val="2"/>
    </w:lvl>
  </w:abstractNum>
  <w:abstractNum w:abstractNumId="46">
    <w:nsid w:val="4BEE5A5B"/>
    <w:multiLevelType w:val="hybridMultilevel"/>
    <w:lvl w:ilvl="0">
      <w:lvlJc w:val="left"/>
      <w:lvlText w:val="(%1)"/>
      <w:numFmt w:val="lowerLetter"/>
      <w:start w:val="1"/>
    </w:lvl>
  </w:abstractNum>
  <w:abstractNum w:abstractNumId="47">
    <w:nsid w:val="5551B9F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
    </w:lvl>
  </w:abstractNum>
  <w:abstractNum w:abstractNumId="48">
    <w:nsid w:val="24F6AB8E"/>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4"/>
    </w:lvl>
  </w:abstractNum>
  <w:abstractNum w:abstractNumId="49">
    <w:nsid w:val="634C574C"/>
    <w:multiLevelType w:val="hybridMultilevel"/>
    <w:lvl w:ilvl="0">
      <w:lvlJc w:val="left"/>
      <w:lvlText w:val="(%1)"/>
      <w:numFmt w:val="lowerLetter"/>
      <w:start w:val="35"/>
    </w:lvl>
    <w:lvl w:ilvl="1">
      <w:lvlJc w:val="left"/>
      <w:lvlText w:val="%2"/>
      <w:numFmt w:val="lowerRoman"/>
      <w:start w:val="1"/>
    </w:lvl>
    <w:lvl w:ilvl="2">
      <w:lvlJc w:val="left"/>
      <w:lvlText w:val="%3"/>
      <w:numFmt w:val="lowerLetter"/>
      <w:start w:val="1"/>
    </w:lvl>
  </w:abstractNum>
  <w:abstractNum w:abstractNumId="50">
    <w:nsid w:val="24E99DD7"/>
    <w:multiLevelType w:val="hybridMultilevel"/>
    <w:lvl w:ilvl="0">
      <w:lvlJc w:val="left"/>
      <w:lvlText w:val="(%1)"/>
      <w:numFmt w:val="lowerLetter"/>
      <w:start w:val="1"/>
    </w:lvl>
  </w:abstractNum>
  <w:abstractNum w:abstractNumId="51">
    <w:nsid w:val="2A31B62D"/>
    <w:multiLevelType w:val="hybridMultilevel"/>
    <w:lvl w:ilvl="0">
      <w:lvlJc w:val="left"/>
      <w:lvlText w:val="%1"/>
      <w:numFmt w:val="lowerLetter"/>
      <w:start w:val="1"/>
    </w:lvl>
    <w:lvl w:ilvl="1">
      <w:lvlJc w:val="left"/>
      <w:lvlText w:val="(%2)"/>
      <w:numFmt w:val="lowerLetter"/>
      <w:start w:val="3"/>
    </w:lvl>
    <w:lvl w:ilvl="2">
      <w:lvlJc w:val="left"/>
      <w:lvlText w:val="%3"/>
      <w:numFmt w:val="upperLetter"/>
      <w:start w:val="1"/>
    </w:lvl>
  </w:abstractNum>
  <w:abstractNum w:abstractNumId="52">
    <w:nsid w:val="1849C29B"/>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53">
    <w:nsid w:val="7DFF9D09"/>
    <w:multiLevelType w:val="hybridMultilevel"/>
    <w:lvl w:ilvl="0">
      <w:lvlJc w:val="left"/>
      <w:lvlText w:val="%1"/>
      <w:numFmt w:val="lowerRoman"/>
      <w:start w:val="1"/>
    </w:lvl>
    <w:lvl w:ilvl="1">
      <w:lvlJc w:val="left"/>
      <w:lvlText w:val="(%2)"/>
      <w:numFmt w:val="upperLetter"/>
      <w:start w:val="3"/>
    </w:lvl>
  </w:abstractNum>
  <w:abstractNum w:abstractNumId="54">
    <w:nsid w:val="754342"/>
    <w:multiLevelType w:val="hybridMultilevel"/>
    <w:lvl w:ilvl="0">
      <w:lvlJc w:val="left"/>
      <w:lvlText w:val="(%1)"/>
      <w:numFmt w:val="lowerRoman"/>
      <w:start w:val="2"/>
    </w:lvl>
    <w:lvl w:ilvl="1">
      <w:lvlJc w:val="left"/>
      <w:lvlText w:val="%2"/>
      <w:numFmt w:val="upperLetter"/>
      <w:start w:val="1"/>
    </w:lvl>
  </w:abstractNum>
  <w:abstractNum w:abstractNumId="55">
    <w:nsid w:val="69E7F3E5"/>
    <w:multiLevelType w:val="hybridMultilevel"/>
    <w:lvl w:ilvl="0">
      <w:lvlJc w:val="left"/>
      <w:lvlText w:val="(%1)"/>
      <w:numFmt w:val="lowerLetter"/>
      <w:start w:val="24"/>
    </w:lvl>
  </w:abstractNum>
  <w:abstractNum w:abstractNumId="56">
    <w:nsid w:val="2A6DE806"/>
    <w:multiLevelType w:val="hybridMultilevel"/>
    <w:lvl w:ilvl="0">
      <w:lvlJc w:val="left"/>
      <w:lvlText w:val="(%1)"/>
      <w:numFmt w:val="lowerRoman"/>
      <w:start w:val="3"/>
    </w:lvl>
  </w:abstractNum>
  <w:abstractNum w:abstractNumId="57">
    <w:nsid w:val="1816F8C4"/>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1"/>
    </w:lvl>
  </w:abstractNum>
  <w:abstractNum w:abstractNumId="58">
    <w:nsid w:val="37DF2233"/>
    <w:multiLevelType w:val="hybridMultilevel"/>
    <w:lvl w:ilvl="0">
      <w:lvlJc w:val="left"/>
      <w:lvlText w:val="(%1)"/>
      <w:numFmt w:val="lowerLetter"/>
      <w:start w:val="25"/>
    </w:lvl>
    <w:lvl w:ilvl="1">
      <w:lvlJc w:val="left"/>
      <w:lvlText w:val="(%2)"/>
      <w:numFmt w:val="lowerRoman"/>
    </w:lvl>
    <w:lvl w:ilvl="2">
      <w:lvlJc w:val="left"/>
      <w:lvlText w:val="(%3)"/>
      <w:numFmt w:val="lowerLetter"/>
      <w:start w:val="6"/>
    </w:lvl>
  </w:abstractNum>
  <w:abstractNum w:abstractNumId="59">
    <w:nsid w:val="7AB49DAF"/>
    <w:multiLevelType w:val="hybridMultilevel"/>
    <w:lvl w:ilvl="0">
      <w:lvlJc w:val="left"/>
      <w:lvlText w:val="(%1)"/>
      <w:numFmt w:val="lowerRoman"/>
      <w:start w:val="2"/>
    </w:lvl>
  </w:abstractNum>
  <w:abstractNum w:abstractNumId="60">
    <w:nsid w:val="759F82CD"/>
    <w:multiLevelType w:val="hybridMultilevel"/>
    <w:lvl w:ilvl="0">
      <w:lvlJc w:val="left"/>
      <w:lvlText w:val="(%1)"/>
      <w:numFmt w:val="lowerRoman"/>
      <w:start w:val="3"/>
    </w:lvl>
  </w:abstractNum>
  <w:abstractNum w:abstractNumId="61">
    <w:nsid w:val="61E74EA3"/>
    <w:multiLevelType w:val="hybridMultilevel"/>
    <w:lvl w:ilvl="0">
      <w:lvlJc w:val="left"/>
      <w:lvlText w:val="%1"/>
      <w:numFmt w:val="lowerRoman"/>
      <w:start w:val="1"/>
    </w:lvl>
    <w:lvl w:ilvl="1">
      <w:lvlJc w:val="left"/>
      <w:lvlText w:val="(%2)"/>
      <w:numFmt w:val="lowerLetter"/>
      <w:start w:val="1"/>
    </w:lvl>
  </w:abstractNum>
  <w:abstractNum w:abstractNumId="62">
    <w:nsid w:val="597B4D84"/>
    <w:multiLevelType w:val="hybridMultilevel"/>
    <w:lvl w:ilvl="0">
      <w:lvlJc w:val="left"/>
      <w:lvlText w:val="(%1)"/>
      <w:numFmt w:val="lowerRoman"/>
      <w:start w:val="1"/>
    </w:lvl>
    <w:lvl w:ilvl="1">
      <w:lvlJc w:val="left"/>
      <w:lvlText w:val="%2"/>
      <w:numFmt w:val="lowerLetter"/>
      <w:start w:val="1"/>
    </w:lvl>
  </w:abstractNum>
  <w:abstractNum w:abstractNumId="63">
    <w:nsid w:val="F819E7F"/>
    <w:multiLevelType w:val="hybridMultilevel"/>
    <w:lvl w:ilvl="0">
      <w:lvlJc w:val="left"/>
      <w:lvlText w:val="(%1)"/>
      <w:numFmt w:val="lowerLetter"/>
      <w:start w:val="2"/>
    </w:lvl>
  </w:abstractNum>
  <w:abstractNum w:abstractNumId="64">
    <w:nsid w:val="57C7D42D"/>
    <w:multiLevelType w:val="hybridMultilevel"/>
    <w:lvl w:ilvl="0">
      <w:lvlJc w:val="left"/>
      <w:lvlText w:val="%1"/>
      <w:numFmt w:val="lowerLetter"/>
      <w:start w:val="1"/>
    </w:lvl>
    <w:lvl w:ilvl="1">
      <w:lvlJc w:val="left"/>
      <w:lvlText w:val="(%2)"/>
      <w:numFmt w:val="lowerLetter"/>
      <w:start w:val="3"/>
    </w:lvl>
  </w:abstractNum>
  <w:abstractNum w:abstractNumId="65">
    <w:nsid w:val="312167AD"/>
    <w:multiLevelType w:val="hybridMultilevel"/>
    <w:lvl w:ilvl="0">
      <w:lvlJc w:val="left"/>
      <w:lvlText w:val="(%1)"/>
      <w:numFmt w:val="lowerLetter"/>
      <w:start w:val="9"/>
    </w:lvl>
    <w:lvl w:ilvl="1">
      <w:lvlJc w:val="left"/>
      <w:lvlText w:val="(%2)"/>
      <w:numFmt w:val="lowerLetter"/>
      <w:start w:val="5"/>
    </w:lvl>
  </w:abstractNum>
  <w:abstractNum w:abstractNumId="66">
    <w:nsid w:val="631B64D4"/>
    <w:multiLevelType w:val="hybridMultilevel"/>
    <w:lvl w:ilvl="0">
      <w:lvlJc w:val="left"/>
      <w:lvlText w:val="%1"/>
      <w:numFmt w:val="lowerLetter"/>
      <w:start w:val="1"/>
    </w:lvl>
    <w:lvl w:ilvl="1">
      <w:lvlJc w:val="left"/>
      <w:lvlText w:val="(%2)"/>
      <w:numFmt w:val="lowerLetter"/>
      <w:start w:val="1"/>
    </w:lvl>
  </w:abstractNum>
  <w:abstractNum w:abstractNumId="67">
    <w:nsid w:val="78B5E776"/>
    <w:multiLevelType w:val="hybridMultilevel"/>
    <w:lvl w:ilvl="0">
      <w:lvlJc w:val="left"/>
      <w:lvlText w:val="(%1)"/>
      <w:numFmt w:val="lowerLetter"/>
      <w:start w:val="9"/>
    </w:lvl>
    <w:lvl w:ilvl="1">
      <w:lvlJc w:val="left"/>
      <w:lvlText w:val="%2"/>
      <w:numFmt w:val="lowerLetter"/>
      <w:start w:val="1"/>
    </w:lvl>
  </w:abstractNum>
  <w:abstractNum w:abstractNumId="68">
    <w:nsid w:val="75486E47"/>
    <w:multiLevelType w:val="hybridMultilevel"/>
    <w:lvl w:ilvl="0">
      <w:lvlJc w:val="left"/>
      <w:lvlText w:val="(%1)"/>
      <w:numFmt w:val="lowerRoman"/>
      <w:start w:val="2"/>
    </w:lvl>
  </w:abstractNum>
  <w:abstractNum w:abstractNumId="69">
    <w:nsid w:val="6E534CDE"/>
    <w:multiLevelType w:val="hybridMultilevel"/>
    <w:lvl w:ilvl="0">
      <w:lvlJc w:val="left"/>
      <w:lvlText w:val="(%1)"/>
      <w:numFmt w:val="lowerLetter"/>
      <w:start w:val="3"/>
    </w:lvl>
  </w:abstractNum>
  <w:abstractNum w:abstractNumId="70">
    <w:nsid w:val="1A0DDE32"/>
    <w:multiLevelType w:val="hybridMultilevel"/>
    <w:lvl w:ilvl="0">
      <w:lvlJc w:val="left"/>
      <w:lvlText w:val="%1"/>
      <w:numFmt w:val="lowerRoman"/>
      <w:start w:val="1"/>
    </w:lvl>
    <w:lvl w:ilvl="1">
      <w:lvlJc w:val="left"/>
      <w:lvlText w:val="(%2)"/>
      <w:numFmt w:val="lowerLetter"/>
      <w:start w:val="4"/>
    </w:lvl>
  </w:abstractNum>
  <w:abstractNum w:abstractNumId="71">
    <w:nsid w:val="65968C1C"/>
    <w:multiLevelType w:val="hybridMultilevel"/>
    <w:lvl w:ilvl="0">
      <w:lvlJc w:val="left"/>
      <w:lvlText w:val="(%1)"/>
      <w:numFmt w:val="lowerRoman"/>
      <w:start w:val="1"/>
    </w:lvl>
    <w:lvl w:ilvl="1">
      <w:lvlJc w:val="left"/>
      <w:lvlText w:val="%2"/>
      <w:numFmt w:val="lowerLetter"/>
      <w:start w:val="1"/>
    </w:lvl>
  </w:abstractNum>
  <w:abstractNum w:abstractNumId="72">
    <w:nsid w:val="46263DEC"/>
    <w:multiLevelType w:val="hybridMultilevel"/>
    <w:lvl w:ilvl="0">
      <w:lvlJc w:val="left"/>
      <w:lvlText w:val="(%1)"/>
      <w:numFmt w:val="lowerLetter"/>
      <w:start w:val="6"/>
    </w:lvl>
  </w:abstractNum>
  <w:abstractNum w:abstractNumId="73">
    <w:nsid w:val="260D8C4A"/>
    <w:multiLevelType w:val="hybridMultilevel"/>
    <w:lvl w:ilvl="0">
      <w:lvlJc w:val="left"/>
      <w:lvlText w:val="(%1)"/>
      <w:numFmt w:val="lowerLetter"/>
      <w:start w:val="1"/>
    </w:lvl>
  </w:abstractNum>
  <w:abstractNum w:abstractNumId="74">
    <w:nsid w:val="73D4D3C4"/>
    <w:multiLevelType w:val="hybridMultilevel"/>
    <w:lvl w:ilvl="0">
      <w:lvlJc w:val="left"/>
      <w:lvlText w:val="(%1)"/>
      <w:numFmt w:val="lowerLetter"/>
      <w:start w:val="3"/>
    </w:lvl>
  </w:abstractNum>
  <w:abstractNum w:abstractNumId="75">
    <w:nsid w:val="746F2E30"/>
    <w:multiLevelType w:val="hybridMultilevel"/>
    <w:lvl w:ilvl="0">
      <w:lvlJc w:val="left"/>
      <w:lvlText w:val="(%1)"/>
      <w:numFmt w:val="lowerLetter"/>
      <w:start w:val="1"/>
    </w:lvl>
  </w:abstractNum>
  <w:abstractNum w:abstractNumId="76">
    <w:nsid w:val="6FDE8AF6"/>
    <w:multiLevelType w:val="hybridMultilevel"/>
    <w:lvl w:ilvl="0">
      <w:lvlJc w:val="left"/>
      <w:lvlText w:val="(%1)"/>
      <w:numFmt w:val="lowerLetter"/>
      <w:start w:val="4"/>
    </w:lvl>
  </w:abstractNum>
  <w:abstractNum w:abstractNumId="77">
    <w:nsid w:val="3FC32E20"/>
    <w:multiLevelType w:val="hybridMultilevel"/>
    <w:lvl w:ilvl="0">
      <w:lvlJc w:val="left"/>
      <w:lvlText w:val="%1"/>
      <w:numFmt w:val="lowerRoman"/>
      <w:start w:val="1"/>
    </w:lvl>
    <w:lvl w:ilvl="1">
      <w:lvlJc w:val="left"/>
      <w:lvlText w:val="(%2)"/>
      <w:numFmt w:val="lowerLetter"/>
      <w:start w:val="1"/>
    </w:lvl>
  </w:abstractNum>
  <w:abstractNum w:abstractNumId="78">
    <w:nsid w:val="49C0E823"/>
    <w:multiLevelType w:val="hybridMultilevel"/>
    <w:lvl w:ilvl="0">
      <w:lvlJc w:val="left"/>
      <w:lvlText w:val="(%1)"/>
      <w:numFmt w:val="lowerRoman"/>
      <w:start w:val="1"/>
    </w:lvl>
    <w:lvl w:ilvl="1">
      <w:lvlJc w:val="left"/>
      <w:lvlText w:val="%2"/>
      <w:numFmt w:val="lowerLetter"/>
      <w:start w:val="1"/>
    </w:lvl>
  </w:abstractNum>
  <w:abstractNum w:abstractNumId="79">
    <w:nsid w:val="14D53685"/>
    <w:multiLevelType w:val="hybridMultilevel"/>
    <w:lvl w:ilvl="0">
      <w:lvlJc w:val="left"/>
      <w:lvlText w:val="(%1)"/>
      <w:numFmt w:val="lowerRoman"/>
      <w:start w:val="1"/>
    </w:lvl>
  </w:abstractNum>
  <w:abstractNum w:abstractNumId="80">
    <w:nsid w:val="230F856C"/>
    <w:multiLevelType w:val="hybridMultilevel"/>
    <w:lvl w:ilvl="0">
      <w:lvlJc w:val="left"/>
      <w:lvlText w:val="%1"/>
      <w:numFmt w:val="decimal"/>
      <w:start w:val="1"/>
    </w:lvl>
    <w:lvl w:ilvl="1">
      <w:lvlJc w:val="left"/>
      <w:lvlText w:val="(%2)"/>
      <w:numFmt w:val="lowerLetter"/>
      <w:start w:val="2"/>
    </w:lvl>
  </w:abstractNum>
  <w:abstractNum w:abstractNumId="81">
    <w:nsid w:val="6EAA85FB"/>
    <w:multiLevelType w:val="hybridMultilevel"/>
    <w:lvl w:ilvl="0">
      <w:lvlJc w:val="left"/>
      <w:lvlText w:val="(%1)"/>
      <w:numFmt w:val="decimal"/>
    </w:lvl>
    <w:lvl w:ilvl="1">
      <w:lvlJc w:val="left"/>
      <w:lvlText w:val="%2"/>
      <w:numFmt w:val="lowerLetter"/>
      <w:start w:val="1"/>
    </w:lvl>
  </w:abstractNum>
  <w:abstractNum w:abstractNumId="82">
    <w:nsid w:val="3F06ECB2"/>
    <w:multiLevelType w:val="hybridMultilevel"/>
    <w:lvl w:ilvl="0">
      <w:lvlJc w:val="left"/>
      <w:lvlText w:val="%1"/>
      <w:numFmt w:val="lowerRoman"/>
      <w:start w:val="1"/>
    </w:lvl>
    <w:lvl w:ilvl="1">
      <w:lvlJc w:val="left"/>
      <w:lvlText w:val="(%2)"/>
      <w:numFmt w:val="lowerLetter"/>
      <w:start w:val="1"/>
    </w:lvl>
  </w:abstractNum>
  <w:abstractNum w:abstractNumId="83">
    <w:nsid w:val="3B594807"/>
    <w:multiLevelType w:val="hybridMultilevel"/>
    <w:lvl w:ilvl="0">
      <w:lvlJc w:val="left"/>
      <w:lvlText w:val="(%1)"/>
      <w:numFmt w:val="lowerRoman"/>
      <w:start w:val="1"/>
    </w:lvl>
    <w:lvl w:ilvl="1">
      <w:lvlJc w:val="left"/>
      <w:lvlText w:val="%2"/>
      <w:numFmt w:val="lowerLetter"/>
      <w:start w:val="1"/>
    </w:lvl>
  </w:abstractNum>
  <w:abstractNum w:abstractNumId="84">
    <w:nsid w:val="6CAA2304"/>
    <w:multiLevelType w:val="hybridMultilevel"/>
    <w:lvl w:ilvl="0">
      <w:lvlJc w:val="left"/>
      <w:lvlText w:val="(%1)"/>
      <w:numFmt w:val="lowerLetter"/>
      <w:start w:val="2"/>
    </w:lvl>
  </w:abstractNum>
  <w:abstractNum w:abstractNumId="85">
    <w:nsid w:val="3F7C2FF4"/>
    <w:multiLevelType w:val="hybridMultilevel"/>
    <w:lvl w:ilvl="0">
      <w:lvlJc w:val="left"/>
      <w:lvlText w:val="(%1)"/>
      <w:numFmt w:val="lowerRoman"/>
      <w:start w:val="1"/>
    </w:lvl>
  </w:abstractNum>
  <w:abstractNum w:abstractNumId="86">
    <w:nsid w:val="25413BEC"/>
    <w:multiLevelType w:val="hybridMultilevel"/>
    <w:lvl w:ilvl="0">
      <w:lvlJc w:val="left"/>
      <w:lvlText w:val="(%1)"/>
      <w:numFmt w:val="lowerLetter"/>
      <w:start w:val="1"/>
    </w:lvl>
  </w:abstractNum>
  <w:abstractNum w:abstractNumId="87">
    <w:nsid w:val="17180B0B"/>
    <w:multiLevelType w:val="hybridMultilevel"/>
    <w:lvl w:ilvl="0">
      <w:lvlJc w:val="left"/>
      <w:lvlText w:val="(%1)"/>
      <w:numFmt w:val="lowerLetter"/>
      <w:start w:val="2"/>
    </w:lvl>
  </w:abstractNum>
  <w:abstractNum w:abstractNumId="88">
    <w:nsid w:val="579328B9"/>
    <w:multiLevelType w:val="hybridMultilevel"/>
    <w:lvl w:ilvl="0">
      <w:lvlJc w:val="left"/>
      <w:lvlText w:val="(%1)"/>
      <w:numFmt w:val="lowerLetter"/>
      <w:start w:val="35"/>
    </w:lvl>
    <w:lvl w:ilvl="1">
      <w:lvlJc w:val="left"/>
      <w:lvlText w:val="(%2)"/>
      <w:numFmt w:val="upperLetter"/>
      <w:start w:val="1"/>
    </w:lvl>
    <w:lvl w:ilvl="2">
      <w:lvlJc w:val="left"/>
      <w:lvlText w:val="(%3)"/>
      <w:numFmt w:val="lowerLetter"/>
      <w:start w:val="23"/>
    </w:lvl>
  </w:abstractNum>
  <w:abstractNum w:abstractNumId="89">
    <w:nsid w:val="5D205E20"/>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2"/>
    </w:lvl>
    <w:lvl w:ilvl="4">
      <w:lvlJc w:val="left"/>
      <w:lvlText w:val="(%5)"/>
      <w:numFmt w:val="lowerLetter"/>
      <w:start w:val="26"/>
    </w:lvl>
  </w:abstractNum>
  <w:abstractNum w:abstractNumId="90">
    <w:nsid w:val="11CCA8BA"/>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lvl w:ilvl="3">
      <w:lvlJc w:val="left"/>
      <w:lvlText w:val="%4"/>
      <w:numFmt w:val="decimal"/>
      <w:start w:val="1"/>
    </w:lvl>
    <w:lvl w:ilvl="4">
      <w:lvlJc w:val="left"/>
      <w:lvlText w:val="%5"/>
      <w:numFmt w:val="lowerLetter"/>
      <w:start w:val="1"/>
    </w:lvl>
  </w:abstractNum>
  <w:abstractNum w:abstractNumId="91">
    <w:nsid w:val="4D32AB86"/>
    <w:multiLevelType w:val="hybridMultilevel"/>
    <w:lvl w:ilvl="0">
      <w:lvlJc w:val="left"/>
      <w:lvlText w:val="(%1)"/>
      <w:numFmt w:val="lowerLetter"/>
      <w:start w:val="61"/>
    </w:lvl>
    <w:lvl w:ilvl="1">
      <w:lvlJc w:val="left"/>
      <w:lvlText w:val="(%2)"/>
      <w:numFmt w:val="lowerLetter"/>
      <w:start w:val="7"/>
    </w:lvl>
    <w:lvl w:ilvl="2">
      <w:lvlJc w:val="left"/>
      <w:lvlText w:val="%3"/>
      <w:numFmt w:val="upperLetter"/>
      <w:start w:val="1"/>
    </w:lvl>
    <w:lvl w:ilvl="3">
      <w:lvlJc w:val="left"/>
      <w:lvlText w:val="%4"/>
      <w:numFmt w:val="decimal"/>
      <w:start w:val="1"/>
    </w:lvl>
    <w:lvl w:ilvl="4">
      <w:lvlJc w:val="left"/>
      <w:lvlText w:val="%5"/>
      <w:numFmt w:val="lowerLetter"/>
      <w:start w:val="1"/>
    </w:lvl>
  </w:abstractNum>
  <w:abstractNum w:abstractNumId="92">
    <w:nsid w:val="3F07ACC3"/>
    <w:multiLevelType w:val="hybridMultilevel"/>
    <w:lvl w:ilvl="0">
      <w:lvlJc w:val="left"/>
      <w:lvlText w:val="(%1)"/>
      <w:numFmt w:val="lowerLetter"/>
      <w:start w:val="8"/>
    </w:lvl>
  </w:abstractNum>
  <w:abstractNum w:abstractNumId="93">
    <w:nsid w:val="6B47F63E"/>
    <w:multiLevelType w:val="hybridMultilevel"/>
    <w:lvl w:ilvl="0">
      <w:lvlJc w:val="left"/>
      <w:lvlText w:val="(%1)"/>
      <w:numFmt w:val="lowerLetter"/>
      <w:start w:val="1"/>
    </w:lvl>
  </w:abstractNum>
  <w:abstractNum w:abstractNumId="94">
    <w:nsid w:val="5CB44A05"/>
    <w:multiLevelType w:val="hybridMultilevel"/>
    <w:lvl w:ilvl="0">
      <w:lvlJc w:val="left"/>
      <w:lvlText w:val="(%1)"/>
      <w:numFmt w:val="lowerLetter"/>
      <w:start w:val="2"/>
    </w:lvl>
  </w:abstractNum>
  <w:abstractNum w:abstractNumId="95">
    <w:nsid w:val="16CF80F1"/>
    <w:multiLevelType w:val="hybridMultilevel"/>
    <w:lvl w:ilvl="0">
      <w:lvlJc w:val="left"/>
      <w:lvlText w:val="(%1)"/>
      <w:numFmt w:val="lowerLetter"/>
      <w:start w:val="4"/>
    </w:lvl>
  </w:abstractNum>
  <w:abstractNum w:abstractNumId="96">
    <w:nsid w:val="1C695DEC"/>
    <w:multiLevelType w:val="hybridMultilevel"/>
    <w:lvl w:ilvl="0">
      <w:lvlJc w:val="left"/>
      <w:lvlText w:val="(%1)"/>
      <w:numFmt w:val="lowerLetter"/>
      <w:start w:val="5"/>
    </w:lvl>
  </w:abstractNum>
  <w:abstractNum w:abstractNumId="97">
    <w:nsid w:val="3FCFAED9"/>
    <w:multiLevelType w:val="hybridMultilevel"/>
    <w:lvl w:ilvl="0">
      <w:lvlJc w:val="left"/>
      <w:lvlText w:val="(%1)"/>
      <w:numFmt w:val="lowerLetter"/>
      <w:start w:val="1"/>
    </w:lvl>
  </w:abstractNum>
  <w:abstractNum w:abstractNumId="98">
    <w:nsid w:val="F856867"/>
    <w:multiLevelType w:val="hybridMultilevel"/>
    <w:lvl w:ilvl="0">
      <w:lvlJc w:val="left"/>
      <w:lvlText w:val="%1"/>
      <w:numFmt w:val="lowerLetter"/>
      <w:start w:val="1"/>
    </w:lvl>
    <w:lvl w:ilvl="1">
      <w:lvlJc w:val="left"/>
      <w:lvlText w:val="(%2)"/>
      <w:numFmt w:val="lowerLetter"/>
      <w:start w:val="1"/>
    </w:lvl>
  </w:abstractNum>
  <w:abstractNum w:abstractNumId="99">
    <w:nsid w:val="11B1CC33"/>
    <w:multiLevelType w:val="hybridMultilevel"/>
    <w:lvl w:ilvl="0">
      <w:lvlJc w:val="left"/>
      <w:lvlText w:val="(%1)"/>
      <w:numFmt w:val="lowerLetter"/>
      <w:start w:val="9"/>
    </w:lvl>
    <w:lvl w:ilvl="1">
      <w:lvlJc w:val="left"/>
      <w:lvlText w:val="%2"/>
      <w:numFmt w:val="lowerLetter"/>
      <w:start w:val="1"/>
    </w:lvl>
  </w:abstractNum>
  <w:abstractNum w:abstractNumId="100">
    <w:nsid w:val="2E22FBB7"/>
    <w:multiLevelType w:val="hybridMultilevel"/>
    <w:lvl w:ilvl="0">
      <w:lvlJc w:val="left"/>
      <w:lvlText w:val="(%1)"/>
      <w:numFmt w:val="lowerRoman"/>
      <w:start w:val="2"/>
    </w:lvl>
    <w:lvl w:ilvl="1">
      <w:lvlJc w:val="left"/>
      <w:lvlText w:val="(%2)"/>
      <w:numFmt w:val="upperLetter"/>
      <w:start w:val="1"/>
    </w:lvl>
  </w:abstractNum>
  <w:abstractNum w:abstractNumId="101">
    <w:nsid w:val="29934699"/>
    <w:multiLevelType w:val="hybridMultilevel"/>
    <w:lvl w:ilvl="0">
      <w:lvlJc w:val="left"/>
      <w:lvlText w:val="(%1)"/>
      <w:numFmt w:val="lowerRoman"/>
      <w:start w:val="4"/>
    </w:lvl>
    <w:lvl w:ilvl="1">
      <w:lvlJc w:val="left"/>
      <w:lvlText w:val="(%2)"/>
      <w:numFmt w:val="lowerLetter"/>
      <w:start w:val="2"/>
    </w:lvl>
  </w:abstractNum>
  <w:abstractNum w:abstractNumId="102">
    <w:nsid w:val="77485850"/>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4"/>
    </w:lvl>
  </w:abstractNum>
  <w:abstractNum w:abstractNumId="103">
    <w:nsid w:val="744939A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104">
    <w:nsid w:val="4FA0D2E3"/>
    <w:multiLevelType w:val="hybridMultilevel"/>
    <w:lvl w:ilvl="0">
      <w:lvlJc w:val="left"/>
      <w:lvlText w:val="(%1)"/>
      <w:numFmt w:val="lowerLetter"/>
      <w:start w:val="35"/>
    </w:lvl>
    <w:lvl w:ilvl="1">
      <w:lvlJc w:val="left"/>
      <w:lvlText w:val="%2"/>
      <w:numFmt w:val="lowerRoman"/>
      <w:start w:val="1"/>
    </w:lvl>
    <w:lvl w:ilvl="2">
      <w:lvlJc w:val="left"/>
      <w:lvlText w:val="%3"/>
      <w:numFmt w:val="lowerLetter"/>
      <w:start w:val="1"/>
    </w:lvl>
  </w:abstractNum>
  <w:abstractNum w:abstractNumId="105">
    <w:nsid w:val="6B1D2C1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06">
    <w:nsid w:val="68B867D3"/>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107">
    <w:nsid w:val="3F7F5DD9"/>
    <w:multiLevelType w:val="hybridMultilevel"/>
    <w:lvl w:ilvl="0">
      <w:lvlJc w:val="left"/>
      <w:lvlText w:val="(%1)"/>
      <w:numFmt w:val="lowerLetter"/>
      <w:start w:val="26"/>
    </w:lvl>
    <w:lvl w:ilvl="1">
      <w:lvlJc w:val="left"/>
      <w:lvlText w:val="%2"/>
      <w:numFmt w:val="lowerLetter"/>
      <w:start w:val="1"/>
    </w:lvl>
    <w:lvl w:ilvl="2">
      <w:lvlJc w:val="left"/>
      <w:lvlText w:val="%3"/>
      <w:numFmt w:val="lowerLetter"/>
      <w:start w:val="1"/>
    </w:lvl>
  </w:abstractNum>
  <w:abstractNum w:abstractNumId="108">
    <w:nsid w:val="2AE05A34"/>
    <w:multiLevelType w:val="hybridMultilevel"/>
    <w:lvl w:ilvl="0">
      <w:lvlJc w:val="left"/>
      <w:lvlText w:val="(%1)"/>
      <w:numFmt w:val="lowerRoman"/>
      <w:start w:val="2"/>
    </w:lvl>
  </w:abstractNum>
  <w:abstractNum w:abstractNumId="109">
    <w:nsid w:val="32794FF7"/>
    <w:multiLevelType w:val="hybridMultilevel"/>
    <w:lvl w:ilvl="0">
      <w:lvlJc w:val="left"/>
      <w:lvlText w:val="(%1)"/>
      <w:numFmt w:val="lowerLetter"/>
      <w:start w:val="2"/>
    </w:lvl>
  </w:abstractNum>
  <w:abstractNum w:abstractNumId="110">
    <w:nsid w:val="5454945E"/>
    <w:multiLevelType w:val="hybridMultilevel"/>
    <w:lvl w:ilvl="0">
      <w:lvlJc w:val="left"/>
      <w:lvlText w:val="(%1)"/>
      <w:numFmt w:val="lowerLetter"/>
      <w:start w:val="1"/>
    </w:lvl>
  </w:abstractNum>
  <w:abstractNum w:abstractNumId="111">
    <w:nsid w:val="4DEFDFA0"/>
    <w:multiLevelType w:val="hybridMultilevel"/>
    <w:lvl w:ilvl="0">
      <w:lvlJc w:val="left"/>
      <w:lvlText w:val="(%1)"/>
      <w:numFmt w:val="lowerLetter"/>
      <w:start w:val="4"/>
    </w:lvl>
  </w:abstractNum>
  <w:abstractNum w:abstractNumId="112">
    <w:nsid w:val="2123D5F2"/>
    <w:multiLevelType w:val="hybridMultilevel"/>
    <w:lvl w:ilvl="0">
      <w:lvlJc w:val="left"/>
      <w:lvlText w:val="%1"/>
      <w:numFmt w:val="lowerLetter"/>
      <w:start w:val="1"/>
    </w:lvl>
    <w:lvl w:ilvl="1">
      <w:lvlJc w:val="left"/>
      <w:lvlText w:val="(%2)"/>
      <w:numFmt w:val="lowerLetter"/>
      <w:start w:val="1"/>
    </w:lvl>
  </w:abstractNum>
  <w:abstractNum w:abstractNumId="113">
    <w:nsid w:val="135B8110"/>
    <w:multiLevelType w:val="hybridMultilevel"/>
    <w:lvl w:ilvl="0">
      <w:lvlJc w:val="left"/>
      <w:lvlText w:val="(%1)"/>
      <w:numFmt w:val="lowerLetter"/>
      <w:start w:val="9"/>
    </w:lvl>
    <w:lvl w:ilvl="1">
      <w:lvlJc w:val="left"/>
      <w:lvlText w:val="%2"/>
      <w:numFmt w:val="lowerLetter"/>
      <w:start w:val="1"/>
    </w:lvl>
  </w:abstractNum>
  <w:abstractNum w:abstractNumId="114">
    <w:nsid w:val="94927A8"/>
    <w:multiLevelType w:val="hybridMultilevel"/>
    <w:lvl w:ilvl="0">
      <w:lvlJc w:val="left"/>
      <w:lvlText w:val="(%1)"/>
      <w:numFmt w:val="lowerLetter"/>
      <w:start w:val="1"/>
    </w:lvl>
  </w:abstractNum>
  <w:abstractNum w:abstractNumId="115">
    <w:nsid w:val="DCDF8F6"/>
    <w:multiLevelType w:val="hybridMultilevel"/>
    <w:lvl w:ilvl="0">
      <w:lvlJc w:val="left"/>
      <w:lvlText w:val="(%1)"/>
      <w:numFmt w:val="lowerLetter"/>
      <w:start w:val="1"/>
    </w:lvl>
  </w:abstractNum>
  <w:abstractNum w:abstractNumId="116">
    <w:nsid w:val="52D7B105"/>
    <w:multiLevelType w:val="hybridMultilevel"/>
    <w:lvl w:ilvl="0">
      <w:lvlJc w:val="left"/>
      <w:lvlText w:val="(%1)"/>
      <w:numFmt w:val="lowerLetter"/>
      <w:start w:val="2"/>
    </w:lvl>
  </w:abstractNum>
  <w:abstractNum w:abstractNumId="117">
    <w:nsid w:val="2E8A6394"/>
    <w:multiLevelType w:val="hybridMultilevel"/>
    <w:lvl w:ilvl="0">
      <w:lvlJc w:val="left"/>
      <w:lvlText w:val="(%1)"/>
      <w:numFmt w:val="lowerLetter"/>
      <w:start w:val="1"/>
    </w:lvl>
  </w:abstractNum>
  <w:abstractNum w:abstractNumId="118">
    <w:nsid w:val="24E60401"/>
    <w:multiLevelType w:val="hybridMultilevel"/>
    <w:lvl w:ilvl="0">
      <w:lvlJc w:val="left"/>
      <w:lvlText w:val="(%1)"/>
      <w:numFmt w:val="lowerLetter"/>
      <w:start w:val="1"/>
    </w:lvl>
  </w:abstractNum>
  <w:abstractNum w:abstractNumId="119">
    <w:nsid w:val="2A6AD9BE"/>
    <w:multiLevelType w:val="hybridMultilevel"/>
    <w:lvl w:ilvl="0">
      <w:lvlJc w:val="left"/>
      <w:lvlText w:val="(%1)"/>
      <w:numFmt w:val="lowerLetter"/>
      <w:start w:val="1"/>
    </w:lvl>
  </w:abstractNum>
  <w:abstractNum w:abstractNumId="120">
    <w:nsid w:val="BAAC1B4"/>
    <w:multiLevelType w:val="hybridMultilevel"/>
    <w:lvl w:ilvl="0">
      <w:lvlJc w:val="left"/>
      <w:lvlText w:val="%1"/>
      <w:numFmt w:val="lowerRoman"/>
      <w:start w:val="1"/>
    </w:lvl>
    <w:lvl w:ilvl="1">
      <w:lvlJc w:val="left"/>
      <w:lvlText w:val="(%2)"/>
      <w:numFmt w:val="lowerLetter"/>
      <w:start w:val="1"/>
    </w:lvl>
  </w:abstractNum>
  <w:abstractNum w:abstractNumId="121">
    <w:nsid w:val="36B2ACBC"/>
    <w:multiLevelType w:val="hybridMultilevel"/>
    <w:lvl w:ilvl="0">
      <w:lvlJc w:val="left"/>
      <w:lvlText w:val="(%1)"/>
      <w:numFmt w:val="lowerRoman"/>
      <w:start w:val="1"/>
    </w:lvl>
    <w:lvl w:ilvl="1">
      <w:lvlJc w:val="left"/>
      <w:lvlText w:val="(%2)"/>
      <w:numFmt w:val="lowerLetter"/>
      <w:start w:val="2"/>
    </w:lvl>
  </w:abstractNum>
  <w:abstractNum w:abstractNumId="122">
    <w:nsid w:val="779D8544"/>
    <w:multiLevelType w:val="hybridMultilevel"/>
    <w:lvl w:ilvl="0">
      <w:lvlJc w:val="left"/>
      <w:lvlText w:val="(%1)"/>
      <w:numFmt w:val="lowerLetter"/>
      <w:start w:val="3"/>
    </w:lvl>
  </w:abstractNum>
  <w:abstractNum w:abstractNumId="123">
    <w:nsid w:val="4AB26E78"/>
    <w:multiLevelType w:val="hybridMultilevel"/>
    <w:lvl w:ilvl="0">
      <w:lvlJc w:val="left"/>
      <w:lvlText w:val="(%1)"/>
      <w:numFmt w:val="lowerLetter"/>
      <w:start w:val="1"/>
    </w:lvl>
  </w:abstractNum>
  <w:abstractNum w:abstractNumId="124">
    <w:nsid w:val="21FAA2FA"/>
    <w:multiLevelType w:val="hybridMultilevel"/>
    <w:lvl w:ilvl="0">
      <w:lvlJc w:val="left"/>
      <w:lvlText w:val="(%1)"/>
      <w:numFmt w:val="lowerLetter"/>
      <w:start w:val="1"/>
    </w:lvl>
  </w:abstractNum>
  <w:abstractNum w:abstractNumId="125">
    <w:nsid w:val="5451CF49"/>
    <w:multiLevelType w:val="hybridMultilevel"/>
    <w:lvl w:ilvl="0">
      <w:lvlJc w:val="left"/>
      <w:lvlText w:val="(%1)"/>
      <w:numFmt w:val="lowerLetter"/>
      <w:start w:val="4"/>
    </w:lvl>
  </w:abstractNum>
  <w:abstractNum w:abstractNumId="126">
    <w:nsid w:val="6181EF69"/>
    <w:multiLevelType w:val="hybridMultilevel"/>
    <w:lvl w:ilvl="0">
      <w:lvlJc w:val="left"/>
      <w:lvlText w:val="(%1)"/>
      <w:numFmt w:val="lowerLetter"/>
      <w:start w:val="10"/>
    </w:lvl>
  </w:abstractNum>
  <w:abstractNum w:abstractNumId="127">
    <w:nsid w:val="3E6400E6"/>
    <w:multiLevelType w:val="hybridMultilevel"/>
    <w:lvl w:ilvl="0">
      <w:lvlJc w:val="left"/>
      <w:lvlText w:val="(%1)"/>
      <w:numFmt w:val="lowerLetter"/>
      <w:start w:val="1"/>
    </w:lvl>
  </w:abstractNum>
  <w:abstractNum w:abstractNumId="128">
    <w:nsid w:val="14217E23"/>
    <w:multiLevelType w:val="hybridMultilevel"/>
    <w:lvl w:ilvl="0">
      <w:lvlJc w:val="left"/>
      <w:lvlText w:val="(%1)"/>
      <w:numFmt w:val="lowerLetter"/>
      <w:start w:val="1"/>
    </w:lvl>
  </w:abstractNum>
  <w:abstractNum w:abstractNumId="129">
    <w:nsid w:val="710757D0"/>
    <w:multiLevelType w:val="hybridMultilevel"/>
    <w:lvl w:ilvl="0">
      <w:lvlJc w:val="left"/>
      <w:lvlText w:val="%1"/>
      <w:numFmt w:val="lowerLetter"/>
      <w:start w:val="1"/>
    </w:lvl>
    <w:lvl w:ilvl="1">
      <w:lvlJc w:val="left"/>
      <w:lvlText w:val="(%2)"/>
      <w:numFmt w:val="lowerLetter"/>
      <w:start w:val="1"/>
    </w:lvl>
  </w:abstractNum>
  <w:abstractNum w:abstractNumId="130">
    <w:nsid w:val="5015CD1A"/>
    <w:multiLevelType w:val="hybridMultilevel"/>
    <w:lvl w:ilvl="0">
      <w:lvlJc w:val="left"/>
      <w:lvlText w:val="(%1)"/>
      <w:numFmt w:val="lowerLetter"/>
      <w:start w:val="24"/>
    </w:lvl>
    <w:lvl w:ilvl="1">
      <w:lvlJc w:val="left"/>
      <w:lvlText w:val="%2"/>
      <w:numFmt w:val="lowerLetter"/>
      <w:start w:val="1"/>
    </w:lvl>
  </w:abstractNum>
  <w:abstractNum w:abstractNumId="131">
    <w:nsid w:val="424479DA"/>
    <w:multiLevelType w:val="hybridMultilevel"/>
    <w:lvl w:ilvl="0">
      <w:lvlJc w:val="left"/>
      <w:lvlText w:val="(%1)"/>
      <w:numFmt w:val="lowerRoman"/>
      <w:start w:val="1"/>
    </w:lvl>
  </w:abstractNum>
  <w:abstractNum w:abstractNumId="132">
    <w:nsid w:val="1A9A9E69"/>
    <w:multiLevelType w:val="hybridMultilevel"/>
    <w:lvl w:ilvl="0">
      <w:lvlJc w:val="left"/>
      <w:lvlText w:val="(%1)"/>
      <w:numFmt w:val="lowerLetter"/>
      <w:start w:val="1"/>
    </w:lvl>
  </w:abstractNum>
  <w:abstractNum w:abstractNumId="133">
    <w:nsid w:val="475E256A"/>
    <w:multiLevelType w:val="hybridMultilevel"/>
    <w:lvl w:ilvl="0">
      <w:lvlJc w:val="left"/>
      <w:lvlText w:val="%1"/>
      <w:numFmt w:val="lowerRoman"/>
      <w:start w:val="1"/>
    </w:lvl>
    <w:lvl w:ilvl="1">
      <w:lvlJc w:val="left"/>
      <w:lvlText w:val="(%2)"/>
      <w:numFmt w:val="lowerLetter"/>
      <w:start w:val="2"/>
    </w:lvl>
    <w:lvl w:ilvl="2">
      <w:lvlJc w:val="left"/>
      <w:lvlText w:val="%3"/>
      <w:numFmt w:val="upperLetter"/>
      <w:start w:val="1"/>
    </w:lvl>
    <w:lvl w:ilvl="3">
      <w:lvlJc w:val="left"/>
      <w:lvlText w:val="%4"/>
      <w:numFmt w:val="lowerLetter"/>
      <w:start w:val="1"/>
    </w:lvl>
  </w:abstractNum>
  <w:abstractNum w:abstractNumId="134">
    <w:nsid w:val="368DB37E"/>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lvl w:ilvl="3">
      <w:lvlJc w:val="left"/>
      <w:lvlText w:val="(%4)"/>
      <w:numFmt w:val="lowerLetter"/>
      <w:start w:val="23"/>
    </w:lvl>
  </w:abstractNum>
  <w:abstractNum w:abstractNumId="135">
    <w:nsid w:val="6A3B714C"/>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lvl w:ilvl="3">
      <w:lvlJc w:val="left"/>
      <w:lvlText w:val="(%4)"/>
      <w:numFmt w:val="lowerLetter"/>
      <w:start w:val="24"/>
    </w:lvl>
  </w:abstractNum>
  <w:abstractNum w:abstractNumId="136">
    <w:nsid w:val="327B517E"/>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25"/>
    </w:lvl>
  </w:abstractNum>
  <w:abstractNum w:abstractNumId="137">
    <w:nsid w:val="1F461B51"/>
    <w:multiLevelType w:val="hybridMultilevel"/>
    <w:lvl w:ilvl="0">
      <w:lvlJc w:val="left"/>
      <w:lvlText w:val="%1"/>
      <w:numFmt w:val="upperLetter"/>
      <w:start w:val="1"/>
    </w:lvl>
    <w:lvl w:ilvl="1">
      <w:lvlJc w:val="left"/>
      <w:lvlText w:val="(%2)"/>
      <w:numFmt w:val="upperLetter"/>
      <w:start w:val="3"/>
    </w:lvl>
    <w:lvl w:ilvl="2">
      <w:lvlJc w:val="left"/>
      <w:lvlText w:val="%3"/>
      <w:numFmt w:val="lowerLetter"/>
      <w:start w:val="1"/>
    </w:lvl>
  </w:abstractNum>
  <w:abstractNum w:abstractNumId="138">
    <w:nsid w:val="29BACF25"/>
    <w:multiLevelType w:val="hybridMultilevel"/>
    <w:lvl w:ilvl="0">
      <w:lvlJc w:val="left"/>
      <w:lvlText w:val="(%1)"/>
      <w:numFmt w:val="upperLetter"/>
      <w:start w:val="1"/>
    </w:lvl>
    <w:lvl w:ilvl="1">
      <w:lvlJc w:val="left"/>
      <w:lvlText w:val="(%2)"/>
      <w:numFmt w:val="upperLetter"/>
      <w:start w:val="4"/>
    </w:lvl>
    <w:lvl w:ilvl="2">
      <w:lvlJc w:val="left"/>
      <w:lvlText w:val="%3"/>
      <w:numFmt w:val="lowerLetter"/>
      <w:start w:val="1"/>
    </w:lvl>
  </w:abstractNum>
  <w:abstractNum w:abstractNumId="139">
    <w:nsid w:val="5D5BABB3"/>
    <w:multiLevelType w:val="hybridMultilevel"/>
    <w:lvl w:ilvl="0">
      <w:lvlJc w:val="left"/>
      <w:lvlText w:val="(%1)"/>
      <w:numFmt w:val="upperLetter"/>
      <w:start w:val="5"/>
    </w:lvl>
    <w:lvl w:ilvl="1">
      <w:lvlJc w:val="left"/>
      <w:lvlText w:val="(%2)"/>
      <w:numFmt w:val="lowerLetter"/>
      <w:start w:val="24"/>
    </w:lvl>
  </w:abstractNum>
  <w:abstractNum w:abstractNumId="140">
    <w:nsid w:val="51BF6B48"/>
    <w:multiLevelType w:val="hybridMultilevel"/>
    <w:lvl w:ilvl="0">
      <w:lvlJc w:val="left"/>
      <w:lvlText w:val="(%1)"/>
      <w:numFmt w:val="upperLetter"/>
      <w:start w:val="6"/>
    </w:lvl>
  </w:abstractNum>
  <w:abstractNum w:abstractNumId="141">
    <w:nsid w:val="7E0F6384"/>
    <w:multiLevelType w:val="hybridMultilevel"/>
    <w:lvl w:ilvl="0">
      <w:lvlJc w:val="left"/>
      <w:lvlText w:val="(%1)"/>
      <w:numFmt w:val="lowerRoman"/>
      <w:start w:val="10"/>
    </w:lvl>
  </w:abstractNum>
  <w:abstractNum w:abstractNumId="142">
    <w:nsid w:val="2B4B8B53"/>
    <w:multiLevelType w:val="hybridMultilevel"/>
    <w:lvl w:ilvl="0">
      <w:lvlJc w:val="left"/>
      <w:lvlText w:val="(%1)"/>
      <w:numFmt w:val="lowerLetter"/>
      <w:start w:val="3"/>
    </w:lvl>
  </w:abstractNum>
  <w:abstractNum w:abstractNumId="143">
    <w:nsid w:val="72E3413A"/>
    <w:multiLevelType w:val="hybridMultilevel"/>
    <w:lvl w:ilvl="0">
      <w:lvlJc w:val="left"/>
      <w:lvlText w:val="(%1)"/>
      <w:numFmt w:val="lowerLetter"/>
      <w:start w:val="1"/>
    </w:lvl>
  </w:abstractNum>
  <w:abstractNum w:abstractNumId="144">
    <w:nsid w:val="116AE494"/>
    <w:multiLevelType w:val="hybridMultilevel"/>
    <w:lvl w:ilvl="0">
      <w:lvlJc w:val="left"/>
      <w:lvlText w:val="(%1)"/>
      <w:numFmt w:val="lowerLetter"/>
      <w:start w:val="6"/>
    </w:lvl>
  </w:abstractNum>
  <w:abstractNum w:abstractNumId="145">
    <w:nsid w:val="3494B2FB"/>
    <w:multiLevelType w:val="hybridMultilevel"/>
    <w:lvl w:ilvl="0">
      <w:lvlJc w:val="left"/>
      <w:lvlText w:val="(%1)"/>
      <w:numFmt w:val="lowerRoman"/>
      <w:start w:val="1"/>
    </w:lvl>
  </w:abstractNum>
  <w:abstractNum w:abstractNumId="146">
    <w:nsid w:val="B13A31"/>
    <w:multiLevelType w:val="hybridMultilevel"/>
    <w:lvl w:ilvl="0">
      <w:lvlJc w:val="left"/>
      <w:lvlText w:val="(%1)"/>
      <w:numFmt w:val="lowerLetter"/>
      <w:start w:val="1"/>
    </w:lvl>
  </w:abstractNum>
  <w:abstractNum w:abstractNumId="147">
    <w:nsid w:val="64429599"/>
    <w:multiLevelType w:val="hybridMultilevel"/>
    <w:lvl w:ilvl="0">
      <w:lvlJc w:val="left"/>
      <w:lvlText w:val="(%1)"/>
      <w:numFmt w:val="lowerLetter"/>
      <w:start w:val="4"/>
    </w:lvl>
  </w:abstractNum>
  <w:abstractNum w:abstractNumId="148">
    <w:nsid w:val="631F1690"/>
    <w:multiLevelType w:val="hybridMultilevel"/>
    <w:lvl w:ilvl="0">
      <w:lvlJc w:val="left"/>
      <w:lvlText w:val="(%1)"/>
      <w:numFmt w:val="lowerLetter"/>
      <w:start w:val="7"/>
    </w:lvl>
  </w:abstractNum>
  <w:abstractNum w:abstractNumId="149">
    <w:nsid w:val="25973E32"/>
    <w:multiLevelType w:val="hybridMultilevel"/>
    <w:lvl w:ilvl="0">
      <w:lvlJc w:val="left"/>
      <w:lvlText w:val="%1"/>
      <w:numFmt w:val="lowerLetter"/>
      <w:start w:val="1"/>
    </w:lvl>
    <w:lvl w:ilvl="1">
      <w:lvlJc w:val="left"/>
      <w:lvlText w:val="(%2)"/>
      <w:numFmt w:val="lowerLetter"/>
      <w:start w:val="1"/>
    </w:lvl>
  </w:abstractNum>
  <w:abstractNum w:abstractNumId="150">
    <w:nsid w:val="EAD6F57"/>
    <w:multiLevelType w:val="hybridMultilevel"/>
    <w:lvl w:ilvl="0">
      <w:lvlJc w:val="left"/>
      <w:lvlText w:val="(%1)"/>
      <w:numFmt w:val="lowerLetter"/>
      <w:start w:val="35"/>
    </w:lvl>
    <w:lvl w:ilvl="1">
      <w:lvlJc w:val="left"/>
      <w:lvlText w:val="(%2)"/>
      <w:numFmt w:val="lowerLetter"/>
      <w:start w:val="2"/>
    </w:lvl>
  </w:abstractNum>
  <w:abstractNum w:abstractNumId="151">
    <w:nsid w:val="6EC9D844"/>
    <w:multiLevelType w:val="hybridMultilevel"/>
    <w:lvl w:ilvl="0">
      <w:lvlJc w:val="left"/>
      <w:lvlText w:val="(%1)"/>
      <w:numFmt w:val="lowerRoman"/>
      <w:start w:val="1"/>
    </w:lvl>
  </w:abstractNum>
  <w:abstractNum w:abstractNumId="152">
    <w:nsid w:val="5C49EAEE"/>
    <w:multiLevelType w:val="hybridMultilevel"/>
    <w:lvl w:ilvl="0">
      <w:lvlJc w:val="left"/>
      <w:lvlText w:val="(%1)"/>
      <w:numFmt w:val="lowerLetter"/>
      <w:start w:val="1"/>
    </w:lvl>
  </w:abstractNum>
  <w:abstractNum w:abstractNumId="153">
    <w:nsid w:val="64AF49B"/>
    <w:multiLevelType w:val="hybridMultilevel"/>
    <w:lvl w:ilvl="0">
      <w:lvlJc w:val="left"/>
      <w:lvlText w:val="%1"/>
      <w:numFmt w:val="lowerLetter"/>
      <w:start w:val="1"/>
    </w:lvl>
    <w:lvl w:ilvl="1">
      <w:lvlJc w:val="left"/>
      <w:lvlText w:val="(%2)"/>
      <w:numFmt w:val="lowerLetter"/>
      <w:start w:val="6"/>
    </w:lvl>
  </w:abstractNum>
  <w:abstractNum w:abstractNumId="154">
    <w:nsid w:val="397C46BC"/>
    <w:multiLevelType w:val="hybridMultilevel"/>
    <w:lvl w:ilvl="0">
      <w:lvlJc w:val="left"/>
      <w:lvlText w:val="(%1)"/>
      <w:numFmt w:val="lowerLetter"/>
      <w:start w:val="35"/>
    </w:lvl>
    <w:lvl w:ilvl="1">
      <w:lvlJc w:val="left"/>
      <w:lvlText w:val="(%2)"/>
      <w:numFmt w:val="lowerLetter"/>
      <w:start w:val="7"/>
    </w:lvl>
  </w:abstractNum>
  <w:abstractNum w:abstractNumId="155">
    <w:nsid w:val="7E448DE9"/>
    <w:multiLevelType w:val="hybridMultilevel"/>
    <w:lvl w:ilvl="0">
      <w:lvlJc w:val="left"/>
      <w:lvlText w:val="%1"/>
      <w:numFmt w:val="lowerLetter"/>
      <w:start w:val="1"/>
    </w:lvl>
    <w:lvl w:ilvl="1">
      <w:lvlJc w:val="left"/>
      <w:lvlText w:val="(%2)"/>
      <w:numFmt w:val="lowerLetter"/>
      <w:start w:val="1"/>
    </w:lvl>
  </w:abstractNum>
  <w:abstractNum w:abstractNumId="156">
    <w:nsid w:val="5A9CC3E5"/>
    <w:multiLevelType w:val="hybridMultilevel"/>
    <w:lvl w:ilvl="0">
      <w:lvlJc w:val="left"/>
      <w:lvlText w:val="(%1)"/>
      <w:numFmt w:val="lowerLetter"/>
      <w:start w:val="25"/>
    </w:lvl>
    <w:lvl w:ilvl="1">
      <w:lvlJc w:val="left"/>
      <w:lvlText w:val="%2"/>
      <w:numFmt w:val="lowerLetter"/>
      <w:start w:val="1"/>
    </w:lvl>
  </w:abstractNum>
  <w:abstractNum w:abstractNumId="157">
    <w:nsid w:val="1AFE3625"/>
    <w:multiLevelType w:val="hybridMultilevel"/>
    <w:lvl w:ilvl="0">
      <w:lvlJc w:val="left"/>
      <w:lvlText w:val="(%1)"/>
      <w:numFmt w:val="lowerLetter"/>
      <w:start w:val="6"/>
    </w:lvl>
  </w:abstractNum>
  <w:abstractNum w:abstractNumId="158">
    <w:nsid w:val="3CA88ECF"/>
    <w:multiLevelType w:val="hybridMultilevel"/>
    <w:lvl w:ilvl="0">
      <w:lvlJc w:val="left"/>
      <w:lvlText w:val="(%1)"/>
      <w:numFmt w:val="upperLetter"/>
      <w:start w:val="1"/>
    </w:lvl>
  </w:abstractNum>
  <w:abstractNum w:abstractNumId="159">
    <w:nsid w:val="6EBE4208"/>
    <w:multiLevelType w:val="hybridMultilevel"/>
    <w:lvl w:ilvl="0">
      <w:lvlJc w:val="left"/>
      <w:lvlText w:val="%1"/>
      <w:numFmt w:val="lowerLetter"/>
      <w:start w:val="1"/>
    </w:lvl>
    <w:lvl w:ilvl="1">
      <w:lvlJc w:val="left"/>
      <w:lvlText w:val="(%2)"/>
      <w:numFmt w:val="lowerLetter"/>
      <w:start w:val="1"/>
    </w:lvl>
  </w:abstractNum>
  <w:abstractNum w:abstractNumId="160">
    <w:nsid w:val="C058DF5"/>
    <w:multiLevelType w:val="hybridMultilevel"/>
    <w:lvl w:ilvl="0">
      <w:lvlJc w:val="left"/>
      <w:lvlText w:val="(%1)"/>
      <w:numFmt w:val="lowerLetter"/>
      <w:start w:val="9"/>
    </w:lvl>
    <w:lvl w:ilvl="1">
      <w:lvlJc w:val="left"/>
      <w:lvlText w:val="%2"/>
      <w:numFmt w:val="lowerLetter"/>
      <w:start w:val="1"/>
    </w:lvl>
  </w:abstractNum>
  <w:abstractNum w:abstractNumId="161">
    <w:nsid w:val="CBE5BE9"/>
    <w:multiLevelType w:val="hybridMultilevel"/>
    <w:lvl w:ilvl="0">
      <w:lvlJc w:val="left"/>
      <w:lvlText w:val="(%1)"/>
      <w:numFmt w:val="lowerLetter"/>
      <w:start w:val="35"/>
    </w:lvl>
    <w:lvl w:ilvl="1">
      <w:lvlJc w:val="left"/>
      <w:lvlText w:val="(%2)"/>
      <w:numFmt w:val="lowerLetter"/>
      <w:start w:val="4"/>
    </w:lvl>
  </w:abstractNum>
  <w:abstractNum w:abstractNumId="162">
    <w:nsid w:val="3102BBE2"/>
    <w:multiLevelType w:val="hybridMultilevel"/>
    <w:lvl w:ilvl="0">
      <w:lvlJc w:val="left"/>
      <w:lvlText w:val="(%1)"/>
      <w:numFmt w:val="lowerLetter"/>
      <w:start w:val="1"/>
    </w:lvl>
  </w:abstractNum>
  <w:abstractNum w:abstractNumId="163">
    <w:nsid w:val="26A02C5E"/>
    <w:multiLevelType w:val="hybridMultilevel"/>
    <w:lvl w:ilvl="0">
      <w:lvlJc w:val="left"/>
      <w:lvlText w:val="(%1)"/>
      <w:numFmt w:val="lowerLetter"/>
      <w:start w:val="2"/>
    </w:lvl>
  </w:abstractNum>
  <w:abstractNum w:abstractNumId="164">
    <w:nsid w:val="541C8153"/>
    <w:multiLevelType w:val="hybridMultilevel"/>
    <w:lvl w:ilvl="0">
      <w:lvlJc w:val="left"/>
      <w:lvlText w:val="%1"/>
      <w:numFmt w:val="lowerLetter"/>
      <w:start w:val="1"/>
    </w:lvl>
    <w:lvl w:ilvl="1">
      <w:lvlJc w:val="left"/>
      <w:lvlText w:val="(%2)"/>
      <w:numFmt w:val="lowerLetter"/>
      <w:start w:val="1"/>
    </w:lvl>
  </w:abstractNum>
  <w:abstractNum w:abstractNumId="165">
    <w:nsid w:val="67906F60"/>
    <w:multiLevelType w:val="hybridMultilevel"/>
    <w:lvl w:ilvl="0">
      <w:lvlJc w:val="left"/>
      <w:lvlText w:val="(%1)"/>
      <w:numFmt w:val="lowerLetter"/>
      <w:start w:val="9"/>
    </w:lvl>
    <w:lvl w:ilvl="1">
      <w:lvlJc w:val="left"/>
      <w:lvlText w:val="(%2)"/>
      <w:numFmt w:val="lowerLetter"/>
      <w:start w:val="2"/>
    </w:lvl>
  </w:abstractNum>
  <w:abstractNum w:abstractNumId="166">
    <w:nsid w:val="10DB9DAA"/>
    <w:multiLevelType w:val="hybridMultilevel"/>
    <w:lvl w:ilvl="0">
      <w:lvlJc w:val="left"/>
      <w:lvlText w:val="(%1)"/>
      <w:numFmt w:val="lowerRoman"/>
      <w:start w:val="10"/>
    </w:lvl>
  </w:abstractNum>
  <w:abstractNum w:abstractNumId="167">
    <w:nsid w:val="697D2D2"/>
    <w:multiLevelType w:val="hybridMultilevel"/>
    <w:lvl w:ilvl="0">
      <w:lvlJc w:val="left"/>
      <w:lvlText w:val="(%1)"/>
      <w:numFmt w:val="lowerLetter"/>
      <w:start w:val="1"/>
    </w:lvl>
  </w:abstractNum>
  <w:abstractNum w:abstractNumId="168">
    <w:nsid w:val="6D68AB2"/>
    <w:multiLevelType w:val="hybridMultilevel"/>
    <w:lvl w:ilvl="0">
      <w:lvlJc w:val="left"/>
      <w:lvlText w:val="(%1)"/>
      <w:numFmt w:val="lowerLetter"/>
      <w:start w:val="1"/>
    </w:lvl>
  </w:abstractNum>
  <w:abstractNum w:abstractNumId="169">
    <w:nsid w:val="3A966CD0"/>
    <w:multiLevelType w:val="hybridMultilevel"/>
    <w:lvl w:ilvl="0">
      <w:lvlJc w:val="left"/>
      <w:lvlText w:val="(%1)"/>
      <w:numFmt w:val="lowerLetter"/>
      <w:start w:val="3"/>
    </w:lvl>
  </w:abstractNum>
  <w:abstractNum w:abstractNumId="170">
    <w:nsid w:val="63F37E85"/>
    <w:multiLevelType w:val="hybridMultilevel"/>
    <w:lvl w:ilvl="0">
      <w:lvlJc w:val="left"/>
      <w:lvlText w:val="%1"/>
      <w:numFmt w:val="decimal"/>
      <w:start w:val="1"/>
    </w:lvl>
    <w:lvl w:ilvl="1">
      <w:lvlJc w:val="left"/>
      <w:lvlText w:val="(%2)"/>
      <w:numFmt w:val="lowerLetter"/>
      <w:start w:val="4"/>
    </w:lvl>
  </w:abstractNum>
  <w:abstractNum w:abstractNumId="171">
    <w:nsid w:val="5895F5FA"/>
    <w:multiLevelType w:val="hybridMultilevel"/>
    <w:lvl w:ilvl="0">
      <w:lvlJc w:val="left"/>
      <w:lvlText w:val="(%1)"/>
      <w:numFmt w:val="decimal"/>
      <w:start w:val="1"/>
    </w:lvl>
    <w:lvl w:ilvl="1">
      <w:lvlJc w:val="left"/>
      <w:lvlText w:val="(%2)"/>
      <w:numFmt w:val="lowerLetter"/>
      <w:start w:val="9"/>
    </w:lvl>
  </w:abstractNum>
  <w:abstractNum w:abstractNumId="172">
    <w:nsid w:val="38A5D054"/>
    <w:multiLevelType w:val="hybridMultilevel"/>
    <w:lvl w:ilvl="0">
      <w:lvlJc w:val="left"/>
      <w:lvlText w:val="(%1)"/>
      <w:numFmt w:val="lowerLetter"/>
      <w:start w:val="10"/>
    </w:lvl>
  </w:abstractNum>
  <w:abstractNum w:abstractNumId="173">
    <w:nsid w:val="F3F09D8"/>
    <w:multiLevelType w:val="hybridMultilevel"/>
    <w:lvl w:ilvl="0">
      <w:lvlJc w:val="left"/>
      <w:lvlText w:val="(%1)"/>
      <w:numFmt w:val="lowerLetter"/>
      <w:start w:val="19"/>
    </w:lvl>
  </w:abstractNum>
  <w:abstractNum w:abstractNumId="174">
    <w:nsid w:val="4B793735"/>
    <w:multiLevelType w:val="hybridMultilevel"/>
    <w:lvl w:ilvl="0">
      <w:lvlJc w:val="left"/>
      <w:lvlText w:val="(%1)"/>
      <w:numFmt w:val="lowerLetter"/>
      <w:start w:val="1"/>
    </w:lvl>
  </w:abstractNum>
  <w:abstractNum w:abstractNumId="175">
    <w:nsid w:val="4A10B4E8"/>
    <w:multiLevelType w:val="hybridMultilevel"/>
    <w:lvl w:ilvl="0">
      <w:lvlJc w:val="left"/>
      <w:lvlText w:val="%1"/>
      <w:numFmt w:val="lowerLetter"/>
      <w:start w:val="1"/>
    </w:lvl>
    <w:lvl w:ilvl="1">
      <w:lvlJc w:val="left"/>
      <w:lvlText w:val="(%2)"/>
      <w:numFmt w:val="lowerLetter"/>
      <w:start w:val="1"/>
    </w:lvl>
  </w:abstractNum>
  <w:abstractNum w:abstractNumId="176">
    <w:nsid w:val="43D3BCD4"/>
    <w:multiLevelType w:val="hybridMultilevel"/>
    <w:lvl w:ilvl="0">
      <w:lvlJc w:val="left"/>
      <w:lvlText w:val="(%1)"/>
      <w:numFmt w:val="lowerLetter"/>
      <w:start w:val="9"/>
    </w:lvl>
    <w:lvl w:ilvl="1">
      <w:lvlJc w:val="left"/>
      <w:lvlText w:val="%2"/>
      <w:numFmt w:val="lowerLetter"/>
      <w:start w:val="1"/>
    </w:lvl>
  </w:abstractNum>
  <w:abstractNum w:abstractNumId="177">
    <w:nsid w:val="4C2A7166"/>
    <w:multiLevelType w:val="hybridMultilevel"/>
    <w:lvl w:ilvl="0">
      <w:lvlJc w:val="left"/>
      <w:lvlText w:val="(%1)"/>
      <w:numFmt w:val="lowerRoman"/>
      <w:start w:val="2"/>
    </w:lvl>
  </w:abstractNum>
  <w:abstractNum w:abstractNumId="178">
    <w:nsid w:val="2E534A82"/>
    <w:multiLevelType w:val="hybridMultilevel"/>
    <w:lvl w:ilvl="0">
      <w:lvlJc w:val="left"/>
      <w:lvlText w:val="(%1)"/>
      <w:numFmt w:val="lowerRoman"/>
      <w:start w:val="3"/>
    </w:lvl>
  </w:abstractNum>
  <w:abstractNum w:abstractNumId="179">
    <w:nsid w:val="26F2D364"/>
    <w:multiLevelType w:val="hybridMultilevel"/>
    <w:lvl w:ilvl="0">
      <w:lvlJc w:val="left"/>
      <w:lvlText w:val="(%1)"/>
      <w:numFmt w:val="lowerLetter"/>
      <w:start w:val="2"/>
    </w:lvl>
  </w:abstractNum>
  <w:abstractNum w:abstractNumId="180">
    <w:nsid w:val="71C1AF98"/>
    <w:multiLevelType w:val="hybridMultilevel"/>
    <w:lvl w:ilvl="0">
      <w:lvlJc w:val="left"/>
      <w:lvlText w:val="(%1)"/>
      <w:numFmt w:val="lowerRoman"/>
      <w:start w:val="1"/>
    </w:lvl>
  </w:abstractNum>
  <w:abstractNum w:abstractNumId="181">
    <w:nsid w:val="3D00B9D9"/>
    <w:multiLevelType w:val="hybridMultilevel"/>
    <w:lvl w:ilvl="0">
      <w:lvlJc w:val="left"/>
      <w:lvlText w:val="(%1)"/>
      <w:numFmt w:val="lowerLetter"/>
      <w:start w:val="3"/>
    </w:lvl>
  </w:abstractNum>
  <w:abstractNum w:abstractNumId="182">
    <w:nsid w:val="15BCABA8"/>
    <w:multiLevelType w:val="hybridMultilevel"/>
    <w:lvl w:ilvl="0">
      <w:lvlJc w:val="left"/>
      <w:lvlText w:val="%1"/>
      <w:numFmt w:val="lowerRoman"/>
      <w:start w:val="1"/>
    </w:lvl>
    <w:lvl w:ilvl="1">
      <w:lvlJc w:val="left"/>
      <w:lvlText w:val="(%2)"/>
      <w:numFmt w:val="lowerLetter"/>
      <w:start w:val="1"/>
    </w:lvl>
  </w:abstractNum>
  <w:abstractNum w:abstractNumId="183">
    <w:nsid w:val="4E0B9A87"/>
    <w:multiLevelType w:val="hybridMultilevel"/>
    <w:lvl w:ilvl="0">
      <w:lvlJc w:val="left"/>
      <w:lvlText w:val="(%1)"/>
      <w:numFmt w:val="lowerRoman"/>
      <w:start w:val="1"/>
    </w:lvl>
    <w:lvl w:ilvl="1">
      <w:lvlJc w:val="left"/>
      <w:lvlText w:val="%2"/>
      <w:numFmt w:val="lowerLetter"/>
      <w:start w:val="1"/>
    </w:lvl>
  </w:abstractNum>
  <w:abstractNum w:abstractNumId="184">
    <w:nsid w:val="434BAE75"/>
    <w:multiLevelType w:val="hybridMultilevel"/>
    <w:lvl w:ilvl="0">
      <w:lvlJc w:val="left"/>
      <w:lvlText w:val="(%1)"/>
      <w:numFmt w:val="lowerLetter"/>
      <w:start w:val="3"/>
    </w:lvl>
  </w:abstractNum>
  <w:abstractNum w:abstractNumId="185">
    <w:nsid w:val="4F38F265"/>
    <w:multiLevelType w:val="hybridMultilevel"/>
    <w:lvl w:ilvl="0">
      <w:lvlJc w:val="left"/>
      <w:lvlText w:val="(%1)"/>
      <w:numFmt w:val="lowerLetter"/>
      <w:start w:val="4"/>
    </w:lvl>
  </w:abstractNum>
  <w:abstractNum w:abstractNumId="186">
    <w:nsid w:val="4C502870"/>
    <w:multiLevelType w:val="hybridMultilevel"/>
    <w:lvl w:ilvl="0">
      <w:lvlJc w:val="left"/>
      <w:lvlText w:val="(%1)"/>
      <w:numFmt w:val="lowerLetter"/>
      <w:start w:val="1"/>
    </w:lvl>
  </w:abstractNum>
  <w:abstractNum w:abstractNumId="187">
    <w:nsid w:val="1DE8725A"/>
    <w:multiLevelType w:val="hybridMultilevel"/>
    <w:lvl w:ilvl="0">
      <w:lvlJc w:val="left"/>
      <w:lvlText w:val="(%1)"/>
      <w:numFmt w:val="lowerLetter"/>
      <w:start w:val="3"/>
    </w:lvl>
  </w:abstractNum>
  <w:abstractNum w:abstractNumId="188">
    <w:nsid w:val="6A37288A"/>
    <w:multiLevelType w:val="hybridMultilevel"/>
    <w:lvl w:ilvl="0">
      <w:lvlJc w:val="left"/>
      <w:lvlText w:val="(%1)"/>
      <w:numFmt w:val="lowerLetter"/>
      <w:start w:val="5"/>
    </w:lvl>
  </w:abstractNum>
  <w:abstractNum w:abstractNumId="189">
    <w:nsid w:val="8F8B73F"/>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190">
    <w:nsid w:val="CA6B462"/>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191">
    <w:nsid w:val="763CB680"/>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2"/>
    </w:lvl>
  </w:abstractNum>
  <w:abstractNum w:abstractNumId="192">
    <w:nsid w:val="15B71329"/>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abstractNum>
  <w:abstractNum w:abstractNumId="193">
    <w:nsid w:val="3DA97044"/>
    <w:multiLevelType w:val="hybridMultilevel"/>
    <w:lvl w:ilvl="0">
      <w:lvlJc w:val="left"/>
      <w:lvlText w:val="(%1)"/>
      <w:numFmt w:val="lowerLetter"/>
      <w:start w:val="3"/>
    </w:lvl>
  </w:abstractNum>
  <w:abstractNum w:abstractNumId="194">
    <w:nsid w:val="1CDCE2DE"/>
    <w:multiLevelType w:val="hybridMultilevel"/>
    <w:lvl w:ilvl="0">
      <w:lvlJc w:val="left"/>
      <w:lvlText w:val="(%1)"/>
      <w:numFmt w:val="lowerLetter"/>
      <w:start w:val="5"/>
    </w:lvl>
  </w:abstractNum>
  <w:abstractNum w:abstractNumId="195">
    <w:nsid w:val="69D3947C"/>
    <w:multiLevelType w:val="hybridMultilevel"/>
    <w:lvl w:ilvl="0">
      <w:lvlJc w:val="left"/>
      <w:lvlText w:val="(%1)"/>
      <w:numFmt w:val="lowerLetter"/>
      <w:start w:val="6"/>
    </w:lvl>
  </w:abstractNum>
  <w:abstractNum w:abstractNumId="196">
    <w:nsid w:val="2539DFA5"/>
    <w:multiLevelType w:val="hybridMultilevel"/>
    <w:lvl w:ilvl="0">
      <w:lvlJc w:val="left"/>
      <w:lvlText w:val="(%1)"/>
      <w:numFmt w:val="lowerLetter"/>
      <w:start w:val="7"/>
    </w:lvl>
  </w:abstractNum>
  <w:abstractNum w:abstractNumId="197">
    <w:nsid w:val="2DB88089"/>
    <w:multiLevelType w:val="hybridMultilevel"/>
    <w:lvl w:ilvl="0">
      <w:lvlJc w:val="left"/>
      <w:lvlText w:val="(%1)"/>
      <w:numFmt w:val="lowerLetter"/>
      <w:start w:val="8"/>
    </w:lvl>
  </w:abstractNum>
  <w:abstractNum w:abstractNumId="198">
    <w:nsid w:val="706B674E"/>
    <w:multiLevelType w:val="hybridMultilevel"/>
    <w:lvl w:ilvl="0">
      <w:lvlJc w:val="left"/>
      <w:lvlText w:val="(%1)"/>
      <w:numFmt w:val="lowerLetter"/>
      <w:start w:val="1"/>
    </w:lvl>
  </w:abstractNum>
  <w:abstractNum w:abstractNumId="199">
    <w:nsid w:val="2C106A57"/>
    <w:multiLevelType w:val="hybridMultilevel"/>
    <w:lvl w:ilvl="0">
      <w:lvlJc w:val="left"/>
      <w:lvlText w:val="(%1)"/>
      <w:numFmt w:val="lowerLetter"/>
      <w:start w:val="2"/>
    </w:lvl>
  </w:abstractNum>
  <w:abstractNum w:abstractNumId="200">
    <w:nsid w:val="684EED59"/>
    <w:multiLevelType w:val="hybridMultilevel"/>
    <w:lvl w:ilvl="0">
      <w:lvlJc w:val="left"/>
      <w:lvlText w:val="(%1)"/>
      <w:numFmt w:val="lowerLetter"/>
      <w:start w:val="25"/>
    </w:lvl>
  </w:abstractNum>
  <w:abstractNum w:abstractNumId="201">
    <w:nsid w:val="545EE5D3"/>
    <w:multiLevelType w:val="hybridMultilevel"/>
    <w:lvl w:ilvl="0">
      <w:lvlJc w:val="left"/>
      <w:lvlText w:val="(%1)"/>
      <w:numFmt w:val="lowerLetter"/>
      <w:start w:val="2"/>
    </w:lvl>
  </w:abstractNum>
  <w:abstractNum w:abstractNumId="202">
    <w:nsid w:val="4A66051"/>
    <w:multiLevelType w:val="hybridMultilevel"/>
    <w:lvl w:ilvl="0">
      <w:lvlJc w:val="left"/>
      <w:lvlText w:val="(%1)"/>
      <w:numFmt w:val="upperLetter"/>
      <w:start w:val="2"/>
    </w:lvl>
  </w:abstractNum>
  <w:abstractNum w:abstractNumId="203">
    <w:nsid w:val="20F4BDAD"/>
    <w:multiLevelType w:val="hybridMultilevel"/>
    <w:lvl w:ilvl="0">
      <w:lvlJc w:val="left"/>
      <w:lvlText w:val="(%1)"/>
      <w:numFmt w:val="lowerLetter"/>
      <w:start w:val="1"/>
    </w:lvl>
  </w:abstractNum>
  <w:abstractNum w:abstractNumId="204">
    <w:nsid w:val="639DEFAC"/>
    <w:multiLevelType w:val="hybridMultilevel"/>
    <w:lvl w:ilvl="0">
      <w:lvlJc w:val="left"/>
      <w:lvlText w:val="(%1)"/>
      <w:numFmt w:val="lowerLetter"/>
      <w:start w:val="35"/>
    </w:lvl>
    <w:lvl w:ilvl="1">
      <w:lvlJc w:val="left"/>
      <w:lvlText w:val="(%2)"/>
      <w:numFmt w:val="lowerLetter"/>
      <w:start w:val="2"/>
    </w:lvl>
  </w:abstractNum>
  <w:abstractNum w:abstractNumId="205">
    <w:nsid w:val="501F9786"/>
    <w:multiLevelType w:val="hybridMultilevel"/>
    <w:lvl w:ilvl="0">
      <w:lvlJc w:val="left"/>
      <w:lvlText w:val="(%1)"/>
      <w:numFmt w:val="lowerLetter"/>
      <w:start w:val="1"/>
    </w:lvl>
    <w:lvl w:ilvl="1">
      <w:lvlJc w:val="left"/>
      <w:lvlText w:val="(%2)"/>
      <w:numFmt w:val="lowerRoman"/>
      <w:start w:val="1"/>
    </w:lvl>
  </w:abstractNum>
  <w:abstractNum w:abstractNumId="206">
    <w:nsid w:val="6B057295"/>
    <w:multiLevelType w:val="hybridMultilevel"/>
    <w:lvl w:ilvl="0">
      <w:lvlJc w:val="left"/>
      <w:lvlText w:val="(%1)"/>
      <w:numFmt w:val="lowerRoman"/>
      <w:start w:val="3"/>
    </w:lvl>
  </w:abstractNum>
  <w:abstractNum w:abstractNumId="207">
    <w:nsid w:val="2771AC80"/>
    <w:multiLevelType w:val="hybridMultilevel"/>
    <w:lvl w:ilvl="0">
      <w:lvlJc w:val="left"/>
      <w:lvlText w:val="%1"/>
      <w:numFmt w:val="lowerLetter"/>
      <w:start w:val="1"/>
    </w:lvl>
    <w:lvl w:ilvl="1">
      <w:lvlJc w:val="left"/>
      <w:lvlText w:val="(%2)"/>
      <w:numFmt w:val="lowerLetter"/>
      <w:start w:val="1"/>
    </w:lvl>
  </w:abstractNum>
  <w:abstractNum w:abstractNumId="208">
    <w:nsid w:val="1C4A08EC"/>
    <w:multiLevelType w:val="hybridMultilevel"/>
    <w:lvl w:ilvl="0">
      <w:lvlJc w:val="left"/>
      <w:lvlText w:val="(%1)"/>
      <w:numFmt w:val="lowerLetter"/>
      <w:start w:val="9"/>
    </w:lvl>
    <w:lvl w:ilvl="1">
      <w:lvlJc w:val="left"/>
      <w:lvlText w:val="%2"/>
      <w:numFmt w:val="lowerLetter"/>
      <w:start w:val="1"/>
    </w:lvl>
  </w:abstractNum>
  <w:abstractNum w:abstractNumId="209">
    <w:nsid w:val="1958BD17"/>
    <w:multiLevelType w:val="hybridMultilevel"/>
    <w:lvl w:ilvl="0">
      <w:lvlJc w:val="left"/>
      <w:lvlText w:val="(%1)"/>
      <w:numFmt w:val="lowerRoman"/>
      <w:start w:val="2"/>
    </w:lvl>
    <w:lvl w:ilvl="1">
      <w:lvlJc w:val="left"/>
      <w:lvlText w:val="(%2)"/>
      <w:numFmt w:val="upperLetter"/>
      <w:start w:val="1"/>
    </w:lvl>
  </w:abstractNum>
  <w:abstractNum w:abstractNumId="210">
    <w:nsid w:val="4E647FE4"/>
    <w:multiLevelType w:val="hybridMultilevel"/>
    <w:lvl w:ilvl="0">
      <w:lvlJc w:val="left"/>
      <w:lvlText w:val="%1."/>
      <w:numFmt w:val="decimal"/>
      <w:start w:val="1"/>
    </w:lvl>
  </w:abstractNum>
  <w:abstractNum w:abstractNumId="211">
    <w:nsid w:val="E0BB885"/>
    <w:multiLevelType w:val="hybridMultilevel"/>
    <w:lvl w:ilvl="0">
      <w:lvlJc w:val="left"/>
      <w:lvlText w:val="%1."/>
      <w:numFmt w:val="decimal"/>
      <w:start w:val="41"/>
    </w:lvl>
  </w:abstractNum>
  <w:abstractNum w:abstractNumId="212">
    <w:nsid w:val="565976F1"/>
    <w:multiLevelType w:val="hybridMultilevel"/>
    <w:lvl w:ilvl="0">
      <w:lvlJc w:val="left"/>
      <w:lvlText w:val="%1."/>
      <w:numFmt w:val="decimal"/>
      <w:start w:val="1"/>
    </w:lvl>
  </w:abstractNum>
  <w:abstractNum w:abstractNumId="213">
    <w:nsid w:val="64212B8C"/>
    <w:multiLevelType w:val="hybridMultilevel"/>
    <w:lvl w:ilvl="0">
      <w:lvlJc w:val="left"/>
      <w:lvlText w:val="%1."/>
      <w:numFmt w:val="decimal"/>
      <w:start w:val="1"/>
    </w:lvl>
  </w:abstractNum>
  <w:abstractNum w:abstractNumId="214">
    <w:nsid w:val="5C17530C"/>
    <w:multiLevelType w:val="hybridMultilevel"/>
    <w:lvl w:ilvl="0">
      <w:lvlJc w:val="left"/>
      <w:lvlText w:val="%1."/>
      <w:numFmt w:val="decimal"/>
      <w:start w:val="1"/>
    </w:lvl>
  </w:abstractNum>
  <w:abstractNum w:abstractNumId="215">
    <w:nsid w:val="19A52566"/>
    <w:multiLevelType w:val="hybridMultilevel"/>
    <w:lvl w:ilvl="0">
      <w:lvlJc w:val="left"/>
      <w:lvlText w:val="%1."/>
      <w:numFmt w:val="decimal"/>
      <w:start w:val="3"/>
    </w:lvl>
  </w:abstractNum>
  <w:abstractNum w:abstractNumId="216">
    <w:nsid w:val="335A1DF1"/>
    <w:multiLevelType w:val="hybridMultilevel"/>
    <w:lvl w:ilvl="0">
      <w:lvlJc w:val="left"/>
      <w:lvlText w:val="1"/>
      <w:numFmt w:val="bullet"/>
      <w:start w:val="1"/>
    </w:lvl>
  </w:abstractNum>
  <w:abstractNum w:abstractNumId="217">
    <w:nsid w:val="28677B7C"/>
    <w:multiLevelType w:val="hybridMultilevel"/>
    <w:lvl w:ilvl="0">
      <w:lvlJc w:val="left"/>
      <w:lvlText w:val="%1."/>
      <w:numFmt w:val="decimal"/>
      <w:start w:val="5"/>
    </w:lvl>
  </w:abstractNum>
  <w:abstractNum w:abstractNumId="218">
    <w:nsid w:val="378D97C0"/>
    <w:multiLevelType w:val="hybridMultilevel"/>
    <w:lvl w:ilvl="0">
      <w:lvlJc w:val="left"/>
      <w:lvlText w:val="2"/>
      <w:numFmt w:val="bullet"/>
      <w:start w:val="1"/>
    </w:lvl>
  </w:abstractNum>
  <w:abstractNum w:abstractNumId="219">
    <w:nsid w:val="1D91467C"/>
    <w:multiLevelType w:val="hybridMultilevel"/>
    <w:lvl w:ilvl="0">
      <w:lvlJc w:val="left"/>
      <w:lvlText w:val="4"/>
      <w:numFmt w:val="bullet"/>
      <w:start w:val="1"/>
    </w:lvl>
  </w:abstractNum>
  <w:abstractNum w:abstractNumId="220">
    <w:nsid w:val="316032BB"/>
    <w:multiLevelType w:val="hybridMultilevel"/>
    <w:lvl w:ilvl="0">
      <w:lvlJc w:val="left"/>
      <w:lvlText w:val="%1."/>
      <w:numFmt w:val="decimal"/>
      <w:start w:val="1"/>
    </w:lvl>
  </w:abstractNum>
  <w:abstractNum w:abstractNumId="221">
    <w:nsid w:val="44344C22"/>
    <w:multiLevelType w:val="hybridMultilevel"/>
    <w:lvl w:ilvl="0">
      <w:lvlJc w:val="left"/>
      <w:lvlText w:val="(%1)"/>
      <w:numFmt w:val="lowerRoman"/>
      <w:start w:val="2"/>
    </w:lvl>
    <w:lvl w:ilvl="1">
      <w:lvlJc w:val="left"/>
      <w:lvlText w:val="%2"/>
      <w:numFmt w:val="decimal"/>
      <w:start w:val="1"/>
    </w:lvl>
  </w:abstractNum>
  <w:abstractNum w:abstractNumId="222">
    <w:nsid w:val="13CDFCFC"/>
    <w:multiLevelType w:val="hybridMultilevel"/>
    <w:lvl w:ilvl="0">
      <w:lvlJc w:val="left"/>
      <w:lvlText w:val="(%1)"/>
      <w:numFmt w:val="lowerRoman"/>
      <w:start w:val="5"/>
    </w:lvl>
    <w:lvl w:ilvl="1">
      <w:lvlJc w:val="left"/>
      <w:lvlText w:val="%2."/>
      <w:numFmt w:val="decimal"/>
      <w:start w:val="2"/>
    </w:lvl>
  </w:abstractNum>
  <w:abstractNum w:abstractNumId="223">
    <w:nsid w:val="471745E4"/>
    <w:multiLevelType w:val="hybridMultilevel"/>
    <w:lvl w:ilvl="0">
      <w:lvlJc w:val="left"/>
      <w:lvlText w:val="%1."/>
      <w:numFmt w:val="decimal"/>
      <w:start w:val="3"/>
    </w:lvl>
  </w:abstractNum>
  <w:abstractNum w:abstractNumId="224">
    <w:nsid w:val="1DDBC66"/>
    <w:multiLevelType w:val="hybridMultilevel"/>
    <w:lvl w:ilvl="0">
      <w:lvlJc w:val="left"/>
      <w:lvlText w:val="%1."/>
      <w:numFmt w:val="decimal"/>
      <w:start w:val="1"/>
    </w:lvl>
  </w:abstractNum>
  <w:abstractNum w:abstractNumId="225">
    <w:nsid w:val="30AADFDA"/>
    <w:multiLevelType w:val="hybridMultilevel"/>
    <w:lvl w:ilvl="0">
      <w:lvlJc w:val="left"/>
      <w:lvlText w:val="6"/>
      <w:numFmt w:val="bullet"/>
      <w:start w:val="1"/>
    </w:lvl>
  </w:abstractNum>
  <w:abstractNum w:abstractNumId="226">
    <w:nsid w:val="30EADA61"/>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2020-05-05T15:15:47Z</dcterms:created>
  <dcterms:modified xsi:type="dcterms:W3CDTF">2020-05-05T15:15:47Z</dcterms:modified>
</cp:coreProperties>
</file>