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59"/>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254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2540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328930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8" w:lineRule="exact"/>
        <w:rPr>
          <w:sz w:val="24"/>
          <w:szCs w:val="24"/>
          <w:color w:val="auto"/>
        </w:rPr>
      </w:pPr>
    </w:p>
    <w:p>
      <w:pPr>
        <w:jc w:val="center"/>
        <w:ind w:right="-159"/>
        <w:spacing w:after="0"/>
        <w:rPr>
          <w:sz w:val="20"/>
          <w:szCs w:val="20"/>
          <w:color w:val="auto"/>
        </w:rPr>
      </w:pPr>
      <w:r>
        <w:rPr>
          <w:rFonts w:ascii="Arial" w:cs="Arial" w:eastAsia="Arial" w:hAnsi="Arial"/>
          <w:sz w:val="25"/>
          <w:szCs w:val="25"/>
          <w:b w:val="1"/>
          <w:bCs w:val="1"/>
          <w:color w:val="auto"/>
        </w:rPr>
        <w:t>SECURITIES AND EXCHANGE COMMISSION</w:t>
      </w:r>
    </w:p>
    <w:p>
      <w:pPr>
        <w:spacing w:after="0" w:line="10" w:lineRule="exact"/>
        <w:rPr>
          <w:sz w:val="24"/>
          <w:szCs w:val="24"/>
          <w:color w:val="auto"/>
        </w:rPr>
      </w:pPr>
    </w:p>
    <w:p>
      <w:pPr>
        <w:jc w:val="center"/>
        <w:ind w:right="-159"/>
        <w:spacing w:after="0"/>
        <w:rPr>
          <w:sz w:val="20"/>
          <w:szCs w:val="20"/>
          <w:color w:val="auto"/>
        </w:rPr>
      </w:pPr>
      <w:r>
        <w:rPr>
          <w:rFonts w:ascii="Arial" w:cs="Arial" w:eastAsia="Arial" w:hAnsi="Arial"/>
          <w:sz w:val="25"/>
          <w:szCs w:val="25"/>
          <w:b w:val="1"/>
          <w:bCs w:val="1"/>
          <w:color w:val="auto"/>
        </w:rPr>
        <w:t>Washington, D.C. 20549</w:t>
      </w:r>
    </w:p>
    <w:p>
      <w:pPr>
        <w:spacing w:after="0" w:line="10" w:lineRule="exact"/>
        <w:rPr>
          <w:sz w:val="24"/>
          <w:szCs w:val="24"/>
          <w:color w:val="auto"/>
        </w:rPr>
      </w:pPr>
    </w:p>
    <w:p>
      <w:pPr>
        <w:ind w:left="4300"/>
        <w:spacing w:after="0"/>
        <w:rPr>
          <w:sz w:val="20"/>
          <w:szCs w:val="20"/>
          <w:color w:val="auto"/>
        </w:rPr>
      </w:pPr>
      <w:r>
        <w:rPr>
          <w:rFonts w:ascii="Arial" w:cs="Arial" w:eastAsia="Arial" w:hAnsi="Arial"/>
          <w:sz w:val="25"/>
          <w:szCs w:val="25"/>
          <w:color w:val="auto"/>
        </w:rPr>
        <w:t>_____________________</w:t>
      </w:r>
    </w:p>
    <w:p>
      <w:pPr>
        <w:spacing w:after="0" w:line="198" w:lineRule="exact"/>
        <w:rPr>
          <w:sz w:val="24"/>
          <w:szCs w:val="24"/>
          <w:color w:val="auto"/>
        </w:rPr>
      </w:pPr>
    </w:p>
    <w:p>
      <w:pPr>
        <w:jc w:val="center"/>
        <w:ind w:right="-159"/>
        <w:spacing w:after="0"/>
        <w:rPr>
          <w:sz w:val="20"/>
          <w:szCs w:val="20"/>
          <w:color w:val="auto"/>
        </w:rPr>
      </w:pPr>
      <w:r>
        <w:rPr>
          <w:rFonts w:ascii="Arial" w:cs="Arial" w:eastAsia="Arial" w:hAnsi="Arial"/>
          <w:sz w:val="25"/>
          <w:szCs w:val="25"/>
          <w:b w:val="1"/>
          <w:bCs w:val="1"/>
          <w:color w:val="auto"/>
        </w:rPr>
        <w:t>FORM 8-K</w:t>
      </w:r>
    </w:p>
    <w:p>
      <w:pPr>
        <w:spacing w:after="0" w:line="38" w:lineRule="exact"/>
        <w:rPr>
          <w:sz w:val="24"/>
          <w:szCs w:val="24"/>
          <w:color w:val="auto"/>
        </w:rPr>
      </w:pPr>
    </w:p>
    <w:p>
      <w:pPr>
        <w:ind w:left="4300"/>
        <w:spacing w:after="0"/>
        <w:rPr>
          <w:sz w:val="20"/>
          <w:szCs w:val="20"/>
          <w:color w:val="auto"/>
        </w:rPr>
      </w:pPr>
      <w:r>
        <w:rPr>
          <w:rFonts w:ascii="Arial" w:cs="Arial" w:eastAsia="Arial" w:hAnsi="Arial"/>
          <w:sz w:val="25"/>
          <w:szCs w:val="25"/>
          <w:color w:val="auto"/>
        </w:rPr>
        <w:t>_____________________</w:t>
      </w:r>
    </w:p>
    <w:p>
      <w:pPr>
        <w:spacing w:after="0" w:line="193" w:lineRule="exact"/>
        <w:rPr>
          <w:sz w:val="24"/>
          <w:szCs w:val="24"/>
          <w:color w:val="auto"/>
        </w:rPr>
      </w:pPr>
    </w:p>
    <w:p>
      <w:pPr>
        <w:jc w:val="center"/>
        <w:ind w:right="-159"/>
        <w:spacing w:after="0"/>
        <w:rPr>
          <w:sz w:val="20"/>
          <w:szCs w:val="20"/>
          <w:color w:val="auto"/>
        </w:rPr>
      </w:pPr>
      <w:r>
        <w:rPr>
          <w:rFonts w:ascii="Arial" w:cs="Arial" w:eastAsia="Arial" w:hAnsi="Arial"/>
          <w:sz w:val="22"/>
          <w:szCs w:val="22"/>
          <w:b w:val="1"/>
          <w:bCs w:val="1"/>
          <w:color w:val="auto"/>
        </w:rPr>
        <w:t>CURRENT REPORT</w:t>
      </w:r>
    </w:p>
    <w:p>
      <w:pPr>
        <w:spacing w:after="0" w:line="206" w:lineRule="exact"/>
        <w:rPr>
          <w:sz w:val="24"/>
          <w:szCs w:val="24"/>
          <w:color w:val="auto"/>
        </w:rPr>
      </w:pPr>
    </w:p>
    <w:p>
      <w:pPr>
        <w:jc w:val="center"/>
        <w:ind w:right="-159"/>
        <w:spacing w:after="0"/>
        <w:rPr>
          <w:sz w:val="20"/>
          <w:szCs w:val="20"/>
          <w:color w:val="auto"/>
        </w:rPr>
      </w:pPr>
      <w:r>
        <w:rPr>
          <w:rFonts w:ascii="Arial" w:cs="Arial" w:eastAsia="Arial" w:hAnsi="Arial"/>
          <w:sz w:val="19"/>
          <w:szCs w:val="19"/>
          <w:b w:val="1"/>
          <w:bCs w:val="1"/>
          <w:color w:val="auto"/>
        </w:rPr>
        <w:t>Pursuant to Section 13 or 15(d) of the Securities Exchange Act of 1934</w:t>
      </w:r>
    </w:p>
    <w:p>
      <w:pPr>
        <w:spacing w:after="0" w:line="254" w:lineRule="exact"/>
        <w:rPr>
          <w:sz w:val="24"/>
          <w:szCs w:val="24"/>
          <w:color w:val="auto"/>
        </w:rPr>
      </w:pPr>
    </w:p>
    <w:p>
      <w:pPr>
        <w:jc w:val="center"/>
        <w:ind w:right="-59"/>
        <w:spacing w:after="0"/>
        <w:rPr>
          <w:sz w:val="20"/>
          <w:szCs w:val="20"/>
          <w:color w:val="auto"/>
        </w:rPr>
      </w:pPr>
      <w:r>
        <w:rPr>
          <w:rFonts w:ascii="Arial" w:cs="Arial" w:eastAsia="Arial" w:hAnsi="Arial"/>
          <w:sz w:val="18"/>
          <w:szCs w:val="18"/>
          <w:color w:val="auto"/>
        </w:rPr>
        <w:t>Date of Report (Date of earliest event Reported): July 12, 2017</w:t>
      </w:r>
    </w:p>
    <w:p>
      <w:pPr>
        <w:spacing w:after="0" w:line="212" w:lineRule="exact"/>
        <w:rPr>
          <w:sz w:val="24"/>
          <w:szCs w:val="24"/>
          <w:color w:val="auto"/>
        </w:rPr>
      </w:pPr>
    </w:p>
    <w:p>
      <w:pPr>
        <w:jc w:val="center"/>
        <w:ind w:right="-159"/>
        <w:spacing w:after="0"/>
        <w:rPr>
          <w:sz w:val="20"/>
          <w:szCs w:val="20"/>
          <w:color w:val="auto"/>
        </w:rPr>
      </w:pPr>
      <w:r>
        <w:rPr>
          <w:rFonts w:ascii="Arial" w:cs="Arial" w:eastAsia="Arial" w:hAnsi="Arial"/>
          <w:sz w:val="22"/>
          <w:szCs w:val="22"/>
          <w:b w:val="1"/>
          <w:bCs w:val="1"/>
          <w:color w:val="auto"/>
        </w:rPr>
        <w:t>PennantPark Investment Corporation</w:t>
      </w:r>
    </w:p>
    <w:p>
      <w:pPr>
        <w:spacing w:after="0" w:line="19" w:lineRule="exact"/>
        <w:rPr>
          <w:sz w:val="24"/>
          <w:szCs w:val="24"/>
          <w:color w:val="auto"/>
        </w:rPr>
      </w:pPr>
    </w:p>
    <w:p>
      <w:pPr>
        <w:jc w:val="center"/>
        <w:ind w:right="-159"/>
        <w:spacing w:after="0"/>
        <w:rPr>
          <w:sz w:val="20"/>
          <w:szCs w:val="20"/>
          <w:color w:val="auto"/>
        </w:rPr>
      </w:pPr>
      <w:r>
        <w:rPr>
          <w:rFonts w:ascii="Arial" w:cs="Arial" w:eastAsia="Arial" w:hAnsi="Arial"/>
          <w:sz w:val="18"/>
          <w:szCs w:val="18"/>
          <w:color w:val="auto"/>
        </w:rPr>
        <w:t>(Exact Name of Registrant as Specified in Charter)</w:t>
      </w:r>
    </w:p>
    <w:p>
      <w:pPr>
        <w:sectPr>
          <w:pgSz w:w="11900" w:h="16838" w:orient="portrait"/>
          <w:cols w:equalWidth="0" w:num="1">
            <w:col w:w="11100"/>
          </w:cols>
          <w:pgMar w:left="320" w:top="724" w:right="479" w:bottom="1440" w:gutter="0" w:footer="0" w:header="0"/>
        </w:sectPr>
      </w:pPr>
    </w:p>
    <w:p>
      <w:pPr>
        <w:spacing w:after="0" w:line="205" w:lineRule="exact"/>
        <w:rPr>
          <w:sz w:val="24"/>
          <w:szCs w:val="24"/>
          <w:color w:val="auto"/>
        </w:rPr>
      </w:pPr>
    </w:p>
    <w:p>
      <w:pPr>
        <w:jc w:val="center"/>
        <w:ind w:right="200"/>
        <w:spacing w:after="0"/>
        <w:rPr>
          <w:sz w:val="20"/>
          <w:szCs w:val="20"/>
          <w:color w:val="auto"/>
        </w:rPr>
      </w:pPr>
      <w:r>
        <w:rPr>
          <w:rFonts w:ascii="Arial" w:cs="Arial" w:eastAsia="Arial" w:hAnsi="Arial"/>
          <w:sz w:val="18"/>
          <w:szCs w:val="18"/>
          <w:b w:val="1"/>
          <w:bCs w:val="1"/>
          <w:color w:val="auto"/>
        </w:rPr>
        <w:t>Maryland</w:t>
      </w:r>
    </w:p>
    <w:p>
      <w:pPr>
        <w:spacing w:after="0" w:line="27" w:lineRule="exact"/>
        <w:rPr>
          <w:sz w:val="24"/>
          <w:szCs w:val="24"/>
          <w:color w:val="auto"/>
        </w:rPr>
      </w:pPr>
    </w:p>
    <w:p>
      <w:pPr>
        <w:jc w:val="center"/>
        <w:ind w:right="200"/>
        <w:spacing w:after="0"/>
        <w:rPr>
          <w:sz w:val="20"/>
          <w:szCs w:val="20"/>
          <w:color w:val="auto"/>
        </w:rPr>
      </w:pPr>
      <w:r>
        <w:rPr>
          <w:rFonts w:ascii="Arial" w:cs="Arial" w:eastAsia="Arial" w:hAnsi="Arial"/>
          <w:sz w:val="16"/>
          <w:szCs w:val="16"/>
          <w:color w:val="auto"/>
        </w:rPr>
        <w:t>(State or Other Jurisdiction of Incorporation)</w:t>
      </w:r>
    </w:p>
    <w:p>
      <w:pPr>
        <w:spacing w:after="0" w:line="20" w:lineRule="exact"/>
        <w:rPr>
          <w:sz w:val="24"/>
          <w:szCs w:val="24"/>
          <w:color w:val="auto"/>
        </w:rPr>
      </w:pPr>
      <w:r>
        <w:rPr>
          <w:sz w:val="24"/>
          <w:szCs w:val="24"/>
          <w:color w:val="auto"/>
        </w:rPr>
        <w:br w:type="column"/>
      </w:r>
    </w:p>
    <w:p>
      <w:pPr>
        <w:spacing w:after="0" w:line="185" w:lineRule="exact"/>
        <w:rPr>
          <w:sz w:val="24"/>
          <w:szCs w:val="24"/>
          <w:color w:val="auto"/>
        </w:rPr>
      </w:pPr>
    </w:p>
    <w:p>
      <w:pPr>
        <w:jc w:val="center"/>
        <w:ind w:right="580"/>
        <w:spacing w:after="0"/>
        <w:rPr>
          <w:sz w:val="20"/>
          <w:szCs w:val="20"/>
          <w:color w:val="auto"/>
        </w:rPr>
      </w:pPr>
      <w:r>
        <w:rPr>
          <w:rFonts w:ascii="Arial" w:cs="Arial" w:eastAsia="Arial" w:hAnsi="Arial"/>
          <w:sz w:val="18"/>
          <w:szCs w:val="18"/>
          <w:b w:val="1"/>
          <w:bCs w:val="1"/>
          <w:color w:val="auto"/>
        </w:rPr>
        <w:t>814-00736</w:t>
      </w:r>
    </w:p>
    <w:p>
      <w:pPr>
        <w:spacing w:after="0" w:line="27" w:lineRule="exact"/>
        <w:rPr>
          <w:sz w:val="24"/>
          <w:szCs w:val="24"/>
          <w:color w:val="auto"/>
        </w:rPr>
      </w:pPr>
    </w:p>
    <w:p>
      <w:pPr>
        <w:jc w:val="center"/>
        <w:ind w:right="580"/>
        <w:spacing w:after="0"/>
        <w:rPr>
          <w:sz w:val="20"/>
          <w:szCs w:val="20"/>
          <w:color w:val="auto"/>
        </w:rPr>
      </w:pPr>
      <w:r>
        <w:rPr>
          <w:rFonts w:ascii="Arial" w:cs="Arial" w:eastAsia="Arial" w:hAnsi="Arial"/>
          <w:sz w:val="16"/>
          <w:szCs w:val="16"/>
          <w:color w:val="auto"/>
        </w:rPr>
        <w:t>(Commission File Number)</w:t>
      </w:r>
    </w:p>
    <w:p>
      <w:pPr>
        <w:spacing w:after="0" w:line="20" w:lineRule="exact"/>
        <w:rPr>
          <w:sz w:val="24"/>
          <w:szCs w:val="24"/>
          <w:color w:val="auto"/>
        </w:rPr>
      </w:pPr>
      <w:r>
        <w:rPr>
          <w:sz w:val="24"/>
          <w:szCs w:val="24"/>
          <w:color w:val="auto"/>
        </w:rPr>
        <w:br w:type="column"/>
      </w:r>
    </w:p>
    <w:p>
      <w:pPr>
        <w:spacing w:after="0" w:line="185" w:lineRule="exact"/>
        <w:rPr>
          <w:sz w:val="24"/>
          <w:szCs w:val="24"/>
          <w:color w:val="auto"/>
        </w:rPr>
      </w:pPr>
    </w:p>
    <w:p>
      <w:pPr>
        <w:jc w:val="center"/>
        <w:ind w:right="240"/>
        <w:spacing w:after="0"/>
        <w:rPr>
          <w:sz w:val="20"/>
          <w:szCs w:val="20"/>
          <w:color w:val="auto"/>
        </w:rPr>
      </w:pPr>
      <w:r>
        <w:rPr>
          <w:rFonts w:ascii="Arial" w:cs="Arial" w:eastAsia="Arial" w:hAnsi="Arial"/>
          <w:sz w:val="18"/>
          <w:szCs w:val="18"/>
          <w:b w:val="1"/>
          <w:bCs w:val="1"/>
          <w:color w:val="auto"/>
        </w:rPr>
        <w:t>20-8250744</w:t>
      </w:r>
    </w:p>
    <w:p>
      <w:pPr>
        <w:spacing w:after="0" w:line="27" w:lineRule="exact"/>
        <w:rPr>
          <w:sz w:val="24"/>
          <w:szCs w:val="24"/>
          <w:color w:val="auto"/>
        </w:rPr>
      </w:pPr>
    </w:p>
    <w:p>
      <w:pPr>
        <w:jc w:val="center"/>
        <w:ind w:right="240"/>
        <w:spacing w:after="0"/>
        <w:rPr>
          <w:sz w:val="20"/>
          <w:szCs w:val="20"/>
          <w:color w:val="auto"/>
        </w:rPr>
      </w:pPr>
      <w:r>
        <w:rPr>
          <w:rFonts w:ascii="Arial" w:cs="Arial" w:eastAsia="Arial" w:hAnsi="Arial"/>
          <w:sz w:val="16"/>
          <w:szCs w:val="16"/>
          <w:color w:val="auto"/>
        </w:rPr>
        <w:t>(I.R.S. Employer Identification Number)</w:t>
      </w:r>
    </w:p>
    <w:p>
      <w:pPr>
        <w:spacing w:after="0" w:line="200" w:lineRule="exact"/>
        <w:rPr>
          <w:sz w:val="24"/>
          <w:szCs w:val="24"/>
          <w:color w:val="auto"/>
        </w:rPr>
      </w:pPr>
    </w:p>
    <w:p>
      <w:pPr>
        <w:sectPr>
          <w:pgSz w:w="11900" w:h="16838" w:orient="portrait"/>
          <w:cols w:equalWidth="0" w:num="3">
            <w:col w:w="3920" w:space="720"/>
            <w:col w:w="2560" w:space="720"/>
            <w:col w:w="3180"/>
          </w:cols>
          <w:pgMar w:left="320" w:top="724" w:right="479" w:bottom="1440" w:gutter="0" w:footer="0" w:header="0"/>
          <w:type w:val="continuous"/>
        </w:sectPr>
      </w:pPr>
    </w:p>
    <w:p>
      <w:pPr>
        <w:spacing w:after="0" w:line="200" w:lineRule="exact"/>
        <w:rPr>
          <w:sz w:val="24"/>
          <w:szCs w:val="24"/>
          <w:color w:val="auto"/>
        </w:rPr>
      </w:pPr>
    </w:p>
    <w:p>
      <w:pPr>
        <w:spacing w:after="0" w:line="262" w:lineRule="exact"/>
        <w:rPr>
          <w:sz w:val="24"/>
          <w:szCs w:val="24"/>
          <w:color w:val="auto"/>
        </w:rPr>
      </w:pPr>
    </w:p>
    <w:p>
      <w:pPr>
        <w:jc w:val="center"/>
        <w:ind w:right="-159"/>
        <w:spacing w:after="0"/>
        <w:rPr>
          <w:sz w:val="20"/>
          <w:szCs w:val="20"/>
          <w:color w:val="auto"/>
        </w:rPr>
      </w:pPr>
      <w:r>
        <w:rPr>
          <w:rFonts w:ascii="Arial" w:cs="Arial" w:eastAsia="Arial" w:hAnsi="Arial"/>
          <w:sz w:val="18"/>
          <w:szCs w:val="18"/>
          <w:b w:val="1"/>
          <w:bCs w:val="1"/>
          <w:color w:val="auto"/>
        </w:rPr>
        <w:t>590 Madison Avenue, 15th Floor, New York, NY 10022</w:t>
      </w:r>
    </w:p>
    <w:p>
      <w:pPr>
        <w:spacing w:after="0" w:line="27" w:lineRule="exact"/>
        <w:rPr>
          <w:sz w:val="24"/>
          <w:szCs w:val="24"/>
          <w:color w:val="auto"/>
        </w:rPr>
      </w:pPr>
    </w:p>
    <w:p>
      <w:pPr>
        <w:jc w:val="center"/>
        <w:ind w:right="-159"/>
        <w:spacing w:after="0"/>
        <w:rPr>
          <w:sz w:val="20"/>
          <w:szCs w:val="20"/>
          <w:color w:val="auto"/>
        </w:rPr>
      </w:pPr>
      <w:r>
        <w:rPr>
          <w:rFonts w:ascii="Arial" w:cs="Arial" w:eastAsia="Arial" w:hAnsi="Arial"/>
          <w:sz w:val="18"/>
          <w:szCs w:val="18"/>
          <w:color w:val="auto"/>
        </w:rPr>
        <w:t>(Address of Principal Executive Offices) (Zip Code)</w:t>
      </w:r>
    </w:p>
    <w:p>
      <w:pPr>
        <w:spacing w:after="0" w:line="207" w:lineRule="exact"/>
        <w:rPr>
          <w:sz w:val="24"/>
          <w:szCs w:val="24"/>
          <w:color w:val="auto"/>
        </w:rPr>
      </w:pPr>
    </w:p>
    <w:p>
      <w:pPr>
        <w:jc w:val="center"/>
        <w:ind w:right="-159"/>
        <w:spacing w:after="0"/>
        <w:rPr>
          <w:sz w:val="20"/>
          <w:szCs w:val="20"/>
          <w:color w:val="auto"/>
        </w:rPr>
      </w:pPr>
      <w:r>
        <w:rPr>
          <w:rFonts w:ascii="Arial" w:cs="Arial" w:eastAsia="Arial" w:hAnsi="Arial"/>
          <w:sz w:val="18"/>
          <w:szCs w:val="18"/>
          <w:b w:val="1"/>
          <w:bCs w:val="1"/>
          <w:color w:val="auto"/>
        </w:rPr>
        <w:t>212-905-1000</w:t>
      </w:r>
    </w:p>
    <w:p>
      <w:pPr>
        <w:spacing w:after="0" w:line="27" w:lineRule="exact"/>
        <w:rPr>
          <w:sz w:val="24"/>
          <w:szCs w:val="24"/>
          <w:color w:val="auto"/>
        </w:rPr>
      </w:pPr>
    </w:p>
    <w:p>
      <w:pPr>
        <w:jc w:val="center"/>
        <w:ind w:right="-159"/>
        <w:spacing w:after="0"/>
        <w:rPr>
          <w:sz w:val="20"/>
          <w:szCs w:val="20"/>
          <w:color w:val="auto"/>
        </w:rPr>
      </w:pPr>
      <w:r>
        <w:rPr>
          <w:rFonts w:ascii="Arial" w:cs="Arial" w:eastAsia="Arial" w:hAnsi="Arial"/>
          <w:sz w:val="18"/>
          <w:szCs w:val="18"/>
          <w:color w:val="auto"/>
        </w:rPr>
        <w:t>(Registrant's telephone number, including area code)</w:t>
      </w:r>
    </w:p>
    <w:p>
      <w:pPr>
        <w:spacing w:after="0" w:line="207" w:lineRule="exact"/>
        <w:rPr>
          <w:sz w:val="24"/>
          <w:szCs w:val="24"/>
          <w:color w:val="auto"/>
        </w:rPr>
      </w:pPr>
    </w:p>
    <w:p>
      <w:pPr>
        <w:jc w:val="center"/>
        <w:ind w:right="-159"/>
        <w:spacing w:after="0"/>
        <w:rPr>
          <w:sz w:val="20"/>
          <w:szCs w:val="20"/>
          <w:color w:val="auto"/>
        </w:rPr>
      </w:pPr>
      <w:r>
        <w:rPr>
          <w:rFonts w:ascii="Arial" w:cs="Arial" w:eastAsia="Arial" w:hAnsi="Arial"/>
          <w:sz w:val="18"/>
          <w:szCs w:val="18"/>
          <w:b w:val="1"/>
          <w:bCs w:val="1"/>
          <w:color w:val="auto"/>
        </w:rPr>
        <w:t>Not Applicable</w:t>
      </w:r>
    </w:p>
    <w:p>
      <w:pPr>
        <w:spacing w:after="0" w:line="27" w:lineRule="exact"/>
        <w:rPr>
          <w:sz w:val="24"/>
          <w:szCs w:val="24"/>
          <w:color w:val="auto"/>
        </w:rPr>
      </w:pPr>
    </w:p>
    <w:p>
      <w:pPr>
        <w:jc w:val="center"/>
        <w:ind w:right="-159"/>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11" w:lineRule="exact"/>
        <w:rPr>
          <w:sz w:val="24"/>
          <w:szCs w:val="24"/>
          <w:color w:val="auto"/>
        </w:rPr>
      </w:pPr>
    </w:p>
    <w:p>
      <w:pPr>
        <w:ind w:right="54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70" w:lineRule="exact"/>
        <w:rPr>
          <w:sz w:val="24"/>
          <w:szCs w:val="24"/>
          <w:color w:val="auto"/>
        </w:rPr>
      </w:pPr>
    </w:p>
    <w:p>
      <w:pPr>
        <w:ind w:left="400" w:hanging="109"/>
        <w:spacing w:after="0"/>
        <w:tabs>
          <w:tab w:leader="none" w:pos="400" w:val="left"/>
        </w:tabs>
        <w:numPr>
          <w:ilvl w:val="0"/>
          <w:numId w:val="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6"/>
          <w:szCs w:val="16"/>
          <w:color w:val="auto"/>
        </w:rPr>
        <w:t>Written communications pursuant to Rule 425 under the Securities Act (17 CFR 230.425)</w:t>
      </w:r>
    </w:p>
    <w:p>
      <w:pPr>
        <w:spacing w:after="0" w:line="23" w:lineRule="exact"/>
        <w:rPr>
          <w:rFonts w:ascii="Arial" w:cs="Arial" w:eastAsia="Arial" w:hAnsi="Arial"/>
          <w:sz w:val="18"/>
          <w:szCs w:val="18"/>
          <w:color w:val="auto"/>
        </w:rPr>
      </w:pPr>
    </w:p>
    <w:p>
      <w:pPr>
        <w:ind w:left="400" w:hanging="109"/>
        <w:spacing w:after="0"/>
        <w:tabs>
          <w:tab w:leader="none" w:pos="400" w:val="left"/>
        </w:tabs>
        <w:numPr>
          <w:ilvl w:val="0"/>
          <w:numId w:val="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6"/>
          <w:szCs w:val="16"/>
          <w:color w:val="auto"/>
        </w:rPr>
        <w:t>Soliciting material pursuant to Rule 14a-12 under the Exchange Act (17 CFR 240.14a-12)</w:t>
      </w:r>
    </w:p>
    <w:p>
      <w:pPr>
        <w:spacing w:after="0" w:line="9" w:lineRule="exact"/>
        <w:rPr>
          <w:rFonts w:ascii="Arial" w:cs="Arial" w:eastAsia="Arial" w:hAnsi="Arial"/>
          <w:sz w:val="18"/>
          <w:szCs w:val="18"/>
          <w:color w:val="auto"/>
        </w:rPr>
      </w:pPr>
    </w:p>
    <w:p>
      <w:pPr>
        <w:ind w:left="400" w:hanging="109"/>
        <w:spacing w:after="0"/>
        <w:tabs>
          <w:tab w:leader="none" w:pos="400" w:val="left"/>
        </w:tabs>
        <w:numPr>
          <w:ilvl w:val="0"/>
          <w:numId w:val="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6"/>
          <w:szCs w:val="16"/>
          <w:color w:val="auto"/>
        </w:rPr>
        <w:t>Pre-commencement communications pursuant to Rule 14d-2(b) under the Exchange Act (17 CFR 240.14d-2(b))</w:t>
      </w:r>
    </w:p>
    <w:p>
      <w:pPr>
        <w:spacing w:after="0" w:line="9" w:lineRule="exact"/>
        <w:rPr>
          <w:rFonts w:ascii="Arial" w:cs="Arial" w:eastAsia="Arial" w:hAnsi="Arial"/>
          <w:sz w:val="18"/>
          <w:szCs w:val="18"/>
          <w:color w:val="auto"/>
        </w:rPr>
      </w:pPr>
    </w:p>
    <w:p>
      <w:pPr>
        <w:ind w:left="400" w:hanging="109"/>
        <w:spacing w:after="0"/>
        <w:tabs>
          <w:tab w:leader="none" w:pos="400" w:val="left"/>
        </w:tabs>
        <w:numPr>
          <w:ilvl w:val="0"/>
          <w:numId w:val="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6"/>
          <w:szCs w:val="16"/>
          <w:color w:val="auto"/>
        </w:rPr>
        <w:t>Pre-commencement communications pursuant to Rule 13e-4(c) under the Exchange Act (17 CFR 240.13e-4(c))</w:t>
      </w:r>
    </w:p>
    <w:p>
      <w:pPr>
        <w:spacing w:after="0" w:line="211"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(17 CFR §230.405) or Rule 12b-2 of the Securities Exchange Act of 1934 (17 CFR §240.12b-2). Emerging growth company [ ]</w:t>
      </w:r>
    </w:p>
    <w:p>
      <w:pPr>
        <w:spacing w:after="0" w:line="170" w:lineRule="exact"/>
        <w:rPr>
          <w:sz w:val="24"/>
          <w:szCs w:val="24"/>
          <w:color w:val="auto"/>
        </w:rPr>
      </w:pPr>
    </w:p>
    <w:p>
      <w:pPr>
        <w:ind w:right="20"/>
        <w:spacing w:after="0" w:line="277" w:lineRule="auto"/>
        <w:rPr>
          <w:sz w:val="20"/>
          <w:szCs w:val="20"/>
          <w:color w:val="auto"/>
        </w:rPr>
      </w:pPr>
      <w:r>
        <w:rPr>
          <w:rFonts w:ascii="Arial" w:cs="Arial" w:eastAsia="Arial" w:hAnsi="Arial"/>
          <w:sz w:val="18"/>
          <w:szCs w:val="18"/>
          <w:color w:val="auto"/>
        </w:rPr>
        <w:t>If an emerging growth company, indicate by check mark if the registrant has elected not to use the extended transition period for complying with any new or revised financial accounting standards provided pursuant to Section 13(a) of the Exchange Act. [ ]</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117475</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271780</wp:posOffset>
            </wp:positionV>
            <wp:extent cx="7132320" cy="2540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2540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518160</wp:posOffset>
            </wp:positionV>
            <wp:extent cx="7136130" cy="209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100"/>
          </w:cols>
          <w:pgMar w:left="320" w:top="724" w:right="479" w:bottom="1440" w:gutter="0" w:footer="0" w:header="0"/>
          <w:type w:val="continuous"/>
        </w:sectPr>
      </w:pPr>
    </w:p>
    <w:bookmarkStart w:id="1" w:name="page2"/>
    <w:bookmarkEnd w:id="1"/>
    <w:p>
      <w:pPr>
        <w:spacing w:after="0"/>
        <w:rPr>
          <w:sz w:val="20"/>
          <w:szCs w:val="20"/>
          <w:color w:val="auto"/>
        </w:rPr>
      </w:pPr>
      <w:r>
        <w:rPr>
          <w:rFonts w:ascii="Arial" w:cs="Arial" w:eastAsia="Arial" w:hAnsi="Arial"/>
          <w:sz w:val="18"/>
          <w:szCs w:val="18"/>
          <w:b w:val="1"/>
          <w:bCs w:val="1"/>
          <w:color w:val="auto"/>
        </w:rPr>
        <w:t>Item 7.01. Regulation FD Disclosure.</w:t>
      </w:r>
    </w:p>
    <w:p>
      <w:pPr>
        <w:spacing w:after="0" w:line="229" w:lineRule="exact"/>
        <w:rPr>
          <w:sz w:val="20"/>
          <w:szCs w:val="20"/>
          <w:color w:val="auto"/>
        </w:rPr>
      </w:pPr>
    </w:p>
    <w:p>
      <w:pPr>
        <w:ind w:right="200"/>
        <w:spacing w:after="0" w:line="308" w:lineRule="auto"/>
        <w:rPr>
          <w:sz w:val="20"/>
          <w:szCs w:val="20"/>
          <w:color w:val="auto"/>
        </w:rPr>
      </w:pPr>
      <w:r>
        <w:rPr>
          <w:rFonts w:ascii="Arial" w:cs="Arial" w:eastAsia="Arial" w:hAnsi="Arial"/>
          <w:sz w:val="17"/>
          <w:szCs w:val="17"/>
          <w:color w:val="auto"/>
        </w:rPr>
        <w:t>On July 12, 2017, PennantPark Investment Corporation issued a press release announcing its scheduled earnings release for the third fiscal quarter ended June 30, 2017. A copy of the press release is furnished as Exhibit 99.1 to this report, pursuant to Item 7.01 and Regulation FD.</w:t>
      </w:r>
    </w:p>
    <w:p>
      <w:pPr>
        <w:spacing w:after="0" w:line="146"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The information in this Current Report on Form 8-K, including Exhibit 99.1 furnished herewith, is being furnished and shall not be deemed "filed" for purposes of Section 18 of the Securities Exchange Act of 1934, as amended, or the Exchange Act, or otherwise subject to the liabilities of such section. The information in this Current Report on Form 8-K shall not be deemed incorporated by reference in any filing under the Securities Act of 1933, as amended, or under the Exchange Act, except as shall be expressly set forth by specific reference in such filing.</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color w:val="auto"/>
        </w:rPr>
        <w:t>Forward-Looking Statements</w:t>
      </w:r>
    </w:p>
    <w:p>
      <w:pPr>
        <w:spacing w:after="0" w:line="225" w:lineRule="exact"/>
        <w:rPr>
          <w:sz w:val="20"/>
          <w:szCs w:val="20"/>
          <w:color w:val="auto"/>
        </w:rPr>
      </w:pPr>
    </w:p>
    <w:p>
      <w:pPr>
        <w:ind w:right="40"/>
        <w:spacing w:after="0" w:line="293" w:lineRule="auto"/>
        <w:rPr>
          <w:sz w:val="20"/>
          <w:szCs w:val="20"/>
          <w:color w:val="auto"/>
        </w:rPr>
      </w:pPr>
      <w:r>
        <w:rPr>
          <w:rFonts w:ascii="Arial" w:cs="Arial" w:eastAsia="Arial" w:hAnsi="Arial"/>
          <w:sz w:val="16"/>
          <w:szCs w:val="16"/>
          <w:color w:val="auto"/>
        </w:rPr>
        <w:t>This Current Report on Form 8-K, including Exhibit 99.1 furnished herewith, may contain "forward-looking statements" within the meaning of the Private Securities Litigation Reform Act of 1995. All statements other than statements of historical facts included in this Current Report on Form 8-K are forward-looking statements and are not guarantees of future performance or results and involve a number of risks and uncertainties. Actual results may differ materially from those in the forward-looking statements as a result of a number of factors, including those described from time to time in filings with the Securities and Exchange Commission. PennantPark Investment Corporation undertakes no duty to update any forward-looking statement made herein. You should not place undue influence on such forward-looking statements as such statements speak only as of the date on which they are made.</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225" w:lineRule="exact"/>
        <w:rPr>
          <w:sz w:val="20"/>
          <w:szCs w:val="20"/>
          <w:color w:val="auto"/>
        </w:rPr>
      </w:pPr>
    </w:p>
    <w:p>
      <w:pPr>
        <w:ind w:left="600" w:right="9320" w:hanging="592"/>
        <w:spacing w:after="0" w:line="313" w:lineRule="auto"/>
        <w:tabs>
          <w:tab w:leader="none" w:pos="270" w:val="left"/>
        </w:tabs>
        <w:numPr>
          <w:ilvl w:val="0"/>
          <w:numId w:val="2"/>
        </w:numPr>
        <w:rPr>
          <w:rFonts w:ascii="Arial" w:cs="Arial" w:eastAsia="Arial" w:hAnsi="Arial"/>
          <w:sz w:val="15"/>
          <w:szCs w:val="15"/>
          <w:b w:val="1"/>
          <w:bCs w:val="1"/>
          <w:color w:val="auto"/>
        </w:rPr>
      </w:pPr>
      <w:r>
        <w:rPr>
          <w:rFonts w:ascii="Arial" w:cs="Arial" w:eastAsia="Arial" w:hAnsi="Arial"/>
          <w:sz w:val="15"/>
          <w:szCs w:val="15"/>
          <w:b w:val="1"/>
          <w:bCs w:val="1"/>
          <w:color w:val="auto"/>
        </w:rPr>
        <w:t xml:space="preserve">Financial statements: </w:t>
      </w:r>
      <w:r>
        <w:rPr>
          <w:rFonts w:ascii="Arial" w:cs="Arial" w:eastAsia="Arial" w:hAnsi="Arial"/>
          <w:sz w:val="15"/>
          <w:szCs w:val="15"/>
          <w:color w:val="auto"/>
        </w:rPr>
        <w:t>None</w:t>
      </w:r>
    </w:p>
    <w:p>
      <w:pPr>
        <w:ind w:left="600" w:right="8420" w:hanging="592"/>
        <w:spacing w:after="0" w:line="250" w:lineRule="auto"/>
        <w:tabs>
          <w:tab w:leader="none" w:pos="280" w:val="left"/>
        </w:tabs>
        <w:numPr>
          <w:ilvl w:val="0"/>
          <w:numId w:val="2"/>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Pro forma financial information: </w:t>
      </w:r>
      <w:r>
        <w:rPr>
          <w:rFonts w:ascii="Arial" w:cs="Arial" w:eastAsia="Arial" w:hAnsi="Arial"/>
          <w:sz w:val="18"/>
          <w:szCs w:val="18"/>
          <w:color w:val="auto"/>
        </w:rPr>
        <w:t>None</w:t>
      </w:r>
    </w:p>
    <w:p>
      <w:pPr>
        <w:ind w:left="600" w:right="8800" w:hanging="592"/>
        <w:spacing w:after="0" w:line="250" w:lineRule="auto"/>
        <w:tabs>
          <w:tab w:leader="none" w:pos="260" w:val="left"/>
        </w:tabs>
        <w:numPr>
          <w:ilvl w:val="0"/>
          <w:numId w:val="2"/>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Shell company transactions: </w:t>
      </w:r>
      <w:r>
        <w:rPr>
          <w:rFonts w:ascii="Arial" w:cs="Arial" w:eastAsia="Arial" w:hAnsi="Arial"/>
          <w:sz w:val="18"/>
          <w:szCs w:val="18"/>
          <w:color w:val="auto"/>
        </w:rPr>
        <w:t>None</w:t>
      </w:r>
    </w:p>
    <w:p>
      <w:pPr>
        <w:ind w:left="280" w:hanging="272"/>
        <w:spacing w:after="0"/>
        <w:tabs>
          <w:tab w:leader="none" w:pos="280" w:val="left"/>
        </w:tabs>
        <w:numPr>
          <w:ilvl w:val="0"/>
          <w:numId w:val="2"/>
        </w:numPr>
        <w:rPr>
          <w:rFonts w:ascii="Arial" w:cs="Arial" w:eastAsia="Arial" w:hAnsi="Arial"/>
          <w:sz w:val="18"/>
          <w:szCs w:val="18"/>
          <w:b w:val="1"/>
          <w:bCs w:val="1"/>
          <w:color w:val="auto"/>
        </w:rPr>
      </w:pPr>
      <w:r>
        <w:rPr>
          <w:rFonts w:ascii="Arial" w:cs="Arial" w:eastAsia="Arial" w:hAnsi="Arial"/>
          <w:sz w:val="18"/>
          <w:szCs w:val="18"/>
          <w:b w:val="1"/>
          <w:bCs w:val="1"/>
          <w:color w:val="auto"/>
        </w:rPr>
        <w:t>Exhibits</w:t>
      </w:r>
    </w:p>
    <w:p>
      <w:pPr>
        <w:spacing w:after="0" w:line="9" w:lineRule="exact"/>
        <w:rPr>
          <w:sz w:val="20"/>
          <w:szCs w:val="20"/>
          <w:color w:val="auto"/>
        </w:rPr>
      </w:pPr>
    </w:p>
    <w:p>
      <w:pPr>
        <w:ind w:left="600"/>
        <w:spacing w:after="0"/>
        <w:tabs>
          <w:tab w:leader="none" w:pos="1160" w:val="left"/>
        </w:tabs>
        <w:rPr>
          <w:sz w:val="20"/>
          <w:szCs w:val="20"/>
          <w:color w:val="auto"/>
        </w:rPr>
      </w:pPr>
      <w:r>
        <w:rPr>
          <w:rFonts w:ascii="Arial" w:cs="Arial" w:eastAsia="Arial" w:hAnsi="Arial"/>
          <w:sz w:val="18"/>
          <w:szCs w:val="18"/>
          <w:color w:val="auto"/>
        </w:rPr>
        <w:t>99.1</w:t>
      </w:r>
      <w:r>
        <w:rPr>
          <w:sz w:val="20"/>
          <w:szCs w:val="20"/>
          <w:color w:val="auto"/>
        </w:rPr>
        <w:tab/>
      </w:r>
      <w:r>
        <w:rPr>
          <w:rFonts w:ascii="Arial" w:cs="Arial" w:eastAsia="Arial" w:hAnsi="Arial"/>
          <w:sz w:val="16"/>
          <w:szCs w:val="16"/>
          <w:color w:val="auto"/>
        </w:rPr>
        <w:t>Press Release of PennantPark Investment Corporation dated July 12, 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140970</wp:posOffset>
            </wp:positionV>
            <wp:extent cx="7136130" cy="209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SIGNATURE</w:t>
      </w:r>
    </w:p>
    <w:p>
      <w:pPr>
        <w:spacing w:after="0" w:line="229"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260" w:type="dxa"/>
            <w:vAlign w:val="bottom"/>
          </w:tcPr>
          <w:p>
            <w:pPr>
              <w:spacing w:after="0"/>
              <w:rPr>
                <w:sz w:val="20"/>
                <w:szCs w:val="20"/>
                <w:color w:val="auto"/>
              </w:rPr>
            </w:pPr>
          </w:p>
        </w:tc>
        <w:tc>
          <w:tcPr>
            <w:tcW w:w="7980" w:type="dxa"/>
            <w:vAlign w:val="bottom"/>
            <w:gridSpan w:val="3"/>
          </w:tcPr>
          <w:p>
            <w:pPr>
              <w:ind w:left="2200"/>
              <w:spacing w:after="0"/>
              <w:rPr>
                <w:sz w:val="20"/>
                <w:szCs w:val="20"/>
                <w:color w:val="auto"/>
              </w:rPr>
            </w:pPr>
            <w:r>
              <w:rPr>
                <w:rFonts w:ascii="Arial" w:cs="Arial" w:eastAsia="Arial" w:hAnsi="Arial"/>
                <w:sz w:val="18"/>
                <w:szCs w:val="18"/>
                <w:b w:val="1"/>
                <w:bCs w:val="1"/>
                <w:color w:val="auto"/>
              </w:rPr>
              <w:t>PennantPark Investment Corporation</w:t>
            </w:r>
          </w:p>
        </w:tc>
      </w:tr>
      <w:tr>
        <w:trPr>
          <w:trHeight w:val="608"/>
        </w:trPr>
        <w:tc>
          <w:tcPr>
            <w:tcW w:w="3260" w:type="dxa"/>
            <w:vAlign w:val="bottom"/>
          </w:tcPr>
          <w:p>
            <w:pPr>
              <w:spacing w:after="0"/>
              <w:rPr>
                <w:sz w:val="20"/>
                <w:szCs w:val="20"/>
                <w:color w:val="auto"/>
              </w:rPr>
            </w:pPr>
            <w:r>
              <w:rPr>
                <w:rFonts w:ascii="Arial" w:cs="Arial" w:eastAsia="Arial" w:hAnsi="Arial"/>
                <w:sz w:val="18"/>
                <w:szCs w:val="18"/>
                <w:color w:val="auto"/>
              </w:rPr>
              <w:t>Date: July 12, 2017</w:t>
            </w:r>
          </w:p>
        </w:tc>
        <w:tc>
          <w:tcPr>
            <w:tcW w:w="7980" w:type="dxa"/>
            <w:vAlign w:val="bottom"/>
            <w:gridSpan w:val="3"/>
          </w:tcPr>
          <w:p>
            <w:pPr>
              <w:ind w:left="2200"/>
              <w:spacing w:after="0"/>
              <w:rPr>
                <w:sz w:val="20"/>
                <w:szCs w:val="20"/>
                <w:color w:val="auto"/>
              </w:rPr>
            </w:pPr>
            <w:r>
              <w:rPr>
                <w:rFonts w:ascii="Arial" w:cs="Arial" w:eastAsia="Arial" w:hAnsi="Arial"/>
                <w:sz w:val="18"/>
                <w:szCs w:val="18"/>
                <w:color w:val="auto"/>
              </w:rPr>
              <w:t>By: /s/ Aviv Efrat</w:t>
            </w:r>
          </w:p>
        </w:tc>
      </w:tr>
      <w:tr>
        <w:trPr>
          <w:trHeight w:val="222"/>
        </w:trPr>
        <w:tc>
          <w:tcPr>
            <w:tcW w:w="3260" w:type="dxa"/>
            <w:vAlign w:val="bottom"/>
          </w:tcPr>
          <w:p>
            <w:pPr>
              <w:spacing w:after="0"/>
              <w:rPr>
                <w:sz w:val="19"/>
                <w:szCs w:val="19"/>
                <w:color w:val="auto"/>
              </w:rPr>
            </w:pPr>
          </w:p>
        </w:tc>
        <w:tc>
          <w:tcPr>
            <w:tcW w:w="2520" w:type="dxa"/>
            <w:vAlign w:val="bottom"/>
          </w:tcPr>
          <w:p>
            <w:pPr>
              <w:spacing w:after="0"/>
              <w:rPr>
                <w:sz w:val="19"/>
                <w:szCs w:val="19"/>
                <w:color w:val="auto"/>
              </w:rPr>
            </w:pPr>
          </w:p>
        </w:tc>
        <w:tc>
          <w:tcPr>
            <w:tcW w:w="132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Aviv Efrat</w:t>
            </w:r>
          </w:p>
        </w:tc>
        <w:tc>
          <w:tcPr>
            <w:tcW w:w="4140" w:type="dxa"/>
            <w:vAlign w:val="bottom"/>
          </w:tcPr>
          <w:p>
            <w:pPr>
              <w:spacing w:after="0"/>
              <w:rPr>
                <w:sz w:val="19"/>
                <w:szCs w:val="19"/>
                <w:color w:val="auto"/>
              </w:rPr>
            </w:pPr>
          </w:p>
        </w:tc>
      </w:tr>
      <w:tr>
        <w:trPr>
          <w:trHeight w:val="230"/>
        </w:trPr>
        <w:tc>
          <w:tcPr>
            <w:tcW w:w="3260" w:type="dxa"/>
            <w:vAlign w:val="bottom"/>
          </w:tcPr>
          <w:p>
            <w:pPr>
              <w:spacing w:after="0"/>
              <w:rPr>
                <w:sz w:val="20"/>
                <w:szCs w:val="20"/>
                <w:color w:val="auto"/>
              </w:rPr>
            </w:pPr>
          </w:p>
        </w:tc>
        <w:tc>
          <w:tcPr>
            <w:tcW w:w="2520" w:type="dxa"/>
            <w:vAlign w:val="bottom"/>
          </w:tcPr>
          <w:p>
            <w:pPr>
              <w:spacing w:after="0"/>
              <w:rPr>
                <w:sz w:val="20"/>
                <w:szCs w:val="20"/>
                <w:color w:val="auto"/>
              </w:rPr>
            </w:pPr>
          </w:p>
        </w:tc>
        <w:tc>
          <w:tcPr>
            <w:tcW w:w="5460" w:type="dxa"/>
            <w:vAlign w:val="bottom"/>
            <w:gridSpan w:val="2"/>
          </w:tcPr>
          <w:p>
            <w:pPr>
              <w:spacing w:after="0"/>
              <w:rPr>
                <w:sz w:val="20"/>
                <w:szCs w:val="20"/>
                <w:color w:val="auto"/>
              </w:rPr>
            </w:pPr>
            <w:r>
              <w:rPr>
                <w:rFonts w:ascii="Arial" w:cs="Arial" w:eastAsia="Arial" w:hAnsi="Arial"/>
                <w:sz w:val="18"/>
                <w:szCs w:val="18"/>
                <w:color w:val="auto"/>
              </w:rPr>
              <w:t>Chief Financial Officer &amp; Treasurer</w:t>
            </w:r>
          </w:p>
        </w:tc>
      </w:tr>
      <w:tr>
        <w:trPr>
          <w:trHeight w:val="439"/>
        </w:trPr>
        <w:tc>
          <w:tcPr>
            <w:tcW w:w="3260" w:type="dxa"/>
            <w:vAlign w:val="bottom"/>
            <w:tcBorders>
              <w:bottom w:val="single" w:sz="8" w:color="9A9A9A"/>
            </w:tcBorders>
          </w:tcPr>
          <w:p>
            <w:pPr>
              <w:spacing w:after="0"/>
              <w:rPr>
                <w:sz w:val="24"/>
                <w:szCs w:val="24"/>
                <w:color w:val="auto"/>
              </w:rPr>
            </w:pPr>
          </w:p>
        </w:tc>
        <w:tc>
          <w:tcPr>
            <w:tcW w:w="2520" w:type="dxa"/>
            <w:vAlign w:val="bottom"/>
            <w:tcBorders>
              <w:bottom w:val="single" w:sz="8" w:color="9A9A9A"/>
            </w:tcBorders>
          </w:tcPr>
          <w:p>
            <w:pPr>
              <w:spacing w:after="0"/>
              <w:rPr>
                <w:sz w:val="24"/>
                <w:szCs w:val="24"/>
                <w:color w:val="auto"/>
              </w:rPr>
            </w:pPr>
          </w:p>
        </w:tc>
        <w:tc>
          <w:tcPr>
            <w:tcW w:w="1320" w:type="dxa"/>
            <w:vAlign w:val="bottom"/>
            <w:tcBorders>
              <w:bottom w:val="single" w:sz="8" w:color="9A9A9A"/>
            </w:tcBorders>
          </w:tcPr>
          <w:p>
            <w:pPr>
              <w:spacing w:after="0"/>
              <w:rPr>
                <w:sz w:val="24"/>
                <w:szCs w:val="24"/>
                <w:color w:val="auto"/>
              </w:rPr>
            </w:pPr>
          </w:p>
        </w:tc>
        <w:tc>
          <w:tcPr>
            <w:tcW w:w="4140" w:type="dxa"/>
            <w:vAlign w:val="bottom"/>
            <w:tcBorders>
              <w:bottom w:val="single" w:sz="8" w:color="9A9A9A"/>
            </w:tcBorders>
          </w:tcPr>
          <w:p>
            <w:pPr>
              <w:spacing w:after="0"/>
              <w:rPr>
                <w:sz w:val="24"/>
                <w:szCs w:val="24"/>
                <w:color w:val="auto"/>
              </w:rPr>
            </w:pPr>
          </w:p>
        </w:tc>
      </w:tr>
      <w:tr>
        <w:trPr>
          <w:trHeight w:val="432"/>
        </w:trPr>
        <w:tc>
          <w:tcPr>
            <w:tcW w:w="3260" w:type="dxa"/>
            <w:vAlign w:val="bottom"/>
          </w:tcPr>
          <w:p>
            <w:pPr>
              <w:spacing w:after="0"/>
              <w:rPr>
                <w:sz w:val="24"/>
                <w:szCs w:val="24"/>
                <w:color w:val="auto"/>
              </w:rPr>
            </w:pPr>
          </w:p>
        </w:tc>
        <w:tc>
          <w:tcPr>
            <w:tcW w:w="7980" w:type="dxa"/>
            <w:vAlign w:val="bottom"/>
            <w:gridSpan w:val="3"/>
          </w:tcPr>
          <w:p>
            <w:pPr>
              <w:ind w:left="1840"/>
              <w:spacing w:after="0"/>
              <w:rPr>
                <w:sz w:val="20"/>
                <w:szCs w:val="20"/>
                <w:color w:val="auto"/>
              </w:rPr>
            </w:pPr>
            <w:r>
              <w:rPr>
                <w:rFonts w:ascii="Arial" w:cs="Arial" w:eastAsia="Arial" w:hAnsi="Arial"/>
                <w:sz w:val="18"/>
                <w:szCs w:val="18"/>
                <w:b w:val="1"/>
                <w:bCs w:val="1"/>
                <w:color w:val="auto"/>
              </w:rPr>
              <w:t>Exhibit Index</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-282575</wp:posOffset>
            </wp:positionV>
            <wp:extent cx="825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-290830</wp:posOffset>
            </wp:positionV>
            <wp:extent cx="889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ind w:left="20"/>
        <w:spacing w:after="0"/>
        <w:tabs>
          <w:tab w:leader="none" w:pos="3240" w:val="left"/>
        </w:tabs>
        <w:rPr>
          <w:sz w:val="20"/>
          <w:szCs w:val="20"/>
          <w:color w:val="auto"/>
        </w:rPr>
      </w:pPr>
      <w:r>
        <w:rPr>
          <w:rFonts w:ascii="Arial" w:cs="Arial" w:eastAsia="Arial" w:hAnsi="Arial"/>
          <w:sz w:val="18"/>
          <w:szCs w:val="18"/>
          <w:b w:val="1"/>
          <w:bCs w:val="1"/>
          <w:u w:val="single" w:color="auto"/>
          <w:color w:val="auto"/>
        </w:rPr>
        <w:t>Exhibit No.</w:t>
      </w:r>
      <w:r>
        <w:rPr>
          <w:sz w:val="20"/>
          <w:szCs w:val="20"/>
          <w:color w:val="auto"/>
        </w:rPr>
        <w:tab/>
      </w:r>
      <w:r>
        <w:rPr>
          <w:rFonts w:ascii="Arial" w:cs="Arial" w:eastAsia="Arial" w:hAnsi="Arial"/>
          <w:sz w:val="15"/>
          <w:szCs w:val="15"/>
          <w:b w:val="1"/>
          <w:bCs w:val="1"/>
          <w:u w:val="single" w:color="auto"/>
          <w:color w:val="auto"/>
        </w:rPr>
        <w:t>Description</w:t>
      </w:r>
    </w:p>
    <w:p>
      <w:pPr>
        <w:spacing w:after="0" w:line="310" w:lineRule="exact"/>
        <w:rPr>
          <w:sz w:val="20"/>
          <w:szCs w:val="20"/>
          <w:color w:val="auto"/>
        </w:rPr>
      </w:pPr>
    </w:p>
    <w:p>
      <w:pPr>
        <w:ind w:left="300"/>
        <w:spacing w:after="0"/>
        <w:tabs>
          <w:tab w:leader="none" w:pos="1000" w:val="left"/>
        </w:tabs>
        <w:rPr>
          <w:rFonts w:ascii="Arial" w:cs="Arial" w:eastAsia="Arial" w:hAnsi="Arial"/>
          <w:sz w:val="18"/>
          <w:szCs w:val="18"/>
          <w:color w:val="0000EE"/>
        </w:rPr>
      </w:pPr>
      <w:hyperlink w:anchor="page4">
        <w:r>
          <w:rPr>
            <w:rFonts w:ascii="Arial" w:cs="Arial" w:eastAsia="Arial" w:hAnsi="Arial"/>
            <w:sz w:val="18"/>
            <w:szCs w:val="18"/>
            <w:u w:val="single" w:color="auto"/>
            <w:color w:val="0000EE"/>
          </w:rPr>
          <w:t>99.1</w:t>
        </w:r>
      </w:hyperlink>
      <w:r>
        <w:rPr>
          <w:rFonts w:ascii="Arial" w:cs="Arial" w:eastAsia="Arial" w:hAnsi="Arial"/>
          <w:sz w:val="18"/>
          <w:szCs w:val="18"/>
          <w:color w:val="0000EE"/>
        </w:rPr>
        <w:tab/>
      </w:r>
      <w:r>
        <w:rPr>
          <w:rFonts w:ascii="Arial" w:cs="Arial" w:eastAsia="Arial" w:hAnsi="Arial"/>
          <w:sz w:val="16"/>
          <w:szCs w:val="16"/>
          <w:color w:val="0000EE"/>
        </w:rPr>
        <w:t>Press Release of PennantPark Investment Corporation dated July 12, 2017</w:t>
      </w:r>
    </w:p>
    <w:p>
      <w:pPr>
        <w:sectPr>
          <w:pgSz w:w="11900" w:h="16838" w:orient="portrait"/>
          <w:cols w:equalWidth="0" w:num="1">
            <w:col w:w="11240"/>
          </w:cols>
          <w:pgMar w:left="320" w:top="337" w:right="339" w:bottom="1440" w:gutter="0" w:footer="0" w:header="0"/>
        </w:sectPr>
      </w:pPr>
    </w:p>
    <w:bookmarkStart w:id="3" w:name="page4"/>
    <w:bookmarkEnd w:id="3"/>
    <w:p>
      <w:pPr>
        <w:jc w:val="right"/>
        <w:spacing w:after="0"/>
        <w:rPr>
          <w:sz w:val="20"/>
          <w:szCs w:val="20"/>
          <w:color w:val="auto"/>
        </w:rPr>
      </w:pPr>
      <w:r>
        <w:rPr>
          <w:rFonts w:ascii="Arial" w:cs="Arial" w:eastAsia="Arial" w:hAnsi="Arial"/>
          <w:sz w:val="22"/>
          <w:szCs w:val="22"/>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148590</wp:posOffset>
            </wp:positionV>
            <wp:extent cx="1285875" cy="29146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285875" cy="2914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ind w:left="840"/>
        <w:spacing w:after="0"/>
        <w:rPr>
          <w:sz w:val="20"/>
          <w:szCs w:val="20"/>
          <w:color w:val="auto"/>
        </w:rPr>
      </w:pPr>
      <w:r>
        <w:rPr>
          <w:rFonts w:ascii="Arial" w:cs="Arial" w:eastAsia="Arial" w:hAnsi="Arial"/>
          <w:sz w:val="21"/>
          <w:szCs w:val="21"/>
          <w:b w:val="1"/>
          <w:bCs w:val="1"/>
          <w:color w:val="auto"/>
        </w:rPr>
        <w:t>PennantPark Investment Corporation Schedules Earnings Release of Third Fiscal Quarter 2017 Results</w:t>
      </w:r>
    </w:p>
    <w:p>
      <w:pPr>
        <w:spacing w:after="0" w:line="224" w:lineRule="exact"/>
        <w:rPr>
          <w:sz w:val="20"/>
          <w:szCs w:val="20"/>
          <w:color w:val="auto"/>
        </w:rPr>
      </w:pPr>
    </w:p>
    <w:p>
      <w:pPr>
        <w:ind w:right="360"/>
        <w:spacing w:after="0"/>
        <w:rPr>
          <w:sz w:val="20"/>
          <w:szCs w:val="20"/>
          <w:color w:val="auto"/>
        </w:rPr>
      </w:pPr>
      <w:r>
        <w:rPr>
          <w:rFonts w:ascii="Arial" w:cs="Arial" w:eastAsia="Arial" w:hAnsi="Arial"/>
          <w:sz w:val="22"/>
          <w:szCs w:val="22"/>
          <w:color w:val="auto"/>
        </w:rPr>
        <w:t>NEW YORK, July 12, 2017 (GLOBE NEWSWIRE) -- PennantPark Investment Corporation (the "Company") (NASDAQ:PNNT) announced that it will report results for the third fiscal quarter ended June 30, 2017 on Monday, August 7, 2017 after the close of the financial markets.</w:t>
      </w:r>
    </w:p>
    <w:p>
      <w:pPr>
        <w:spacing w:after="0" w:line="186" w:lineRule="exact"/>
        <w:rPr>
          <w:sz w:val="20"/>
          <w:szCs w:val="20"/>
          <w:color w:val="auto"/>
        </w:rPr>
      </w:pPr>
    </w:p>
    <w:p>
      <w:pPr>
        <w:ind w:right="220"/>
        <w:spacing w:after="0" w:line="282" w:lineRule="auto"/>
        <w:rPr>
          <w:sz w:val="20"/>
          <w:szCs w:val="20"/>
          <w:color w:val="auto"/>
        </w:rPr>
      </w:pPr>
      <w:r>
        <w:rPr>
          <w:rFonts w:ascii="Arial" w:cs="Arial" w:eastAsia="Arial" w:hAnsi="Arial"/>
          <w:sz w:val="19"/>
          <w:szCs w:val="19"/>
          <w:color w:val="auto"/>
        </w:rPr>
        <w:t>The Company will also host a conference call at 10:00 a.m. (Eastern Time) on Tuesday, August 8, 2017 to discuss its financial results. All interested parties are welcome to participate. You can access the conference call by dialing (888) 737-3705 approximately 5-10 minutes prior to the call. International callers should dial (719) 325-4760. All callers should reference PennantPark Investment Corporation. An archived replay of the call will be available through August 22, 2017 by calling (888) 203-1112. International callers please dial (719) 457-0820. For all phone replays, please reference conference ID #5951196.</w:t>
      </w:r>
    </w:p>
    <w:p>
      <w:pPr>
        <w:spacing w:after="0" w:line="147" w:lineRule="exact"/>
        <w:rPr>
          <w:sz w:val="20"/>
          <w:szCs w:val="20"/>
          <w:color w:val="auto"/>
        </w:rPr>
      </w:pPr>
    </w:p>
    <w:p>
      <w:pPr>
        <w:spacing w:after="0"/>
        <w:rPr>
          <w:sz w:val="20"/>
          <w:szCs w:val="20"/>
          <w:color w:val="auto"/>
        </w:rPr>
      </w:pPr>
      <w:r>
        <w:rPr>
          <w:rFonts w:ascii="Arial" w:cs="Arial" w:eastAsia="Arial" w:hAnsi="Arial"/>
          <w:sz w:val="22"/>
          <w:szCs w:val="22"/>
          <w:color w:val="auto"/>
        </w:rPr>
        <w:t>ABOUT PENNANTPARK INVESTMENT CORPORATION</w:t>
      </w:r>
    </w:p>
    <w:p>
      <w:pPr>
        <w:spacing w:after="0" w:line="206" w:lineRule="exact"/>
        <w:rPr>
          <w:sz w:val="20"/>
          <w:szCs w:val="20"/>
          <w:color w:val="auto"/>
        </w:rPr>
      </w:pPr>
    </w:p>
    <w:p>
      <w:pPr>
        <w:jc w:val="both"/>
        <w:ind w:right="420"/>
        <w:spacing w:after="0"/>
        <w:rPr>
          <w:sz w:val="20"/>
          <w:szCs w:val="20"/>
          <w:color w:val="auto"/>
        </w:rPr>
      </w:pPr>
      <w:r>
        <w:rPr>
          <w:rFonts w:ascii="Arial" w:cs="Arial" w:eastAsia="Arial" w:hAnsi="Arial"/>
          <w:sz w:val="22"/>
          <w:szCs w:val="22"/>
          <w:color w:val="auto"/>
        </w:rPr>
        <w:t>The Company is a business development company which principally invests in U.S. middle-market private companies in the form of senior secured loans, mezzanine debt, and equity investments. The Company is managed by PennantPark Investment Advisers, LLC.</w:t>
      </w:r>
    </w:p>
    <w:p>
      <w:pPr>
        <w:spacing w:after="0" w:line="186" w:lineRule="exact"/>
        <w:rPr>
          <w:sz w:val="20"/>
          <w:szCs w:val="20"/>
          <w:color w:val="auto"/>
        </w:rPr>
      </w:pPr>
    </w:p>
    <w:p>
      <w:pPr>
        <w:spacing w:after="0"/>
        <w:rPr>
          <w:sz w:val="20"/>
          <w:szCs w:val="20"/>
          <w:color w:val="auto"/>
        </w:rPr>
      </w:pPr>
      <w:r>
        <w:rPr>
          <w:rFonts w:ascii="Arial" w:cs="Arial" w:eastAsia="Arial" w:hAnsi="Arial"/>
          <w:sz w:val="22"/>
          <w:szCs w:val="22"/>
          <w:color w:val="auto"/>
        </w:rPr>
        <w:t>FORWARD-LOOKING STATEMENTS</w:t>
      </w:r>
    </w:p>
    <w:p>
      <w:pPr>
        <w:spacing w:after="0" w:line="206" w:lineRule="exact"/>
        <w:rPr>
          <w:sz w:val="20"/>
          <w:szCs w:val="20"/>
          <w:color w:val="auto"/>
        </w:rPr>
      </w:pPr>
    </w:p>
    <w:p>
      <w:pPr>
        <w:ind w:right="60"/>
        <w:spacing w:after="0" w:line="277" w:lineRule="auto"/>
        <w:rPr>
          <w:sz w:val="20"/>
          <w:szCs w:val="20"/>
          <w:color w:val="auto"/>
        </w:rPr>
      </w:pPr>
      <w:r>
        <w:rPr>
          <w:rFonts w:ascii="Arial" w:cs="Arial" w:eastAsia="Arial" w:hAnsi="Arial"/>
          <w:sz w:val="19"/>
          <w:szCs w:val="19"/>
          <w:color w:val="auto"/>
        </w:rPr>
        <w:t>This press release may contain “forward-looking statements” within the meaning of the Private Securities Litigation Reform Act of 1995. All statements other than statements of historical facts included in this press release are forward-looking statements and are not guarantees of future performance or results and involve a number of risks and uncertainties. Actual results may differ materially from those in the forward-looking statements as a result of a number of factors, including those described from time to time in filings with the Securities and Exchange Commission. PennantPark Investment Corporation undertakes no duty to update any forward-looking statement made herein. You should not place undue influence on such forward-looking statements as such statements speak only as of the date on which they are made.</w:t>
      </w:r>
    </w:p>
    <w:p>
      <w:pPr>
        <w:spacing w:after="0" w:line="152" w:lineRule="exact"/>
        <w:rPr>
          <w:sz w:val="20"/>
          <w:szCs w:val="20"/>
          <w:color w:val="auto"/>
        </w:rPr>
      </w:pPr>
    </w:p>
    <w:p>
      <w:pPr>
        <w:spacing w:after="0"/>
        <w:rPr>
          <w:sz w:val="20"/>
          <w:szCs w:val="20"/>
          <w:color w:val="auto"/>
        </w:rPr>
      </w:pPr>
      <w:r>
        <w:rPr>
          <w:rFonts w:ascii="Arial" w:cs="Arial" w:eastAsia="Arial" w:hAnsi="Arial"/>
          <w:sz w:val="22"/>
          <w:szCs w:val="22"/>
          <w:color w:val="auto"/>
        </w:rPr>
        <w:t>CONTACT:</w:t>
      </w:r>
    </w:p>
    <w:p>
      <w:pPr>
        <w:spacing w:after="0" w:line="238" w:lineRule="auto"/>
        <w:rPr>
          <w:sz w:val="20"/>
          <w:szCs w:val="20"/>
          <w:color w:val="auto"/>
        </w:rPr>
      </w:pPr>
      <w:r>
        <w:rPr>
          <w:rFonts w:ascii="Arial" w:cs="Arial" w:eastAsia="Arial" w:hAnsi="Arial"/>
          <w:sz w:val="22"/>
          <w:szCs w:val="22"/>
          <w:color w:val="auto"/>
        </w:rPr>
        <w:t>Aviv Efrat</w:t>
      </w:r>
    </w:p>
    <w:p>
      <w:pPr>
        <w:spacing w:after="0" w:line="230" w:lineRule="auto"/>
        <w:rPr>
          <w:sz w:val="20"/>
          <w:szCs w:val="20"/>
          <w:color w:val="auto"/>
        </w:rPr>
      </w:pPr>
      <w:r>
        <w:rPr>
          <w:rFonts w:ascii="Arial" w:cs="Arial" w:eastAsia="Arial" w:hAnsi="Arial"/>
          <w:sz w:val="22"/>
          <w:szCs w:val="22"/>
          <w:color w:val="auto"/>
        </w:rPr>
        <w:t>PennantPark Investment Corporation</w:t>
      </w:r>
    </w:p>
    <w:p>
      <w:pPr>
        <w:spacing w:after="0" w:line="1" w:lineRule="exact"/>
        <w:rPr>
          <w:sz w:val="20"/>
          <w:szCs w:val="20"/>
          <w:color w:val="auto"/>
        </w:rPr>
      </w:pPr>
    </w:p>
    <w:p>
      <w:pPr>
        <w:ind w:right="9240" w:firstLine="8"/>
        <w:spacing w:after="0" w:line="308" w:lineRule="auto"/>
        <w:tabs>
          <w:tab w:leader="none" w:pos="522" w:val="left"/>
        </w:tabs>
        <w:numPr>
          <w:ilvl w:val="0"/>
          <w:numId w:val="3"/>
        </w:numPr>
        <w:rPr>
          <w:rFonts w:ascii="Arial" w:cs="Arial" w:eastAsia="Arial" w:hAnsi="Arial"/>
          <w:sz w:val="19"/>
          <w:szCs w:val="19"/>
          <w:color w:val="auto"/>
        </w:rPr>
      </w:pPr>
      <w:r>
        <w:rPr>
          <w:rFonts w:ascii="Arial" w:cs="Arial" w:eastAsia="Arial" w:hAnsi="Arial"/>
          <w:sz w:val="19"/>
          <w:szCs w:val="19"/>
          <w:color w:val="auto"/>
        </w:rPr>
        <w:t>905-1000 www.pennantpark.com</w:t>
      </w:r>
    </w:p>
    <w:sectPr>
      <w:pgSz w:w="11900" w:h="16838" w:orient="portrait"/>
      <w:cols w:equalWidth="0" w:num="1">
        <w:col w:w="11240"/>
      </w:cols>
      <w:pgMar w:left="320" w:top="112"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
      <w:numFmt w:val="bullet"/>
      <w:start w:val="1"/>
    </w:lvl>
  </w:abstractNum>
  <w:abstractNum w:abstractNumId="1">
    <w:nsid w:val="74B0DC51"/>
    <w:multiLevelType w:val="hybridMultilevel"/>
    <w:lvl w:ilvl="0">
      <w:lvlJc w:val="left"/>
      <w:lvlText w:val="(%1)"/>
      <w:numFmt w:val="lowerLetter"/>
      <w:start w:val="1"/>
    </w:lvl>
  </w:abstractNum>
  <w:abstractNum w:abstractNumId="2">
    <w:nsid w:val="19495CFF"/>
    <w:multiLevelType w:val="hybridMultilevel"/>
    <w:lvl w:ilvl="0">
      <w:lvlJc w:val="left"/>
      <w:lvlText w:val="(%1)"/>
      <w:numFmt w:val="decimal"/>
      <w:start w:val="212"/>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2020-05-05T15:07:21Z</dcterms:created>
  <dcterms:modified xsi:type="dcterms:W3CDTF">2020-05-05T15:07:21Z</dcterms:modified>
</cp:coreProperties>
</file>