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2,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spacing w:after="0" w:line="2"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00" w:space="720"/>
            <w:col w:w="1560" w:space="720"/>
            <w:col w:w="3800"/>
          </w:cols>
          <w:pgMar w:left="320" w:top="724" w:right="479" w:bottom="1440" w:gutter="0" w:footer="0" w:header="0"/>
          <w:type w:val="continuous"/>
        </w:sectPr>
      </w:pPr>
    </w:p>
    <w:p>
      <w:pPr>
        <w:spacing w:after="0" w:line="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March 2, 2022, PennantPark Investment Corporation issued a press release, a copy of which is furnished as Exhibit 99.1to this report on Form 8-K.</w:t>
      </w:r>
    </w:p>
    <w:p>
      <w:pPr>
        <w:spacing w:after="0" w:line="2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Quarterly Report on Form 10-Q for the quarter ended December 31, 2021, including “Item 2. Management's Discussion and Analysis of Financial Condition and Results of Operations – COVID-19 Developments”.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March 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920" w:type="dxa"/>
            <w:vAlign w:val="bottom"/>
            <w:gridSpan w:val="3"/>
          </w:tcPr>
          <w:p>
            <w:pPr>
              <w:ind w:left="198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2, 2022</w:t>
            </w:r>
          </w:p>
        </w:tc>
        <w:tc>
          <w:tcPr>
            <w:tcW w:w="4920" w:type="dxa"/>
            <w:vAlign w:val="bottom"/>
            <w:gridSpan w:val="3"/>
          </w:tcPr>
          <w:p>
            <w:pPr>
              <w:ind w:left="1980"/>
              <w:spacing w:after="0"/>
              <w:rPr>
                <w:sz w:val="20"/>
                <w:szCs w:val="20"/>
                <w:color w:val="auto"/>
              </w:rPr>
            </w:pPr>
            <w:r>
              <w:rPr>
                <w:rFonts w:ascii="Arial" w:cs="Arial" w:eastAsia="Arial" w:hAnsi="Arial"/>
                <w:sz w:val="18"/>
                <w:szCs w:val="18"/>
                <w:color w:val="auto"/>
              </w:rPr>
              <w:t>By: /s/ Richard Cheung</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Investment Corporation Unconsolidated Joint Venture, PennantPark Senior Loan Fund, LLC Completes $304 Million CLO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PennantPark Expands its Middle Market Business with Fourth CLO</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MIAMI, March 02, 2022 (GLOBE NEWSWIRE) -- PennantPark Investment Corporation (the “Company”) (NASDAQ: PNNT) today announced that PennantPark Senior Loan Fund, LLC (“PSLF”), through PSLF’s wholly-owned and consolidated subsidiary, PennantPark CLO IV, LLC, has closed a four-year reinvestment period, 12-year final maturity $304.0 million debt securitization in the form of a collateralized loan obligation (“CLO”).</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transaction is the fourth middle-market CLO for PennantPark Investment Advisers, LLC (“PennantPark”) which has issued CLO vehicles since 2019.</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reinvestment period for the term debt securitization ends in April 2026, and the debt issued in the CLO (the “Debt”) is scheduled to mature in April 2034. The term debt securitization is expected to be approximately 100% funded at close. The proceeds from the Debt will be used to repay a portion of PSLF’s $ 275 million secured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The Debt is structured in the following manner:</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220" w:type="dxa"/>
            <w:vAlign w:val="bottom"/>
            <w:vMerge w:val="restart"/>
          </w:tcPr>
          <w:p>
            <w:pPr>
              <w:ind w:left="1000"/>
              <w:spacing w:after="0"/>
              <w:rPr>
                <w:sz w:val="20"/>
                <w:szCs w:val="20"/>
                <w:color w:val="auto"/>
              </w:rPr>
            </w:pPr>
            <w:r>
              <w:rPr>
                <w:rFonts w:ascii="Arial" w:cs="Arial" w:eastAsia="Arial" w:hAnsi="Arial"/>
                <w:sz w:val="22"/>
                <w:szCs w:val="22"/>
                <w:color w:val="auto"/>
              </w:rPr>
              <w:t>Class</w:t>
            </w:r>
          </w:p>
        </w:tc>
        <w:tc>
          <w:tcPr>
            <w:tcW w:w="2160" w:type="dxa"/>
            <w:vAlign w:val="bottom"/>
          </w:tcPr>
          <w:p>
            <w:pPr>
              <w:jc w:val="right"/>
              <w:ind w:right="272"/>
              <w:spacing w:after="0"/>
              <w:rPr>
                <w:sz w:val="20"/>
                <w:szCs w:val="20"/>
                <w:color w:val="auto"/>
              </w:rPr>
            </w:pPr>
            <w:r>
              <w:rPr>
                <w:rFonts w:ascii="Arial" w:cs="Arial" w:eastAsia="Arial" w:hAnsi="Arial"/>
                <w:sz w:val="22"/>
                <w:szCs w:val="22"/>
                <w:color w:val="auto"/>
              </w:rPr>
              <w:t>Par Amount</w:t>
            </w:r>
          </w:p>
        </w:tc>
        <w:tc>
          <w:tcPr>
            <w:tcW w:w="2460" w:type="dxa"/>
            <w:vAlign w:val="bottom"/>
            <w:gridSpan w:val="2"/>
            <w:vMerge w:val="restart"/>
          </w:tcPr>
          <w:p>
            <w:pPr>
              <w:jc w:val="right"/>
              <w:ind w:right="152"/>
              <w:spacing w:after="0"/>
              <w:rPr>
                <w:sz w:val="20"/>
                <w:szCs w:val="20"/>
                <w:color w:val="auto"/>
              </w:rPr>
            </w:pPr>
            <w:r>
              <w:rPr>
                <w:rFonts w:ascii="Arial" w:cs="Arial" w:eastAsia="Arial" w:hAnsi="Arial"/>
                <w:sz w:val="22"/>
                <w:szCs w:val="22"/>
                <w:color w:val="auto"/>
              </w:rPr>
              <w:t>% of Capital Structure</w:t>
            </w:r>
          </w:p>
        </w:tc>
        <w:tc>
          <w:tcPr>
            <w:tcW w:w="1840" w:type="dxa"/>
            <w:vAlign w:val="bottom"/>
            <w:vMerge w:val="restart"/>
          </w:tcPr>
          <w:p>
            <w:pPr>
              <w:jc w:val="center"/>
              <w:spacing w:after="0"/>
              <w:rPr>
                <w:sz w:val="20"/>
                <w:szCs w:val="20"/>
                <w:color w:val="auto"/>
              </w:rPr>
            </w:pPr>
            <w:r>
              <w:rPr>
                <w:rFonts w:ascii="Arial" w:cs="Arial" w:eastAsia="Arial" w:hAnsi="Arial"/>
                <w:sz w:val="22"/>
                <w:szCs w:val="22"/>
                <w:color w:val="auto"/>
                <w:w w:val="88"/>
              </w:rPr>
              <w:t>Coupon</w:t>
            </w:r>
          </w:p>
        </w:tc>
        <w:tc>
          <w:tcPr>
            <w:tcW w:w="2320" w:type="dxa"/>
            <w:vAlign w:val="bottom"/>
            <w:vMerge w:val="restart"/>
          </w:tcPr>
          <w:p>
            <w:pPr>
              <w:jc w:val="center"/>
              <w:ind w:left="172"/>
              <w:spacing w:after="0"/>
              <w:rPr>
                <w:sz w:val="20"/>
                <w:szCs w:val="20"/>
                <w:color w:val="auto"/>
              </w:rPr>
            </w:pPr>
            <w:r>
              <w:rPr>
                <w:rFonts w:ascii="Arial" w:cs="Arial" w:eastAsia="Arial" w:hAnsi="Arial"/>
                <w:sz w:val="22"/>
                <w:szCs w:val="22"/>
                <w:color w:val="auto"/>
                <w:w w:val="90"/>
              </w:rPr>
              <w:t>Expected Rating (S&amp;P)</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3"/>
                <w:szCs w:val="13"/>
                <w:color w:val="auto"/>
              </w:rPr>
            </w:pPr>
          </w:p>
        </w:tc>
        <w:tc>
          <w:tcPr>
            <w:tcW w:w="2160" w:type="dxa"/>
            <w:vAlign w:val="bottom"/>
            <w:vMerge w:val="restart"/>
          </w:tcPr>
          <w:p>
            <w:pPr>
              <w:jc w:val="right"/>
              <w:ind w:right="172"/>
              <w:spacing w:after="0"/>
              <w:rPr>
                <w:sz w:val="20"/>
                <w:szCs w:val="20"/>
                <w:color w:val="auto"/>
              </w:rPr>
            </w:pPr>
            <w:r>
              <w:rPr>
                <w:rFonts w:ascii="Arial" w:cs="Arial" w:eastAsia="Arial" w:hAnsi="Arial"/>
                <w:sz w:val="22"/>
                <w:szCs w:val="22"/>
                <w:color w:val="auto"/>
              </w:rPr>
              <w:t>($ in millions)</w:t>
            </w:r>
          </w:p>
        </w:tc>
        <w:tc>
          <w:tcPr>
            <w:tcW w:w="2460" w:type="dxa"/>
            <w:vAlign w:val="bottom"/>
            <w:gridSpan w:val="2"/>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2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A-1A Notes</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$91,000,000</w:t>
            </w:r>
          </w:p>
        </w:tc>
        <w:tc>
          <w:tcPr>
            <w:tcW w:w="1320" w:type="dxa"/>
            <w:vAlign w:val="bottom"/>
          </w:tcPr>
          <w:p>
            <w:pPr>
              <w:jc w:val="center"/>
              <w:ind w:left="272"/>
              <w:spacing w:after="0"/>
              <w:rPr>
                <w:sz w:val="20"/>
                <w:szCs w:val="20"/>
                <w:color w:val="auto"/>
              </w:rPr>
            </w:pPr>
            <w:r>
              <w:rPr>
                <w:rFonts w:ascii="Arial" w:cs="Arial" w:eastAsia="Arial" w:hAnsi="Arial"/>
                <w:sz w:val="22"/>
                <w:szCs w:val="22"/>
                <w:color w:val="auto"/>
                <w:w w:val="88"/>
              </w:rPr>
              <w:t>29.9</w:t>
            </w: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1840" w:type="dxa"/>
            <w:vAlign w:val="bottom"/>
          </w:tcPr>
          <w:p>
            <w:pPr>
              <w:jc w:val="center"/>
              <w:spacing w:after="0"/>
              <w:rPr>
                <w:sz w:val="20"/>
                <w:szCs w:val="20"/>
                <w:color w:val="auto"/>
              </w:rPr>
            </w:pPr>
            <w:r>
              <w:rPr>
                <w:rFonts w:ascii="Arial" w:cs="Arial" w:eastAsia="Arial" w:hAnsi="Arial"/>
                <w:sz w:val="22"/>
                <w:szCs w:val="22"/>
                <w:color w:val="auto"/>
                <w:w w:val="88"/>
              </w:rPr>
              <w:t>SOFR + 1.70%</w:t>
            </w:r>
          </w:p>
        </w:tc>
        <w:tc>
          <w:tcPr>
            <w:tcW w:w="2320" w:type="dxa"/>
            <w:vAlign w:val="bottom"/>
          </w:tcPr>
          <w:p>
            <w:pPr>
              <w:jc w:val="center"/>
              <w:ind w:left="192"/>
              <w:spacing w:after="0"/>
              <w:rPr>
                <w:sz w:val="20"/>
                <w:szCs w:val="20"/>
                <w:color w:val="auto"/>
              </w:rPr>
            </w:pPr>
            <w:r>
              <w:rPr>
                <w:rFonts w:ascii="Arial" w:cs="Arial" w:eastAsia="Arial" w:hAnsi="Arial"/>
                <w:sz w:val="22"/>
                <w:szCs w:val="22"/>
                <w:color w:val="auto"/>
              </w:rPr>
              <w:t>AAA</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A-1A Loans</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$30,000,000</w:t>
            </w:r>
          </w:p>
        </w:tc>
        <w:tc>
          <w:tcPr>
            <w:tcW w:w="1320" w:type="dxa"/>
            <w:vAlign w:val="bottom"/>
          </w:tcPr>
          <w:p>
            <w:pPr>
              <w:jc w:val="center"/>
              <w:ind w:left="272"/>
              <w:spacing w:after="0"/>
              <w:rPr>
                <w:sz w:val="20"/>
                <w:szCs w:val="20"/>
                <w:color w:val="auto"/>
              </w:rPr>
            </w:pPr>
            <w:r>
              <w:rPr>
                <w:rFonts w:ascii="Arial" w:cs="Arial" w:eastAsia="Arial" w:hAnsi="Arial"/>
                <w:sz w:val="22"/>
                <w:szCs w:val="22"/>
                <w:color w:val="auto"/>
                <w:w w:val="84"/>
              </w:rPr>
              <w:t>9.9</w:t>
            </w: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1840" w:type="dxa"/>
            <w:vAlign w:val="bottom"/>
          </w:tcPr>
          <w:p>
            <w:pPr>
              <w:jc w:val="center"/>
              <w:spacing w:after="0"/>
              <w:rPr>
                <w:sz w:val="20"/>
                <w:szCs w:val="20"/>
                <w:color w:val="auto"/>
              </w:rPr>
            </w:pPr>
            <w:r>
              <w:rPr>
                <w:rFonts w:ascii="Arial" w:cs="Arial" w:eastAsia="Arial" w:hAnsi="Arial"/>
                <w:sz w:val="22"/>
                <w:szCs w:val="22"/>
                <w:color w:val="auto"/>
                <w:w w:val="88"/>
              </w:rPr>
              <w:t>SOFR + 1.70%</w:t>
            </w:r>
          </w:p>
        </w:tc>
        <w:tc>
          <w:tcPr>
            <w:tcW w:w="2320" w:type="dxa"/>
            <w:vAlign w:val="bottom"/>
          </w:tcPr>
          <w:p>
            <w:pPr>
              <w:jc w:val="center"/>
              <w:ind w:left="192"/>
              <w:spacing w:after="0"/>
              <w:rPr>
                <w:sz w:val="20"/>
                <w:szCs w:val="20"/>
                <w:color w:val="auto"/>
              </w:rPr>
            </w:pPr>
            <w:r>
              <w:rPr>
                <w:rFonts w:ascii="Arial" w:cs="Arial" w:eastAsia="Arial" w:hAnsi="Arial"/>
                <w:sz w:val="22"/>
                <w:szCs w:val="22"/>
                <w:color w:val="auto"/>
              </w:rPr>
              <w:t>AAA</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A-1B Notes</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$50,000,000</w:t>
            </w:r>
          </w:p>
        </w:tc>
        <w:tc>
          <w:tcPr>
            <w:tcW w:w="1320" w:type="dxa"/>
            <w:vAlign w:val="bottom"/>
          </w:tcPr>
          <w:p>
            <w:pPr>
              <w:jc w:val="center"/>
              <w:ind w:left="272"/>
              <w:spacing w:after="0"/>
              <w:rPr>
                <w:sz w:val="20"/>
                <w:szCs w:val="20"/>
                <w:color w:val="auto"/>
              </w:rPr>
            </w:pPr>
            <w:r>
              <w:rPr>
                <w:rFonts w:ascii="Arial" w:cs="Arial" w:eastAsia="Arial" w:hAnsi="Arial"/>
                <w:sz w:val="22"/>
                <w:szCs w:val="22"/>
                <w:color w:val="auto"/>
                <w:w w:val="88"/>
              </w:rPr>
              <w:t>16.4</w:t>
            </w: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1840" w:type="dxa"/>
            <w:vAlign w:val="bottom"/>
          </w:tcPr>
          <w:p>
            <w:pPr>
              <w:jc w:val="center"/>
              <w:spacing w:after="0"/>
              <w:rPr>
                <w:sz w:val="20"/>
                <w:szCs w:val="20"/>
                <w:color w:val="auto"/>
              </w:rPr>
            </w:pPr>
            <w:r>
              <w:rPr>
                <w:rFonts w:ascii="Arial" w:cs="Arial" w:eastAsia="Arial" w:hAnsi="Arial"/>
                <w:sz w:val="22"/>
                <w:szCs w:val="22"/>
                <w:color w:val="auto"/>
                <w:w w:val="86"/>
              </w:rPr>
              <w:t>3.45%</w:t>
            </w:r>
          </w:p>
        </w:tc>
        <w:tc>
          <w:tcPr>
            <w:tcW w:w="2320" w:type="dxa"/>
            <w:vAlign w:val="bottom"/>
          </w:tcPr>
          <w:p>
            <w:pPr>
              <w:jc w:val="center"/>
              <w:ind w:left="192"/>
              <w:spacing w:after="0"/>
              <w:rPr>
                <w:sz w:val="20"/>
                <w:szCs w:val="20"/>
                <w:color w:val="auto"/>
              </w:rPr>
            </w:pPr>
            <w:r>
              <w:rPr>
                <w:rFonts w:ascii="Arial" w:cs="Arial" w:eastAsia="Arial" w:hAnsi="Arial"/>
                <w:sz w:val="22"/>
                <w:szCs w:val="22"/>
                <w:color w:val="auto"/>
              </w:rPr>
              <w:t>AAA</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A-2 Notes</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$12,000,000</w:t>
            </w:r>
          </w:p>
        </w:tc>
        <w:tc>
          <w:tcPr>
            <w:tcW w:w="1320" w:type="dxa"/>
            <w:vAlign w:val="bottom"/>
          </w:tcPr>
          <w:p>
            <w:pPr>
              <w:jc w:val="center"/>
              <w:ind w:left="272"/>
              <w:spacing w:after="0"/>
              <w:rPr>
                <w:sz w:val="20"/>
                <w:szCs w:val="20"/>
                <w:color w:val="auto"/>
              </w:rPr>
            </w:pPr>
            <w:r>
              <w:rPr>
                <w:rFonts w:ascii="Arial" w:cs="Arial" w:eastAsia="Arial" w:hAnsi="Arial"/>
                <w:sz w:val="22"/>
                <w:szCs w:val="22"/>
                <w:color w:val="auto"/>
                <w:w w:val="84"/>
              </w:rPr>
              <w:t>3.9</w:t>
            </w: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1840" w:type="dxa"/>
            <w:vAlign w:val="bottom"/>
          </w:tcPr>
          <w:p>
            <w:pPr>
              <w:jc w:val="center"/>
              <w:spacing w:after="0"/>
              <w:rPr>
                <w:sz w:val="20"/>
                <w:szCs w:val="20"/>
                <w:color w:val="auto"/>
              </w:rPr>
            </w:pPr>
            <w:r>
              <w:rPr>
                <w:rFonts w:ascii="Arial" w:cs="Arial" w:eastAsia="Arial" w:hAnsi="Arial"/>
                <w:sz w:val="22"/>
                <w:szCs w:val="22"/>
                <w:color w:val="auto"/>
                <w:w w:val="88"/>
              </w:rPr>
              <w:t>SOFR + 1.90%</w:t>
            </w:r>
          </w:p>
        </w:tc>
        <w:tc>
          <w:tcPr>
            <w:tcW w:w="2320" w:type="dxa"/>
            <w:vAlign w:val="bottom"/>
          </w:tcPr>
          <w:p>
            <w:pPr>
              <w:jc w:val="center"/>
              <w:ind w:left="192"/>
              <w:spacing w:after="0"/>
              <w:rPr>
                <w:sz w:val="20"/>
                <w:szCs w:val="20"/>
                <w:color w:val="auto"/>
              </w:rPr>
            </w:pPr>
            <w:r>
              <w:rPr>
                <w:rFonts w:ascii="Arial" w:cs="Arial" w:eastAsia="Arial" w:hAnsi="Arial"/>
                <w:sz w:val="22"/>
                <w:szCs w:val="22"/>
                <w:color w:val="auto"/>
              </w:rPr>
              <w:t>AAA</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B Notes</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$21,000,000</w:t>
            </w:r>
          </w:p>
        </w:tc>
        <w:tc>
          <w:tcPr>
            <w:tcW w:w="1320" w:type="dxa"/>
            <w:vAlign w:val="bottom"/>
          </w:tcPr>
          <w:p>
            <w:pPr>
              <w:jc w:val="center"/>
              <w:ind w:left="272"/>
              <w:spacing w:after="0"/>
              <w:rPr>
                <w:sz w:val="20"/>
                <w:szCs w:val="20"/>
                <w:color w:val="auto"/>
              </w:rPr>
            </w:pPr>
            <w:r>
              <w:rPr>
                <w:rFonts w:ascii="Arial" w:cs="Arial" w:eastAsia="Arial" w:hAnsi="Arial"/>
                <w:sz w:val="22"/>
                <w:szCs w:val="22"/>
                <w:color w:val="auto"/>
                <w:w w:val="84"/>
              </w:rPr>
              <w:t>6.9</w:t>
            </w: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1840" w:type="dxa"/>
            <w:vAlign w:val="bottom"/>
          </w:tcPr>
          <w:p>
            <w:pPr>
              <w:jc w:val="center"/>
              <w:spacing w:after="0"/>
              <w:rPr>
                <w:sz w:val="20"/>
                <w:szCs w:val="20"/>
                <w:color w:val="auto"/>
              </w:rPr>
            </w:pPr>
            <w:r>
              <w:rPr>
                <w:rFonts w:ascii="Arial" w:cs="Arial" w:eastAsia="Arial" w:hAnsi="Arial"/>
                <w:sz w:val="22"/>
                <w:szCs w:val="22"/>
                <w:color w:val="auto"/>
                <w:w w:val="88"/>
              </w:rPr>
              <w:t>SOFR + 2.10%</w:t>
            </w:r>
          </w:p>
        </w:tc>
        <w:tc>
          <w:tcPr>
            <w:tcW w:w="2320" w:type="dxa"/>
            <w:vAlign w:val="bottom"/>
          </w:tcPr>
          <w:p>
            <w:pPr>
              <w:jc w:val="center"/>
              <w:ind w:left="172"/>
              <w:spacing w:after="0"/>
              <w:rPr>
                <w:sz w:val="20"/>
                <w:szCs w:val="20"/>
                <w:color w:val="auto"/>
              </w:rPr>
            </w:pPr>
            <w:r>
              <w:rPr>
                <w:rFonts w:ascii="Arial" w:cs="Arial" w:eastAsia="Arial" w:hAnsi="Arial"/>
                <w:sz w:val="22"/>
                <w:szCs w:val="22"/>
                <w:color w:val="auto"/>
              </w:rPr>
              <w:t>AA</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C Notes</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$24,000,000</w:t>
            </w:r>
          </w:p>
        </w:tc>
        <w:tc>
          <w:tcPr>
            <w:tcW w:w="1320" w:type="dxa"/>
            <w:vAlign w:val="bottom"/>
          </w:tcPr>
          <w:p>
            <w:pPr>
              <w:jc w:val="center"/>
              <w:ind w:left="272"/>
              <w:spacing w:after="0"/>
              <w:rPr>
                <w:sz w:val="20"/>
                <w:szCs w:val="20"/>
                <w:color w:val="auto"/>
              </w:rPr>
            </w:pPr>
            <w:r>
              <w:rPr>
                <w:rFonts w:ascii="Arial" w:cs="Arial" w:eastAsia="Arial" w:hAnsi="Arial"/>
                <w:sz w:val="22"/>
                <w:szCs w:val="22"/>
                <w:color w:val="auto"/>
                <w:w w:val="84"/>
              </w:rPr>
              <w:t>7.9</w:t>
            </w: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1840" w:type="dxa"/>
            <w:vAlign w:val="bottom"/>
          </w:tcPr>
          <w:p>
            <w:pPr>
              <w:jc w:val="center"/>
              <w:spacing w:after="0"/>
              <w:rPr>
                <w:sz w:val="20"/>
                <w:szCs w:val="20"/>
                <w:color w:val="auto"/>
              </w:rPr>
            </w:pPr>
            <w:r>
              <w:rPr>
                <w:rFonts w:ascii="Arial" w:cs="Arial" w:eastAsia="Arial" w:hAnsi="Arial"/>
                <w:sz w:val="22"/>
                <w:szCs w:val="22"/>
                <w:color w:val="auto"/>
                <w:w w:val="88"/>
              </w:rPr>
              <w:t>SOFR + 2.90%</w:t>
            </w:r>
          </w:p>
        </w:tc>
        <w:tc>
          <w:tcPr>
            <w:tcW w:w="2320" w:type="dxa"/>
            <w:vAlign w:val="bottom"/>
          </w:tcPr>
          <w:p>
            <w:pPr>
              <w:jc w:val="center"/>
              <w:ind w:left="172"/>
              <w:spacing w:after="0"/>
              <w:rPr>
                <w:sz w:val="20"/>
                <w:szCs w:val="20"/>
                <w:color w:val="auto"/>
              </w:rPr>
            </w:pPr>
            <w:r>
              <w:rPr>
                <w:rFonts w:ascii="Arial" w:cs="Arial" w:eastAsia="Arial" w:hAnsi="Arial"/>
                <w:sz w:val="22"/>
                <w:szCs w:val="22"/>
                <w:color w:val="auto"/>
              </w:rPr>
              <w:t>A</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D Notes</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$18,000,000</w:t>
            </w:r>
          </w:p>
        </w:tc>
        <w:tc>
          <w:tcPr>
            <w:tcW w:w="1320" w:type="dxa"/>
            <w:vAlign w:val="bottom"/>
          </w:tcPr>
          <w:p>
            <w:pPr>
              <w:jc w:val="center"/>
              <w:ind w:left="272"/>
              <w:spacing w:after="0"/>
              <w:rPr>
                <w:sz w:val="20"/>
                <w:szCs w:val="20"/>
                <w:color w:val="auto"/>
              </w:rPr>
            </w:pPr>
            <w:r>
              <w:rPr>
                <w:rFonts w:ascii="Arial" w:cs="Arial" w:eastAsia="Arial" w:hAnsi="Arial"/>
                <w:sz w:val="22"/>
                <w:szCs w:val="22"/>
                <w:color w:val="auto"/>
                <w:w w:val="84"/>
              </w:rPr>
              <w:t>5.9</w:t>
            </w: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1840" w:type="dxa"/>
            <w:vAlign w:val="bottom"/>
          </w:tcPr>
          <w:p>
            <w:pPr>
              <w:jc w:val="center"/>
              <w:spacing w:after="0"/>
              <w:rPr>
                <w:sz w:val="20"/>
                <w:szCs w:val="20"/>
                <w:color w:val="auto"/>
              </w:rPr>
            </w:pPr>
            <w:r>
              <w:rPr>
                <w:rFonts w:ascii="Arial" w:cs="Arial" w:eastAsia="Arial" w:hAnsi="Arial"/>
                <w:sz w:val="22"/>
                <w:szCs w:val="22"/>
                <w:color w:val="auto"/>
                <w:w w:val="88"/>
              </w:rPr>
              <w:t>SOFR + 4.00%</w:t>
            </w:r>
          </w:p>
        </w:tc>
        <w:tc>
          <w:tcPr>
            <w:tcW w:w="2320" w:type="dxa"/>
            <w:vAlign w:val="bottom"/>
          </w:tcPr>
          <w:p>
            <w:pPr>
              <w:jc w:val="center"/>
              <w:ind w:left="192"/>
              <w:spacing w:after="0"/>
              <w:rPr>
                <w:sz w:val="20"/>
                <w:szCs w:val="20"/>
                <w:color w:val="auto"/>
              </w:rPr>
            </w:pPr>
            <w:r>
              <w:rPr>
                <w:rFonts w:ascii="Arial" w:cs="Arial" w:eastAsia="Arial" w:hAnsi="Arial"/>
                <w:sz w:val="22"/>
                <w:szCs w:val="22"/>
                <w:color w:val="auto"/>
                <w:w w:val="97"/>
              </w:rPr>
              <w:t>BBB-</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22"/>
                <w:szCs w:val="22"/>
                <w:color w:val="auto"/>
              </w:rPr>
              <w:t>Subordinated Notes</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$58,000,000</w:t>
            </w:r>
          </w:p>
        </w:tc>
        <w:tc>
          <w:tcPr>
            <w:tcW w:w="1320" w:type="dxa"/>
            <w:vAlign w:val="bottom"/>
          </w:tcPr>
          <w:p>
            <w:pPr>
              <w:jc w:val="center"/>
              <w:ind w:left="272"/>
              <w:spacing w:after="0"/>
              <w:rPr>
                <w:sz w:val="20"/>
                <w:szCs w:val="20"/>
                <w:color w:val="auto"/>
              </w:rPr>
            </w:pPr>
            <w:r>
              <w:rPr>
                <w:rFonts w:ascii="Arial" w:cs="Arial" w:eastAsia="Arial" w:hAnsi="Arial"/>
                <w:sz w:val="22"/>
                <w:szCs w:val="22"/>
                <w:color w:val="auto"/>
                <w:w w:val="88"/>
              </w:rPr>
              <w:t>19.1</w:t>
            </w:r>
          </w:p>
        </w:tc>
        <w:tc>
          <w:tcPr>
            <w:tcW w:w="114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1840" w:type="dxa"/>
            <w:vAlign w:val="bottom"/>
          </w:tcPr>
          <w:p>
            <w:pPr>
              <w:jc w:val="center"/>
              <w:spacing w:after="0"/>
              <w:rPr>
                <w:sz w:val="20"/>
                <w:szCs w:val="20"/>
                <w:color w:val="auto"/>
              </w:rPr>
            </w:pPr>
            <w:r>
              <w:rPr>
                <w:rFonts w:ascii="Arial" w:cs="Arial" w:eastAsia="Arial" w:hAnsi="Arial"/>
                <w:sz w:val="22"/>
                <w:szCs w:val="22"/>
                <w:color w:val="auto"/>
                <w:w w:val="98"/>
              </w:rPr>
              <w:t>N/A</w:t>
            </w:r>
          </w:p>
        </w:tc>
        <w:tc>
          <w:tcPr>
            <w:tcW w:w="2320" w:type="dxa"/>
            <w:vAlign w:val="bottom"/>
          </w:tcPr>
          <w:p>
            <w:pPr>
              <w:jc w:val="center"/>
              <w:ind w:left="192"/>
              <w:spacing w:after="0"/>
              <w:rPr>
                <w:sz w:val="20"/>
                <w:szCs w:val="20"/>
                <w:color w:val="auto"/>
              </w:rPr>
            </w:pPr>
            <w:r>
              <w:rPr>
                <w:rFonts w:ascii="Arial" w:cs="Arial" w:eastAsia="Arial" w:hAnsi="Arial"/>
                <w:sz w:val="22"/>
                <w:szCs w:val="22"/>
                <w:color w:val="auto"/>
                <w:w w:val="94"/>
              </w:rPr>
              <w:t>NR</w:t>
            </w:r>
          </w:p>
        </w:tc>
        <w:tc>
          <w:tcPr>
            <w:tcW w:w="0" w:type="dxa"/>
            <w:vAlign w:val="bottom"/>
          </w:tcPr>
          <w:p>
            <w:pPr>
              <w:spacing w:after="0"/>
              <w:rPr>
                <w:sz w:val="1"/>
                <w:szCs w:val="1"/>
                <w:color w:val="auto"/>
              </w:rPr>
            </w:pPr>
          </w:p>
        </w:tc>
      </w:t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Total</w:t>
            </w:r>
          </w:p>
        </w:tc>
        <w:tc>
          <w:tcPr>
            <w:tcW w:w="2160" w:type="dxa"/>
            <w:vAlign w:val="bottom"/>
          </w:tcPr>
          <w:p>
            <w:pPr>
              <w:jc w:val="right"/>
              <w:ind w:right="332"/>
              <w:spacing w:after="0"/>
              <w:rPr>
                <w:sz w:val="20"/>
                <w:szCs w:val="20"/>
                <w:color w:val="auto"/>
              </w:rPr>
            </w:pPr>
            <w:r>
              <w:rPr>
                <w:rFonts w:ascii="Arial" w:cs="Arial" w:eastAsia="Arial" w:hAnsi="Arial"/>
                <w:sz w:val="22"/>
                <w:szCs w:val="22"/>
                <w:color w:val="auto"/>
              </w:rPr>
              <w:t>$304,000,000</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PSLF acts as retention holder in the transaction to retain exposure to the performance of the securitized assets. BNP Paribas acted as lead placement agent on the CLO Transaction.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remains committed to the growth of our CLO platform, and I am pleased with the successful closing of the company’s fourth CLO, our third in the last two years,” said Art Penn, Chief Executive Officer. “Our ability to continually secure favorable execution underscores investors’ confidence in PennantPark’s long-term track record, and we look forward to expanding our efforts with a diversified investor base.”</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PennantPark CLO IV continues the trend of the firm accessing attractive, long-term financing matched to the lower risk nature of the underlying assets the firm originates.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notes offered as part of the term debt securitization have not been, and will not be, registered under the Securities Act of 1933, as amended (the “Securities Act”), or any state “blue sky” laws, and may not be offered or sold in the United States absent registration under Section 5 of the Securities Act or an applicable exemption from such registration requirements. This press release shall not constitute an offer to sell or a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SENIOR LOAN FUND, LLC</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PennantPark Senior Loan Fund, LLC is a joint venture between PennantPark Investment Corporation and Pantheon Ventures (UK) LLP, and primarily invests in U.S. middle-market companies whose debt is rated below investment grade.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ectPr>
          <w:pgSz w:w="11900" w:h="16838" w:orient="portrait"/>
          <w:cols w:equalWidth="0" w:num="1">
            <w:col w:w="11240"/>
          </w:cols>
          <w:pgMar w:left="320" w:top="112" w:right="339" w:bottom="32" w:gutter="0" w:footer="0" w:header="0"/>
        </w:sectPr>
      </w:pPr>
    </w:p>
    <w:bookmarkStart w:id="4" w:name="page5"/>
    <w:bookmarkEnd w:id="4"/>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$5.9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as amended. You should understand that under Section 27A(b)(2)(B) of the Securities Act and Section 21E(b)(2)(B) of the Securities Exchange Act of 1934, as amended (the “Exchange Act”), the “safe harbor” provisions of the Private Securities Litigation Reform Act of 1995, as amended,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2"/>
          <w:szCs w:val="22"/>
          <w:b w:val="1"/>
          <w:bCs w:val="1"/>
          <w:color w:val="auto"/>
        </w:rPr>
        <w:t>Rubenstein</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Stefan Prelog</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917-804-7003</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sprelog@rubenstein.com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2022-03-02T16:10:00Z</dcterms:created>
  <dcterms:modified xsi:type="dcterms:W3CDTF">2022-03-02T16:10:00Z</dcterms:modified>
</cp:coreProperties>
</file>