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filing_1"/>
      <w:bookmarkStart w:id="1" w:name="doc_1_1"/>
      <w:bookmarkStart w:id="2" w:name="pnnt-20240206.htm"/>
      <w:bookmarkStart w:id="3" w:name="kspnnt20240206"/>
      <w:bookmarkEnd w:id="0"/>
      <w:bookmarkEnd w:id="1"/>
      <w:bookmarkEnd w:id="2"/>
      <w:bookmarkEnd w:id="3"/>
      <w:r>
        <w:rPr/>
        <w:t> </w:t>
      </w:r>
    </w:p>
    <w:p>
      <w:pPr>
        <w:pStyle w:val="TextBody"/>
        <w:bidi w:val="0"/>
        <w:spacing w:before="44" w:after="283"/>
        <w:jc w:val="center"/>
        <w:rPr>
          <w:rFonts w:ascii="Times New Roman" w:hAnsi="Times New Roman"/>
          <w:b/>
          <w:color w:val="000000"/>
          <w:sz w:val="28"/>
        </w:rPr>
      </w:pPr>
      <w:r>
        <w:rPr>
          <w:rFonts w:ascii="Times New Roman" w:hAnsi="Times New Roman"/>
          <w:b/>
          <w:color w:val="000000"/>
          <w:sz w:val="28"/>
        </w:rPr>
        <w:t>UNITED STATES</w:t>
      </w:r>
    </w:p>
    <w:p>
      <w:pPr>
        <w:pStyle w:val="TextBody"/>
        <w:bidi w:val="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bidi w:val="0"/>
        <w:spacing w:before="66" w:after="283"/>
        <w:jc w:val="center"/>
        <w:rPr>
          <w:rFonts w:ascii="Times New Roman" w:hAnsi="Times New Roman"/>
          <w:b/>
          <w:color w:val="000000"/>
          <w:sz w:val="28"/>
        </w:rPr>
      </w:pPr>
      <w:r>
        <w:rPr>
          <w:rFonts w:ascii="Times New Roman" w:hAnsi="Times New Roman"/>
          <w:b/>
          <w:color w:val="000000"/>
          <w:sz w:val="28"/>
        </w:rPr>
        <w:t>FORM 8-K</w:t>
      </w:r>
    </w:p>
    <w:p>
      <w:pPr>
        <w:pStyle w:val="TextBody"/>
        <w:bidi w:val="0"/>
        <w:spacing w:before="66"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98" w:after="283"/>
        <w:jc w:val="center"/>
        <w:rPr>
          <w:rFonts w:ascii="Times New Roman" w:hAnsi="Times New Roman"/>
          <w:b/>
          <w:color w:val="000000"/>
          <w:sz w:val="20"/>
        </w:rPr>
      </w:pPr>
      <w:r>
        <w:rPr>
          <w:rFonts w:ascii="Times New Roman" w:hAnsi="Times New Roman"/>
          <w:b/>
          <w:color w:val="000000"/>
          <w:sz w:val="20"/>
        </w:rPr>
        <w:t>Pursuant to Section 13 Or 15(d) of The</w:t>
      </w:r>
    </w:p>
    <w:p>
      <w:pPr>
        <w:pStyle w:val="TextBody"/>
        <w:bidi w:val="0"/>
        <w:jc w:val="center"/>
        <w:rPr>
          <w:rFonts w:ascii="Times New Roman" w:hAnsi="Times New Roman"/>
          <w:b/>
          <w:color w:val="000000"/>
          <w:sz w:val="20"/>
        </w:rPr>
      </w:pPr>
      <w:r>
        <w:rPr>
          <w:rFonts w:ascii="Times New Roman" w:hAnsi="Times New Roman"/>
          <w:b/>
          <w:color w:val="000000"/>
          <w:sz w:val="20"/>
        </w:rPr>
        <w:t>Securities Exchange Act of 1934</w:t>
      </w:r>
    </w:p>
    <w:p>
      <w:pPr>
        <w:pStyle w:val="TextBody"/>
        <w:bidi w:val="0"/>
        <w:spacing w:before="198" w:after="283"/>
        <w:jc w:val="center"/>
        <w:rPr>
          <w:rFonts w:ascii="Times New Roman" w:hAnsi="Times New Roman"/>
          <w:b/>
          <w:color w:val="000000"/>
          <w:sz w:val="20"/>
        </w:rPr>
      </w:pPr>
      <w:r>
        <w:rPr>
          <w:rFonts w:ascii="Times New Roman" w:hAnsi="Times New Roman"/>
          <w:b/>
          <w:color w:val="000000"/>
          <w:sz w:val="20"/>
        </w:rPr>
        <w:t>February 3, 2026</w:t>
      </w:r>
    </w:p>
    <w:p>
      <w:pPr>
        <w:pStyle w:val="TextBody"/>
        <w:bidi w:val="0"/>
        <w:spacing w:before="198" w:after="283"/>
        <w:jc w:val="center"/>
        <w:rPr>
          <w:rFonts w:ascii="Times New Roman" w:hAnsi="Times New Roman"/>
          <w:b/>
          <w:color w:val="000000"/>
          <w:sz w:val="20"/>
        </w:rPr>
      </w:pPr>
      <w:r>
        <w:rPr>
          <w:rFonts w:ascii="Times New Roman" w:hAnsi="Times New Roman"/>
          <w:b/>
          <w:color w:val="000000"/>
          <w:sz w:val="20"/>
        </w:rPr>
        <w:t>Date of Report (Date of earliest event reported)</w:t>
      </w:r>
    </w:p>
    <w:p>
      <w:pPr>
        <w:pStyle w:val="TextBody"/>
        <w:bidi w:val="0"/>
        <w:spacing w:before="66" w:after="283"/>
        <w:jc w:val="center"/>
        <w:rPr>
          <w:rFonts w:ascii="Times New Roman" w:hAnsi="Times New Roman"/>
          <w:b/>
          <w:color w:val="000000"/>
          <w:sz w:val="34"/>
        </w:rPr>
      </w:pPr>
      <w:r>
        <w:rPr>
          <w:rFonts w:ascii="Times New Roman" w:hAnsi="Times New Roman"/>
          <w:b/>
          <w:color w:val="000000"/>
          <w:sz w:val="34"/>
        </w:rPr>
        <w:t>PennantPark Investment Corporation</w:t>
      </w:r>
    </w:p>
    <w:p>
      <w:pPr>
        <w:pStyle w:val="TextBody"/>
        <w:bidi w:val="0"/>
        <w:jc w:val="center"/>
        <w:rPr>
          <w:rFonts w:ascii="Times New Roman" w:hAnsi="Times New Roman"/>
          <w:b/>
          <w:color w:val="000000"/>
          <w:sz w:val="16"/>
        </w:rPr>
      </w:pPr>
      <w:r>
        <w:rPr>
          <w:rFonts w:ascii="Times New Roman" w:hAnsi="Times New Roman"/>
          <w:b/>
          <w:color w:val="000000"/>
          <w:sz w:val="16"/>
        </w:rPr>
        <w:t>(Exact name of registrant as specified in its charter)</w:t>
      </w:r>
    </w:p>
    <w:tbl>
      <w:tblPr>
        <w:tblW w:w="6618" w:type="dxa"/>
        <w:jc w:val="left"/>
        <w:tblInd w:w="0" w:type="dxa"/>
        <w:tblLayout w:type="fixed"/>
        <w:tblCellMar>
          <w:top w:w="28" w:type="dxa"/>
          <w:left w:w="28" w:type="dxa"/>
          <w:bottom w:w="28" w:type="dxa"/>
          <w:right w:w="28" w:type="dxa"/>
        </w:tblCellMar>
      </w:tblPr>
      <w:tblGrid>
        <w:gridCol w:w="2776"/>
        <w:gridCol w:w="1681"/>
        <w:gridCol w:w="2161"/>
      </w:tblGrid>
      <w:tr>
        <w:trPr/>
        <w:tc>
          <w:tcPr>
            <w:tcW w:w="277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r>
      <w:tr>
        <w:trPr/>
        <w:tc>
          <w:tcPr>
            <w:tcW w:w="27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Maryland</w:t>
            </w:r>
          </w:p>
        </w:tc>
        <w:tc>
          <w:tcPr>
            <w:tcW w:w="1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814-00736</w:t>
            </w:r>
          </w:p>
        </w:tc>
        <w:tc>
          <w:tcPr>
            <w:tcW w:w="21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20-8250744</w:t>
            </w:r>
          </w:p>
        </w:tc>
      </w:tr>
      <w:tr>
        <w:trPr/>
        <w:tc>
          <w:tcPr>
            <w:tcW w:w="27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(State or other jurisdiction of incorporation)</w:t>
            </w:r>
          </w:p>
        </w:tc>
        <w:tc>
          <w:tcPr>
            <w:tcW w:w="1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(Commission File Number)</w:t>
            </w:r>
          </w:p>
        </w:tc>
        <w:tc>
          <w:tcPr>
            <w:tcW w:w="21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(IRS Employer Identification No.)</w:t>
            </w:r>
          </w:p>
        </w:tc>
      </w:tr>
    </w:tbl>
    <w:p>
      <w:pPr>
        <w:pStyle w:val="TextBody"/>
        <w:bidi w:val="0"/>
        <w:jc w:val="center"/>
        <w:rPr/>
      </w:pPr>
      <w:r>
        <w:rPr/>
        <w:t> </w:t>
      </w:r>
    </w:p>
    <w:p>
      <w:pPr>
        <w:pStyle w:val="TextBody"/>
        <w:bidi w:val="0"/>
        <w:jc w:val="center"/>
        <w:rPr/>
      </w:pPr>
      <w:r>
        <w:rPr/>
        <w:t> </w:t>
      </w:r>
    </w:p>
    <w:tbl>
      <w:tblPr>
        <w:tblW w:w="4382" w:type="dxa"/>
        <w:jc w:val="left"/>
        <w:tblInd w:w="0" w:type="dxa"/>
        <w:tblLayout w:type="fixed"/>
        <w:tblCellMar>
          <w:top w:w="28" w:type="dxa"/>
          <w:left w:w="28" w:type="dxa"/>
          <w:bottom w:w="28" w:type="dxa"/>
          <w:right w:w="28" w:type="dxa"/>
        </w:tblCellMar>
      </w:tblPr>
      <w:tblGrid>
        <w:gridCol w:w="3451"/>
        <w:gridCol w:w="931"/>
      </w:tblGrid>
      <w:tr>
        <w:trPr/>
        <w:tc>
          <w:tcPr>
            <w:tcW w:w="345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3451" w:type="dxa"/>
            <w:tcBorders/>
            <w:tcMar>
              <w:top w:w="0" w:type="dxa"/>
              <w:left w:w="0" w:type="dxa"/>
              <w:bottom w:w="0" w:type="dxa"/>
              <w:right w:w="0" w:type="dxa"/>
            </w:tcMar>
            <w:vAlign w:val="center"/>
          </w:tcPr>
          <w:p>
            <w:pPr>
              <w:pStyle w:val="TableContents"/>
              <w:bidi w:val="0"/>
              <w:spacing w:before="80" w:after="283"/>
              <w:jc w:val="center"/>
              <w:rPr>
                <w:rFonts w:ascii="Times New Roman" w:hAnsi="Times New Roman"/>
                <w:b/>
                <w:color w:val="000000"/>
                <w:sz w:val="16"/>
              </w:rPr>
            </w:pPr>
            <w:r>
              <w:rPr>
                <w:rFonts w:ascii="Times New Roman" w:hAnsi="Times New Roman"/>
                <w:b/>
                <w:color w:val="000000"/>
                <w:sz w:val="16"/>
              </w:rPr>
              <w:t>1691 Michigan Avenue, Miami Beach, Florida</w:t>
            </w:r>
          </w:p>
        </w:tc>
        <w:tc>
          <w:tcPr>
            <w:tcW w:w="931" w:type="dxa"/>
            <w:tcBorders/>
            <w:tcMar>
              <w:top w:w="0" w:type="dxa"/>
              <w:left w:w="0" w:type="dxa"/>
              <w:bottom w:w="0" w:type="dxa"/>
              <w:right w:w="0" w:type="dxa"/>
            </w:tcMar>
            <w:vAlign w:val="center"/>
          </w:tcPr>
          <w:p>
            <w:pPr>
              <w:pStyle w:val="TableContents"/>
              <w:bidi w:val="0"/>
              <w:spacing w:before="60" w:after="283"/>
              <w:jc w:val="center"/>
              <w:rPr>
                <w:rFonts w:ascii="Times New Roman" w:hAnsi="Times New Roman"/>
                <w:b/>
                <w:color w:val="000000"/>
                <w:sz w:val="16"/>
              </w:rPr>
            </w:pPr>
            <w:r>
              <w:rPr>
                <w:rFonts w:ascii="Times New Roman" w:hAnsi="Times New Roman"/>
                <w:b/>
                <w:color w:val="000000"/>
                <w:sz w:val="16"/>
              </w:rPr>
              <w:t>33139</w:t>
            </w:r>
          </w:p>
        </w:tc>
      </w:tr>
      <w:tr>
        <w:trPr/>
        <w:tc>
          <w:tcPr>
            <w:tcW w:w="34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(Address of principal executive offices)</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jc w:val="left"/>
        <w:rPr/>
      </w:pPr>
      <w:r>
        <w:rPr/>
        <w:t> </w:t>
      </w:r>
    </w:p>
    <w:p>
      <w:pPr>
        <w:pStyle w:val="TextBody"/>
        <w:bidi w:val="0"/>
        <w:jc w:val="left"/>
        <w:rPr/>
      </w:pPr>
      <w:r>
        <w:rPr/>
        <w:t> </w:t>
      </w:r>
    </w:p>
    <w:p>
      <w:pPr>
        <w:pStyle w:val="TextBody"/>
        <w:bidi w:val="0"/>
        <w:spacing w:before="198" w:after="283"/>
        <w:jc w:val="center"/>
        <w:rPr>
          <w:rFonts w:ascii="Times New Roman" w:hAnsi="Times New Roman"/>
          <w:b/>
          <w:color w:val="000000"/>
          <w:sz w:val="16"/>
        </w:rPr>
      </w:pPr>
      <w:r>
        <w:rPr>
          <w:rFonts w:ascii="Times New Roman" w:hAnsi="Times New Roman"/>
          <w:b/>
          <w:color w:val="000000"/>
          <w:sz w:val="16"/>
        </w:rPr>
        <w:t>(786) 297-9500</w:t>
      </w:r>
    </w:p>
    <w:p>
      <w:pPr>
        <w:pStyle w:val="TextBody"/>
        <w:bidi w:val="0"/>
        <w:jc w:val="center"/>
        <w:rPr>
          <w:rFonts w:ascii="Times New Roman" w:hAnsi="Times New Roman"/>
          <w:b/>
          <w:color w:val="000000"/>
          <w:sz w:val="13"/>
        </w:rPr>
      </w:pPr>
      <w:r>
        <w:rPr>
          <w:rFonts w:ascii="Times New Roman" w:hAnsi="Times New Roman"/>
          <w:b/>
          <w:color w:val="000000"/>
          <w:sz w:val="13"/>
        </w:rPr>
        <w:t>(Registrant’s telephone number, including area code)</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16"/>
        </w:rPr>
        <w:t>Not Applicable</w:t>
      </w:r>
      <w:r>
        <w:rPr>
          <w:rFonts w:ascii="Times New Roman" w:hAnsi="Times New Roman"/>
          <w:color w:val="000000"/>
          <w:sz w:val="20"/>
        </w:rPr>
        <w:t xml:space="preserve"> </w:t>
      </w:r>
    </w:p>
    <w:p>
      <w:pPr>
        <w:pStyle w:val="TextBody"/>
        <w:bidi w:val="0"/>
        <w:jc w:val="center"/>
        <w:rPr>
          <w:rFonts w:ascii="Times New Roman" w:hAnsi="Times New Roman"/>
          <w:b/>
          <w:color w:val="000000"/>
          <w:sz w:val="13"/>
        </w:rPr>
      </w:pPr>
      <w:r>
        <w:rPr>
          <w:rFonts w:ascii="Times New Roman" w:hAnsi="Times New Roman"/>
          <w:b/>
          <w:color w:val="000000"/>
          <w:sz w:val="13"/>
        </w:rPr>
        <w:t>(Former name or former address, if changed since last report)</w:t>
      </w:r>
    </w:p>
    <w:p>
      <w:pPr>
        <w:pStyle w:val="TextBody"/>
        <w:bidi w:val="0"/>
        <w:spacing w:before="66" w:after="283"/>
        <w:jc w:val="left"/>
        <w:rPr>
          <w:rFonts w:ascii="Times New Roman" w:hAnsi="Times New Roman"/>
          <w:color w:val="000000"/>
          <w:sz w:val="16"/>
        </w:rPr>
      </w:pPr>
      <w:r>
        <w:rPr>
          <w:rFonts w:ascii="Times New Roman" w:hAnsi="Times New Roman"/>
          <w:color w:val="000000"/>
          <w:sz w:val="16"/>
        </w:rPr>
        <w:t>Check the appropriate box below if the Form 8-K filing is intended to simultaneously satisfy the filing obligation of the registrant under any of the following provisions:</w:t>
      </w:r>
    </w:p>
    <w:tbl>
      <w:tblPr>
        <w:tblW w:w="6692" w:type="dxa"/>
        <w:jc w:val="left"/>
        <w:tblInd w:w="0" w:type="dxa"/>
        <w:tblLayout w:type="fixed"/>
        <w:tblCellMar>
          <w:top w:w="28" w:type="dxa"/>
          <w:left w:w="28" w:type="dxa"/>
          <w:bottom w:w="28" w:type="dxa"/>
          <w:right w:w="28" w:type="dxa"/>
        </w:tblCellMar>
      </w:tblPr>
      <w:tblGrid>
        <w:gridCol w:w="331"/>
        <w:gridCol w:w="6361"/>
      </w:tblGrid>
      <w:tr>
        <w:trPr/>
        <w:tc>
          <w:tcPr>
            <w:tcW w:w="331" w:type="dxa"/>
            <w:tcBorders/>
            <w:vAlign w:val="center"/>
          </w:tcPr>
          <w:p>
            <w:pPr>
              <w:pStyle w:val="TableContents"/>
              <w:bidi w:val="0"/>
              <w:spacing w:before="0" w:after="283"/>
              <w:jc w:val="left"/>
              <w:rPr>
                <w:sz w:val="4"/>
                <w:szCs w:val="4"/>
              </w:rPr>
            </w:pPr>
            <w:r>
              <w:rPr>
                <w:sz w:val="4"/>
                <w:szCs w:val="4"/>
              </w:rPr>
            </w:r>
          </w:p>
        </w:tc>
        <w:tc>
          <w:tcPr>
            <w:tcW w:w="636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Written communications pursuant to Rule 425 under the Securities Act (17 CFR 230.425)</w:t>
            </w:r>
          </w:p>
        </w:tc>
      </w:tr>
    </w:tbl>
    <w:tbl>
      <w:tblPr>
        <w:tblW w:w="6737" w:type="dxa"/>
        <w:jc w:val="left"/>
        <w:tblInd w:w="0" w:type="dxa"/>
        <w:tblLayout w:type="fixed"/>
        <w:tblCellMar>
          <w:top w:w="28" w:type="dxa"/>
          <w:left w:w="28" w:type="dxa"/>
          <w:bottom w:w="28" w:type="dxa"/>
          <w:right w:w="28" w:type="dxa"/>
        </w:tblCellMar>
      </w:tblPr>
      <w:tblGrid>
        <w:gridCol w:w="331"/>
        <w:gridCol w:w="6406"/>
      </w:tblGrid>
      <w:tr>
        <w:trPr/>
        <w:tc>
          <w:tcPr>
            <w:tcW w:w="331" w:type="dxa"/>
            <w:tcBorders/>
            <w:vAlign w:val="center"/>
          </w:tcPr>
          <w:p>
            <w:pPr>
              <w:pStyle w:val="TableContents"/>
              <w:bidi w:val="0"/>
              <w:spacing w:before="0" w:after="283"/>
              <w:jc w:val="left"/>
              <w:rPr>
                <w:sz w:val="4"/>
                <w:szCs w:val="4"/>
              </w:rPr>
            </w:pPr>
            <w:r>
              <w:rPr>
                <w:sz w:val="4"/>
                <w:szCs w:val="4"/>
              </w:rPr>
            </w:r>
          </w:p>
        </w:tc>
        <w:tc>
          <w:tcPr>
            <w:tcW w:w="640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Soliciting material pursuant to Rule 14a-12 under the Exchange Act (17 CFR 240.14a-12)</w:t>
            </w:r>
          </w:p>
        </w:tc>
      </w:tr>
    </w:tbl>
    <w:tbl>
      <w:tblPr>
        <w:tblW w:w="8312" w:type="dxa"/>
        <w:jc w:val="left"/>
        <w:tblInd w:w="0" w:type="dxa"/>
        <w:tblLayout w:type="fixed"/>
        <w:tblCellMar>
          <w:top w:w="28" w:type="dxa"/>
          <w:left w:w="28" w:type="dxa"/>
          <w:bottom w:w="28" w:type="dxa"/>
          <w:right w:w="28" w:type="dxa"/>
        </w:tblCellMar>
      </w:tblPr>
      <w:tblGrid>
        <w:gridCol w:w="331"/>
        <w:gridCol w:w="7981"/>
      </w:tblGrid>
      <w:tr>
        <w:trPr/>
        <w:tc>
          <w:tcPr>
            <w:tcW w:w="331" w:type="dxa"/>
            <w:tcBorders/>
            <w:vAlign w:val="center"/>
          </w:tcPr>
          <w:p>
            <w:pPr>
              <w:pStyle w:val="TableContents"/>
              <w:bidi w:val="0"/>
              <w:spacing w:before="0" w:after="283"/>
              <w:jc w:val="left"/>
              <w:rPr>
                <w:sz w:val="4"/>
                <w:szCs w:val="4"/>
              </w:rPr>
            </w:pPr>
            <w:r>
              <w:rPr>
                <w:sz w:val="4"/>
                <w:szCs w:val="4"/>
              </w:rPr>
            </w:r>
          </w:p>
        </w:tc>
        <w:tc>
          <w:tcPr>
            <w:tcW w:w="79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9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Pre-commencement communications pursuant to Rule 14d-2(b) under the Exchange Act (17 CFR 240.14d-2(b))</w:t>
            </w:r>
          </w:p>
        </w:tc>
      </w:tr>
    </w:tbl>
    <w:tbl>
      <w:tblPr>
        <w:tblW w:w="8252" w:type="dxa"/>
        <w:jc w:val="left"/>
        <w:tblInd w:w="0" w:type="dxa"/>
        <w:tblLayout w:type="fixed"/>
        <w:tblCellMar>
          <w:top w:w="28" w:type="dxa"/>
          <w:left w:w="28" w:type="dxa"/>
          <w:bottom w:w="28" w:type="dxa"/>
          <w:right w:w="28" w:type="dxa"/>
        </w:tblCellMar>
      </w:tblPr>
      <w:tblGrid>
        <w:gridCol w:w="331"/>
        <w:gridCol w:w="7921"/>
      </w:tblGrid>
      <w:tr>
        <w:trPr/>
        <w:tc>
          <w:tcPr>
            <w:tcW w:w="331" w:type="dxa"/>
            <w:tcBorders/>
            <w:vAlign w:val="center"/>
          </w:tcPr>
          <w:p>
            <w:pPr>
              <w:pStyle w:val="TableContents"/>
              <w:bidi w:val="0"/>
              <w:spacing w:before="0" w:after="283"/>
              <w:jc w:val="left"/>
              <w:rPr>
                <w:sz w:val="4"/>
                <w:szCs w:val="4"/>
              </w:rPr>
            </w:pPr>
            <w:r>
              <w:rPr>
                <w:sz w:val="4"/>
                <w:szCs w:val="4"/>
              </w:rPr>
            </w:r>
          </w:p>
        </w:tc>
        <w:tc>
          <w:tcPr>
            <w:tcW w:w="792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Pre-commencement communications pursuant to Rule 13e-4(c) under the Exchange Act (17 CFR 240.13e-4(c))</w:t>
            </w:r>
          </w:p>
        </w:tc>
      </w:tr>
    </w:tbl>
    <w:p>
      <w:pPr>
        <w:pStyle w:val="TextBody"/>
        <w:bidi w:val="0"/>
        <w:jc w:val="left"/>
        <w:rPr>
          <w:rFonts w:ascii="Times New Roman" w:hAnsi="Times New Roman"/>
          <w:color w:val="000000"/>
          <w:sz w:val="16"/>
        </w:rPr>
      </w:pPr>
      <w:r>
        <w:rPr>
          <w:rFonts w:ascii="Times New Roman" w:hAnsi="Times New Roman"/>
          <w:color w:val="000000"/>
          <w:sz w:val="16"/>
        </w:rPr>
        <w:t>Securities registered pursuant to Section 12(b) of the Act:</w:t>
      </w:r>
    </w:p>
    <w:tbl>
      <w:tblPr>
        <w:tblW w:w="8073" w:type="dxa"/>
        <w:jc w:val="left"/>
        <w:tblInd w:w="0" w:type="dxa"/>
        <w:tblLayout w:type="fixed"/>
        <w:tblCellMar>
          <w:top w:w="28" w:type="dxa"/>
          <w:left w:w="28" w:type="dxa"/>
          <w:bottom w:w="28" w:type="dxa"/>
          <w:right w:w="28" w:type="dxa"/>
        </w:tblCellMar>
      </w:tblPr>
      <w:tblGrid>
        <w:gridCol w:w="3151"/>
        <w:gridCol w:w="1456"/>
        <w:gridCol w:w="3466"/>
      </w:tblGrid>
      <w:tr>
        <w:trPr/>
        <w:tc>
          <w:tcPr>
            <w:tcW w:w="3151"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3466" w:type="dxa"/>
            <w:tcBorders/>
            <w:vAlign w:val="center"/>
          </w:tcPr>
          <w:p>
            <w:pPr>
              <w:pStyle w:val="TableContents"/>
              <w:bidi w:val="0"/>
              <w:spacing w:before="0" w:after="283"/>
              <w:jc w:val="left"/>
              <w:rPr>
                <w:sz w:val="4"/>
                <w:szCs w:val="4"/>
              </w:rPr>
            </w:pPr>
            <w:r>
              <w:rPr>
                <w:sz w:val="4"/>
                <w:szCs w:val="4"/>
              </w:rPr>
            </w:r>
          </w:p>
        </w:tc>
      </w:tr>
      <w:tr>
        <w:trPr/>
        <w:tc>
          <w:tcPr>
            <w:tcW w:w="31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Symbol(s)</w:t>
            </w:r>
          </w:p>
        </w:tc>
        <w:tc>
          <w:tcPr>
            <w:tcW w:w="34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1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Common Stock, par value $0.001 per share</w:t>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PNNT</w:t>
            </w:r>
          </w:p>
        </w:tc>
        <w:tc>
          <w:tcPr>
            <w:tcW w:w="34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The New York Stock Exchange</w:t>
            </w:r>
          </w:p>
        </w:tc>
      </w:tr>
    </w:tbl>
    <w:p>
      <w:pPr>
        <w:pStyle w:val="TextBody"/>
        <w:bidi w:val="0"/>
        <w:jc w:val="left"/>
        <w:rPr>
          <w:rFonts w:ascii="Times New Roman" w:hAnsi="Times New Roman"/>
          <w:color w:val="000000"/>
          <w:sz w:val="16"/>
        </w:rPr>
      </w:pPr>
      <w:r>
        <w:rPr>
          <w:rFonts w:ascii="Times New Roman" w:hAnsi="Times New Roman"/>
          <w:color w:val="000000"/>
          <w:sz w:val="16"/>
        </w:rPr>
        <w:t>Indicate by check mark whether the registrant is an emerging growth company as defined in Rule 405 of the Securities Act of 1933 (17 CFR § 230.405) or Rule 12b-2 of the Securities Exchange Act of 1934 (17 CFR § 240.12b-2).</w:t>
      </w:r>
    </w:p>
    <w:p>
      <w:pPr>
        <w:pStyle w:val="TextBody"/>
        <w:bidi w:val="0"/>
        <w:jc w:val="left"/>
        <w:rPr>
          <w:rFonts w:ascii="Times New Roman" w:hAnsi="Times New Roman"/>
          <w:sz w:val="20"/>
        </w:rPr>
      </w:pPr>
      <w:r>
        <w:rPr>
          <w:rFonts w:ascii="Times New Roman" w:hAnsi="Times New Roman"/>
          <w:color w:val="000000"/>
          <w:sz w:val="16"/>
        </w:rPr>
        <w:t xml:space="preserve">Emerging growth company </w:t>
      </w:r>
      <w:r>
        <w:rPr>
          <w:rFonts w:ascii="Times New Roman" w:hAnsi="Times New Roman"/>
          <w:color w:val="000000"/>
          <w:sz w:val="20"/>
        </w:rPr>
        <w:t>☐</w:t>
      </w:r>
    </w:p>
    <w:p>
      <w:pPr>
        <w:pStyle w:val="TextBody"/>
        <w:bidi w:val="0"/>
        <w:jc w:val="left"/>
        <w:rPr>
          <w:rFonts w:ascii="Times New Roman" w:hAnsi="Times New Roman"/>
          <w:color w:val="000000"/>
          <w:sz w:val="16"/>
        </w:rPr>
      </w:pPr>
      <w:r>
        <w:rPr>
          <w:rFonts w:ascii="Times New Roman" w:hAnsi="Times New Roman"/>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 w:name="part_1_2_1"/>
      <w:bookmarkEnd w:id="4"/>
      <w:r>
        <w:rPr/>
        <w:t> </w:t>
      </w:r>
    </w:p>
    <w:tbl>
      <w:tblPr>
        <w:tblW w:w="4742" w:type="dxa"/>
        <w:jc w:val="left"/>
        <w:tblInd w:w="0" w:type="dxa"/>
        <w:tblLayout w:type="fixed"/>
        <w:tblCellMar>
          <w:top w:w="28" w:type="dxa"/>
          <w:left w:w="28" w:type="dxa"/>
          <w:bottom w:w="28" w:type="dxa"/>
          <w:right w:w="28" w:type="dxa"/>
        </w:tblCellMar>
      </w:tblPr>
      <w:tblGrid>
        <w:gridCol w:w="811"/>
        <w:gridCol w:w="3931"/>
      </w:tblGrid>
      <w:tr>
        <w:trPr/>
        <w:tc>
          <w:tcPr>
            <w:tcW w:w="811"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Item 5.07</w:t>
            </w:r>
          </w:p>
        </w:tc>
        <w:tc>
          <w:tcPr>
            <w:tcW w:w="39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Submission of Matters to a Vote of Security Holders</w:t>
            </w:r>
          </w:p>
        </w:tc>
      </w:tr>
    </w:tbl>
    <w:p>
      <w:pPr>
        <w:pStyle w:val="TextBody"/>
        <w:bidi w:val="0"/>
        <w:spacing w:before="60" w:after="283"/>
        <w:jc w:val="left"/>
        <w:rPr>
          <w:rFonts w:ascii="Times New Roman" w:hAnsi="Times New Roman"/>
          <w:sz w:val="20"/>
        </w:rPr>
      </w:pPr>
      <w:r>
        <w:rPr>
          <w:rFonts w:ascii="Times New Roman" w:hAnsi="Times New Roman"/>
          <w:color w:val="000000"/>
          <w:sz w:val="16"/>
        </w:rPr>
        <w:t>On February 3, 2026, PennantPark Investment Corporation (the “Company”) held its annual meeting of stockholders (the “Annual Meeting”) and submitted two matters to the vote of stockholders. The proposals are described in detail in the Company’s definitive proxy statement filed with the Securities and Exchange Commission on December 17, 2025. As of December 3, 2025, the record date, 65,296,094 shares of common stock were eligible to vote. A summary of the matters voted upon by the stockholders is set forth below.</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16"/>
        </w:rPr>
        <w:t>Proposal 1.</w:t>
      </w:r>
      <w:r>
        <w:rPr>
          <w:rFonts w:ascii="Times New Roman" w:hAnsi="Times New Roman"/>
          <w:color w:val="000000"/>
          <w:sz w:val="20"/>
        </w:rPr>
        <w:t xml:space="preserve"> </w:t>
      </w:r>
      <w:r>
        <w:rPr>
          <w:rFonts w:ascii="Times New Roman" w:hAnsi="Times New Roman"/>
          <w:color w:val="000000"/>
          <w:sz w:val="16"/>
        </w:rPr>
        <w:t>The Company’s stockholders elected two Class I directors of the Company, who will each serve until the 2029 Annual Meeting and until his successor is duly elected and qualifies.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The voting results as of February 3, 2026, as certified by the inspector of election, are set forth below:</w:t>
      </w:r>
    </w:p>
    <w:tbl>
      <w:tblPr>
        <w:tblW w:w="7700" w:type="dxa"/>
        <w:jc w:val="left"/>
        <w:tblInd w:w="0" w:type="dxa"/>
        <w:tblLayout w:type="fixed"/>
        <w:tblCellMar>
          <w:top w:w="28" w:type="dxa"/>
          <w:left w:w="28" w:type="dxa"/>
          <w:bottom w:w="28" w:type="dxa"/>
          <w:right w:w="28" w:type="dxa"/>
        </w:tblCellMar>
      </w:tblPr>
      <w:tblGrid>
        <w:gridCol w:w="1711"/>
        <w:gridCol w:w="146"/>
        <w:gridCol w:w="146"/>
        <w:gridCol w:w="916"/>
        <w:gridCol w:w="241"/>
        <w:gridCol w:w="146"/>
        <w:gridCol w:w="146"/>
        <w:gridCol w:w="826"/>
        <w:gridCol w:w="241"/>
        <w:gridCol w:w="146"/>
        <w:gridCol w:w="146"/>
        <w:gridCol w:w="691"/>
        <w:gridCol w:w="241"/>
        <w:gridCol w:w="146"/>
        <w:gridCol w:w="181"/>
        <w:gridCol w:w="1139"/>
        <w:gridCol w:w="491"/>
      </w:tblGrid>
      <w:tr>
        <w:trPr/>
        <w:tc>
          <w:tcPr>
            <w:tcW w:w="1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For</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Against</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Abstain</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Broker Non-Vote</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11" w:type="dxa"/>
            <w:tcBorders/>
            <w:shd w:fill="BDD7E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Samuel Katz</w:t>
            </w:r>
          </w:p>
        </w:tc>
        <w:tc>
          <w:tcPr>
            <w:tcW w:w="146" w:type="dxa"/>
            <w:tcBorders/>
            <w:shd w:fill="BDD7E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DD7EE"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BDD7E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14,000,169</w:t>
            </w:r>
          </w:p>
        </w:tc>
        <w:tc>
          <w:tcPr>
            <w:tcW w:w="241" w:type="dxa"/>
            <w:tcBorders/>
            <w:shd w:fill="BDD7E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DD7E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DD7EE"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BDD7E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3,694,434</w:t>
            </w:r>
          </w:p>
        </w:tc>
        <w:tc>
          <w:tcPr>
            <w:tcW w:w="241" w:type="dxa"/>
            <w:tcBorders/>
            <w:shd w:fill="BDD7E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DD7E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DD7EE"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BDD7E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433,171</w:t>
            </w:r>
          </w:p>
        </w:tc>
        <w:tc>
          <w:tcPr>
            <w:tcW w:w="241" w:type="dxa"/>
            <w:tcBorders/>
            <w:shd w:fill="BDD7E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DD7EE"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BDD7EE"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BDD7E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23,491,918</w:t>
            </w:r>
          </w:p>
        </w:tc>
        <w:tc>
          <w:tcPr>
            <w:tcW w:w="491" w:type="dxa"/>
            <w:tcBorders/>
            <w:shd w:fill="BDD7EE"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 of Shares Voted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77.23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20.38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11" w:type="dxa"/>
            <w:tcBorders/>
            <w:shd w:fill="BDD7E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Marshall Brozost</w:t>
            </w:r>
          </w:p>
        </w:tc>
        <w:tc>
          <w:tcPr>
            <w:tcW w:w="146" w:type="dxa"/>
            <w:tcBorders/>
            <w:shd w:fill="BDD7E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DD7EE"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BDD7E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12,055,136</w:t>
            </w:r>
          </w:p>
        </w:tc>
        <w:tc>
          <w:tcPr>
            <w:tcW w:w="241" w:type="dxa"/>
            <w:tcBorders/>
            <w:shd w:fill="BDD7E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DD7E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DD7EE"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BDD7E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5,678,998</w:t>
            </w:r>
          </w:p>
        </w:tc>
        <w:tc>
          <w:tcPr>
            <w:tcW w:w="241" w:type="dxa"/>
            <w:tcBorders/>
            <w:shd w:fill="BDD7E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DD7E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DD7EE"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BDD7E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393,640</w:t>
            </w:r>
          </w:p>
        </w:tc>
        <w:tc>
          <w:tcPr>
            <w:tcW w:w="241" w:type="dxa"/>
            <w:tcBorders/>
            <w:shd w:fill="BDD7E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DD7EE"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BDD7EE"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BDD7E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23,491,918</w:t>
            </w:r>
          </w:p>
        </w:tc>
        <w:tc>
          <w:tcPr>
            <w:tcW w:w="491" w:type="dxa"/>
            <w:tcBorders/>
            <w:shd w:fill="BDD7EE"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 of Shares Voted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66.50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31.33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rFonts w:ascii="Times New Roman" w:hAnsi="Times New Roman"/>
          <w:sz w:val="20"/>
        </w:rPr>
      </w:pPr>
      <w:r>
        <w:rPr>
          <w:rFonts w:ascii="Times New Roman" w:hAnsi="Times New Roman"/>
          <w:b/>
          <w:color w:val="000000"/>
          <w:sz w:val="16"/>
        </w:rPr>
        <w:t>Proposal 2.</w:t>
      </w:r>
      <w:r>
        <w:rPr>
          <w:rFonts w:ascii="Times New Roman" w:hAnsi="Times New Roman"/>
          <w:color w:val="000000"/>
          <w:sz w:val="20"/>
        </w:rPr>
        <w:t xml:space="preserve"> </w:t>
      </w:r>
      <w:r>
        <w:rPr>
          <w:rFonts w:ascii="Times New Roman" w:hAnsi="Times New Roman"/>
          <w:color w:val="000000"/>
          <w:sz w:val="16"/>
        </w:rPr>
        <w:t>The Company’s stockholders ratified the selection of RSM US LLP to serve as the Company’s independent registered public accounting firm for the year ending September 30, 2026.</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The voting results as of February 3, 2026, as certified by the inspector of election, are set forth below:</w:t>
      </w:r>
    </w:p>
    <w:tbl>
      <w:tblPr>
        <w:tblW w:w="5488" w:type="dxa"/>
        <w:jc w:val="left"/>
        <w:tblInd w:w="0" w:type="dxa"/>
        <w:tblLayout w:type="fixed"/>
        <w:tblCellMar>
          <w:top w:w="28" w:type="dxa"/>
          <w:left w:w="28" w:type="dxa"/>
          <w:bottom w:w="28" w:type="dxa"/>
          <w:right w:w="28" w:type="dxa"/>
        </w:tblCellMar>
      </w:tblPr>
      <w:tblGrid>
        <w:gridCol w:w="1411"/>
        <w:gridCol w:w="146"/>
        <w:gridCol w:w="146"/>
        <w:gridCol w:w="916"/>
        <w:gridCol w:w="241"/>
        <w:gridCol w:w="146"/>
        <w:gridCol w:w="146"/>
        <w:gridCol w:w="691"/>
        <w:gridCol w:w="241"/>
        <w:gridCol w:w="146"/>
        <w:gridCol w:w="146"/>
        <w:gridCol w:w="826"/>
        <w:gridCol w:w="286"/>
      </w:tblGrid>
      <w:tr>
        <w:trPr/>
        <w:tc>
          <w:tcPr>
            <w:tcW w:w="1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For</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Against</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Abstain</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11" w:type="dxa"/>
            <w:tcBorders/>
            <w:shd w:fill="BDD7E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Voted</w:t>
            </w:r>
          </w:p>
        </w:tc>
        <w:tc>
          <w:tcPr>
            <w:tcW w:w="146" w:type="dxa"/>
            <w:tcBorders/>
            <w:shd w:fill="BDD7E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DD7EE"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BDD7E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39,679,025</w:t>
            </w:r>
          </w:p>
        </w:tc>
        <w:tc>
          <w:tcPr>
            <w:tcW w:w="241" w:type="dxa"/>
            <w:tcBorders/>
            <w:shd w:fill="BDD7E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DD7E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DD7EE"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BDD7E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934,043</w:t>
            </w:r>
          </w:p>
        </w:tc>
        <w:tc>
          <w:tcPr>
            <w:tcW w:w="241" w:type="dxa"/>
            <w:tcBorders/>
            <w:shd w:fill="BDD7E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DD7E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DD7EE"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BDD7E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1,006,624</w:t>
            </w:r>
          </w:p>
        </w:tc>
        <w:tc>
          <w:tcPr>
            <w:tcW w:w="286" w:type="dxa"/>
            <w:tcBorders/>
            <w:shd w:fill="BDD7EE"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 of Shares Voted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95.34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0" w:after="20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bookmarkStart w:id="5" w:name="part_1_2_2"/>
      <w:bookmarkEnd w:id="5"/>
      <w:r>
        <w:rPr/>
        <w:t> </w:t>
      </w:r>
    </w:p>
    <w:p>
      <w:pPr>
        <w:pStyle w:val="TextBody"/>
        <w:bidi w:val="0"/>
        <w:jc w:val="center"/>
        <w:rPr>
          <w:rFonts w:ascii="Times New Roman" w:hAnsi="Times New Roman"/>
          <w:b/>
          <w:color w:val="000000"/>
          <w:sz w:val="16"/>
        </w:rPr>
      </w:pPr>
      <w:r>
        <w:rPr>
          <w:rFonts w:ascii="Times New Roman" w:hAnsi="Times New Roman"/>
          <w:b/>
          <w:color w:val="000000"/>
          <w:sz w:val="16"/>
        </w:rPr>
        <w:t>SIGNATURE</w:t>
      </w:r>
    </w:p>
    <w:p>
      <w:pPr>
        <w:pStyle w:val="TextBody"/>
        <w:bidi w:val="0"/>
        <w:spacing w:before="198" w:after="283"/>
        <w:jc w:val="left"/>
        <w:rPr>
          <w:rFonts w:ascii="Times New Roman" w:hAnsi="Times New Roman"/>
          <w:color w:val="000000"/>
          <w:sz w:val="16"/>
        </w:rPr>
      </w:pPr>
      <w:r>
        <w:rPr>
          <w:rFonts w:ascii="Times New Roman" w:hAnsi="Times New Roman"/>
          <w:color w:val="000000"/>
          <w:sz w:val="16"/>
        </w:rPr>
        <w:t>Pursuant to the requirements of the Securities Exchange Act of 1934, as amended, the Registrant has duly caused this report to be signed on its behalf by the undersigned hereunto duly authorized.</w:t>
      </w:r>
    </w:p>
    <w:tbl>
      <w:tblPr>
        <w:tblW w:w="5197" w:type="dxa"/>
        <w:jc w:val="left"/>
        <w:tblInd w:w="0" w:type="dxa"/>
        <w:tblLayout w:type="fixed"/>
        <w:tblCellMar>
          <w:top w:w="28" w:type="dxa"/>
          <w:left w:w="28" w:type="dxa"/>
          <w:bottom w:w="28" w:type="dxa"/>
          <w:right w:w="28" w:type="dxa"/>
        </w:tblCellMar>
      </w:tblPr>
      <w:tblGrid>
        <w:gridCol w:w="1741"/>
        <w:gridCol w:w="109"/>
        <w:gridCol w:w="109"/>
        <w:gridCol w:w="109"/>
        <w:gridCol w:w="109"/>
        <w:gridCol w:w="109"/>
        <w:gridCol w:w="2911"/>
      </w:tblGrid>
      <w:tr>
        <w:trPr/>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1"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PennantPark Investment Corporation</w:t>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Date: February 5,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1" w:type="dxa"/>
            <w:tcBorders/>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Times New Roman" w:hAnsi="Times New Roman"/>
                <w:color w:val="000000"/>
                <w:sz w:val="16"/>
              </w:rPr>
            </w:pPr>
            <w:r>
              <w:rPr>
                <w:rFonts w:ascii="Times New Roman" w:hAnsi="Times New Roman"/>
                <w:color w:val="000000"/>
                <w:sz w:val="16"/>
              </w:rPr>
              <w:t>/s/ RICHARD T. ALLORTO</w:t>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Richard T. Allorto</w:t>
            </w:r>
          </w:p>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Chief Financial Officer &amp; Treasurer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603</Words>
  <Characters>3233</Characters>
  <CharactersWithSpaces>3811</CharactersWithSpaces>
  <Paragraphs>177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