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20" w:firstLine="315"/>
        <w:spacing w:after="0" w:line="266" w:lineRule="auto"/>
        <w:rPr>
          <w:sz w:val="20"/>
          <w:szCs w:val="20"/>
          <w:color w:val="auto"/>
        </w:rPr>
      </w:pPr>
      <w:r>
        <w:rPr>
          <w:rFonts w:ascii="Times New Roman" w:cs="Times New Roman" w:eastAsia="Times New Roman" w:hAnsi="Times New Roman"/>
          <w:sz w:val="18"/>
          <w:szCs w:val="18"/>
          <w:color w:val="auto"/>
        </w:rPr>
        <w:t>On November 24, 2025, PennanrPark Investment Corporation issued a press release announcing its financial results for the fourth quarter and fiscal year ended September 30, 2025. A copy of the press release is furnished as Exhibit 99.1 to this report pursuant to Item 2.02 on Form 8-K and Regulation FD.</w:t>
      </w:r>
    </w:p>
    <w:p>
      <w:pPr>
        <w:spacing w:after="0" w:line="176" w:lineRule="exact"/>
        <w:rPr>
          <w:sz w:val="20"/>
          <w:szCs w:val="20"/>
          <w:color w:val="auto"/>
        </w:rPr>
      </w:pPr>
    </w:p>
    <w:p>
      <w:pPr>
        <w:ind w:right="40" w:firstLine="312"/>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12"/>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8" w:lineRule="exact"/>
        <w:rPr>
          <w:sz w:val="20"/>
          <w:szCs w:val="20"/>
          <w:color w:val="auto"/>
        </w:rPr>
      </w:pPr>
    </w:p>
    <w:p>
      <w:pPr>
        <w:jc w:val="both"/>
        <w:ind w:right="120" w:firstLine="315"/>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November 24,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24, 2025</w:t>
            </w:r>
          </w:p>
        </w:tc>
        <w:tc>
          <w:tcPr>
            <w:tcW w:w="47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spacing w:after="0" w:line="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Fourth Quarter and Fiscal Year Ended September 30, 2025</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MIAMI, Nov. 24, 2025 (GLOBE NEWSWIRE) -- PennantPark Investment Corporation (NYSE: PNNT) (the "Company") announced today financial results for the fourth quarter and fiscal year ended September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ended September 30, 2025</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5"/>
        </w:trPr>
        <w:tc>
          <w:tcPr>
            <w:tcW w:w="70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1,287.3</w:t>
            </w:r>
          </w:p>
        </w:tc>
        <w:tc>
          <w:tcPr>
            <w:tcW w:w="280" w:type="dxa"/>
            <w:vAlign w:val="bottom"/>
          </w:tcPr>
          <w:p>
            <w:pPr>
              <w:spacing w:after="0"/>
              <w:rPr>
                <w:sz w:val="24"/>
                <w:szCs w:val="24"/>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464.0</w:t>
            </w:r>
          </w:p>
        </w:tc>
        <w:tc>
          <w:tcPr>
            <w:tcW w:w="280" w:type="dxa"/>
            <w:vAlign w:val="bottom"/>
          </w:tcPr>
          <w:p>
            <w:pPr>
              <w:spacing w:after="0"/>
              <w:rPr>
                <w:sz w:val="23"/>
                <w:szCs w:val="23"/>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 value per share</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7.11</w:t>
            </w:r>
          </w:p>
        </w:tc>
        <w:tc>
          <w:tcPr>
            <w:tcW w:w="280" w:type="dxa"/>
            <w:vAlign w:val="bottom"/>
          </w:tcPr>
          <w:p>
            <w:pPr>
              <w:spacing w:after="0"/>
              <w:rPr>
                <w:sz w:val="23"/>
                <w:szCs w:val="23"/>
                <w:color w:val="auto"/>
              </w:rPr>
            </w:pPr>
          </w:p>
        </w:tc>
      </w:tr>
      <w:tr>
        <w:trPr>
          <w:trHeight w:val="282"/>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change in net asset value per share</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528"/>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Credit Facility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425.5</w:t>
            </w:r>
          </w:p>
        </w:tc>
        <w:tc>
          <w:tcPr>
            <w:tcW w:w="280" w:type="dxa"/>
            <w:vAlign w:val="bottom"/>
          </w:tcPr>
          <w:p>
            <w:pPr>
              <w:spacing w:after="0"/>
              <w:rPr>
                <w:sz w:val="24"/>
                <w:szCs w:val="24"/>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2026 Notes, net of unamortized deferred financing costs</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149.5</w:t>
            </w:r>
          </w:p>
        </w:tc>
        <w:tc>
          <w:tcPr>
            <w:tcW w:w="280" w:type="dxa"/>
            <w:vAlign w:val="bottom"/>
          </w:tcPr>
          <w:p>
            <w:pPr>
              <w:spacing w:after="0"/>
              <w:rPr>
                <w:sz w:val="23"/>
                <w:szCs w:val="23"/>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2026-2 Notes, net of unamortized deferred financing costs</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163.9</w:t>
            </w:r>
          </w:p>
        </w:tc>
        <w:tc>
          <w:tcPr>
            <w:tcW w:w="280" w:type="dxa"/>
            <w:vAlign w:val="bottom"/>
          </w:tcPr>
          <w:p>
            <w:pPr>
              <w:spacing w:after="0"/>
              <w:rPr>
                <w:sz w:val="23"/>
                <w:szCs w:val="23"/>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1.60x</w:t>
            </w:r>
          </w:p>
        </w:tc>
      </w:tr>
      <w:tr>
        <w:trPr>
          <w:trHeight w:val="282"/>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Weighted average yield on debt investments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11.0%</w:t>
            </w:r>
          </w:p>
        </w:tc>
      </w:tr>
      <w:tr>
        <w:trPr>
          <w:trHeight w:val="528"/>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Quarter Ended</w:t>
            </w:r>
          </w:p>
        </w:tc>
        <w:tc>
          <w:tcPr>
            <w:tcW w:w="260" w:type="dxa"/>
            <w:vAlign w:val="bottom"/>
          </w:tcPr>
          <w:p>
            <w:pPr>
              <w:spacing w:after="0"/>
              <w:rPr>
                <w:sz w:val="24"/>
                <w:szCs w:val="24"/>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22"/>
                <w:szCs w:val="22"/>
                <w:color w:val="auto"/>
              </w:rPr>
              <w:t>Year Ended</w:t>
            </w:r>
          </w:p>
        </w:tc>
      </w:tr>
      <w:tr>
        <w:trPr>
          <w:trHeight w:val="282"/>
        </w:trPr>
        <w:tc>
          <w:tcPr>
            <w:tcW w:w="7000" w:type="dxa"/>
            <w:vAlign w:val="bottom"/>
          </w:tcPr>
          <w:p>
            <w:pPr>
              <w:spacing w:after="0"/>
              <w:rPr>
                <w:sz w:val="24"/>
                <w:szCs w:val="24"/>
                <w:color w:val="auto"/>
              </w:rPr>
            </w:pP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2025</w:t>
            </w: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2025</w:t>
            </w:r>
          </w:p>
        </w:tc>
      </w:tr>
      <w:tr>
        <w:trPr>
          <w:trHeight w:val="251"/>
        </w:trPr>
        <w:tc>
          <w:tcPr>
            <w:tcW w:w="70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Results:</w:t>
            </w:r>
          </w:p>
        </w:tc>
        <w:tc>
          <w:tcPr>
            <w:tcW w:w="2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9,832</w:t>
            </w: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46,051</w:t>
            </w:r>
          </w:p>
        </w:tc>
        <w:tc>
          <w:tcPr>
            <w:tcW w:w="280" w:type="dxa"/>
            <w:vAlign w:val="bottom"/>
          </w:tcPr>
          <w:p>
            <w:pPr>
              <w:spacing w:after="0"/>
              <w:rPr>
                <w:sz w:val="23"/>
                <w:szCs w:val="23"/>
                <w:color w:val="auto"/>
              </w:rPr>
            </w:pPr>
          </w:p>
        </w:tc>
      </w:tr>
      <w:tr>
        <w:trPr>
          <w:trHeight w:val="279"/>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w:t>
            </w:r>
          </w:p>
        </w:tc>
        <w:tc>
          <w:tcPr>
            <w:tcW w:w="280" w:type="dxa"/>
            <w:vAlign w:val="bottom"/>
          </w:tcPr>
          <w:p>
            <w:pPr>
              <w:spacing w:after="0"/>
              <w:rPr>
                <w:sz w:val="24"/>
                <w:szCs w:val="24"/>
                <w:color w:val="auto"/>
              </w:rPr>
            </w:pPr>
          </w:p>
        </w:tc>
      </w:tr>
      <w:tr>
        <w:trPr>
          <w:trHeight w:val="315"/>
        </w:trPr>
        <w:tc>
          <w:tcPr>
            <w:tcW w:w="70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(2)</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w:t>
            </w:r>
          </w:p>
        </w:tc>
        <w:tc>
          <w:tcPr>
            <w:tcW w:w="280" w:type="dxa"/>
            <w:vAlign w:val="bottom"/>
          </w:tcPr>
          <w:p>
            <w:pPr>
              <w:spacing w:after="0"/>
              <w:rPr>
                <w:sz w:val="24"/>
                <w:szCs w:val="24"/>
                <w:color w:val="auto"/>
              </w:rPr>
            </w:pPr>
          </w:p>
        </w:tc>
      </w:tr>
      <w:tr>
        <w:trPr>
          <w:trHeight w:val="282"/>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0.96</w:t>
            </w:r>
          </w:p>
        </w:tc>
        <w:tc>
          <w:tcPr>
            <w:tcW w:w="280" w:type="dxa"/>
            <w:vAlign w:val="bottom"/>
          </w:tcPr>
          <w:p>
            <w:pPr>
              <w:spacing w:after="0"/>
              <w:rPr>
                <w:sz w:val="24"/>
                <w:szCs w:val="24"/>
                <w:color w:val="auto"/>
              </w:rPr>
            </w:pPr>
          </w:p>
        </w:tc>
      </w:tr>
      <w:tr>
        <w:trPr>
          <w:trHeight w:val="807"/>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700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Purchases of investments </w:t>
            </w:r>
            <w:r>
              <w:rPr>
                <w:rFonts w:ascii="Times New Roman" w:cs="Times New Roman" w:eastAsia="Times New Roman" w:hAnsi="Times New Roman"/>
                <w:sz w:val="35"/>
                <w:szCs w:val="35"/>
                <w:color w:val="auto"/>
                <w:vertAlign w:val="superscript"/>
              </w:rPr>
              <w:t>(3)</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186.4</w:t>
            </w: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746.6</w:t>
            </w:r>
          </w:p>
        </w:tc>
        <w:tc>
          <w:tcPr>
            <w:tcW w:w="280" w:type="dxa"/>
            <w:vAlign w:val="bottom"/>
          </w:tcPr>
          <w:p>
            <w:pPr>
              <w:spacing w:after="0"/>
              <w:rPr>
                <w:sz w:val="24"/>
                <w:szCs w:val="24"/>
                <w:color w:val="auto"/>
              </w:rPr>
            </w:pPr>
          </w:p>
        </w:tc>
      </w:tr>
      <w:tr>
        <w:trPr>
          <w:trHeight w:val="475"/>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Sales and repayments of investments </w:t>
            </w:r>
            <w:r>
              <w:rPr>
                <w:rFonts w:ascii="Times New Roman" w:cs="Times New Roman" w:eastAsia="Times New Roman" w:hAnsi="Times New Roman"/>
                <w:sz w:val="35"/>
                <w:szCs w:val="35"/>
                <w:color w:val="auto"/>
                <w:vertAlign w:val="superscript"/>
              </w:rPr>
              <w:t>(3)</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w:t>
            </w: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810.4</w:t>
            </w:r>
          </w:p>
        </w:tc>
        <w:tc>
          <w:tcPr>
            <w:tcW w:w="280" w:type="dxa"/>
            <w:vAlign w:val="bottom"/>
          </w:tcPr>
          <w:p>
            <w:pPr>
              <w:spacing w:after="0"/>
              <w:rPr>
                <w:sz w:val="24"/>
                <w:szCs w:val="24"/>
                <w:color w:val="auto"/>
              </w:rPr>
            </w:pPr>
          </w:p>
        </w:tc>
      </w:tr>
      <w:tr>
        <w:trPr>
          <w:trHeight w:val="380"/>
        </w:trPr>
        <w:tc>
          <w:tcPr>
            <w:tcW w:w="7000" w:type="dxa"/>
            <w:vAlign w:val="bottom"/>
          </w:tcPr>
          <w:p>
            <w:pPr>
              <w:spacing w:after="0"/>
              <w:rPr>
                <w:sz w:val="20"/>
                <w:szCs w:val="20"/>
                <w:color w:val="auto"/>
              </w:rPr>
            </w:pPr>
            <w:r>
              <w:rPr>
                <w:rFonts w:ascii="Times New Roman" w:cs="Times New Roman" w:eastAsia="Times New Roman" w:hAnsi="Times New Roman"/>
                <w:sz w:val="22"/>
                <w:szCs w:val="22"/>
                <w:color w:val="auto"/>
              </w:rPr>
              <w:t>PSLF Portfolio data:</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1,265.9</w:t>
            </w: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1,265.9</w:t>
            </w:r>
          </w:p>
        </w:tc>
        <w:tc>
          <w:tcPr>
            <w:tcW w:w="280" w:type="dxa"/>
            <w:vAlign w:val="bottom"/>
          </w:tcPr>
          <w:p>
            <w:pPr>
              <w:spacing w:after="0"/>
              <w:rPr>
                <w:sz w:val="23"/>
                <w:szCs w:val="23"/>
                <w:color w:val="auto"/>
              </w:rPr>
            </w:pPr>
          </w:p>
        </w:tc>
      </w:tr>
      <w:tr>
        <w:trPr>
          <w:trHeight w:val="270"/>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w:t>
            </w:r>
          </w:p>
        </w:tc>
        <w:tc>
          <w:tcPr>
            <w:tcW w:w="22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546.1</w:t>
            </w:r>
          </w:p>
        </w:tc>
        <w:tc>
          <w:tcPr>
            <w:tcW w:w="280" w:type="dxa"/>
            <w:vAlign w:val="bottom"/>
          </w:tcPr>
          <w:p>
            <w:pPr>
              <w:spacing w:after="0"/>
              <w:rPr>
                <w:sz w:val="23"/>
                <w:szCs w:val="23"/>
                <w:color w:val="auto"/>
              </w:rPr>
            </w:pPr>
          </w:p>
        </w:tc>
      </w:tr>
      <w:tr>
        <w:trPr>
          <w:trHeight w:val="282"/>
        </w:trPr>
        <w:tc>
          <w:tcPr>
            <w:tcW w:w="7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65.0</w:t>
            </w:r>
          </w:p>
        </w:tc>
        <w:tc>
          <w:tcPr>
            <w:tcW w:w="2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293.8</w:t>
            </w:r>
          </w:p>
        </w:tc>
        <w:tc>
          <w:tcPr>
            <w:tcW w:w="280" w:type="dxa"/>
            <w:vAlign w:val="bottom"/>
          </w:tcPr>
          <w:p>
            <w:pPr>
              <w:spacing w:after="0"/>
              <w:rPr>
                <w:sz w:val="24"/>
                <w:szCs w:val="24"/>
                <w:color w:val="auto"/>
              </w:rPr>
            </w:pPr>
          </w:p>
        </w:tc>
      </w:tr>
    </w:tbl>
    <w:p>
      <w:pPr>
        <w:spacing w:after="0" w:line="190" w:lineRule="exact"/>
        <w:rPr>
          <w:sz w:val="20"/>
          <w:szCs w:val="20"/>
          <w:color w:val="auto"/>
        </w:rPr>
      </w:pPr>
    </w:p>
    <w:p>
      <w:pPr>
        <w:ind w:left="540" w:right="20" w:hanging="208"/>
        <w:spacing w:after="0" w:line="258"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Loan Fund, LLC ("PSLF"), an unconsolidated joint venture, totaling $207.8 million, at fair value.</w:t>
      </w:r>
    </w:p>
    <w:p>
      <w:pPr>
        <w:spacing w:after="0" w:line="50" w:lineRule="exact"/>
        <w:rPr>
          <w:rFonts w:ascii="Times New Roman" w:cs="Times New Roman" w:eastAsia="Times New Roman" w:hAnsi="Times New Roman"/>
          <w:sz w:val="22"/>
          <w:szCs w:val="22"/>
          <w:color w:val="auto"/>
        </w:rPr>
      </w:pPr>
    </w:p>
    <w:p>
      <w:pPr>
        <w:jc w:val="both"/>
        <w:ind w:left="540" w:hanging="208"/>
        <w:spacing w:after="0" w:line="249" w:lineRule="auto"/>
        <w:tabs>
          <w:tab w:leader="none" w:pos="5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September 30, 2025, there were no one-time events resulting in $0.15 of Core NII. For the year ended September 30, 2025, Core NII excluded: i) $0.3 million of credit facility amendment cost, and ii) $0.1 million of incentive fee expense offset.</w:t>
      </w:r>
    </w:p>
    <w:p>
      <w:pPr>
        <w:spacing w:after="0" w:line="62" w:lineRule="exact"/>
        <w:rPr>
          <w:rFonts w:ascii="Times New Roman" w:cs="Times New Roman" w:eastAsia="Times New Roman" w:hAnsi="Times New Roman"/>
          <w:sz w:val="21"/>
          <w:szCs w:val="21"/>
          <w:color w:val="auto"/>
        </w:rPr>
      </w:pPr>
    </w:p>
    <w:p>
      <w:pPr>
        <w:ind w:left="540" w:hanging="208"/>
        <w:spacing w:after="0"/>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Excludes U.S. Government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EST ON NOVEMBER 25, 2025</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Corporation (“we,” “our,” “us” or the “Company”) will also host a conference call at 12:00 p.m. (Eastern Time) on Tuesday, November 25, 2025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#7198155 or PennantPark Investment Corporation. An archived replay will also be available on a webcast link located on the Quarterly Earnings page in the Investor section of PennantPark’s website.</w:t>
      </w:r>
    </w:p>
    <w:p>
      <w:pPr>
        <w:sectPr>
          <w:pgSz w:w="11900" w:h="16912" w:orient="portrait"/>
          <w:cols w:equalWidth="0" w:num="1">
            <w:col w:w="11240"/>
          </w:cols>
          <w:pgMar w:left="320" w:top="108" w:right="339" w:bottom="0" w:gutter="0" w:footer="0" w:header="0"/>
        </w:sectPr>
      </w:pPr>
    </w:p>
    <w:bookmarkStart w:id="4" w:name="page5"/>
    <w:bookmarkEnd w:id="4"/>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credit quality of our investment portfolio continues to perform well and we remain confident in the continued resilience of the portfolio, supported by our disciplined focus on the core middle market. Investments in the core middle market typically feature attractive credit spreads, lower leverage, and enhanced lender protections relative to the upper middle market." said Art Penn, Chief Executive Officer. “We remain highly focused on creating realizations of our equity holdings and utilizing that capital to support our NII. We will continue to utilize our spillover income, which is estimated at 73 cents per share, to supplement shortfalls in our dividend coverage,” added Mr. Penn.</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2025, our portfolio totaled $1,287.3 million and consisted of $582.4 million or 45% of first lien secured debt, $124.8 million or 10% of U.S. Government Securities, $18.2 million or 1% of second lien secured debt, $201.2 million or 16% of subordinated debt (including $140.3 million or 11% in PSLF) and $360.7 million or 28% of preferred and common equity (including $67.5 million or 5% in PSLF). Our interest bearing debt portfolio consisted of 91% variable-rate investments and 9% fixed-rate investments. As of September 30, 2025, we had four portfolio companies on non-accrual, representing 1.3% and 0.1% percent of our overall portfolio on a cost and fair value basis, respectively. Overall, the portfolio had net unrealized appreciation of $50.4 million as of September 30, 2025. Our overall portfolio consisted of 166 companies with an average investment size of $7.0 million (excluding U.S. Government Securities), had a weighted average yield on interest bearing debt investments of 11.0%.</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As of September 30, 2024, our portfolio totaled $1,328.1 million and consisted of $667.9 million or 50% of first lien secured debt, $99.6 million or 8%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September 30, 2025, we invested $186.4 million in nine new and 54 existing portfolio companies at a weighted average yield on debt investments of 9.3% (excluding U.S. Government Securities). For the three months ended September 30, 2025, sales and repayments of investments totaled $61.4 million (excluding U.S. Government Securities), including zero sales to PSLF. For the year ended September 30, 2025, we invested $746.6 million of investments in 28 new and 161 existing portfolio companies with a weighted average yield on debt investments of 10.2% (excluding U.S. Government Securities). Sales and repayments of investments for the same period totaled $810.4 million (excluding U.S. Government Securities), including $462.8 million of sales to PSLF.</w:t>
      </w:r>
    </w:p>
    <w:p>
      <w:pPr>
        <w:spacing w:after="0" w:line="183"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For the three months ended September 30, 2024, we invested $191.9 million in 12 new and 44 existing portfolio companies at a weighted average yield on debt investments of 11.4% (excluding U.S. Government Securities). For the three months ended September 30, 2024, sales and repayments of investments totaled $175.3 million (excluding U.S. Government Securities), including $117.0 million of sales to PSLF. For the year ended September 30, 2024, we invested $774.6 million of investments in 41 new and 81 existing portfolio companies with a weighted average yield on debt investments of 11.7% (excluding U.S. Government Securities). Sales and repayments of investments for the same period totaled $555.4 million (excluding U.S. Government Securities), including $308.8 million of sales to PSLF.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September 30, 2025, PSLF’s portfolio totaled $1,265.9 million, consisted of 109 companies with an average investment size of $11.6 million and had a weighted average yield interest bearing debt investments of 10.1%.</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September 30, 2024, PSLF’s portfolio totaled $1,031.2 million, consisted of 102 companies with an average investment size of $10.1 million and had a weighted average yield on debt investments of 11.3%.</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September 30, 2025, PSLF invested $0.4 million (including zero purchased from the Company) in zero new and one existing portfolio companies at a weighted average yield on debt investments of 13.2%. PSLF’s sales and repayments of investments for the same period totaled $65.0 million. For the year ended September 30, 2025, PSLF invested $546.1 million (of which $462.8 million was purchased from the Company) in 26 new and 57 existing portfolio companies with a weighted average yield on debt investments of 10.4%. PSLF’s sales and repayments of investments for the same period totaled $293.8 million.</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September 30, 2024, PSLF invested $145.9 million (including $117.0 million purchased from the Company) in three new and seven existing portfolio companies at a weighted average yield on debt investments of 11.5%. PSLF’s sales and repayments of investments for the same period totaled $39.1 million. For the year ended September 30, 2024, PSLF invested $396.1 million (of which $308.8 million was purchased from the Company) in 20 new and 24 existing portfolio companies with a weighted average yield on debt investments of 11.8%. PSLF’s sales and repayments of investments for the same period totaled $172.9 million.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July 2025, PSLF through its wholly-owned and consolidated subsidiary, PennantPark CLO VII, LLC (“CLO VII”) closed the partial refinancing of its $300 million debt securitization. The $21.0 million of Class B Loans interest was decreased from SOFR plus 4.05% to SOFR plus 1.95%, the $24.0 million of Class C Loans interest was decreased from SOFR plus 4.70% to SOFR</w:t>
      </w:r>
    </w:p>
    <w:p>
      <w:pPr>
        <w:sectPr>
          <w:pgSz w:w="11900" w:h="16841" w:orient="portrait"/>
          <w:cols w:equalWidth="0" w:num="1">
            <w:col w:w="11240"/>
          </w:cols>
          <w:pgMar w:left="320" w:top="108" w:right="339" w:bottom="0" w:gutter="0" w:footer="0" w:header="0"/>
        </w:sectPr>
      </w:pPr>
    </w:p>
    <w:bookmarkStart w:id="5" w:name="page6"/>
    <w:bookmarkEnd w:id="5"/>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plus 2.30% and the $18.0 million of Class D Loans interest was decreased from SOFR plus 7.00% to SOFR plus 3.35%. As a result of this refinancing, the weighted average cost of capital went from SOFR plus 3.31% to SOFR plus 2.63%.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ended and years ended September 30,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months and year ended September 30, 2025, investment income was $28.0 million and $122.4 million, respectively, which was attributable to $21.0 million and $89.8 million from first lien secured debt, $0.4 million and $3.8 million from second lien secured debt, $1.2 million and $ 4.4 million from subordinated debt and $5.4 million and $24.3 million from other investments, respectively. For the three months and year ended September 30, 2024, investment income was $36.5 million and $143.8 million, respectively, which was attributable to $27.2 million and $104.8 million from first lien secured debt, $2.2 million and $9.8 million from second lien secured debt, $1.1 million and $3.0 million from subordinated debt and $6.0 million and $26.2 million from other investments, respectively. The decrease in investment income compared to prior year was primarily due to a decrease in our total portfolio including a decrease in our weighted average yield on debt investment and a decrease in dividend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months and year ended September 30, 2025, expenses totaled $18.1 million and $76.3 million, respectively, and were comprised of $10.0 million and $41.6 million of debt related interest and expenses, $4.0 million and $16.2 million of base management fees, $2.1 million and $9.8 million of incentive fees, $1.3 million and $6.1 million of general and administrative expenses and $0.7 million and $2.6 million of provision for excise taxes. For the three months and year ended September 30, 2024, expenses totaled $22.0 million and $83.7 million, respectively, and were comprised of $12.3 million and $45.2 million of debt related interest and expenses, $4.3 million and $16.7 million of base management fees, $3.1 million and $12.7 million of incentive fees, $1.8 million and $6.6 million of general and administrative expenses and $0.7 million and $2.6 million of provision for excise taxes. The decrease in expenses over the prior year was primarily due to decrease in interest and expenses on debt and a decrease in incentive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For the three months and year ended September 30, 2025, net investment income totaled $9.8 million and $46.1 million, or $0.15 per share and $0.71 per share, respectively. For the three months and year ended September 30, 2024, net investment income totaled $14.4 million and $60.1 million, or $0.22 per share and $0.92 per share, respectively. The decrease in net investment income was primarily due to a decrease in investment income and partially offset by a decrease in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and year ended September 30, 2025, net realized gains (losses) totaled $(21.6) million and $(52.4) million, respectively. For the three months and year ended September 30, 2024, net realized gains (losses) totaled $2.5 million and $(33.6) million, respectively. The change in realized gains/losses was primarily due to changes in market conditions of our investments and the values at which they were realized and the fluctuations in the market and in the economy.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and year ended September 30, 2025, net change in unrealized appreciation (depreciation) on investments was $9.9 million and $39.2 million, respectively. For the three months ended and year ended September 30, 2024, net change in unrealized appreciation (depreciation) on investments was $4.3 million and $26.8 million, respectively. As of September 30, 2025 and 2024, our net unrealized appreciation (depreciation) on investments totaled $50.4 million and $11.2 million, respectively. The net change in unrealized appreciation on our investments for the year ended September 30, 2025 was primarily due to changes in the capital market conditions of our investments and the values at which they were realized and the fluctuation in the market and in the economy.</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2025, our Credit Facility had a net change in unrealized appreciation (depreciation) of $0.9 million and $(0.1) million, respectively. For the three months and year ended September 30, 2024, our Credit Facility had a net change in unrealized appreciation (depreciation) of $(2.8) million and $(4.4) million, respectively. As of September 30, 2025 and September 30, 2024, the net unrealized appreciation (depreciation) on the Credit Facility totaled $(1.0) million and $(1.1) million, respectively. The net change in unrealized appreciation (depreciation) for the year ended September 30, 2025 compared to the same periods in their prior periods was primarily due to changes in the capital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and year ended September 30, 2025, net increase (decrease) in net assets resulting from operations totaled $(1.0) million and $32.7 million, or $(0.01) per share and $0.50 per share, respectively. For the three months and year ended September 30, 2024, net increase (decrease) in net assets resulting from operations totaled $18.4 million and $48.9 million, or $0.28 per share and $0.75 per share, respectively. The decrease in net assets from operations for the year ended September 30,</w:t>
      </w:r>
    </w:p>
    <w:p>
      <w:pPr>
        <w:sectPr>
          <w:pgSz w:w="11900" w:h="16838" w:orient="portrait"/>
          <w:cols w:equalWidth="0" w:num="1">
            <w:col w:w="11240"/>
          </w:cols>
          <w:pgMar w:left="320" w:top="111" w:right="339" w:bottom="7" w:gutter="0" w:footer="0" w:header="0"/>
        </w:sectPr>
      </w:pPr>
    </w:p>
    <w:bookmarkStart w:id="6" w:name="page7"/>
    <w:bookmarkEnd w:id="6"/>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2025 compared to the prior year was primarily due to lower net investment income was primarily driven by a decrease in investment income from a decrease in our total portfolio and decrease in our weighted average yield on debt.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September 30, 2025 and 2024, we had $426.5 million and $461.5 million, respectively, in outstanding borrowings under the Truist Credit Facility. The Truist Credit Facility had a weighted average interest rate of 6.5% and 7.2%, respectively, exclusive of the fee on undrawn commitments. As of September 30, 2025 and 2024, we had $73.5 million and $13.5 million of unused borrowing capacity under the Truist Credit Facility, respectively, subject to leverage and borrowing base restrictions..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September 30, 2025 and 2024, we had cash and cash equivalents of $51.8 million and $49.9 million, respectively, available for investing and general corporate purposes. We believe our liquidity and capital resources are sufficient to allow us to effectively operate our business.</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2025, our operating activities provided cash of $104.8 million and our financing activities used cash of $102.9 million. Our operating activities provided cash primarily from our investment activities and our financing activities used cash primarily from net repayments under our Truist Credit Facility and distributions to stockholders.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year ended September 30, 2024, our operating activities used cash of $172.4 million and our financing activities provided cash of $183.4 million. Our operating activities used cash primarily for our investment activities and our financing activities provided cash primarily from borrowings under our Truist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and year ended September 30, 2025, we declared distributions of $0.24 and $0.96 per share, for total distributions of $15.7 million and $62.7 million, respectively. During the three months and year ended September 30, 2024, we declared distributions of $0.24 and $0.88 per share, for total distributions of $15.7 million and $57.4 million, respectively. We monitor available net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annual report on Form 10-K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ASSETS AND LIABILITIES </w:t>
      </w:r>
      <w:r>
        <w:rPr>
          <w:rFonts w:ascii="Times New Roman" w:cs="Times New Roman" w:eastAsia="Times New Roman" w:hAnsi="Times New Roman"/>
          <w:sz w:val="22"/>
          <w:szCs w:val="22"/>
          <w:color w:val="auto"/>
        </w:rPr>
        <w:t>(In thousands, except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September 30, 2025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September 30, 2024</w:t>
            </w:r>
          </w:p>
        </w:tc>
        <w:tc>
          <w:tcPr>
            <w:tcW w:w="0" w:type="dxa"/>
            <w:vAlign w:val="bottom"/>
          </w:tcPr>
          <w:p>
            <w:pPr>
              <w:spacing w:after="0"/>
              <w:rPr>
                <w:sz w:val="1"/>
                <w:szCs w:val="1"/>
                <w:color w:val="auto"/>
              </w:rPr>
            </w:pPr>
          </w:p>
        </w:tc>
      </w:tr>
      <w:tr>
        <w:trPr>
          <w:trHeight w:val="250"/>
        </w:trPr>
        <w:tc>
          <w:tcPr>
            <w:tcW w:w="7080" w:type="dxa"/>
            <w:vAlign w:val="bottom"/>
            <w:vMerge w:val="continue"/>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cost—$853,416 and</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$916,168, respectively)</w:t>
            </w:r>
          </w:p>
        </w:tc>
        <w:tc>
          <w:tcPr>
            <w:tcW w:w="5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857,415</w:t>
            </w:r>
          </w:p>
        </w:tc>
        <w:tc>
          <w:tcPr>
            <w:tcW w:w="220" w:type="dxa"/>
            <w:vAlign w:val="bottom"/>
          </w:tcPr>
          <w:p>
            <w:pPr>
              <w:spacing w:after="0"/>
              <w:rPr>
                <w:sz w:val="23"/>
                <w:szCs w:val="23"/>
                <w:color w:val="auto"/>
              </w:rPr>
            </w:pPr>
          </w:p>
        </w:tc>
        <w:tc>
          <w:tcPr>
            <w:tcW w:w="5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910,323</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(amortized cost—$36,561 and</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$56,734, respectively)</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4,891</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33,423</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(amortized cost—$346,911 and $343,970,</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424,967</w:t>
            </w:r>
          </w:p>
        </w:tc>
        <w:tc>
          <w:tcPr>
            <w:tcW w:w="2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384,304</w:t>
            </w:r>
          </w:p>
        </w:tc>
        <w:tc>
          <w:tcPr>
            <w:tcW w:w="0" w:type="dxa"/>
            <w:vAlign w:val="bottom"/>
          </w:tcPr>
          <w:p>
            <w:pPr>
              <w:spacing w:after="0"/>
              <w:rPr>
                <w:sz w:val="1"/>
                <w:szCs w:val="1"/>
                <w:color w:val="auto"/>
              </w:rPr>
            </w:pPr>
          </w:p>
        </w:tc>
      </w:tr>
      <w:tr>
        <w:trPr>
          <w:trHeight w:val="251"/>
        </w:trPr>
        <w:tc>
          <w:tcPr>
            <w:tcW w:w="708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color w:val="auto"/>
                <w:w w:val="99"/>
              </w:rPr>
              <w:t>Total investments (amortized cost—$1,236,888 and $1,316,872, respectively)</w:t>
            </w:r>
          </w:p>
        </w:tc>
        <w:tc>
          <w:tcPr>
            <w:tcW w:w="580" w:type="dxa"/>
            <w:vAlign w:val="bottom"/>
          </w:tcPr>
          <w:p>
            <w:pPr>
              <w:spacing w:after="0"/>
              <w:rPr>
                <w:sz w:val="21"/>
                <w:szCs w:val="21"/>
                <w:color w:val="auto"/>
              </w:rPr>
            </w:pPr>
          </w:p>
        </w:tc>
        <w:tc>
          <w:tcPr>
            <w:tcW w:w="13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1,287,273</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1,328,050</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(cost—$51,739 and $49,833, respectively)</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51,783</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49,861</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5,261</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5,261</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4,694</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5,417</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affiliates</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w:t>
            </w:r>
          </w:p>
        </w:tc>
        <w:tc>
          <w:tcPr>
            <w:tcW w:w="0" w:type="dxa"/>
            <w:vAlign w:val="bottom"/>
          </w:tcPr>
          <w:p>
            <w:pPr>
              <w:spacing w:after="0"/>
              <w:rPr>
                <w:sz w:val="1"/>
                <w:szCs w:val="1"/>
                <w:color w:val="auto"/>
              </w:rPr>
            </w:pP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375</w:t>
            </w:r>
          </w:p>
        </w:tc>
        <w:tc>
          <w:tcPr>
            <w:tcW w:w="2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269</w:t>
            </w:r>
          </w:p>
        </w:tc>
        <w:tc>
          <w:tcPr>
            <w:tcW w:w="0" w:type="dxa"/>
            <w:vAlign w:val="bottom"/>
          </w:tcPr>
          <w:p>
            <w:pPr>
              <w:spacing w:after="0"/>
              <w:rPr>
                <w:sz w:val="1"/>
                <w:szCs w:val="1"/>
                <w:color w:val="auto"/>
              </w:rPr>
            </w:pPr>
          </w:p>
        </w:tc>
      </w:tr>
      <w:tr>
        <w:trPr>
          <w:trHeight w:val="265"/>
        </w:trPr>
        <w:tc>
          <w:tcPr>
            <w:tcW w:w="7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5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1,349,554</w:t>
            </w:r>
          </w:p>
        </w:tc>
        <w:tc>
          <w:tcPr>
            <w:tcW w:w="2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1,389,086</w:t>
            </w:r>
          </w:p>
        </w:tc>
        <w:tc>
          <w:tcPr>
            <w:tcW w:w="0" w:type="dxa"/>
            <w:vAlign w:val="bottom"/>
          </w:tcPr>
          <w:p>
            <w:pPr>
              <w:spacing w:after="0"/>
              <w:rPr>
                <w:sz w:val="1"/>
                <w:szCs w:val="1"/>
                <w:color w:val="auto"/>
              </w:rPr>
            </w:pPr>
          </w:p>
        </w:tc>
      </w:tr>
      <w:tr>
        <w:trPr>
          <w:trHeight w:val="250"/>
        </w:trPr>
        <w:tc>
          <w:tcPr>
            <w:tcW w:w="708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Truist Credit Facility payable, at fair value (cost—$426,456 and $461,456,</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5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425,477</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460,361</w:t>
            </w:r>
          </w:p>
        </w:tc>
        <w:tc>
          <w:tcPr>
            <w:tcW w:w="0" w:type="dxa"/>
            <w:vAlign w:val="bottom"/>
          </w:tcPr>
          <w:p>
            <w:pPr>
              <w:spacing w:after="0"/>
              <w:rPr>
                <w:sz w:val="1"/>
                <w:szCs w:val="1"/>
                <w:color w:val="auto"/>
              </w:rPr>
            </w:pPr>
          </w:p>
        </w:tc>
      </w:tr>
    </w:tbl>
    <w:p>
      <w:pPr>
        <w:sectPr>
          <w:pgSz w:w="11900" w:h="16889"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(par— $150,000, unamortized deferred financing cost of</w:t>
            </w:r>
          </w:p>
        </w:tc>
        <w:tc>
          <w:tcPr>
            <w:tcW w:w="5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149,473</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148,571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$527 and $1,429, respectively)</w:t>
            </w: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 Notes-2 payable (par— $165,000, unamortized deferred financing cost of</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$1,067 and $1,920, respectively)</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163,933</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163,080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 purchased</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130,007</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6,281</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580" w:type="dxa"/>
            <w:vAlign w:val="bottom"/>
          </w:tcPr>
          <w:p>
            <w:pPr>
              <w:spacing w:after="0"/>
              <w:rPr>
                <w:sz w:val="23"/>
                <w:szCs w:val="23"/>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4,342</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4,005</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2,086</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w:t>
            </w:r>
          </w:p>
        </w:tc>
        <w:tc>
          <w:tcPr>
            <w:tcW w:w="580" w:type="dxa"/>
            <w:vAlign w:val="bottom"/>
          </w:tcPr>
          <w:p>
            <w:pPr>
              <w:spacing w:after="0"/>
              <w:rPr>
                <w:sz w:val="24"/>
                <w:szCs w:val="2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58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885,604</w:t>
            </w:r>
          </w:p>
        </w:tc>
        <w:tc>
          <w:tcPr>
            <w:tcW w:w="220" w:type="dxa"/>
            <w:vAlign w:val="bottom"/>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895,178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708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65,296,094 and 65,296,094 shares issued and outstanding,</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respectively</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5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740,506</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743,968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580" w:type="dxa"/>
            <w:vAlign w:val="bottom"/>
          </w:tcPr>
          <w:p>
            <w:pPr>
              <w:spacing w:after="0"/>
              <w:rPr>
                <w:sz w:val="24"/>
                <w:szCs w:val="2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(276,621)</w:t>
            </w:r>
          </w:p>
        </w:tc>
        <w:tc>
          <w:tcPr>
            <w:tcW w:w="5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(250,125)</w:t>
            </w:r>
          </w:p>
        </w:tc>
        <w:tc>
          <w:tcPr>
            <w:tcW w:w="0" w:type="dxa"/>
            <w:vAlign w:val="bottom"/>
          </w:tcPr>
          <w:p>
            <w:pPr>
              <w:spacing w:after="0"/>
              <w:rPr>
                <w:sz w:val="1"/>
                <w:szCs w:val="1"/>
                <w:color w:val="auto"/>
              </w:rPr>
            </w:pPr>
          </w:p>
        </w:tc>
      </w:tr>
      <w:tr>
        <w:trPr>
          <w:trHeight w:val="265"/>
        </w:trPr>
        <w:tc>
          <w:tcPr>
            <w:tcW w:w="7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5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463,950</w:t>
            </w:r>
          </w:p>
        </w:tc>
        <w:tc>
          <w:tcPr>
            <w:tcW w:w="220" w:type="dxa"/>
            <w:vAlign w:val="bottom"/>
          </w:tcPr>
          <w:p>
            <w:pPr>
              <w:spacing w:after="0"/>
              <w:rPr>
                <w:sz w:val="23"/>
                <w:szCs w:val="23"/>
                <w:color w:val="auto"/>
              </w:rPr>
            </w:pPr>
          </w:p>
        </w:tc>
        <w:tc>
          <w:tcPr>
            <w:tcW w:w="5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493,908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1,349,554</w:t>
            </w:r>
          </w:p>
        </w:tc>
        <w:tc>
          <w:tcPr>
            <w:tcW w:w="220" w:type="dxa"/>
            <w:vAlign w:val="bottom"/>
          </w:tcPr>
          <w:p>
            <w:pPr>
              <w:spacing w:after="0"/>
              <w:rPr>
                <w:sz w:val="22"/>
                <w:szCs w:val="22"/>
                <w:color w:val="auto"/>
              </w:rPr>
            </w:pPr>
          </w:p>
        </w:tc>
        <w:tc>
          <w:tcPr>
            <w:tcW w:w="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1,389,086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080" w:type="dxa"/>
            <w:vAlign w:val="bottom"/>
            <w:vMerge w:val="continue"/>
          </w:tcPr>
          <w:p>
            <w:pPr>
              <w:spacing w:after="0"/>
              <w:rPr>
                <w:sz w:val="22"/>
                <w:szCs w:val="22"/>
                <w:color w:val="auto"/>
              </w:rPr>
            </w:pPr>
          </w:p>
        </w:tc>
        <w:tc>
          <w:tcPr>
            <w:tcW w:w="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w:t>
            </w:r>
          </w:p>
        </w:tc>
        <w:tc>
          <w:tcPr>
            <w:tcW w:w="220" w:type="dxa"/>
            <w:vAlign w:val="bottom"/>
          </w:tcPr>
          <w:p>
            <w:pPr>
              <w:spacing w:after="0"/>
              <w:rPr>
                <w:sz w:val="22"/>
                <w:szCs w:val="22"/>
                <w:color w:val="auto"/>
              </w:rPr>
            </w:pPr>
          </w:p>
        </w:tc>
        <w:tc>
          <w:tcPr>
            <w:tcW w:w="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OPERATIONS </w:t>
      </w:r>
      <w:r>
        <w:rPr>
          <w:rFonts w:ascii="Times New Roman" w:cs="Times New Roman" w:eastAsia="Times New Roman" w:hAnsi="Times New Roman"/>
          <w:sz w:val="22"/>
          <w:szCs w:val="22"/>
          <w:color w:val="auto"/>
        </w:rPr>
        <w:t>(In thousands,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00" w:type="dxa"/>
            <w:vAlign w:val="bottom"/>
          </w:tcPr>
          <w:p>
            <w:pPr>
              <w:spacing w:after="0"/>
              <w:rPr>
                <w:sz w:val="21"/>
                <w:szCs w:val="21"/>
                <w:color w:val="auto"/>
              </w:rPr>
            </w:pPr>
          </w:p>
        </w:tc>
        <w:tc>
          <w:tcPr>
            <w:tcW w:w="2660" w:type="dxa"/>
            <w:vAlign w:val="bottom"/>
            <w:gridSpan w:val="4"/>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Twelve Months Ended</w:t>
            </w:r>
          </w:p>
        </w:tc>
        <w:tc>
          <w:tcPr>
            <w:tcW w:w="0" w:type="dxa"/>
            <w:vAlign w:val="bottom"/>
          </w:tcPr>
          <w:p>
            <w:pPr>
              <w:spacing w:after="0"/>
              <w:rPr>
                <w:sz w:val="1"/>
                <w:szCs w:val="1"/>
                <w:color w:val="auto"/>
              </w:rPr>
            </w:pPr>
          </w:p>
        </w:tc>
      </w:tr>
      <w:tr>
        <w:trPr>
          <w:trHeight w:val="287"/>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00" w:type="dxa"/>
            <w:vAlign w:val="bottom"/>
          </w:tcPr>
          <w:p>
            <w:pPr>
              <w:spacing w:after="0"/>
              <w:rPr>
                <w:sz w:val="24"/>
                <w:szCs w:val="24"/>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50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50"/>
        </w:trPr>
        <w:tc>
          <w:tcPr>
            <w:tcW w:w="5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13,940</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19,174</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60,351</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80,527</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6,222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5,140</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2,869</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3,508</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347</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6,689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6,349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30,049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25,738</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4,084</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4,463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4,840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20,471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21,605</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27,954</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36,500</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122,377</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143,818</w:t>
            </w:r>
          </w:p>
        </w:tc>
        <w:tc>
          <w:tcPr>
            <w:tcW w:w="0" w:type="dxa"/>
            <w:vAlign w:val="bottom"/>
          </w:tcPr>
          <w:p>
            <w:pPr>
              <w:spacing w:after="0"/>
              <w:rPr>
                <w:sz w:val="1"/>
                <w:szCs w:val="1"/>
                <w:color w:val="auto"/>
              </w:rPr>
            </w:pPr>
          </w:p>
        </w:tc>
      </w:tr>
      <w:tr>
        <w:trPr>
          <w:trHeight w:val="250"/>
        </w:trPr>
        <w:tc>
          <w:tcPr>
            <w:tcW w:w="50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10,061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12,281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41,315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45,188</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16,179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16,654</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9,768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12,741</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4,300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4,874</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1,850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1,689</w:t>
            </w:r>
          </w:p>
        </w:tc>
        <w:tc>
          <w:tcPr>
            <w:tcW w:w="0" w:type="dxa"/>
            <w:vAlign w:val="bottom"/>
          </w:tcPr>
          <w:p>
            <w:pPr>
              <w:spacing w:after="0"/>
              <w:rPr>
                <w:sz w:val="1"/>
                <w:szCs w:val="1"/>
                <w:color w:val="auto"/>
              </w:rPr>
            </w:pPr>
          </w:p>
        </w:tc>
      </w:tr>
      <w:tr>
        <w:trPr>
          <w:trHeight w:val="207"/>
        </w:trPr>
        <w:tc>
          <w:tcPr>
            <w:tcW w:w="500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Expenses before provision for taxes and financing</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costs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17,452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21,385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73,412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81,146</w:t>
            </w:r>
          </w:p>
        </w:tc>
        <w:tc>
          <w:tcPr>
            <w:tcW w:w="0" w:type="dxa"/>
            <w:vAlign w:val="bottom"/>
          </w:tcPr>
          <w:p>
            <w:pPr>
              <w:spacing w:after="0"/>
              <w:rPr>
                <w:sz w:val="1"/>
                <w:szCs w:val="1"/>
                <w:color w:val="auto"/>
              </w:rPr>
            </w:pPr>
          </w:p>
        </w:tc>
      </w:tr>
      <w:tr>
        <w:trPr>
          <w:trHeight w:val="251"/>
        </w:trPr>
        <w:tc>
          <w:tcPr>
            <w:tcW w:w="500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670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2,590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2,602</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Credit facility amendment and debt issuance costs</w:t>
            </w:r>
          </w:p>
        </w:tc>
        <w:tc>
          <w:tcPr>
            <w:tcW w:w="3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18,122</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22,085</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76,326</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83,748</w:t>
            </w:r>
          </w:p>
        </w:tc>
        <w:tc>
          <w:tcPr>
            <w:tcW w:w="0" w:type="dxa"/>
            <w:vAlign w:val="bottom"/>
          </w:tcPr>
          <w:p>
            <w:pPr>
              <w:spacing w:after="0"/>
              <w:rPr>
                <w:sz w:val="1"/>
                <w:szCs w:val="1"/>
                <w:color w:val="auto"/>
              </w:rPr>
            </w:pPr>
          </w:p>
        </w:tc>
      </w:tr>
      <w:tr>
        <w:trPr>
          <w:trHeight w:val="264"/>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9,832</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14,415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46,051</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60,070</w:t>
            </w:r>
          </w:p>
        </w:tc>
        <w:tc>
          <w:tcPr>
            <w:tcW w:w="0" w:type="dxa"/>
            <w:vAlign w:val="bottom"/>
          </w:tcPr>
          <w:p>
            <w:pPr>
              <w:spacing w:after="0"/>
              <w:rPr>
                <w:sz w:val="1"/>
                <w:szCs w:val="1"/>
                <w:color w:val="auto"/>
              </w:rPr>
            </w:pPr>
          </w:p>
        </w:tc>
      </w:tr>
      <w:tr>
        <w:trPr>
          <w:trHeight w:val="205"/>
        </w:trPr>
        <w:tc>
          <w:tcPr>
            <w:tcW w:w="500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debt:</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p>
      <w:pPr>
        <w:sectPr>
          <w:pgSz w:w="11900" w:h="16838" w:orient="portrait"/>
          <w:cols w:equalWidth="0" w:num="1">
            <w:col w:w="11200"/>
          </w:cols>
          <w:pgMar w:left="340" w:top="102" w:right="359" w:bottom="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71"/>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1,610</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(30,514)</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(21,946)</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(21,946)</w:t>
            </w:r>
          </w:p>
        </w:tc>
        <w:tc>
          <w:tcPr>
            <w:tcW w:w="4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(34,999)</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363</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(21,635)</w:t>
            </w:r>
          </w:p>
        </w:tc>
        <w:tc>
          <w:tcPr>
            <w:tcW w:w="2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2,448</w:t>
            </w:r>
          </w:p>
        </w:tc>
        <w:tc>
          <w:tcPr>
            <w:tcW w:w="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(52,434)</w:t>
            </w:r>
          </w:p>
        </w:tc>
        <w:tc>
          <w:tcPr>
            <w:tcW w:w="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(33,647)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2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(2,732)</w:t>
            </w:r>
          </w:p>
        </w:tc>
        <w:tc>
          <w:tcPr>
            <w:tcW w:w="4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(5,483)</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9,862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(20,895)</w:t>
            </w: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12,664</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9,796</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29,363</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48,388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Provision for taxes on unrealized appreciation</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on investments</w:t>
            </w:r>
          </w:p>
        </w:tc>
        <w:tc>
          <w:tcPr>
            <w:tcW w:w="4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(680)</w:t>
            </w:r>
          </w:p>
        </w:tc>
        <w:tc>
          <w:tcPr>
            <w:tcW w:w="0" w:type="dxa"/>
            <w:vAlign w:val="bottom"/>
          </w:tcPr>
          <w:p>
            <w:pPr>
              <w:spacing w:after="0"/>
              <w:rPr>
                <w:sz w:val="1"/>
                <w:szCs w:val="1"/>
                <w:color w:val="auto"/>
              </w:rPr>
            </w:pPr>
          </w:p>
        </w:tc>
      </w:tr>
      <w:tr>
        <w:trPr>
          <w:trHeight w:val="282"/>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907</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(2,807)</w:t>
            </w:r>
          </w:p>
        </w:tc>
        <w:tc>
          <w:tcPr>
            <w:tcW w:w="4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(116)</w:t>
            </w:r>
          </w:p>
        </w:tc>
        <w:tc>
          <w:tcPr>
            <w:tcW w:w="4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(4,385)</w:t>
            </w:r>
          </w:p>
        </w:tc>
        <w:tc>
          <w:tcPr>
            <w:tcW w:w="0" w:type="dxa"/>
            <w:vAlign w:val="bottom"/>
          </w:tcPr>
          <w:p>
            <w:pPr>
              <w:spacing w:after="0"/>
              <w:rPr>
                <w:sz w:val="1"/>
                <w:szCs w:val="1"/>
                <w:color w:val="auto"/>
              </w:rPr>
            </w:pPr>
          </w:p>
        </w:tc>
      </w:tr>
      <w:tr>
        <w:trPr>
          <w:trHeight w:val="207"/>
        </w:trPr>
        <w:tc>
          <w:tcPr>
            <w:tcW w:w="500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w:t>
            </w: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(depreciation) on investments and debt</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10,839</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1,506</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39,109</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22,428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gain (loss) from</w:t>
            </w:r>
          </w:p>
        </w:tc>
        <w:tc>
          <w:tcPr>
            <w:tcW w:w="42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(10,796 )</w:t>
            </w:r>
          </w:p>
        </w:tc>
        <w:tc>
          <w:tcPr>
            <w:tcW w:w="4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3,954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(13,325 )</w:t>
            </w:r>
          </w:p>
        </w:tc>
        <w:tc>
          <w:tcPr>
            <w:tcW w:w="42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(11,219 )</w:t>
            </w:r>
          </w:p>
        </w:tc>
        <w:tc>
          <w:tcPr>
            <w:tcW w:w="0" w:type="dxa"/>
            <w:vAlign w:val="bottom"/>
          </w:tcPr>
          <w:p>
            <w:pPr>
              <w:spacing w:after="0"/>
              <w:rPr>
                <w:sz w:val="1"/>
                <w:szCs w:val="1"/>
                <w:color w:val="auto"/>
              </w:rPr>
            </w:pPr>
          </w:p>
        </w:tc>
      </w:tr>
      <w:tr>
        <w:trPr>
          <w:trHeight w:val="261"/>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42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(964 )</w:t>
            </w:r>
          </w:p>
        </w:tc>
        <w:tc>
          <w:tcPr>
            <w:tcW w:w="4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18,369</w:t>
            </w:r>
          </w:p>
        </w:tc>
        <w:tc>
          <w:tcPr>
            <w:tcW w:w="200" w:type="dxa"/>
            <w:vAlign w:val="bottom"/>
          </w:tcPr>
          <w:p>
            <w:pPr>
              <w:spacing w:after="0"/>
              <w:rPr>
                <w:sz w:val="16"/>
                <w:szCs w:val="16"/>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32,726</w:t>
            </w:r>
          </w:p>
        </w:tc>
        <w:tc>
          <w:tcPr>
            <w:tcW w:w="200" w:type="dxa"/>
            <w:vAlign w:val="bottom"/>
          </w:tcPr>
          <w:p>
            <w:pPr>
              <w:spacing w:after="0"/>
              <w:rPr>
                <w:sz w:val="16"/>
                <w:szCs w:val="16"/>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48,851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w:t>
            </w:r>
          </w:p>
        </w:tc>
        <w:tc>
          <w:tcPr>
            <w:tcW w:w="42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(0.01 )</w:t>
            </w:r>
          </w:p>
        </w:tc>
        <w:tc>
          <w:tcPr>
            <w:tcW w:w="4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0.28</w:t>
            </w:r>
          </w:p>
        </w:tc>
        <w:tc>
          <w:tcPr>
            <w:tcW w:w="200" w:type="dxa"/>
            <w:vAlign w:val="bottom"/>
          </w:tcPr>
          <w:p>
            <w:pPr>
              <w:spacing w:after="0"/>
              <w:rPr>
                <w:sz w:val="16"/>
                <w:szCs w:val="16"/>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w:t>
            </w:r>
          </w:p>
        </w:tc>
        <w:tc>
          <w:tcPr>
            <w:tcW w:w="200" w:type="dxa"/>
            <w:vAlign w:val="bottom"/>
          </w:tcPr>
          <w:p>
            <w:pPr>
              <w:spacing w:after="0"/>
              <w:rPr>
                <w:sz w:val="16"/>
                <w:szCs w:val="16"/>
                <w:color w:val="auto"/>
              </w:rPr>
            </w:pPr>
          </w:p>
        </w:tc>
        <w:tc>
          <w:tcPr>
            <w:tcW w:w="42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 per common share</w:t>
            </w:r>
          </w:p>
        </w:tc>
        <w:tc>
          <w:tcPr>
            <w:tcW w:w="42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00" w:type="dxa"/>
            <w:vAlign w:val="bottom"/>
            <w:vMerge w:val="continue"/>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200" w:type="dxa"/>
            <w:vAlign w:val="bottom"/>
          </w:tcPr>
          <w:p>
            <w:pPr>
              <w:spacing w:after="0"/>
              <w:rPr>
                <w:sz w:val="22"/>
                <w:szCs w:val="22"/>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0.71</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0.92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Richard T. Allorto, Jr.</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7" w:lineRule="exact"/>
        <w:rPr>
          <w:sz w:val="20"/>
          <w:szCs w:val="20"/>
          <w:color w:val="auto"/>
        </w:rPr>
      </w:pPr>
    </w:p>
    <w:p>
      <w:pPr>
        <w:ind w:left="1380" w:right="7860" w:hanging="9"/>
        <w:spacing w:after="0" w:line="296" w:lineRule="auto"/>
        <w:tabs>
          <w:tab w:leader="none" w:pos="190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6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2025-11-24T16:05:55Z</dcterms:created>
  <dcterms:modified xsi:type="dcterms:W3CDTF">2025-11-24T16:05:55Z</dcterms:modified>
</cp:coreProperties>
</file>