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5, 2007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333-140092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1120" w:type="dxa"/>
            <w:vAlign w:val="bottom"/>
          </w:tcPr>
          <w:p>
            <w:pPr>
              <w:spacing w:after="0"/>
              <w:rPr>
                <w:sz w:val="24"/>
                <w:szCs w:val="24"/>
                <w:color w:val="auto"/>
              </w:rPr>
            </w:pPr>
          </w:p>
        </w:tc>
        <w:tc>
          <w:tcPr>
            <w:tcW w:w="824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94"/>
              </w:rPr>
              <w:t>WASHINGTON, D.C. 20549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32"/>
                <w:szCs w:val="32"/>
                <w:b w:val="1"/>
                <w:bCs w:val="1"/>
                <w:color w:val="auto"/>
              </w:rPr>
              <w:t>FORM N-2</w:t>
            </w:r>
          </w:p>
        </w:tc>
        <w:tc>
          <w:tcPr>
            <w:tcW w:w="0" w:type="dxa"/>
            <w:vAlign w:val="bottom"/>
          </w:tcPr>
          <w:p>
            <w:pPr>
              <w:spacing w:after="0"/>
              <w:rPr>
                <w:sz w:val="1"/>
                <w:szCs w:val="1"/>
                <w:color w:val="auto"/>
              </w:rPr>
            </w:pPr>
          </w:p>
        </w:tc>
      </w:tr>
      <w:tr>
        <w:trPr>
          <w:trHeight w:val="174"/>
        </w:trPr>
        <w:tc>
          <w:tcPr>
            <w:tcW w:w="11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120" w:type="dxa"/>
            <w:vAlign w:val="bottom"/>
            <w:vMerge w:val="continue"/>
          </w:tcPr>
          <w:p>
            <w:pPr>
              <w:spacing w:after="0"/>
              <w:rPr>
                <w:sz w:val="24"/>
                <w:szCs w:val="24"/>
                <w:color w:val="auto"/>
              </w:rPr>
            </w:pPr>
          </w:p>
        </w:tc>
        <w:tc>
          <w:tcPr>
            <w:tcW w:w="8240" w:type="dxa"/>
            <w:vAlign w:val="bottom"/>
            <w:gridSpan w:val="3"/>
          </w:tcPr>
          <w:p>
            <w:pPr>
              <w:jc w:val="center"/>
              <w:ind w:left="1303"/>
              <w:spacing w:after="0"/>
              <w:rPr>
                <w:sz w:val="20"/>
                <w:szCs w:val="20"/>
                <w:color w:val="auto"/>
              </w:rPr>
            </w:pPr>
            <w:r>
              <w:rPr>
                <w:rFonts w:ascii="Arial" w:cs="Arial" w:eastAsia="Arial" w:hAnsi="Arial"/>
                <w:sz w:val="18"/>
                <w:szCs w:val="18"/>
                <w:b w:val="1"/>
                <w:bCs w:val="1"/>
                <w:color w:val="auto"/>
                <w:w w:val="97"/>
              </w:rPr>
              <w:t>REGISTRATION STATEMENT UNDER THE SECURITIES ACT OF 1933</w:t>
            </w:r>
          </w:p>
        </w:tc>
        <w:tc>
          <w:tcPr>
            <w:tcW w:w="0" w:type="dxa"/>
            <w:vAlign w:val="bottom"/>
          </w:tcPr>
          <w:p>
            <w:pPr>
              <w:spacing w:after="0"/>
              <w:rPr>
                <w:sz w:val="1"/>
                <w:szCs w:val="1"/>
                <w:color w:val="auto"/>
              </w:rPr>
            </w:pPr>
          </w:p>
        </w:tc>
      </w:tr>
      <w:tr>
        <w:trPr>
          <w:trHeight w:val="216"/>
        </w:trPr>
        <w:tc>
          <w:tcPr>
            <w:tcW w:w="11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gridSpan w:val="3"/>
          </w:tcPr>
          <w:p>
            <w:pPr>
              <w:jc w:val="center"/>
              <w:ind w:left="1303"/>
              <w:spacing w:after="0"/>
              <w:rPr>
                <w:sz w:val="20"/>
                <w:szCs w:val="20"/>
                <w:color w:val="auto"/>
              </w:rPr>
            </w:pPr>
            <w:r>
              <w:rPr>
                <w:rFonts w:ascii="Arial" w:cs="Arial" w:eastAsia="Arial" w:hAnsi="Arial"/>
                <w:sz w:val="18"/>
                <w:szCs w:val="18"/>
                <w:b w:val="1"/>
                <w:bCs w:val="1"/>
                <w:color w:val="auto"/>
                <w:w w:val="98"/>
              </w:rPr>
              <w:t>PRE-EFFECTIVE AMENDMENT NO. 3</w:t>
            </w:r>
          </w:p>
        </w:tc>
        <w:tc>
          <w:tcPr>
            <w:tcW w:w="0" w:type="dxa"/>
            <w:vAlign w:val="bottom"/>
          </w:tcPr>
          <w:p>
            <w:pPr>
              <w:spacing w:after="0"/>
              <w:rPr>
                <w:sz w:val="1"/>
                <w:szCs w:val="1"/>
                <w:color w:val="auto"/>
              </w:rPr>
            </w:pPr>
          </w:p>
        </w:tc>
      </w:tr>
      <w:tr>
        <w:trPr>
          <w:trHeight w:val="216"/>
        </w:trPr>
        <w:tc>
          <w:tcPr>
            <w:tcW w:w="11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gridSpan w:val="3"/>
          </w:tcPr>
          <w:p>
            <w:pPr>
              <w:jc w:val="center"/>
              <w:ind w:left="1303"/>
              <w:spacing w:after="0"/>
              <w:rPr>
                <w:sz w:val="20"/>
                <w:szCs w:val="20"/>
                <w:color w:val="auto"/>
              </w:rPr>
            </w:pPr>
            <w:r>
              <w:rPr>
                <w:rFonts w:ascii="Arial" w:cs="Arial" w:eastAsia="Arial" w:hAnsi="Arial"/>
                <w:sz w:val="18"/>
                <w:szCs w:val="18"/>
                <w:b w:val="1"/>
                <w:bCs w:val="1"/>
                <w:color w:val="auto"/>
                <w:w w:val="98"/>
              </w:rPr>
              <w:t>POST-EFFECTIVE AMENDMENT NO.</w:t>
            </w:r>
          </w:p>
        </w:tc>
        <w:tc>
          <w:tcPr>
            <w:tcW w:w="0" w:type="dxa"/>
            <w:vAlign w:val="bottom"/>
          </w:tcPr>
          <w:p>
            <w:pPr>
              <w:spacing w:after="0"/>
              <w:rPr>
                <w:sz w:val="1"/>
                <w:szCs w:val="1"/>
                <w:color w:val="auto"/>
              </w:rPr>
            </w:pPr>
          </w:p>
        </w:tc>
      </w:tr>
      <w:tr>
        <w:trPr>
          <w:trHeight w:val="275"/>
        </w:trPr>
        <w:tc>
          <w:tcPr>
            <w:tcW w:w="11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gridSpan w:val="3"/>
          </w:tcPr>
          <w:p>
            <w:pPr>
              <w:jc w:val="center"/>
              <w:ind w:left="1323"/>
              <w:spacing w:after="0"/>
              <w:rPr>
                <w:sz w:val="20"/>
                <w:szCs w:val="20"/>
                <w:color w:val="auto"/>
              </w:rPr>
            </w:pPr>
            <w:r>
              <w:rPr>
                <w:rFonts w:ascii="Arial" w:cs="Arial" w:eastAsia="Arial" w:hAnsi="Arial"/>
                <w:sz w:val="18"/>
                <w:szCs w:val="18"/>
                <w:b w:val="1"/>
                <w:bCs w:val="1"/>
                <w:color w:val="auto"/>
                <w:w w:val="97"/>
              </w:rPr>
              <w:t>REGISTRATION STATEMENT UNDER THE INVESTMENT COMPANY ACT OF 1940</w:t>
            </w: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4"/>
                <w:szCs w:val="24"/>
                <w:color w:val="auto"/>
              </w:rPr>
            </w:pPr>
          </w:p>
        </w:tc>
        <w:tc>
          <w:tcPr>
            <w:tcW w:w="8240" w:type="dxa"/>
            <w:vAlign w:val="bottom"/>
            <w:gridSpan w:val="3"/>
          </w:tcPr>
          <w:p>
            <w:pPr>
              <w:jc w:val="center"/>
              <w:ind w:left="863"/>
              <w:spacing w:after="0"/>
              <w:rPr>
                <w:sz w:val="20"/>
                <w:szCs w:val="20"/>
                <w:color w:val="auto"/>
              </w:rPr>
            </w:pPr>
            <w:r>
              <w:rPr>
                <w:rFonts w:ascii="Arial" w:cs="Arial" w:eastAsia="Arial" w:hAnsi="Arial"/>
                <w:sz w:val="32"/>
                <w:szCs w:val="32"/>
                <w:b w:val="1"/>
                <w:bCs w:val="1"/>
                <w:color w:val="auto"/>
              </w:rPr>
              <w:t>PENNANTPARK INVESTMENT CORPORATION</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8240" w:type="dxa"/>
            <w:vAlign w:val="bottom"/>
            <w:gridSpan w:val="3"/>
          </w:tcPr>
          <w:p>
            <w:pPr>
              <w:jc w:val="center"/>
              <w:ind w:left="843"/>
              <w:spacing w:after="0"/>
              <w:rPr>
                <w:sz w:val="20"/>
                <w:szCs w:val="20"/>
                <w:color w:val="auto"/>
              </w:rPr>
            </w:pPr>
            <w:r>
              <w:rPr>
                <w:rFonts w:ascii="Arial" w:cs="Arial" w:eastAsia="Arial" w:hAnsi="Arial"/>
                <w:sz w:val="18"/>
                <w:szCs w:val="18"/>
                <w:b w:val="1"/>
                <w:bCs w:val="1"/>
                <w:color w:val="auto"/>
                <w:w w:val="88"/>
              </w:rPr>
              <w:t>(Exact Name of Registrant as Specified in Charter)</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8"/>
              </w:rPr>
              <w:t>445 Park Avenue, 10</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9"/>
              </w:rPr>
              <w:t>New York, New York 10022</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8240" w:type="dxa"/>
            <w:vAlign w:val="bottom"/>
            <w:gridSpan w:val="3"/>
          </w:tcPr>
          <w:p>
            <w:pPr>
              <w:jc w:val="center"/>
              <w:ind w:left="863"/>
              <w:spacing w:after="0"/>
              <w:rPr>
                <w:sz w:val="20"/>
                <w:szCs w:val="20"/>
                <w:color w:val="auto"/>
              </w:rPr>
            </w:pPr>
            <w:r>
              <w:rPr>
                <w:rFonts w:ascii="Arial" w:cs="Arial" w:eastAsia="Arial" w:hAnsi="Arial"/>
                <w:sz w:val="18"/>
                <w:szCs w:val="18"/>
                <w:b w:val="1"/>
                <w:bCs w:val="1"/>
                <w:color w:val="auto"/>
                <w:w w:val="87"/>
              </w:rPr>
              <w:t>Registrant’s Telephone Number, including Area Code: (212) 307-3280</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92"/>
              </w:rPr>
              <w:t>Arthur H. Penn</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8240" w:type="dxa"/>
            <w:vAlign w:val="bottom"/>
            <w:gridSpan w:val="3"/>
          </w:tcPr>
          <w:p>
            <w:pPr>
              <w:jc w:val="center"/>
              <w:ind w:left="843"/>
              <w:spacing w:after="0"/>
              <w:rPr>
                <w:sz w:val="20"/>
                <w:szCs w:val="20"/>
                <w:color w:val="auto"/>
              </w:rPr>
            </w:pPr>
            <w:r>
              <w:rPr>
                <w:rFonts w:ascii="Arial" w:cs="Arial" w:eastAsia="Arial" w:hAnsi="Arial"/>
                <w:sz w:val="18"/>
                <w:szCs w:val="18"/>
                <w:b w:val="1"/>
                <w:bCs w:val="1"/>
                <w:color w:val="auto"/>
                <w:w w:val="89"/>
              </w:rPr>
              <w:t>PennantPark Investment Corporation</w:t>
            </w: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8"/>
              </w:rPr>
              <w:t>445 Park Avenue, 10</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9"/>
              </w:rPr>
              <w:t>New York, New York 10022</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5800" w:type="dxa"/>
            <w:vAlign w:val="bottom"/>
            <w:gridSpan w:val="2"/>
          </w:tcPr>
          <w:p>
            <w:pPr>
              <w:jc w:val="center"/>
              <w:ind w:left="3283"/>
              <w:spacing w:after="0"/>
              <w:rPr>
                <w:sz w:val="20"/>
                <w:szCs w:val="20"/>
                <w:color w:val="auto"/>
              </w:rPr>
            </w:pPr>
            <w:r>
              <w:rPr>
                <w:rFonts w:ascii="Arial" w:cs="Arial" w:eastAsia="Arial" w:hAnsi="Arial"/>
                <w:sz w:val="18"/>
                <w:szCs w:val="18"/>
                <w:b w:val="1"/>
                <w:bCs w:val="1"/>
                <w:color w:val="auto"/>
                <w:w w:val="89"/>
              </w:rPr>
              <w:t>(212) 307-3280</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8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7"/>
              </w:rPr>
              <w:t>(Name And Address of Agent for Service)</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i w:val="1"/>
                <w:iCs w:val="1"/>
                <w:color w:val="auto"/>
                <w:w w:val="85"/>
              </w:rPr>
              <w:t>Copies of information to:</w:t>
            </w:r>
          </w:p>
        </w:tc>
        <w:tc>
          <w:tcPr>
            <w:tcW w:w="0" w:type="dxa"/>
            <w:vAlign w:val="bottom"/>
          </w:tcPr>
          <w:p>
            <w:pPr>
              <w:spacing w:after="0"/>
              <w:rPr>
                <w:sz w:val="1"/>
                <w:szCs w:val="1"/>
                <w:color w:val="auto"/>
              </w:rPr>
            </w:pPr>
          </w:p>
        </w:tc>
      </w:tr>
    </w:tbl>
    <w:p>
      <w:pPr>
        <w:spacing w:after="0" w:line="136"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Thomas J. Friedmann</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6"/>
              </w:rPr>
              <w:t>Steven B. Boehm</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3"/>
              </w:rPr>
              <w:t>David J. Harris</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3"/>
              </w:rPr>
              <w:t>Cynthia M. Krus</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2"/>
              </w:rPr>
              <w:t>Dechert LLP</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1"/>
              </w:rPr>
              <w:t>Sutherland Asbill &amp; Brennan LLP</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0"/>
              </w:rPr>
              <w:t>1775 I Street, N.W.</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1275 Pennsylvania Avenue, N.W.</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Washington, DC 20006</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9"/>
              </w:rPr>
              <w:t>Washington, DC</w:t>
            </w:r>
          </w:p>
        </w:tc>
      </w:tr>
      <w:tr>
        <w:trPr>
          <w:trHeight w:val="228"/>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(202) 261-3300</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(202) 383-0100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121285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8" w:lineRule="exact"/>
        <w:rPr>
          <w:sz w:val="24"/>
          <w:szCs w:val="24"/>
          <w:color w:val="auto"/>
        </w:rPr>
      </w:pPr>
    </w:p>
    <w:p>
      <w:pPr>
        <w:jc w:val="both"/>
        <w:ind w:right="180" w:firstLine="456"/>
        <w:spacing w:after="0" w:line="227" w:lineRule="exact"/>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 If any securities being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760" w:type="dxa"/>
            <w:vAlign w:val="bottom"/>
            <w:tcBorders>
              <w:top w:val="single" w:sz="8" w:color="auto"/>
              <w:bottom w:val="single" w:sz="8" w:color="auto"/>
            </w:tcBorders>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3480" w:type="dxa"/>
            <w:vAlign w:val="bottom"/>
          </w:tcPr>
          <w:p>
            <w:pPr>
              <w:jc w:val="center"/>
              <w:ind w:left="1350"/>
              <w:spacing w:after="0" w:line="117" w:lineRule="exact"/>
              <w:rPr>
                <w:sz w:val="20"/>
                <w:szCs w:val="20"/>
                <w:color w:val="auto"/>
              </w:rPr>
            </w:pPr>
            <w:r>
              <w:rPr>
                <w:rFonts w:ascii="Arial" w:cs="Arial" w:eastAsia="Arial" w:hAnsi="Arial"/>
                <w:sz w:val="12"/>
                <w:szCs w:val="12"/>
                <w:b w:val="1"/>
                <w:bCs w:val="1"/>
                <w:color w:val="auto"/>
                <w:w w:val="97"/>
              </w:rPr>
              <w:t>Proposed</w:t>
            </w: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80" w:type="dxa"/>
            <w:vAlign w:val="bottom"/>
          </w:tcPr>
          <w:p>
            <w:pPr>
              <w:jc w:val="center"/>
              <w:ind w:left="1330"/>
              <w:spacing w:after="0" w:line="149" w:lineRule="exact"/>
              <w:rPr>
                <w:sz w:val="20"/>
                <w:szCs w:val="20"/>
                <w:color w:val="auto"/>
              </w:rPr>
            </w:pPr>
            <w:r>
              <w:rPr>
                <w:rFonts w:ascii="Arial" w:cs="Arial" w:eastAsia="Arial" w:hAnsi="Arial"/>
                <w:sz w:val="14"/>
                <w:szCs w:val="14"/>
                <w:b w:val="1"/>
                <w:bCs w:val="1"/>
                <w:color w:val="auto"/>
                <w:w w:val="92"/>
              </w:rPr>
              <w:t>Maximum</w:t>
            </w:r>
          </w:p>
        </w:tc>
        <w:tc>
          <w:tcPr>
            <w:tcW w:w="1180" w:type="dxa"/>
            <w:vAlign w:val="bottom"/>
            <w:gridSpan w:val="2"/>
          </w:tcPr>
          <w:p>
            <w:pPr>
              <w:jc w:val="center"/>
              <w:ind w:left="36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80" w:type="dxa"/>
            <w:vAlign w:val="bottom"/>
          </w:tcPr>
          <w:p>
            <w:pPr>
              <w:jc w:val="center"/>
              <w:ind w:left="135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80" w:type="dxa"/>
            <w:vAlign w:val="bottom"/>
            <w:gridSpan w:val="2"/>
          </w:tcPr>
          <w:p>
            <w:pPr>
              <w:jc w:val="center"/>
              <w:ind w:left="34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6760" w:type="dxa"/>
            <w:vAlign w:val="bottom"/>
          </w:tcPr>
          <w:p>
            <w:pPr>
              <w:ind w:left="2860"/>
              <w:spacing w:after="0"/>
              <w:rPr>
                <w:sz w:val="20"/>
                <w:szCs w:val="20"/>
                <w:color w:val="auto"/>
              </w:rPr>
            </w:pPr>
            <w:r>
              <w:rPr>
                <w:rFonts w:ascii="Arial" w:cs="Arial" w:eastAsia="Arial" w:hAnsi="Arial"/>
                <w:sz w:val="14"/>
                <w:szCs w:val="14"/>
                <w:b w:val="1"/>
                <w:bCs w:val="1"/>
                <w:color w:val="auto"/>
              </w:rPr>
              <w:t>Title of Securities Being Registered</w:t>
            </w:r>
          </w:p>
        </w:tc>
        <w:tc>
          <w:tcPr>
            <w:tcW w:w="3480" w:type="dxa"/>
            <w:vAlign w:val="bottom"/>
          </w:tcPr>
          <w:p>
            <w:pPr>
              <w:jc w:val="center"/>
              <w:ind w:left="1350"/>
              <w:spacing w:after="0"/>
              <w:rPr>
                <w:sz w:val="20"/>
                <w:szCs w:val="20"/>
                <w:color w:val="auto"/>
              </w:rPr>
            </w:pPr>
            <w:r>
              <w:rPr>
                <w:rFonts w:ascii="Arial" w:cs="Arial" w:eastAsia="Arial" w:hAnsi="Arial"/>
                <w:sz w:val="14"/>
                <w:szCs w:val="14"/>
                <w:b w:val="1"/>
                <w:bCs w:val="1"/>
                <w:color w:val="auto"/>
                <w:w w:val="89"/>
              </w:rPr>
              <w:t>Offering Price(1)(2)</w:t>
            </w:r>
          </w:p>
        </w:tc>
        <w:tc>
          <w:tcPr>
            <w:tcW w:w="1180" w:type="dxa"/>
            <w:vAlign w:val="bottom"/>
            <w:gridSpan w:val="2"/>
          </w:tcPr>
          <w:p>
            <w:pPr>
              <w:jc w:val="center"/>
              <w:ind w:left="347"/>
              <w:spacing w:after="0"/>
              <w:rPr>
                <w:sz w:val="20"/>
                <w:szCs w:val="20"/>
                <w:color w:val="auto"/>
              </w:rPr>
            </w:pPr>
            <w:r>
              <w:rPr>
                <w:rFonts w:ascii="Arial" w:cs="Arial" w:eastAsia="Arial" w:hAnsi="Arial"/>
                <w:sz w:val="14"/>
                <w:szCs w:val="14"/>
                <w:b w:val="1"/>
                <w:bCs w:val="1"/>
                <w:color w:val="auto"/>
                <w:w w:val="87"/>
              </w:rPr>
              <w:t>Fee(3)</w:t>
            </w:r>
          </w:p>
        </w:tc>
      </w:tr>
      <w:tr>
        <w:trPr>
          <w:trHeight w:val="210"/>
        </w:trPr>
        <w:tc>
          <w:tcPr>
            <w:tcW w:w="20" w:type="dxa"/>
            <w:vAlign w:val="bottom"/>
            <w:tcBorders>
              <w:bottom w:val="single" w:sz="8" w:color="auto"/>
            </w:tcBorders>
          </w:tcPr>
          <w:p>
            <w:pPr>
              <w:spacing w:after="0"/>
              <w:rPr>
                <w:sz w:val="18"/>
                <w:szCs w:val="18"/>
                <w:color w:val="auto"/>
              </w:rPr>
            </w:pPr>
          </w:p>
        </w:tc>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3480" w:type="dxa"/>
            <w:vAlign w:val="bottom"/>
            <w:tcBorders>
              <w:top w:val="single" w:sz="8" w:color="auto"/>
              <w:bottom w:val="single" w:sz="8" w:color="auto"/>
            </w:tcBorders>
          </w:tcPr>
          <w:p>
            <w:pPr>
              <w:jc w:val="center"/>
              <w:ind w:left="1350"/>
              <w:spacing w:after="0"/>
              <w:rPr>
                <w:sz w:val="20"/>
                <w:szCs w:val="20"/>
                <w:color w:val="auto"/>
              </w:rPr>
            </w:pPr>
            <w:r>
              <w:rPr>
                <w:rFonts w:ascii="Arial" w:cs="Arial" w:eastAsia="Arial" w:hAnsi="Arial"/>
                <w:sz w:val="18"/>
                <w:szCs w:val="18"/>
                <w:color w:val="auto"/>
                <w:w w:val="94"/>
              </w:rPr>
              <w:t>$  465,750,000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49,397</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solely for the purpose of determining the registration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32" w:lineRule="exact"/>
        <w:rPr>
          <w:sz w:val="24"/>
          <w:szCs w:val="24"/>
          <w:color w:val="auto"/>
        </w:rPr>
      </w:pPr>
    </w:p>
    <w:p>
      <w:pPr>
        <w:jc w:val="both"/>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5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This Amendment No. 3 to the Registration Statement on Form N-2 of PennantPark Investment Corporation is being filed solely for the purpose of filing exhibits, specifically: (1) Articles of Amendment and Restatement; (2) Amended and Restated Bylaws; (3) Amended Form of Stock Certificate; (4) Form of Underwriting Agreement among the Registrant, PennantPark Investment Advisers, LLC, PennantPark Administration, LLC and Bear, Steams &amp; Co. Inc. and the other underwriters named therein; (5) Form of Custodian Agreement between Registrant and PFPC Trust Company; (6) Trademark License Agreement between the Registrant and PennantPark Investment Advisers, LLC; (7) Amendment to Credit Agreement between Registrant and Bear Stearns Investment Products Inc.;</w:t>
      </w:r>
    </w:p>
    <w:p>
      <w:pPr>
        <w:spacing w:after="0" w:line="2" w:lineRule="exact"/>
        <w:rPr>
          <w:sz w:val="20"/>
          <w:szCs w:val="20"/>
          <w:color w:val="auto"/>
        </w:rPr>
      </w:pPr>
    </w:p>
    <w:p>
      <w:pPr>
        <w:ind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Registration Rights Agreement among the Registrant and the purchasers in a private placement of 320,000 shares of common stock of the Registrant; and (9) Opinion and consent of Venable LLP, special Maryland counsel for Registrant.</w:t>
      </w:r>
    </w:p>
    <w:p>
      <w:pPr>
        <w:sectPr>
          <w:pgSz w:w="11900" w:h="16838" w:orient="portrait"/>
          <w:cols w:equalWidth="0" w:num="1">
            <w:col w:w="11360"/>
          </w:cols>
          <w:pgMar w:left="240" w:top="274"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Articles of Amendment and Restatement</w:t>
      </w:r>
    </w:p>
    <w:p>
      <w:pPr>
        <w:spacing w:after="0" w:line="15"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Form of Stock Certificate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line="212"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Reinvestment Plan</w:t>
      </w:r>
      <w:r>
        <w:rPr>
          <w:rFonts w:ascii="Arial" w:cs="Arial" w:eastAsia="Arial" w:hAnsi="Arial"/>
          <w:sz w:val="22"/>
          <w:szCs w:val="22"/>
          <w:color w:val="auto"/>
          <w:vertAlign w:val="superscript"/>
        </w:rPr>
        <w:t>(1)</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tbl>
      <w:tblPr>
        <w:tblLayout w:type="fixed"/>
        <w:tblInd w:w="0" w:type="dxa"/>
        <w:tblCellMar>
          <w:top w:w="0" w:type="dxa"/>
          <w:left w:w="0" w:type="dxa"/>
          <w:bottom w:w="0" w:type="dxa"/>
          <w:right w:w="0" w:type="dxa"/>
        </w:tblCellMar>
      </w:tblPr>
      <w:tr>
        <w:trPr>
          <w:trHeight w:val="211"/>
        </w:trPr>
        <w:tc>
          <w:tcPr>
            <w:tcW w:w="740" w:type="dxa"/>
            <w:vAlign w:val="bottom"/>
          </w:tcPr>
          <w:p>
            <w:pPr>
              <w:spacing w:after="0"/>
              <w:rPr>
                <w:sz w:val="20"/>
                <w:szCs w:val="20"/>
                <w:color w:val="auto"/>
              </w:rPr>
            </w:pPr>
            <w:r>
              <w:rPr>
                <w:rFonts w:ascii="Arial" w:cs="Arial" w:eastAsia="Arial" w:hAnsi="Arial"/>
                <w:sz w:val="18"/>
                <w:szCs w:val="18"/>
                <w:color w:val="auto"/>
              </w:rPr>
              <w:t>(g)(1)</w:t>
            </w:r>
          </w:p>
        </w:tc>
        <w:tc>
          <w:tcPr>
            <w:tcW w:w="8160" w:type="dxa"/>
            <w:vAlign w:val="bottom"/>
          </w:tcPr>
          <w:p>
            <w:pPr>
              <w:ind w:left="300"/>
              <w:spacing w:after="0" w:line="211" w:lineRule="exact"/>
              <w:rPr>
                <w:sz w:val="20"/>
                <w:szCs w:val="20"/>
                <w:color w:val="auto"/>
              </w:rPr>
            </w:pPr>
            <w:r>
              <w:rPr>
                <w:rFonts w:ascii="Arial" w:cs="Arial" w:eastAsia="Arial" w:hAnsi="Arial"/>
                <w:sz w:val="18"/>
                <w:szCs w:val="18"/>
                <w:color w:val="auto"/>
                <w:w w:val="88"/>
              </w:rPr>
              <w:t>Interim Investment Management Agreement between Registrant and PennantPark Investment Advisers, LLC</w:t>
            </w:r>
            <w:r>
              <w:rPr>
                <w:rFonts w:ascii="Arial" w:cs="Arial" w:eastAsia="Arial" w:hAnsi="Arial"/>
                <w:sz w:val="22"/>
                <w:szCs w:val="22"/>
                <w:color w:val="auto"/>
                <w:w w:val="88"/>
                <w:vertAlign w:val="superscript"/>
              </w:rPr>
              <w:t>(1)</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(g)(2)</w:t>
            </w:r>
          </w:p>
        </w:tc>
        <w:tc>
          <w:tcPr>
            <w:tcW w:w="8160" w:type="dxa"/>
            <w:vAlign w:val="bottom"/>
          </w:tcPr>
          <w:p>
            <w:pPr>
              <w:ind w:left="300"/>
              <w:spacing w:after="0" w:line="230" w:lineRule="exact"/>
              <w:rPr>
                <w:sz w:val="20"/>
                <w:szCs w:val="20"/>
                <w:color w:val="auto"/>
              </w:rPr>
            </w:pPr>
            <w:r>
              <w:rPr>
                <w:rFonts w:ascii="Arial" w:cs="Arial" w:eastAsia="Arial" w:hAnsi="Arial"/>
                <w:sz w:val="18"/>
                <w:szCs w:val="18"/>
                <w:color w:val="auto"/>
                <w:w w:val="88"/>
              </w:rPr>
              <w:t>Form of Investment Management Agreement between Registrant and PennantPark Investment Advisers, LLC</w:t>
            </w:r>
            <w:r>
              <w:rPr>
                <w:rFonts w:ascii="Arial" w:cs="Arial" w:eastAsia="Arial" w:hAnsi="Arial"/>
                <w:sz w:val="22"/>
                <w:szCs w:val="22"/>
                <w:color w:val="auto"/>
                <w:w w:val="88"/>
                <w:vertAlign w:val="superscript"/>
              </w:rPr>
              <w:t>(1)</w:t>
            </w:r>
          </w:p>
        </w:tc>
      </w:tr>
    </w:tbl>
    <w:p>
      <w:pPr>
        <w:ind w:left="1260" w:right="260" w:hanging="1252"/>
        <w:spacing w:after="0" w:line="246" w:lineRule="auto"/>
        <w:tabs>
          <w:tab w:leader="none" w:pos="104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Underwriting Agreement among the Registrant, PennantPark Investment Advisers, LLC, PennantPark Administration, LLC and Bear, Stearns &amp; Co. Inc. and the other underwriters named therein</w:t>
      </w:r>
    </w:p>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Custodian Agreement between Registrant and PFPC Trust Company</w:t>
      </w:r>
    </w:p>
    <w:tbl>
      <w:tblPr>
        <w:tblLayout w:type="fixed"/>
        <w:tblInd w:w="0" w:type="dxa"/>
        <w:tblCellMar>
          <w:top w:w="0" w:type="dxa"/>
          <w:left w:w="0" w:type="dxa"/>
          <w:bottom w:w="0" w:type="dxa"/>
          <w:right w:w="0" w:type="dxa"/>
        </w:tblCellMar>
      </w:tblPr>
      <w:tr>
        <w:trPr>
          <w:trHeight w:val="219"/>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10600" w:type="dxa"/>
            <w:vAlign w:val="bottom"/>
          </w:tcPr>
          <w:p>
            <w:pPr>
              <w:ind w:left="300"/>
              <w:spacing w:after="0" w:line="219" w:lineRule="exact"/>
              <w:rPr>
                <w:sz w:val="20"/>
                <w:szCs w:val="20"/>
                <w:color w:val="auto"/>
              </w:rPr>
            </w:pPr>
            <w:r>
              <w:rPr>
                <w:rFonts w:ascii="Arial" w:cs="Arial" w:eastAsia="Arial" w:hAnsi="Arial"/>
                <w:sz w:val="18"/>
                <w:szCs w:val="18"/>
                <w:color w:val="auto"/>
              </w:rPr>
              <w:t>Form of Administration Agreement between Registrant and PennantPark Investment Administration, LLC</w:t>
            </w:r>
            <w:r>
              <w:rPr>
                <w:rFonts w:ascii="Arial" w:cs="Arial" w:eastAsia="Arial" w:hAnsi="Arial"/>
                <w:sz w:val="22"/>
                <w:szCs w:val="22"/>
                <w:color w:val="auto"/>
                <w:vertAlign w:val="superscript"/>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10600" w:type="dxa"/>
            <w:vAlign w:val="bottom"/>
          </w:tcPr>
          <w:p>
            <w:pPr>
              <w:ind w:left="300"/>
              <w:spacing w:after="0" w:line="217" w:lineRule="exact"/>
              <w:rPr>
                <w:sz w:val="20"/>
                <w:szCs w:val="20"/>
                <w:color w:val="auto"/>
              </w:rPr>
            </w:pPr>
            <w:r>
              <w:rPr>
                <w:rFonts w:ascii="Arial" w:cs="Arial" w:eastAsia="Arial" w:hAnsi="Arial"/>
                <w:sz w:val="18"/>
                <w:szCs w:val="18"/>
                <w:color w:val="auto"/>
              </w:rPr>
              <w:t>Form of Certificate of Appointment between Registrant and American Stock Transfer and Trust, as transfer agent</w:t>
            </w:r>
            <w:r>
              <w:rPr>
                <w:rFonts w:ascii="Arial" w:cs="Arial" w:eastAsia="Arial" w:hAnsi="Arial"/>
                <w:sz w:val="22"/>
                <w:szCs w:val="22"/>
                <w:color w:val="auto"/>
                <w:vertAlign w:val="superscript"/>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10600" w:type="dxa"/>
            <w:vAlign w:val="bottom"/>
          </w:tcPr>
          <w:p>
            <w:pPr>
              <w:ind w:left="300"/>
              <w:spacing w:after="0"/>
              <w:rPr>
                <w:sz w:val="20"/>
                <w:szCs w:val="20"/>
                <w:color w:val="auto"/>
              </w:rPr>
            </w:pPr>
            <w:r>
              <w:rPr>
                <w:rFonts w:ascii="Arial" w:cs="Arial" w:eastAsia="Arial" w:hAnsi="Arial"/>
                <w:sz w:val="18"/>
                <w:szCs w:val="18"/>
                <w:color w:val="auto"/>
              </w:rPr>
              <w:t>Trademark License Agreement between the Registrant and PennantPark Investment Advisers, LLC</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10600" w:type="dxa"/>
            <w:vAlign w:val="bottom"/>
          </w:tcPr>
          <w:p>
            <w:pPr>
              <w:ind w:left="300"/>
              <w:spacing w:after="0" w:line="217" w:lineRule="exact"/>
              <w:rPr>
                <w:sz w:val="20"/>
                <w:szCs w:val="20"/>
                <w:color w:val="auto"/>
              </w:rPr>
            </w:pPr>
            <w:r>
              <w:rPr>
                <w:rFonts w:ascii="Arial" w:cs="Arial" w:eastAsia="Arial" w:hAnsi="Arial"/>
                <w:sz w:val="18"/>
                <w:szCs w:val="18"/>
                <w:color w:val="auto"/>
              </w:rPr>
              <w:t>Credit Agreement between the Registrant and Bear Stearns Investment Products Inc.</w:t>
            </w:r>
            <w:r>
              <w:rPr>
                <w:rFonts w:ascii="Arial" w:cs="Arial" w:eastAsia="Arial" w:hAnsi="Arial"/>
                <w:sz w:val="22"/>
                <w:szCs w:val="22"/>
                <w:color w:val="auto"/>
                <w:vertAlign w:val="superscript"/>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(k)(5)</w:t>
            </w:r>
          </w:p>
        </w:tc>
        <w:tc>
          <w:tcPr>
            <w:tcW w:w="10600" w:type="dxa"/>
            <w:vAlign w:val="bottom"/>
          </w:tcPr>
          <w:p>
            <w:pPr>
              <w:ind w:left="300"/>
              <w:spacing w:after="0"/>
              <w:rPr>
                <w:sz w:val="20"/>
                <w:szCs w:val="20"/>
                <w:color w:val="auto"/>
              </w:rPr>
            </w:pPr>
            <w:r>
              <w:rPr>
                <w:rFonts w:ascii="Arial" w:cs="Arial" w:eastAsia="Arial" w:hAnsi="Arial"/>
                <w:sz w:val="18"/>
                <w:szCs w:val="18"/>
                <w:color w:val="auto"/>
              </w:rPr>
              <w:t>Amendment to Credit Agreement between Registrant and Bear Stearns Investment Products Inc.</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(k)(6)</w:t>
            </w:r>
          </w:p>
        </w:tc>
        <w:tc>
          <w:tcPr>
            <w:tcW w:w="10600" w:type="dxa"/>
            <w:vAlign w:val="bottom"/>
          </w:tcPr>
          <w:p>
            <w:pPr>
              <w:ind w:left="300"/>
              <w:spacing w:after="0"/>
              <w:rPr>
                <w:sz w:val="20"/>
                <w:szCs w:val="20"/>
                <w:color w:val="auto"/>
              </w:rPr>
            </w:pPr>
            <w:r>
              <w:rPr>
                <w:rFonts w:ascii="Arial" w:cs="Arial" w:eastAsia="Arial" w:hAnsi="Arial"/>
                <w:sz w:val="18"/>
                <w:szCs w:val="18"/>
                <w:color w:val="auto"/>
                <w:w w:val="87"/>
              </w:rPr>
              <w:t>Form of Registration Rights Agreement among the Registrant and the purchasers in a private placement of 320,000 shares of common stock of the</w:t>
            </w:r>
          </w:p>
        </w:tc>
      </w:tr>
      <w:tr>
        <w:trPr>
          <w:trHeight w:val="222"/>
        </w:trPr>
        <w:tc>
          <w:tcPr>
            <w:tcW w:w="740" w:type="dxa"/>
            <w:vAlign w:val="bottom"/>
          </w:tcPr>
          <w:p>
            <w:pPr>
              <w:spacing w:after="0"/>
              <w:rPr>
                <w:sz w:val="19"/>
                <w:szCs w:val="19"/>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Registrant</w:t>
            </w:r>
          </w:p>
        </w:tc>
      </w:tr>
    </w:tbl>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and consent of Venable LLP, special Maryland counsel for Registrant</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line="212"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of KPMG LLP</w:t>
      </w:r>
      <w:r>
        <w:rPr>
          <w:rFonts w:ascii="Arial" w:cs="Arial" w:eastAsia="Arial" w:hAnsi="Arial"/>
          <w:sz w:val="22"/>
          <w:szCs w:val="22"/>
          <w:color w:val="auto"/>
          <w:vertAlign w:val="superscript"/>
        </w:rPr>
        <w:t>(1)</w:t>
      </w: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Ethics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Previously filed.</w:t>
      </w:r>
    </w:p>
    <w:p>
      <w:pPr>
        <w:sectPr>
          <w:pgSz w:w="11900" w:h="16838" w:orient="portrait"/>
          <w:cols w:equalWidth="0" w:num="1">
            <w:col w:w="11340"/>
          </w:cols>
          <w:pgMar w:left="240" w:top="274"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0" w:lineRule="exact"/>
        <w:rPr>
          <w:sz w:val="20"/>
          <w:szCs w:val="20"/>
          <w:color w:val="auto"/>
        </w:rPr>
      </w:pPr>
    </w:p>
    <w:p>
      <w:pPr>
        <w:ind w:right="20" w:firstLine="456"/>
        <w:spacing w:after="0" w:line="359"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3 to the Registration Statement on Form N-2 to be signed on its behalf by the undersigned, thereunto duly authorized, in the City of New York and in the State of New York,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April, 2007.</w:t>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H. P</w:t>
      </w:r>
      <w:r>
        <w:rPr>
          <w:rFonts w:ascii="Arial" w:cs="Arial" w:eastAsia="Arial" w:hAnsi="Arial"/>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Arthur H. Penn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Chairman of</w:t>
      </w:r>
    </w:p>
    <w:p>
      <w:pPr>
        <w:jc w:val="center"/>
        <w:ind w:left="6860"/>
        <w:spacing w:after="0"/>
        <w:rPr>
          <w:sz w:val="20"/>
          <w:szCs w:val="20"/>
          <w:color w:val="auto"/>
        </w:rPr>
      </w:pPr>
      <w:r>
        <w:rPr>
          <w:rFonts w:ascii="Arial" w:cs="Arial" w:eastAsia="Arial" w:hAnsi="Arial"/>
          <w:sz w:val="14"/>
          <w:szCs w:val="14"/>
          <w:b w:val="1"/>
          <w:bCs w:val="1"/>
          <w:color w:val="auto"/>
        </w:rPr>
        <w:t>the Board and Director (Principal Executive Officer)</w:t>
      </w:r>
    </w:p>
    <w:p>
      <w:pPr>
        <w:spacing w:after="0" w:line="127" w:lineRule="exact"/>
        <w:rPr>
          <w:sz w:val="20"/>
          <w:szCs w:val="20"/>
          <w:color w:val="auto"/>
        </w:rPr>
      </w:pPr>
    </w:p>
    <w:p>
      <w:pPr>
        <w:ind w:firstLine="456"/>
        <w:spacing w:after="0" w:line="304" w:lineRule="auto"/>
        <w:rPr>
          <w:sz w:val="20"/>
          <w:szCs w:val="20"/>
          <w:color w:val="auto"/>
        </w:rPr>
      </w:pPr>
      <w:r>
        <w:rPr>
          <w:rFonts w:ascii="Arial" w:cs="Arial" w:eastAsia="Arial" w:hAnsi="Arial"/>
          <w:sz w:val="18"/>
          <w:szCs w:val="18"/>
          <w:color w:val="auto"/>
        </w:rPr>
        <w:t>Pursuant to the requirements of the Securities Exchange Act of 1934, this Amendment No. 3 to the Registration Statement has been signed by the following persons on behalf of the Registrant and in the capacities and on the dates indicated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2007.</w:t>
      </w:r>
    </w:p>
    <w:p>
      <w:pPr>
        <w:spacing w:after="0" w:line="34" w:lineRule="exact"/>
        <w:rPr>
          <w:sz w:val="20"/>
          <w:szCs w:val="20"/>
          <w:color w:val="auto"/>
        </w:rPr>
      </w:pPr>
    </w:p>
    <w:p>
      <w:pPr>
        <w:ind w:left="246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Borders>
              <w:bottom w:val="single" w:sz="8" w:color="auto"/>
            </w:tcBorders>
          </w:tcPr>
          <w:p>
            <w:pPr>
              <w:jc w:val="center"/>
              <w:ind w:right="2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5600" w:type="dxa"/>
            <w:vAlign w:val="bottom"/>
          </w:tcPr>
          <w:p>
            <w:pPr>
              <w:ind w:left="900"/>
              <w:spacing w:after="0"/>
              <w:rPr>
                <w:sz w:val="20"/>
                <w:szCs w:val="20"/>
                <w:color w:val="auto"/>
              </w:rPr>
            </w:pPr>
            <w:r>
              <w:rPr>
                <w:rFonts w:ascii="Arial" w:cs="Arial" w:eastAsia="Arial" w:hAnsi="Arial"/>
                <w:sz w:val="18"/>
                <w:szCs w:val="18"/>
                <w:color w:val="auto"/>
              </w:rPr>
              <w:t>Chief Executive Officer and Chairman of the Board</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5600" w:type="dxa"/>
            <w:vAlign w:val="bottom"/>
          </w:tcPr>
          <w:p>
            <w:pPr>
              <w:ind w:left="900"/>
              <w:spacing w:after="0"/>
              <w:rPr>
                <w:sz w:val="20"/>
                <w:szCs w:val="20"/>
                <w:color w:val="auto"/>
              </w:rPr>
            </w:pPr>
            <w:r>
              <w:rPr>
                <w:rFonts w:ascii="Arial" w:cs="Arial" w:eastAsia="Arial" w:hAnsi="Arial"/>
                <w:sz w:val="18"/>
                <w:szCs w:val="18"/>
                <w:color w:val="auto"/>
                <w:w w:val="90"/>
              </w:rPr>
              <w:t>Chief Financial Officer and Treasurer (Principal Financial Officer)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4"/>
              </w:rPr>
              <w:t>Aviv Efrat</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7"/>
              </w:rPr>
              <w:t>Adam K. Bernstein</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6"/>
              </w:rPr>
              <w:t>Marshall Brozost</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8"/>
              </w:rPr>
              <w:t>Jeffrey Flug</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0"/>
              </w:rPr>
              <w:t>Samuel L. Katz</w:t>
            </w:r>
          </w:p>
        </w:tc>
        <w:tc>
          <w:tcPr>
            <w:tcW w:w="56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Signed by Arthur H. Penn pursuant to a power of attorney signed by each individual and filed with this Registration Statement on March 5, 2007.</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AMENDMENT AND RESTATEMENT</w:t>
      </w:r>
    </w:p>
    <w:p>
      <w:pPr>
        <w:spacing w:after="0" w:line="17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PennantPark Investment Corporation, a Maryland corporation (the “Corporation”), desires to amend and restate its charter as currently in effect and as hereinafter amended.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following provisions are all the provisions of the charter currently in effect and as hereinafter amended:</w:t>
      </w:r>
    </w:p>
    <w:p>
      <w:pPr>
        <w:spacing w:after="0" w:line="3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name of the corporation (which is hereinafter called the “Corporation”) is PennantPark Investment Corporation.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The purposes for which the Corporation is formed are to conduct and carry on the business of a business development company, subject to making an election under the Investment Company Act of 1940, as amended (the “1940 Act”), and to engage in any lawful act or activity for which corporations may be organized under the general laws of the State of Maryland as now or hereafter in force.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OFFICE IN STATE AND RESIDENT AGENT</w:t>
      </w:r>
    </w:p>
    <w:p>
      <w:pPr>
        <w:spacing w:after="0" w:line="177" w:lineRule="exact"/>
        <w:rPr>
          <w:sz w:val="20"/>
          <w:szCs w:val="20"/>
          <w:color w:val="auto"/>
        </w:rPr>
      </w:pPr>
    </w:p>
    <w:p>
      <w:pPr>
        <w:jc w:val="both"/>
        <w:ind w:right="140" w:firstLine="913"/>
        <w:spacing w:after="0" w:line="268" w:lineRule="auto"/>
        <w:rPr>
          <w:sz w:val="20"/>
          <w:szCs w:val="20"/>
          <w:color w:val="auto"/>
        </w:rPr>
      </w:pPr>
      <w:r>
        <w:rPr>
          <w:rFonts w:ascii="Arial" w:cs="Arial" w:eastAsia="Arial" w:hAnsi="Arial"/>
          <w:sz w:val="18"/>
          <w:szCs w:val="18"/>
          <w:color w:val="auto"/>
        </w:rPr>
        <w:t>The address of the principal office of the Corporation in the State of Maryland is c/o The Corporation Trust Incorporated, 300 East Lombard Street, Baltimore, Maryland 21202.</w:t>
      </w:r>
    </w:p>
    <w:p>
      <w:pPr>
        <w:spacing w:after="0" w:line="132"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The name and address of the resident agent of the Corporation are The Corporation Trust Incorporated, 300 East Lombard Street, Baltimore, Maryland 21202. The resident agent is a Maryland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PROVISIONS FOR DEFINING, LIMITING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REGULATING CERTAIN POWERS OF THE CORPORATION AND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AND DIRECTORS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Number, Classification and Election of Directors</w:t>
      </w:r>
      <w:r>
        <w:rPr>
          <w:rFonts w:ascii="Arial" w:cs="Arial" w:eastAsia="Arial" w:hAnsi="Arial"/>
          <w:sz w:val="16"/>
          <w:szCs w:val="16"/>
          <w:color w:val="auto"/>
        </w:rPr>
        <w:t>. The business and affairs of the Corporation shall be managed under the direction of the Board of Directors. The number of directors of the Corporation is five, which number may be increased or decreased only by the Board of Directors pursuant to the Bylaws, but shall never be less than the minimum number required by the Maryland General Corporation Law (the “MGCL”). The names of the directors who shall serve until the first annual meeting of stockholders and until their successors are duly elected and qualify are: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Arthur H. Penn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Adam K. Bernstein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Marshall Brozost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Jeffrey Flug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Samuel L. Katz</w:t>
      </w:r>
    </w:p>
    <w:p>
      <w:pPr>
        <w:spacing w:after="0" w:line="171"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These directors may increase the number of directors and may fill any vacancy, whether resulting from an increase in the number of directors or otherwise, on the Board of Directors occurring before the first annual meeting of stockholders in the manner provided in the Bylaws.</w:t>
      </w:r>
    </w:p>
    <w:p>
      <w:pPr>
        <w:spacing w:after="0" w:line="85"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Corporation elects, at such time as it becomes eligible to make the election provided for under Section 3-802(b) of the MGCL, that, subject to applicable requirements of the 1940 Act and except as may be provided by the Board of Directors in setting the terms of any class or series of Preferred Stock (as hereinafter defined),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duly elected and qualifies.</w:t>
      </w:r>
    </w:p>
    <w:p>
      <w:pPr>
        <w:spacing w:after="0" w:line="116"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On the first date on which the Corporation shall have more than one stockholder of record, the directors (other than any director elected solely by holders of one or more classes or series of Preferred Stock in connection with dividend arrearages) shall be classified, with respect to the terms for which they severally hold office, into three classes, as nearly equal in number as possible as determined by the Board of Directors, one class to hold office initially for a term expiring at the next succeeding annual meeting of stockholders, another class to hold office initially for a term expiring at the second succeeding annual meeting of stockholders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another class to hold office initially for a term expiring at the third succeeding annual meeting of stockholders, with the members of each class to hold office until their successors are duly elected and qualify. At each annual meeting of the stockholders, the successors to the class of directors whose term expires at such meeting shall be elected to hold office for a term expiring at the annual meeting of stockholders held in the third year following the year of their election and until their successors are duly elected and qualify.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Extraordinary Actions</w:t>
      </w:r>
      <w:r>
        <w:rPr>
          <w:rFonts w:ascii="Arial" w:cs="Arial" w:eastAsia="Arial" w:hAnsi="Arial"/>
          <w:sz w:val="16"/>
          <w:szCs w:val="16"/>
          <w:color w:val="auto"/>
        </w:rPr>
        <w:t>. Except as specifically provided in Section 4.9 (relating to removal of directors), and in Section 6.2 (relating to certain actions and certain amendments to the charter), notwithstanding any provision of law permitting or requiring any action to be taken or approved by the affirmative vote of the holders of shares entitled to cast a greater number of votes, any such action shall be effective and valid if declared advisable by the Board of Directors and taken or approved by the affirmative vote of holders of shares entitled to cast a majority of all the votes entitled to be cast on the matter.</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Except as otherwise provided in the Bylaws of the Corporation, each director shall be elected by the affirmative vote of the holders of a majority of the shares of stock outstanding and entitled to vote thereon.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To the extent permitted by Maryland law as in effect from time to time, the foregoing quorum provision may be changed by the Bylaws.</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Authorization by Board of Stock Issuance</w:t>
      </w:r>
      <w:r>
        <w:rPr>
          <w:rFonts w:ascii="Arial" w:cs="Arial" w:eastAsia="Arial" w:hAnsi="Arial"/>
          <w:sz w:val="16"/>
          <w:szCs w:val="16"/>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or the Bylaws.</w:t>
      </w:r>
    </w:p>
    <w:p>
      <w:pPr>
        <w:spacing w:after="0" w:line="11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Preemptive Rights</w:t>
      </w:r>
      <w:r>
        <w:rPr>
          <w:rFonts w:ascii="Arial" w:cs="Arial" w:eastAsia="Arial" w:hAnsi="Arial"/>
          <w:sz w:val="15"/>
          <w:szCs w:val="15"/>
          <w:color w:val="auto"/>
        </w:rPr>
        <w:t>. Except as may be provided by the Board of Directors in setting the terms of classified or reclassified shares of stock pursuant to Section 5.4 or as may otherwise be provided by contract,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8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Appraisal Rights</w:t>
      </w:r>
      <w:r>
        <w:rPr>
          <w:rFonts w:ascii="Arial" w:cs="Arial" w:eastAsia="Arial" w:hAnsi="Arial"/>
          <w:sz w:val="16"/>
          <w:szCs w:val="16"/>
          <w:color w:val="auto"/>
        </w:rPr>
        <w:t>. No holder of stock of the Corporation shall be entitled to exercise the rights of an objecting stockholder under Title 3, Subtitle 2 of the MGCL or any successor statute unless the Board of Directors, upon the affirmative vote of a majority of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Board of Directors, shall determine that such rights apply, with respect to all or any classes or series of stock, to a particular transaction or all transactions occurring after the date of such determination in connection with which holders of such shares would otherwise be entitled to exercise such rights.</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Determinations by Board</w:t>
      </w:r>
      <w:r>
        <w:rPr>
          <w:rFonts w:ascii="Arial" w:cs="Arial" w:eastAsia="Arial" w:hAnsi="Arial"/>
          <w:sz w:val="16"/>
          <w:szCs w:val="16"/>
          <w:color w:val="auto"/>
        </w:rPr>
        <w:t>. The determination as to any of the following matters, made in good faith by or pursuant to the direction of the Board of Directors consistent with the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 or required by the charter to be determined by the Board of Directors.</w:t>
      </w:r>
    </w:p>
    <w:p>
      <w:pPr>
        <w:spacing w:after="0" w:line="12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the rights of holders of one or more classes or series of Preferred Stock to elect or remove one or more directors, any director, or the entire Board of Directors, may be removed from office at any time only for cause and only by the affirmative vote of at least two-thirds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the Corporation through bad faith or active and deliberate dishonesty.</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Corporation has authority to issue 100 million shares of stock, initially consisting of 100 million shares of Common Stock, $.001 par value per share (“Common Stock”). The aggregate par value of all authorized shares of stock having par value is $100,000.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more than the total number of shares of stock set forth in the first sentence of this paragraph. A majority of the entire Board of Directors, without any action by the stockholders of the Corporation, may amend the charter from time to time to increase or decrease the aggregate number of shares of stock or the number of shares of stock of any class or series that the Corporation has authority to issue.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Common Stock</w:t>
      </w:r>
      <w:r>
        <w:rPr>
          <w:rFonts w:ascii="Arial" w:cs="Arial" w:eastAsia="Arial" w:hAnsi="Arial"/>
          <w:sz w:val="18"/>
          <w:szCs w:val="18"/>
          <w:color w:val="auto"/>
        </w:rPr>
        <w:t>. Each share of Common Stock shall entitle the holder thereof to one vote. The Board of Directors may reclassify any unissued shares of Common Stock from time to time in one or more classes or series of stock.</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Board of Directors may classify any unissued shares of stock and reclassify any previously classified but unissued shares of stock of any class or series from time to time, in one or more classes or series of preferred stock (“Preferred Stock”).</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Classified or Reclassified Shares</w:t>
      </w:r>
      <w:r>
        <w:rPr>
          <w:rFonts w:ascii="Arial" w:cs="Arial" w:eastAsia="Arial" w:hAnsi="Arial"/>
          <w:sz w:val="16"/>
          <w:szCs w:val="16"/>
          <w:color w:val="auto"/>
        </w:rPr>
        <w:t>.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express terms of any class or series of stock of the Corporation outstanding at the time, the preferences, conversion or other rights, voting powers, restrictions, limitations as to dividends or other distributions, qualifications and terms and conditions of redemption for each class or series; and (d) cause the Corporation to file articles supplementary with the State Department of Assessments and Taxation of Maryland (“SDAT”). Any of the terms of any class or series of stock set or changed pursuant to clause (c) of this Section 5.4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Inspection of Books and Records</w:t>
      </w:r>
      <w:r>
        <w:rPr>
          <w:rFonts w:ascii="Arial" w:cs="Arial" w:eastAsia="Arial" w:hAnsi="Arial"/>
          <w:sz w:val="18"/>
          <w:szCs w:val="18"/>
          <w:color w:val="auto"/>
        </w:rPr>
        <w:t>. 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Charter and Bylaws</w:t>
      </w:r>
      <w:r>
        <w:rPr>
          <w:rFonts w:ascii="Arial" w:cs="Arial" w:eastAsia="Arial" w:hAnsi="Arial"/>
          <w:sz w:val="16"/>
          <w:szCs w:val="16"/>
          <w:color w:val="auto"/>
        </w:rPr>
        <w:t>. All persons who shall acquire stock in the Corporation shall acquire the same subject to the provisions of the charter and the Bylaws. The Board of Directors of the Corporation shall have the exclusive power to make, alter, amend or repeal the Bylaws.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 CERTAIN EXTRAORDINARY TRANSACTIONS</w:t>
      </w:r>
    </w:p>
    <w:p>
      <w:pPr>
        <w:spacing w:after="0" w:line="1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 Generally</w:t>
      </w:r>
      <w:r>
        <w:rPr>
          <w:rFonts w:ascii="Arial" w:cs="Arial" w:eastAsia="Arial" w:hAnsi="Arial"/>
          <w:sz w:val="16"/>
          <w:szCs w:val="16"/>
          <w:color w:val="auto"/>
        </w:rPr>
        <w:t>. The Corporation reserves the right from time to time to make any amendment to its charter, now or hereafter authorized by law, including any amendment altering the terms or contract rights, as expressly set forth in the charter, of any shares of outstanding stock. All rights and powers conferred by the charter on stockholders, directors and officers are granted subject to this reservation.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Approval of Certain Extraordinary Actions and Charter Amendments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68" w:lineRule="auto"/>
        <w:tabs>
          <w:tab w:leader="none" w:pos="11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Required Votes</w:t>
      </w:r>
      <w:r>
        <w:rPr>
          <w:rFonts w:ascii="Arial" w:cs="Arial" w:eastAsia="Arial" w:hAnsi="Arial"/>
          <w:sz w:val="18"/>
          <w:szCs w:val="18"/>
          <w:color w:val="auto"/>
        </w:rPr>
        <w:t>. The affirmative vote of the holders of shares entitled to cast at least 80 percent of the votes entitled to be cast on the matter, each voting as a separate class, shall be necessary to effect:</w:t>
      </w:r>
    </w:p>
    <w:p>
      <w:pPr>
        <w:spacing w:after="0" w:line="50" w:lineRule="exact"/>
        <w:rPr>
          <w:rFonts w:ascii="Arial" w:cs="Arial" w:eastAsia="Arial" w:hAnsi="Arial"/>
          <w:sz w:val="18"/>
          <w:szCs w:val="18"/>
          <w:color w:val="auto"/>
        </w:rPr>
      </w:pPr>
    </w:p>
    <w:p>
      <w:pPr>
        <w:ind w:right="240" w:firstLine="1492"/>
        <w:spacing w:after="0" w:line="332" w:lineRule="auto"/>
        <w:tabs>
          <w:tab w:leader="none" w:pos="1693"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amendment to the charter of the Corporation to make the Corporation’s Common Stock a “redeemable security” or to convert the Corporation, whether by merger or otherwise, from a “closed-end company” to an “open-end company” (as such terms are defined in the 1940 Act);</w:t>
      </w:r>
    </w:p>
    <w:p>
      <w:pPr>
        <w:spacing w:after="0" w:line="85" w:lineRule="exact"/>
        <w:rPr>
          <w:rFonts w:ascii="Arial" w:cs="Arial" w:eastAsia="Arial" w:hAnsi="Arial"/>
          <w:sz w:val="16"/>
          <w:szCs w:val="16"/>
          <w:color w:val="auto"/>
        </w:rPr>
      </w:pPr>
    </w:p>
    <w:p>
      <w:pPr>
        <w:ind w:left="1760" w:hanging="268"/>
        <w:spacing w:after="0"/>
        <w:tabs>
          <w:tab w:leader="none" w:pos="17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liquidation or dissolution of the Corporation and any amendment to the charter of the Corporation to effect any such liquidation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dissolution; and</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amendment to Section 4.1, Section 4.2, Section 4.9, Section 6.1 or this Section 6.2;</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 Continuing Directors (as defined herein), by a vote of at least two-thirds of such Continuing Directors, in addition to approval by the Board of Directors, approve such proposal or amendment, the affirmative vote of the holders of a majority of the votes entitled to be cast shall be required to approve such matter.</w:t>
      </w:r>
    </w:p>
    <w:p>
      <w:pPr>
        <w:spacing w:after="0" w:line="140" w:lineRule="exact"/>
        <w:rPr>
          <w:sz w:val="20"/>
          <w:szCs w:val="20"/>
          <w:color w:val="auto"/>
        </w:rPr>
      </w:pPr>
    </w:p>
    <w:p>
      <w:pPr>
        <w:ind w:firstLine="921"/>
        <w:spacing w:after="0" w:line="255" w:lineRule="auto"/>
        <w:tabs>
          <w:tab w:leader="none" w:pos="116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Continuing Directors</w:t>
      </w:r>
      <w:r>
        <w:rPr>
          <w:rFonts w:ascii="Arial" w:cs="Arial" w:eastAsia="Arial" w:hAnsi="Arial"/>
          <w:sz w:val="18"/>
          <w:szCs w:val="18"/>
          <w:color w:val="auto"/>
        </w:rPr>
        <w:t>. “Continuing Directors” means (i) the directors identified in Section 4.1, (ii) the directors whose nomination for election by the stockholders or whose election by the directors to fill vacancies is approved by a majority of the directors identified in Section 4.1, who are on the Board at the time of the nomination or election , as applicable, or (iii) any successor directors whose nomination for election by the stockholders or whose election by the directors to fill vacancies is approved by a majority of the Continuing Directors or successor Continuing Directors, who are on the Board at the time of the nomination or election, as applicable.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 INDEMNIFICATION AND ADVANCE OF EXPENSES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Indemnification and Advance of Expenses</w:t>
      </w:r>
      <w:r>
        <w:rPr>
          <w:rFonts w:ascii="Arial" w:cs="Arial" w:eastAsia="Arial" w:hAnsi="Arial"/>
          <w:sz w:val="16"/>
          <w:szCs w:val="16"/>
          <w:color w:val="auto"/>
        </w:rPr>
        <w:t>. The Corporation shall have the power, to the maximum extent permitted by Maryland law in effect from time to time, to obligate itself to indemnify, and to pay or reimburse reasonable expenses in advance of final disposition of a proceeding to, (a) any individual who is a present or former director or officer of the Corporation or (b) any individual who, while a director or officer of the Corporation and at the request of the Corporation, serves or has served as a director, officer, partner or trustee of another corporation, real estate investment trust, partnership, joint venture, trust, employee benefit plan or any other enterprise from and against any claim or liability to which such person may become subject or which such person may incur by reason of his status as a present or former director or officer of the Corporation. The Corporation shall have the power, with the approval of the Board of Directors, to provide such indemnification and advancement of expenses to a person who served a predecessor of the Corporation in any of the capacities described in (a) or (b) above and to any employee or agent of the Corporation or a predecessor of the Corporation.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1940 Act</w:t>
      </w:r>
      <w:r>
        <w:rPr>
          <w:rFonts w:ascii="Arial" w:cs="Arial" w:eastAsia="Arial" w:hAnsi="Arial"/>
          <w:sz w:val="18"/>
          <w:szCs w:val="18"/>
          <w:color w:val="auto"/>
        </w:rPr>
        <w:t>. The provisions of this Article VII shall be subject to the limitations of the 1940 Act.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Neither the amendment nor repeal of this Article VII, nor the adoption or amendment of any other provision of the charter or Bylaws inconsistent with this Article VII, shall apply to or affect in any respect the applicability of the preceding this Article VII with respect to any act or failure to act which occurred prior to such amendment, repeal or adoption.</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amendment to and restatement of the charter as hereinabove set forth have been duly advised by the Board of Directors and approved by the stockholders of the Corporation as required by law.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The current address of the principal office of the Corporation is as set forth in Article III of the foregoing amendment and restatement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charter.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5"/>
          <w:szCs w:val="15"/>
          <w:u w:val="single" w:color="auto"/>
          <w:color w:val="auto"/>
        </w:rPr>
        <w:t>FIFTH</w:t>
      </w:r>
      <w:r>
        <w:rPr>
          <w:rFonts w:ascii="Arial" w:cs="Arial" w:eastAsia="Arial" w:hAnsi="Arial"/>
          <w:sz w:val="15"/>
          <w:szCs w:val="15"/>
          <w:color w:val="auto"/>
        </w:rPr>
        <w:t>: The name and address of the Corporation’s current resident agent is as set forth in Article III of the foregoing amendment and restatement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charter.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ind w:right="700" w:firstLine="913"/>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SIXTH</w:t>
      </w:r>
      <w:r>
        <w:rPr>
          <w:rFonts w:ascii="Arial" w:cs="Arial" w:eastAsia="Arial" w:hAnsi="Arial"/>
          <w:sz w:val="18"/>
          <w:szCs w:val="18"/>
          <w:color w:val="auto"/>
        </w:rPr>
        <w:t>: The number of directors of the Corporation and the names of those currently in office are as set forth in Article IV of the foregoing amendment and restatement of the charter.</w:t>
      </w:r>
    </w:p>
    <w:p>
      <w:pPr>
        <w:spacing w:after="0" w:line="132" w:lineRule="exact"/>
        <w:rPr>
          <w:sz w:val="20"/>
          <w:szCs w:val="20"/>
          <w:color w:val="auto"/>
        </w:rPr>
      </w:pPr>
    </w:p>
    <w:p>
      <w:pPr>
        <w:ind w:firstLine="913"/>
        <w:spacing w:after="0" w:line="370" w:lineRule="auto"/>
        <w:rPr>
          <w:sz w:val="20"/>
          <w:szCs w:val="20"/>
          <w:color w:val="auto"/>
        </w:rPr>
      </w:pPr>
      <w:r>
        <w:rPr>
          <w:rFonts w:ascii="Arial" w:cs="Arial" w:eastAsia="Arial" w:hAnsi="Arial"/>
          <w:sz w:val="15"/>
          <w:szCs w:val="15"/>
          <w:u w:val="single" w:color="auto"/>
          <w:color w:val="auto"/>
        </w:rPr>
        <w:t>SEVENTH</w:t>
      </w:r>
      <w:r>
        <w:rPr>
          <w:rFonts w:ascii="Arial" w:cs="Arial" w:eastAsia="Arial" w:hAnsi="Arial"/>
          <w:sz w:val="15"/>
          <w:szCs w:val="15"/>
          <w:color w:val="auto"/>
        </w:rPr>
        <w:t>: The total number of shares of stock which the Corporation had authority to issue immediately prior to this amendment and restatement was 100,000, consisting of 100,000 shares of Common Stock, $.001 par value per share. The aggregate par value of all shares of stock having par value was $100.</w:t>
      </w:r>
    </w:p>
    <w:p>
      <w:pPr>
        <w:spacing w:after="0" w:line="6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The total number of shares of stock which the Corporation has authority to issue pursuant to the foregoing amendment and restatement of the charter is 100 million shares of Common Stock, $.001 par value per share. The aggregate par value of all authorized shares of stock having par value is $100,000.</w:t>
      </w:r>
    </w:p>
    <w:p>
      <w:pPr>
        <w:spacing w:after="0" w:line="140" w:lineRule="exact"/>
        <w:rPr>
          <w:sz w:val="20"/>
          <w:szCs w:val="20"/>
          <w:color w:val="auto"/>
        </w:rPr>
      </w:pPr>
    </w:p>
    <w:p>
      <w:pPr>
        <w:jc w:val="both"/>
        <w:ind w:right="560" w:firstLine="913"/>
        <w:spacing w:after="0" w:line="335" w:lineRule="auto"/>
        <w:rPr>
          <w:sz w:val="20"/>
          <w:szCs w:val="20"/>
          <w:color w:val="auto"/>
        </w:rPr>
      </w:pPr>
      <w:r>
        <w:rPr>
          <w:rFonts w:ascii="Arial" w:cs="Arial" w:eastAsia="Arial" w:hAnsi="Arial"/>
          <w:sz w:val="15"/>
          <w:szCs w:val="15"/>
          <w:u w:val="single" w:color="auto"/>
          <w:color w:val="auto"/>
        </w:rPr>
        <w:t>NINTH</w:t>
      </w:r>
      <w:r>
        <w:rPr>
          <w:rFonts w:ascii="Arial" w:cs="Arial" w:eastAsia="Arial" w:hAnsi="Arial"/>
          <w:sz w:val="15"/>
          <w:szCs w:val="15"/>
          <w:color w:val="auto"/>
        </w:rPr>
        <w:t>: The undersigned Chief Executive Officer acknowledges these Articles of Amendment and Restatement to be the corporate act of the Corporation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right="160" w:firstLine="913"/>
        <w:spacing w:after="0" w:line="30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Corporation has caused these Articles of Amendment and Restatement to be signed in its name and on its behalf by its Chief Executive Officer and attested to by its Secretary on this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ATTEST:</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PENNANTPARK INVESTMENT CORPORATION</w:t>
            </w:r>
          </w:p>
        </w:tc>
        <w:tc>
          <w:tcPr>
            <w:tcW w:w="660" w:type="dxa"/>
            <w:vAlign w:val="bottom"/>
          </w:tcPr>
          <w:p>
            <w:pPr>
              <w:spacing w:after="0"/>
              <w:rPr>
                <w:sz w:val="19"/>
                <w:szCs w:val="19"/>
                <w:color w:val="auto"/>
              </w:rPr>
            </w:pPr>
          </w:p>
        </w:tc>
      </w:tr>
      <w:tr>
        <w:trPr>
          <w:trHeight w:val="421"/>
        </w:trPr>
        <w:tc>
          <w:tcPr>
            <w:tcW w:w="5140" w:type="dxa"/>
            <w:vAlign w:val="bottom"/>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660" w:type="dxa"/>
            <w:vAlign w:val="bottom"/>
          </w:tcPr>
          <w:p>
            <w:pPr>
              <w:ind w:left="120"/>
              <w:spacing w:after="0"/>
              <w:rPr>
                <w:sz w:val="20"/>
                <w:szCs w:val="20"/>
                <w:color w:val="auto"/>
              </w:rPr>
            </w:pPr>
            <w:r>
              <w:rPr>
                <w:rFonts w:ascii="Arial" w:cs="Arial" w:eastAsia="Arial" w:hAnsi="Arial"/>
                <w:sz w:val="18"/>
                <w:szCs w:val="18"/>
                <w:color w:val="auto"/>
                <w:w w:val="89"/>
              </w:rPr>
              <w:t>(SEAL)</w:t>
            </w:r>
          </w:p>
        </w:tc>
      </w:tr>
      <w:tr>
        <w:trPr>
          <w:trHeight w:val="215"/>
        </w:trPr>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J. Friedmann</w:t>
            </w:r>
          </w:p>
        </w:tc>
        <w:tc>
          <w:tcPr>
            <w:tcW w:w="48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H. Penn</w:t>
            </w:r>
          </w:p>
        </w:tc>
        <w:tc>
          <w:tcPr>
            <w:tcW w:w="660" w:type="dxa"/>
            <w:vAlign w:val="bottom"/>
          </w:tcPr>
          <w:p>
            <w:pPr>
              <w:spacing w:after="0"/>
              <w:rPr>
                <w:sz w:val="18"/>
                <w:szCs w:val="18"/>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Secretary</w:t>
            </w:r>
          </w:p>
        </w:tc>
        <w:tc>
          <w:tcPr>
            <w:tcW w:w="4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60" w:type="dxa"/>
            <w:vAlign w:val="bottom"/>
          </w:tcPr>
          <w:p>
            <w:pPr>
              <w:spacing w:after="0"/>
              <w:rPr>
                <w:sz w:val="19"/>
                <w:szCs w:val="19"/>
                <w:color w:val="auto"/>
              </w:rPr>
            </w:pPr>
          </w:p>
        </w:tc>
      </w:tr>
      <w:tr>
        <w:trPr>
          <w:trHeight w:val="365"/>
        </w:trPr>
        <w:tc>
          <w:tcPr>
            <w:tcW w:w="5140" w:type="dxa"/>
            <w:vAlign w:val="bottom"/>
          </w:tcPr>
          <w:p>
            <w:pPr>
              <w:spacing w:after="0"/>
              <w:rPr>
                <w:sz w:val="24"/>
                <w:szCs w:val="24"/>
                <w:color w:val="auto"/>
              </w:rPr>
            </w:pPr>
          </w:p>
        </w:tc>
        <w:tc>
          <w:tcPr>
            <w:tcW w:w="5600" w:type="dxa"/>
            <w:vAlign w:val="bottom"/>
            <w:gridSpan w:val="2"/>
          </w:tcPr>
          <w:p>
            <w:pPr>
              <w:jc w:val="right"/>
              <w:ind w:right="4892"/>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7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32"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Commencing with the 2008 annual meeting of stockholders of the Corporation, an annual meeting of the stockholders for the election of directors and the transaction of any business within the powers of the Corporation shall be held on a date and at the time set by the Board of Directors during the month of May of each year.</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1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Chairman of the Board, the president or the Board of Directors may call a special meeting of the stockholders. Subject to subsection</w:t>
      </w:r>
    </w:p>
    <w:p>
      <w:pPr>
        <w:spacing w:after="0" w:line="49" w:lineRule="exact"/>
        <w:rPr>
          <w:rFonts w:ascii="Arial" w:cs="Arial" w:eastAsia="Arial" w:hAnsi="Arial"/>
          <w:sz w:val="15"/>
          <w:szCs w:val="15"/>
          <w:color w:val="auto"/>
        </w:rPr>
      </w:pPr>
    </w:p>
    <w:p>
      <w:pPr>
        <w:ind w:right="100" w:firstLine="8"/>
        <w:spacing w:after="0" w:line="261"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this Section 3, a special meeting of stockholders shall also be called by the secretary of the Corporation upon the written request of stockholders entitled to cast not less than a majority of all the votes entitled to be cast at such meeting.</w:t>
      </w:r>
    </w:p>
    <w:p>
      <w:pPr>
        <w:spacing w:after="0" w:line="137" w:lineRule="exact"/>
        <w:rPr>
          <w:rFonts w:ascii="Arial" w:cs="Arial" w:eastAsia="Arial" w:hAnsi="Arial"/>
          <w:sz w:val="18"/>
          <w:szCs w:val="18"/>
          <w:color w:val="auto"/>
        </w:rPr>
      </w:pPr>
    </w:p>
    <w:p>
      <w:pPr>
        <w:ind w:right="80" w:firstLine="921"/>
        <w:spacing w:after="0" w:line="254" w:lineRule="auto"/>
        <w:tabs>
          <w:tab w:leader="none" w:pos="116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 w:name="page15"/>
    <w:bookmarkEnd w:id="1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47" w:lineRule="exact"/>
        <w:rPr>
          <w:sz w:val="20"/>
          <w:szCs w:val="20"/>
          <w:color w:val="auto"/>
        </w:rPr>
      </w:pPr>
    </w:p>
    <w:p>
      <w:pPr>
        <w:ind w:right="20" w:firstLine="1492"/>
        <w:spacing w:after="0" w:line="286" w:lineRule="auto"/>
        <w:tabs>
          <w:tab w:leader="none" w:pos="17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27" w:lineRule="exact"/>
        <w:rPr>
          <w:rFonts w:ascii="Arial" w:cs="Arial" w:eastAsia="Arial" w:hAnsi="Arial"/>
          <w:sz w:val="16"/>
          <w:szCs w:val="16"/>
          <w:color w:val="auto"/>
        </w:rPr>
      </w:pPr>
    </w:p>
    <w:p>
      <w:pPr>
        <w:ind w:firstLine="1492"/>
        <w:spacing w:after="0" w:line="256" w:lineRule="auto"/>
        <w:tabs>
          <w:tab w:leader="none" w:pos="17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43" w:lineRule="exact"/>
        <w:rPr>
          <w:rFonts w:ascii="Arial" w:cs="Arial" w:eastAsia="Arial" w:hAnsi="Arial"/>
          <w:sz w:val="18"/>
          <w:szCs w:val="18"/>
          <w:color w:val="auto"/>
        </w:rPr>
      </w:pPr>
    </w:p>
    <w:p>
      <w:pPr>
        <w:ind w:right="200" w:firstLine="1492"/>
        <w:spacing w:after="0" w:line="298" w:lineRule="auto"/>
        <w:tabs>
          <w:tab w:leader="none" w:pos="17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5" w:name="page16"/>
    <w:bookmarkEnd w:id="1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27" w:lineRule="exact"/>
        <w:rPr>
          <w:sz w:val="20"/>
          <w:szCs w:val="20"/>
          <w:color w:val="auto"/>
        </w:rPr>
      </w:pPr>
    </w:p>
    <w:p>
      <w:pPr>
        <w:ind w:right="20" w:firstLine="1492"/>
        <w:spacing w:after="0" w:line="289" w:lineRule="auto"/>
        <w:tabs>
          <w:tab w:leader="none" w:pos="17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118" w:lineRule="exact"/>
        <w:rPr>
          <w:rFonts w:ascii="Arial" w:cs="Arial" w:eastAsia="Arial" w:hAnsi="Arial"/>
          <w:sz w:val="16"/>
          <w:szCs w:val="16"/>
          <w:color w:val="auto"/>
        </w:rPr>
      </w:pPr>
    </w:p>
    <w:p>
      <w:pPr>
        <w:ind w:firstLine="1492"/>
        <w:spacing w:after="0" w:line="291" w:lineRule="auto"/>
        <w:tabs>
          <w:tab w:leader="none" w:pos="17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 w:name="page17"/>
    <w:bookmarkEnd w:id="16"/>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32" w:lineRule="exact"/>
        <w:rPr>
          <w:sz w:val="20"/>
          <w:szCs w:val="20"/>
          <w:color w:val="auto"/>
        </w:rPr>
      </w:pPr>
    </w:p>
    <w:p>
      <w:pPr>
        <w:ind w:right="540" w:firstLine="1492"/>
        <w:spacing w:after="0" w:line="268" w:lineRule="auto"/>
        <w:tabs>
          <w:tab w:leader="none" w:pos="17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 less than ten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120" w:lineRule="exact"/>
        <w:rPr>
          <w:sz w:val="20"/>
          <w:szCs w:val="20"/>
          <w:color w:val="auto"/>
        </w:rPr>
      </w:pPr>
    </w:p>
    <w:p>
      <w:pPr>
        <w:jc w:val="both"/>
        <w:ind w:right="360" w:firstLine="913"/>
        <w:spacing w:after="0" w:line="259"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1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16" w:lineRule="exact"/>
        <w:rPr>
          <w:sz w:val="20"/>
          <w:szCs w:val="20"/>
          <w:color w:val="auto"/>
        </w:rPr>
      </w:pPr>
    </w:p>
    <w:p>
      <w:pPr>
        <w:ind w:right="240" w:firstLine="913"/>
        <w:spacing w:after="0" w:line="335" w:lineRule="auto"/>
        <w:rPr>
          <w:sz w:val="20"/>
          <w:szCs w:val="20"/>
          <w:color w:val="auto"/>
        </w:rPr>
      </w:pPr>
      <w:r>
        <w:rPr>
          <w:rFonts w:ascii="Arial" w:cs="Arial" w:eastAsia="Arial" w:hAnsi="Arial"/>
          <w:sz w:val="15"/>
          <w:szCs w:val="15"/>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8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32"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VOTING</w:t>
      </w:r>
      <w:r>
        <w:rPr>
          <w:rFonts w:ascii="Arial" w:cs="Arial" w:eastAsia="Arial" w:hAnsi="Arial"/>
          <w:sz w:val="15"/>
          <w:szCs w:val="15"/>
          <w:color w:val="auto"/>
        </w:rPr>
        <w:t>. Each director shall be elected by the affirmative vote of the holders of a majority of the shares of stock outstanding and entitled to vote thereon.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0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8" w:name="page19"/>
    <w:bookmarkEnd w:id="18"/>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40"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VOTING OF STOCK BY CERTAIN HOLDERS</w:t>
      </w:r>
      <w:r>
        <w:rPr>
          <w:rFonts w:ascii="Arial" w:cs="Arial" w:eastAsia="Arial" w:hAnsi="Arial"/>
          <w:sz w:val="15"/>
          <w:szCs w:val="15"/>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00"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40"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85"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0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9" w:name="page20"/>
    <w:bookmarkEnd w:id="1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11. ADVANCE NOTICE OF STOCKHOLDER NOMINEES FOR DIRECTOR AND OTHER STOCKHOLDER PROPOSALS.</w:t>
      </w:r>
    </w:p>
    <w:p>
      <w:pPr>
        <w:spacing w:after="0" w:line="113" w:lineRule="exact"/>
        <w:rPr>
          <w:sz w:val="20"/>
          <w:szCs w:val="20"/>
          <w:color w:val="auto"/>
        </w:rPr>
      </w:pPr>
    </w:p>
    <w:p>
      <w:pPr>
        <w:ind w:firstLine="921"/>
        <w:spacing w:after="0" w:line="298"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 Section 11(a).</w:t>
      </w:r>
    </w:p>
    <w:p>
      <w:pPr>
        <w:spacing w:after="0" w:line="112" w:lineRule="exact"/>
        <w:rPr>
          <w:rFonts w:ascii="Arial" w:cs="Arial" w:eastAsia="Arial" w:hAnsi="Arial"/>
          <w:sz w:val="16"/>
          <w:szCs w:val="16"/>
          <w:color w:val="auto"/>
        </w:rPr>
      </w:pPr>
    </w:p>
    <w:p>
      <w:pPr>
        <w:ind w:right="20" w:firstLine="1492"/>
        <w:spacing w:after="0" w:line="285" w:lineRule="auto"/>
        <w:tabs>
          <w:tab w:leader="none" w:pos="17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150th day prior to the first anniversary of the date of mailing of the notice for the preceding year’s annual meeting nor later than 5:00 p.m., Eastern Time, on the 120th day prior to the first anniversary of the date of mailing of the notice for the preceding year’s annual meeting; provided, however, that in the event that the date of the annual meeting is advanced or delayed by more than 30 days from the first anniversary of the date of the preceding year’s annual meeting, notice by the stockholder to be timely must be so delivered not earlier than the 150th day prior to the date of such annual meeting and not later than 5:00 p.m., Eastern Time, on the later of the 120th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Such stockholder’s notice shall set forth (i) as to each individual whom the stockholder proposes to nominate for election or reelection as a director, (A) the name, age, business address and residence address of such individual, (B) the class, series and number of any shares of stock of the Corporation that are beneficially owned by such individual, (C) the date such shares were acquired and the investment intent of such acquisition, (D) whether such stockholder believes any such individual is, or is not, an “interested person” of the Corporation, as defined in the Investment Company Act of 1940, as amended, and the rules promulgated thereunder (the “Investment Company Act”) and information regarding such individual that is sufficient, in the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0" w:name="page21"/>
    <w:bookmarkEnd w:id="20"/>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discretion of the Board of Directors or any committee thereof or any authorized officer of the Corporation, to make such determination and (E) 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and the Stockholder Associated Person therefrom; (iii) as to the stockholder giving the notice and any Stockholder Associated Person, the class, series and number of all shares of stock of the Corporation which are owned by such stockholder and by such Stockholder Associated Person, if any, and the nominee holder for, and number of, shares owned beneficially but not of record by such stockholder and by any such Stockholder Associated Person; (iv) as to the stockholder giving the notice and any Stockholder Associated Person covered by clauses (ii) or (iii) of this paragraph (2) of this Section 11(a), the name and address of such stockholder, as they appear on the Corporation’s stock ledger and current name and address, if different, and of such Stockholder Associated Person; and (v) 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21" w:lineRule="exact"/>
        <w:rPr>
          <w:sz w:val="20"/>
          <w:szCs w:val="20"/>
          <w:color w:val="auto"/>
        </w:rPr>
      </w:pPr>
    </w:p>
    <w:p>
      <w:pPr>
        <w:ind w:firstLine="1492"/>
        <w:spacing w:after="0" w:line="294" w:lineRule="auto"/>
        <w:tabs>
          <w:tab w:leader="none" w:pos="1732" w:val="left"/>
        </w:tabs>
        <w:numPr>
          <w:ilvl w:val="1"/>
          <w:numId w:val="17"/>
        </w:numPr>
        <w:rPr>
          <w:rFonts w:ascii="Arial" w:cs="Arial" w:eastAsia="Arial" w:hAnsi="Arial"/>
          <w:sz w:val="16"/>
          <w:szCs w:val="16"/>
          <w:color w:val="auto"/>
        </w:rPr>
      </w:pPr>
      <w:r>
        <w:rPr>
          <w:rFonts w:ascii="Arial" w:cs="Arial" w:eastAsia="Arial" w:hAnsi="Arial"/>
          <w:sz w:val="16"/>
          <w:szCs w:val="16"/>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mailing of the notice of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15" w:lineRule="exact"/>
        <w:rPr>
          <w:rFonts w:ascii="Arial" w:cs="Arial" w:eastAsia="Arial" w:hAnsi="Arial"/>
          <w:sz w:val="16"/>
          <w:szCs w:val="16"/>
          <w:color w:val="auto"/>
        </w:rPr>
      </w:pPr>
    </w:p>
    <w:p>
      <w:pPr>
        <w:ind w:right="280" w:firstLine="1492"/>
        <w:spacing w:after="0" w:line="306" w:lineRule="auto"/>
        <w:tabs>
          <w:tab w:leader="none" w:pos="1732" w:val="left"/>
        </w:tabs>
        <w:numPr>
          <w:ilvl w:val="1"/>
          <w:numId w:val="17"/>
        </w:numPr>
        <w:rPr>
          <w:rFonts w:ascii="Arial" w:cs="Arial" w:eastAsia="Arial" w:hAnsi="Arial"/>
          <w:sz w:val="16"/>
          <w:szCs w:val="16"/>
          <w:color w:val="auto"/>
        </w:rPr>
      </w:pPr>
      <w:r>
        <w:rPr>
          <w:rFonts w:ascii="Arial" w:cs="Arial" w:eastAsia="Arial" w:hAnsi="Arial"/>
          <w:sz w:val="16"/>
          <w:szCs w:val="16"/>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06" w:lineRule="exact"/>
        <w:rPr>
          <w:rFonts w:ascii="Arial" w:cs="Arial" w:eastAsia="Arial" w:hAnsi="Arial"/>
          <w:sz w:val="16"/>
          <w:szCs w:val="16"/>
          <w:color w:val="auto"/>
        </w:rPr>
      </w:pPr>
    </w:p>
    <w:p>
      <w:pPr>
        <w:jc w:val="both"/>
        <w:ind w:right="140" w:firstLine="921"/>
        <w:spacing w:after="0" w:line="306" w:lineRule="auto"/>
        <w:tabs>
          <w:tab w:leader="none" w:pos="116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(i) pursuant to the Corporation’s notice of meeting, (ii) by or at the direction of the Board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1" w:name="page22"/>
    <w:bookmarkEnd w:id="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or (iii) provided that the Board of Directors has determined that directors shall be elected at such special meeting, by any stockholder of the Corporation who is a stockholder of record both at the time of giving of notice provided for in this Section 11 and at the time of the special meeting, who is entitled to vote at the meeting and who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paragraph (2) of this Section 11(a) shall be delivered to the secretary at the principal executive office of the Corporation not earlier than the 150th day prior to such special meeting and not later than 5:00 p.m., Eastern Time, on the later of the 120th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20" w:lineRule="exact"/>
        <w:rPr>
          <w:sz w:val="20"/>
          <w:szCs w:val="20"/>
          <w:color w:val="auto"/>
        </w:rPr>
      </w:pPr>
    </w:p>
    <w:p>
      <w:pPr>
        <w:ind w:right="60" w:firstLine="921"/>
        <w:spacing w:after="0" w:line="291" w:lineRule="auto"/>
        <w:tabs>
          <w:tab w:leader="none" w:pos="11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(1) Upon written request by the secretary or the Board of Directors or any committee thereof, any stockholder proposing a nominee for election as a director or any proposal for other business at a meeting of stockholders shall provide, within five Business Days of delivery of such request (or such other period as may be specified in such request), written verification, satisfactory, in the discretion of the Board of Directors or any committee thereof or any authorized officer of the Corporation, to demonstrate the accuracy of any information submitted by the stockholder pursuant to this Section 11. If a stockholder fails to provide such written verification within such period, the information as to which written verification was requested may be deemed not to have been provided in accordance with this Section 11.</w:t>
      </w:r>
    </w:p>
    <w:p>
      <w:pPr>
        <w:spacing w:after="0" w:line="120" w:lineRule="exact"/>
        <w:rPr>
          <w:rFonts w:ascii="Arial" w:cs="Arial" w:eastAsia="Arial" w:hAnsi="Arial"/>
          <w:sz w:val="16"/>
          <w:szCs w:val="16"/>
          <w:color w:val="auto"/>
        </w:rPr>
      </w:pPr>
    </w:p>
    <w:p>
      <w:pPr>
        <w:ind w:right="200" w:firstLine="1492"/>
        <w:spacing w:after="0" w:line="256" w:lineRule="auto"/>
        <w:tabs>
          <w:tab w:leader="none" w:pos="17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43" w:lineRule="exact"/>
        <w:rPr>
          <w:rFonts w:ascii="Arial" w:cs="Arial" w:eastAsia="Arial" w:hAnsi="Arial"/>
          <w:sz w:val="18"/>
          <w:szCs w:val="18"/>
          <w:color w:val="auto"/>
        </w:rPr>
      </w:pPr>
    </w:p>
    <w:p>
      <w:pPr>
        <w:ind w:right="120" w:firstLine="1492"/>
        <w:spacing w:after="0" w:line="256" w:lineRule="auto"/>
        <w:tabs>
          <w:tab w:leader="none" w:pos="17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purposes of this Section 11, (a) the “date of mailing of the notice” shall mean the date of the proxy statement for the solicitation of proxies for election of directors and (b) “public announcement” shall mean disclosure (i) in a press release reported by the Dow Jones News Service, Associated Press, Business Wire, PR Newswire or comparable news service or (ii) in a document publicly filed by the Corporation with the Securities and Exchange Commission pursuant to the Exchange Act or the Investment Company Act.</w:t>
      </w:r>
    </w:p>
    <w:p>
      <w:pPr>
        <w:spacing w:after="0" w:line="143" w:lineRule="exact"/>
        <w:rPr>
          <w:rFonts w:ascii="Arial" w:cs="Arial" w:eastAsia="Arial" w:hAnsi="Arial"/>
          <w:sz w:val="18"/>
          <w:szCs w:val="18"/>
          <w:color w:val="auto"/>
        </w:rPr>
      </w:pPr>
    </w:p>
    <w:p>
      <w:pPr>
        <w:ind w:left="1740" w:hanging="248"/>
        <w:spacing w:after="0"/>
        <w:tabs>
          <w:tab w:leader="none" w:pos="17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 a stockholder shall also comply with all applicable requirements of state law</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of the Exchange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2" w:name="page23"/>
    <w:bookmarkEnd w:id="2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14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CONTROL SHARE ACQUISITION ACT</w:t>
      </w:r>
      <w:r>
        <w:rPr>
          <w:rFonts w:ascii="Arial" w:cs="Arial" w:eastAsia="Arial" w:hAnsi="Arial"/>
          <w:sz w:val="16"/>
          <w:szCs w:val="16"/>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w:t>
      </w:r>
    </w:p>
    <w:p>
      <w:pPr>
        <w:spacing w:after="0" w:line="10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3" w:name="page24"/>
    <w:bookmarkEnd w:id="23"/>
    <w:p>
      <w:pPr>
        <w:ind w:right="60" w:firstLine="913"/>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5"/>
          <w:szCs w:val="15"/>
          <w:u w:val="single" w:color="auto"/>
          <w:color w:val="auto"/>
        </w:rPr>
        <w:t>NOTICE</w:t>
      </w:r>
      <w:r>
        <w:rPr>
          <w:rFonts w:ascii="Arial" w:cs="Arial" w:eastAsia="Arial" w:hAnsi="Arial"/>
          <w:sz w:val="15"/>
          <w:szCs w:val="15"/>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09"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43"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or, in the absence of the chairman, the vice chairman of the board, if any, shall act as Chairman. In the absence of both the chairman and vice chairman of the board,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40"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43" w:lineRule="exact"/>
        <w:rPr>
          <w:sz w:val="20"/>
          <w:szCs w:val="20"/>
          <w:color w:val="auto"/>
        </w:rPr>
      </w:pPr>
    </w:p>
    <w:p>
      <w:pPr>
        <w:ind w:right="120" w:firstLine="913"/>
        <w:spacing w:after="0" w:line="303"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VACANCIES</w:t>
      </w:r>
      <w:r>
        <w:rPr>
          <w:rFonts w:ascii="Arial" w:cs="Arial" w:eastAsia="Arial" w:hAnsi="Arial"/>
          <w:sz w:val="15"/>
          <w:szCs w:val="15"/>
          <w:color w:val="auto"/>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w:t>
      </w:r>
    </w:p>
    <w:p>
      <w:pPr>
        <w:spacing w:after="0" w:line="1" w:lineRule="exact"/>
        <w:rPr>
          <w:sz w:val="20"/>
          <w:szCs w:val="20"/>
          <w:color w:val="auto"/>
        </w:rPr>
      </w:pPr>
    </w:p>
    <w:p>
      <w:pPr>
        <w:ind w:right="60" w:firstLine="8"/>
        <w:spacing w:after="0" w:line="255"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144"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COMPENSATION</w:t>
      </w:r>
      <w:r>
        <w:rPr>
          <w:rFonts w:ascii="Arial" w:cs="Arial" w:eastAsia="Arial" w:hAnsi="Arial"/>
          <w:sz w:val="16"/>
          <w:szCs w:val="16"/>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2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5" w:name="page26"/>
    <w:bookmarkEnd w:id="25"/>
    <w:p>
      <w:pPr>
        <w:ind w:right="9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32" w:lineRule="exact"/>
        <w:rPr>
          <w:sz w:val="20"/>
          <w:szCs w:val="20"/>
          <w:color w:val="auto"/>
        </w:rPr>
      </w:pPr>
    </w:p>
    <w:p>
      <w:pPr>
        <w:jc w:val="both"/>
        <w:ind w:right="80" w:firstLine="913"/>
        <w:spacing w:after="0" w:line="323"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RELIANCE</w:t>
      </w:r>
      <w:r>
        <w:rPr>
          <w:rFonts w:ascii="Arial" w:cs="Arial" w:eastAsia="Arial" w:hAnsi="Arial"/>
          <w:sz w:val="15"/>
          <w:szCs w:val="15"/>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17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32"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MEETINGS</w:t>
      </w:r>
      <w:r>
        <w:rPr>
          <w:rFonts w:ascii="Arial" w:cs="Arial" w:eastAsia="Arial" w:hAnsi="Arial"/>
          <w:sz w:val="15"/>
          <w:szCs w:val="15"/>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0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4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6" w:name="page27"/>
    <w:bookmarkEnd w:id="26"/>
    <w:p>
      <w:pPr>
        <w:ind w:right="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OFFICERS</w:t>
      </w:r>
    </w:p>
    <w:p>
      <w:pPr>
        <w:spacing w:after="0" w:line="17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Board of Directors may designate a chief executive officer. In the absence of such designation, the president shall be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7" w:name="page28"/>
    <w:bookmarkEnd w:id="2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1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16"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8" w:name="page29"/>
    <w:bookmarkEnd w:id="28"/>
    <w:p>
      <w:pPr>
        <w:jc w:val="both"/>
        <w:ind w:right="40" w:firstLine="913"/>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88" w:lineRule="exact"/>
        <w:rPr>
          <w:sz w:val="20"/>
          <w:szCs w:val="20"/>
          <w:color w:val="auto"/>
        </w:rPr>
      </w:pPr>
    </w:p>
    <w:p>
      <w:pPr>
        <w:ind w:right="520" w:firstLine="913"/>
        <w:spacing w:after="0" w:line="306" w:lineRule="auto"/>
        <w:rPr>
          <w:sz w:val="20"/>
          <w:szCs w:val="20"/>
          <w:color w:val="auto"/>
        </w:rPr>
      </w:pPr>
      <w:r>
        <w:rPr>
          <w:rFonts w:ascii="Arial" w:cs="Arial" w:eastAsia="Arial" w:hAnsi="Arial"/>
          <w:sz w:val="16"/>
          <w:szCs w:val="16"/>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4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4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9" w:name="page30"/>
    <w:bookmarkEnd w:id="29"/>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REQUIRED INFORMATION</w:t>
      </w:r>
      <w:r>
        <w:rPr>
          <w:rFonts w:ascii="Arial" w:cs="Arial" w:eastAsia="Arial" w:hAnsi="Arial"/>
          <w:sz w:val="16"/>
          <w:szCs w:val="16"/>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16"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3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6"/>
          <w:szCs w:val="16"/>
          <w:u w:val="single" w:color="auto"/>
          <w:color w:val="auto"/>
        </w:rPr>
        <w:t>CLOSING OF TRANSFER BOOKS OR 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16"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4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4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85"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YEAR</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40"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CONTINGENCIES</w:t>
      </w:r>
      <w:r>
        <w:rPr>
          <w:rFonts w:ascii="Arial" w:cs="Arial" w:eastAsia="Arial" w:hAnsi="Arial"/>
          <w:sz w:val="15"/>
          <w:szCs w:val="15"/>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40"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2" w:name="page33"/>
    <w:bookmarkEnd w:id="3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2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NOTICE</w:t>
      </w:r>
    </w:p>
    <w:p>
      <w:pPr>
        <w:spacing w:after="0" w:line="1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INSPECTION OF RECORDS</w:t>
      </w:r>
    </w:p>
    <w:p>
      <w:pPr>
        <w:spacing w:after="0" w:line="17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33" w:name="page34"/>
    <w:bookmarkEnd w:id="3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XIV</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INVESTMENT COMPANY ACT</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XV</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OF BYLAWS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274"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Exhibit (c)</w:t>
            </w:r>
          </w:p>
        </w:tc>
      </w:tr>
      <w:tr>
        <w:trPr>
          <w:trHeight w:val="419"/>
        </w:trPr>
        <w:tc>
          <w:tcPr>
            <w:tcW w:w="8920" w:type="dxa"/>
            <w:vAlign w:val="bottom"/>
            <w:gridSpan w:val="3"/>
          </w:tcPr>
          <w:p>
            <w:pPr>
              <w:spacing w:after="0"/>
              <w:rPr>
                <w:sz w:val="20"/>
                <w:szCs w:val="20"/>
                <w:color w:val="auto"/>
              </w:rPr>
            </w:pPr>
            <w:r>
              <w:rPr>
                <w:rFonts w:ascii="Arial" w:cs="Arial" w:eastAsia="Arial" w:hAnsi="Arial"/>
                <w:sz w:val="18"/>
                <w:szCs w:val="18"/>
                <w:color w:val="auto"/>
              </w:rPr>
              <w:t>Number *0*</w:t>
            </w:r>
          </w:p>
        </w:tc>
        <w:tc>
          <w:tcPr>
            <w:tcW w:w="1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Shares *0*</w:t>
            </w:r>
          </w:p>
        </w:tc>
      </w:tr>
      <w:tr>
        <w:trPr>
          <w:trHeight w:val="366"/>
        </w:trPr>
        <w:tc>
          <w:tcPr>
            <w:tcW w:w="8920" w:type="dxa"/>
            <w:vAlign w:val="bottom"/>
            <w:gridSpan w:val="3"/>
          </w:tcPr>
          <w:p>
            <w:pPr>
              <w:jc w:val="center"/>
              <w:ind w:left="2412"/>
              <w:spacing w:after="0"/>
              <w:rPr>
                <w:sz w:val="20"/>
                <w:szCs w:val="20"/>
                <w:color w:val="auto"/>
              </w:rPr>
            </w:pPr>
            <w:r>
              <w:rPr>
                <w:rFonts w:ascii="Arial" w:cs="Arial" w:eastAsia="Arial" w:hAnsi="Arial"/>
                <w:sz w:val="18"/>
                <w:szCs w:val="18"/>
                <w:b w:val="1"/>
                <w:bCs w:val="1"/>
                <w:color w:val="auto"/>
                <w:w w:val="97"/>
              </w:rPr>
              <w:t>SEE REVERSE FOR IMPORTANT</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8920" w:type="dxa"/>
            <w:vAlign w:val="bottom"/>
            <w:gridSpan w:val="3"/>
          </w:tcPr>
          <w:p>
            <w:pPr>
              <w:jc w:val="center"/>
              <w:ind w:left="2412"/>
              <w:spacing w:after="0"/>
              <w:rPr>
                <w:sz w:val="20"/>
                <w:szCs w:val="20"/>
                <w:color w:val="auto"/>
              </w:rPr>
            </w:pPr>
            <w:r>
              <w:rPr>
                <w:rFonts w:ascii="Arial" w:cs="Arial" w:eastAsia="Arial" w:hAnsi="Arial"/>
                <w:sz w:val="18"/>
                <w:szCs w:val="18"/>
                <w:b w:val="1"/>
                <w:bCs w:val="1"/>
                <w:color w:val="auto"/>
              </w:rPr>
              <w:t>NOTICE AND OTHER INFORMATION</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80"/>
        </w:trPr>
        <w:tc>
          <w:tcPr>
            <w:tcW w:w="8920" w:type="dxa"/>
            <w:vAlign w:val="bottom"/>
            <w:gridSpan w:val="3"/>
          </w:tcPr>
          <w:p>
            <w:pPr>
              <w:ind w:left="3900"/>
              <w:spacing w:after="0"/>
              <w:rPr>
                <w:sz w:val="20"/>
                <w:szCs w:val="20"/>
                <w:color w:val="auto"/>
              </w:rPr>
            </w:pPr>
            <w:r>
              <w:rPr>
                <w:rFonts w:ascii="Arial" w:cs="Arial" w:eastAsia="Arial" w:hAnsi="Arial"/>
                <w:sz w:val="18"/>
                <w:szCs w:val="18"/>
                <w:color w:val="auto"/>
              </w:rPr>
              <w:t>THIS CERTIFICATE IS TRANSFERABLE</w:t>
            </w:r>
          </w:p>
        </w:tc>
        <w:tc>
          <w:tcPr>
            <w:tcW w:w="2500" w:type="dxa"/>
            <w:vAlign w:val="bottom"/>
            <w:gridSpan w:val="2"/>
          </w:tcPr>
          <w:p>
            <w:pPr>
              <w:jc w:val="right"/>
              <w:ind w:right="972"/>
              <w:spacing w:after="0"/>
              <w:rPr>
                <w:sz w:val="20"/>
                <w:szCs w:val="20"/>
                <w:color w:val="auto"/>
              </w:rPr>
            </w:pPr>
            <w:r>
              <w:rPr>
                <w:rFonts w:ascii="Arial" w:cs="Arial" w:eastAsia="Arial" w:hAnsi="Arial"/>
                <w:sz w:val="18"/>
                <w:szCs w:val="18"/>
                <w:color w:val="auto"/>
              </w:rPr>
              <w:t>CUSIP</w:t>
            </w:r>
          </w:p>
        </w:tc>
      </w:tr>
      <w:tr>
        <w:trPr>
          <w:trHeight w:val="196"/>
        </w:trPr>
        <w:tc>
          <w:tcPr>
            <w:tcW w:w="5380" w:type="dxa"/>
            <w:vAlign w:val="bottom"/>
          </w:tcPr>
          <w:p>
            <w:pPr>
              <w:ind w:left="3900"/>
              <w:spacing w:after="0" w:line="196" w:lineRule="exact"/>
              <w:rPr>
                <w:sz w:val="20"/>
                <w:szCs w:val="20"/>
                <w:color w:val="auto"/>
              </w:rPr>
            </w:pPr>
            <w:r>
              <w:rPr>
                <w:rFonts w:ascii="Arial" w:cs="Arial" w:eastAsia="Arial" w:hAnsi="Arial"/>
                <w:sz w:val="18"/>
                <w:szCs w:val="18"/>
                <w:color w:val="auto"/>
                <w:w w:val="96"/>
              </w:rPr>
              <w:t>IN THE CITIES OF</w:t>
            </w:r>
          </w:p>
        </w:tc>
        <w:tc>
          <w:tcPr>
            <w:tcW w:w="1400" w:type="dxa"/>
            <w:vAlign w:val="bottom"/>
            <w:tcBorders>
              <w:bottom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397"/>
        </w:trPr>
        <w:tc>
          <w:tcPr>
            <w:tcW w:w="8920" w:type="dxa"/>
            <w:vAlign w:val="bottom"/>
            <w:gridSpan w:val="3"/>
          </w:tcPr>
          <w:p>
            <w:pPr>
              <w:jc w:val="center"/>
              <w:ind w:left="2432"/>
              <w:spacing w:after="0"/>
              <w:rPr>
                <w:sz w:val="20"/>
                <w:szCs w:val="20"/>
                <w:color w:val="auto"/>
              </w:rPr>
            </w:pPr>
            <w:r>
              <w:rPr>
                <w:rFonts w:ascii="Arial" w:cs="Arial" w:eastAsia="Arial" w:hAnsi="Arial"/>
                <w:sz w:val="18"/>
                <w:szCs w:val="18"/>
                <w:b w:val="1"/>
                <w:bCs w:val="1"/>
                <w:color w:val="auto"/>
                <w:w w:val="98"/>
              </w:rPr>
              <w:t>PENNANTPARK INVESTMENT CORPORATION</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920" w:type="dxa"/>
            <w:vAlign w:val="bottom"/>
            <w:gridSpan w:val="3"/>
          </w:tcPr>
          <w:p>
            <w:pPr>
              <w:jc w:val="center"/>
              <w:ind w:left="2432"/>
              <w:spacing w:after="0"/>
              <w:rPr>
                <w:sz w:val="20"/>
                <w:szCs w:val="20"/>
                <w:color w:val="auto"/>
              </w:rPr>
            </w:pPr>
            <w:r>
              <w:rPr>
                <w:rFonts w:ascii="Arial" w:cs="Arial" w:eastAsia="Arial" w:hAnsi="Arial"/>
                <w:sz w:val="18"/>
                <w:szCs w:val="18"/>
                <w:color w:val="auto"/>
                <w:w w:val="89"/>
              </w:rPr>
              <w:t>a Corporation Formed Under the Laws of the State of Maryland</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920" w:type="dxa"/>
            <w:vAlign w:val="bottom"/>
            <w:gridSpan w:val="3"/>
          </w:tcPr>
          <w:p>
            <w:pPr>
              <w:spacing w:after="0"/>
              <w:rPr>
                <w:sz w:val="20"/>
                <w:szCs w:val="20"/>
                <w:color w:val="auto"/>
              </w:rPr>
            </w:pPr>
            <w:r>
              <w:rPr>
                <w:rFonts w:ascii="Arial" w:cs="Arial" w:eastAsia="Arial" w:hAnsi="Arial"/>
                <w:sz w:val="18"/>
                <w:szCs w:val="18"/>
                <w:color w:val="auto"/>
              </w:rPr>
              <w:t>THIS CERTIFIES THAT **Specimen**</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920" w:type="dxa"/>
            <w:vAlign w:val="bottom"/>
            <w:gridSpan w:val="3"/>
          </w:tcPr>
          <w:p>
            <w:pPr>
              <w:spacing w:after="0"/>
              <w:rPr>
                <w:sz w:val="20"/>
                <w:szCs w:val="20"/>
                <w:color w:val="auto"/>
              </w:rPr>
            </w:pPr>
            <w:r>
              <w:rPr>
                <w:rFonts w:ascii="Arial" w:cs="Arial" w:eastAsia="Arial" w:hAnsi="Arial"/>
                <w:sz w:val="18"/>
                <w:szCs w:val="18"/>
                <w:color w:val="auto"/>
              </w:rPr>
              <w:t>is the owner of **Zero (0)**</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920" w:type="dxa"/>
            <w:vAlign w:val="bottom"/>
            <w:gridSpan w:val="3"/>
          </w:tcPr>
          <w:p>
            <w:pPr>
              <w:spacing w:after="0"/>
              <w:rPr>
                <w:sz w:val="20"/>
                <w:szCs w:val="20"/>
                <w:color w:val="auto"/>
              </w:rPr>
            </w:pPr>
            <w:r>
              <w:rPr>
                <w:rFonts w:ascii="Arial" w:cs="Arial" w:eastAsia="Arial" w:hAnsi="Arial"/>
                <w:sz w:val="18"/>
                <w:szCs w:val="18"/>
                <w:color w:val="auto"/>
              </w:rPr>
              <w:t>fully paid and nonassessable shares of Common Stock, $.001 par value per share, of</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920" w:type="dxa"/>
            <w:vAlign w:val="bottom"/>
            <w:gridSpan w:val="3"/>
          </w:tcPr>
          <w:p>
            <w:pPr>
              <w:jc w:val="center"/>
              <w:ind w:left="2412"/>
              <w:spacing w:after="0"/>
              <w:rPr>
                <w:sz w:val="20"/>
                <w:szCs w:val="20"/>
                <w:color w:val="auto"/>
              </w:rPr>
            </w:pPr>
            <w:r>
              <w:rPr>
                <w:rFonts w:ascii="Arial" w:cs="Arial" w:eastAsia="Arial" w:hAnsi="Arial"/>
                <w:sz w:val="18"/>
                <w:szCs w:val="18"/>
                <w:b w:val="1"/>
                <w:bCs w:val="1"/>
                <w:color w:val="auto"/>
                <w:w w:val="89"/>
              </w:rPr>
              <w:t>PennantPark Investment Corporation</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5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“Corporation”) transferable on the books of the Corporation by the holder hereof in person or by its duly authorized attorney, upon surrender of this Certificate properly endorsed. This Certificate and the shares represented hereby are issued and shall be held subject to all of the provisions of the charter of the Corporation and the Bylaws of the Corporation and any amendments thereto. This Certificate is not valid unless countersigned and registered by the Transfer Agent and Registrar.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Corporation has caused this Certificate to be executed on its behalf by its duly authorized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-13970</wp:posOffset>
            </wp:positionV>
            <wp:extent cx="557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15" w:lineRule="exact"/>
        <w:rPr>
          <w:sz w:val="20"/>
          <w:szCs w:val="20"/>
          <w:color w:val="auto"/>
        </w:rPr>
      </w:pPr>
    </w:p>
    <w:tbl>
      <w:tblPr>
        <w:tblLayout w:type="fixed"/>
        <w:tblInd w:w="2500" w:type="dxa"/>
        <w:tblCellMar>
          <w:top w:w="0" w:type="dxa"/>
          <w:left w:w="0" w:type="dxa"/>
          <w:bottom w:w="0" w:type="dxa"/>
          <w:right w:w="0" w:type="dxa"/>
        </w:tblCellMar>
      </w:tblPr>
      <w:tr>
        <w:trPr>
          <w:trHeight w:val="210"/>
        </w:trPr>
        <w:tc>
          <w:tcPr>
            <w:tcW w:w="3220" w:type="dxa"/>
            <w:vAlign w:val="bottom"/>
          </w:tcPr>
          <w:p>
            <w:pPr>
              <w:ind w:left="20"/>
              <w:spacing w:after="0"/>
              <w:rPr>
                <w:sz w:val="20"/>
                <w:szCs w:val="20"/>
                <w:color w:val="auto"/>
              </w:rPr>
            </w:pPr>
            <w:r>
              <w:rPr>
                <w:rFonts w:ascii="Arial" w:cs="Arial" w:eastAsia="Arial" w:hAnsi="Arial"/>
                <w:sz w:val="18"/>
                <w:szCs w:val="18"/>
                <w:color w:val="auto"/>
              </w:rPr>
              <w:t>Transfer Agent</w:t>
            </w:r>
          </w:p>
        </w:tc>
        <w:tc>
          <w:tcPr>
            <w:tcW w:w="2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1"/>
        </w:trPr>
        <w:tc>
          <w:tcPr>
            <w:tcW w:w="3220" w:type="dxa"/>
            <w:vAlign w:val="bottom"/>
          </w:tcPr>
          <w:p>
            <w:pPr>
              <w:spacing w:after="0"/>
              <w:rPr>
                <w:sz w:val="20"/>
                <w:szCs w:val="20"/>
                <w:color w:val="auto"/>
              </w:rPr>
            </w:pPr>
            <w:r>
              <w:rPr>
                <w:rFonts w:ascii="Arial" w:cs="Arial" w:eastAsia="Arial" w:hAnsi="Arial"/>
                <w:sz w:val="18"/>
                <w:szCs w:val="18"/>
                <w:color w:val="auto"/>
              </w:rPr>
              <w:t>and Registrar</w:t>
            </w:r>
          </w:p>
        </w:tc>
        <w:tc>
          <w:tcPr>
            <w:tcW w:w="214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89"/>
              </w:rPr>
              <w:t>(SEAL)</w:t>
            </w:r>
          </w:p>
        </w:tc>
      </w:tr>
      <w:tr>
        <w:trPr>
          <w:trHeight w:val="412"/>
        </w:trPr>
        <w:tc>
          <w:tcPr>
            <w:tcW w:w="3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221"/>
        </w:trPr>
        <w:tc>
          <w:tcPr>
            <w:tcW w:w="3220" w:type="dxa"/>
            <w:vAlign w:val="bottom"/>
          </w:tcPr>
          <w:p>
            <w:pPr>
              <w:spacing w:after="0"/>
              <w:rPr>
                <w:sz w:val="19"/>
                <w:szCs w:val="19"/>
                <w:color w:val="auto"/>
              </w:rPr>
            </w:pPr>
          </w:p>
        </w:tc>
        <w:tc>
          <w:tcPr>
            <w:tcW w:w="5680" w:type="dxa"/>
            <w:vAlign w:val="bottom"/>
            <w:gridSpan w:val="3"/>
          </w:tcPr>
          <w:p>
            <w:pPr>
              <w:ind w:left="2140"/>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2540</wp:posOffset>
            </wp:positionV>
            <wp:extent cx="2804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2540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131445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w:t>
      </w:r>
    </w:p>
    <w:p>
      <w:pPr>
        <w:spacing w:after="0" w:line="17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The Corporation will furnish to any stockholder, on request and without charge, a full statement of the information required by Section 2-211(b) of the Corporations and Associations Article of the Annotated Code of Maryland with respect to the designations and any preferences, conversion and other rights, voting powers, restrictions, limitations as to dividends and other distributions, qualifications, and terms and conditions of redemption of the stock of each class which the Corporation has authority to issue and, if the Corporation is authorized to issue any preferred or special class in series, (i) the differences in the relative rights and preferences between the shares of each series to the extent set, and (ii) the authority of the Board of Directors to set such rights and preferences of subsequent series. The foregoing summary does not purport to be complete and is subject to and qualified in its entirety by reference to the charter of the Corporation, a copy of which will be sent without charge to each stockholder who so requests. Such request must be made to the Secretary of the Corporation at its principal office or to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174625</wp:posOffset>
            </wp:positionV>
            <wp:extent cx="1243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KEEP THIS CERTIFICATE IN A SAFE PLACE. IF IT IS LOST, STOLEN OR DESTROYED, THE CORPORATION WILL REQUIRE A BOND OF INDEMNITY AS A CONDITION TO THE ISSUANCE OF A REPLACEMENT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188595</wp:posOffset>
            </wp:positionV>
            <wp:extent cx="1243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TEN COM</w:t>
            </w: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   as tenants in common</w:t>
            </w:r>
          </w:p>
        </w:tc>
        <w:tc>
          <w:tcPr>
            <w:tcW w:w="2440" w:type="dxa"/>
            <w:vAlign w:val="bottom"/>
          </w:tcPr>
          <w:p>
            <w:pPr>
              <w:ind w:left="640"/>
              <w:spacing w:after="0"/>
              <w:rPr>
                <w:sz w:val="20"/>
                <w:szCs w:val="20"/>
                <w:color w:val="auto"/>
              </w:rPr>
            </w:pPr>
            <w:r>
              <w:rPr>
                <w:rFonts w:ascii="Arial" w:cs="Arial" w:eastAsia="Arial" w:hAnsi="Arial"/>
                <w:sz w:val="18"/>
                <w:szCs w:val="18"/>
                <w:color w:val="auto"/>
              </w:rPr>
              <w:t>UNIF GIFT MIN ACT</w:t>
            </w:r>
          </w:p>
        </w:tc>
        <w:tc>
          <w:tcPr>
            <w:tcW w:w="880" w:type="dxa"/>
            <w:vAlign w:val="bottom"/>
            <w:tcBorders>
              <w:bottom w:val="single" w:sz="8" w:color="auto"/>
            </w:tcBorders>
          </w:tcPr>
          <w:p>
            <w:pPr>
              <w:spacing w:after="0"/>
              <w:rPr>
                <w:sz w:val="17"/>
                <w:szCs w:val="17"/>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w w:val="91"/>
              </w:rPr>
              <w:t>Custodian</w:t>
            </w:r>
          </w:p>
        </w:tc>
        <w:tc>
          <w:tcPr>
            <w:tcW w:w="880" w:type="dxa"/>
            <w:vAlign w:val="bottom"/>
            <w:tcBorders>
              <w:bottom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920" w:type="dxa"/>
            <w:vAlign w:val="bottom"/>
          </w:tcPr>
          <w:p>
            <w:pPr>
              <w:spacing w:after="0"/>
              <w:rPr>
                <w:sz w:val="20"/>
                <w:szCs w:val="20"/>
                <w:color w:val="auto"/>
              </w:rPr>
            </w:pPr>
            <w:r>
              <w:rPr>
                <w:rFonts w:ascii="Arial" w:cs="Arial" w:eastAsia="Arial" w:hAnsi="Arial"/>
                <w:sz w:val="18"/>
                <w:szCs w:val="18"/>
                <w:color w:val="auto"/>
              </w:rPr>
              <w:t>TEN ENT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2960" w:type="dxa"/>
            <w:vAlign w:val="bottom"/>
          </w:tcPr>
          <w:p>
            <w:pPr>
              <w:ind w:left="140"/>
              <w:spacing w:after="0"/>
              <w:rPr>
                <w:sz w:val="20"/>
                <w:szCs w:val="20"/>
                <w:color w:val="auto"/>
              </w:rPr>
            </w:pPr>
            <w:r>
              <w:rPr>
                <w:rFonts w:ascii="Arial" w:cs="Arial" w:eastAsia="Arial" w:hAnsi="Arial"/>
                <w:sz w:val="18"/>
                <w:szCs w:val="18"/>
                <w:color w:val="auto"/>
              </w:rPr>
              <w:t>as tenants by the entireties</w:t>
            </w:r>
          </w:p>
        </w:tc>
        <w:tc>
          <w:tcPr>
            <w:tcW w:w="3320" w:type="dxa"/>
            <w:vAlign w:val="bottom"/>
            <w:gridSpan w:val="2"/>
          </w:tcPr>
          <w:p>
            <w:pPr>
              <w:ind w:left="2440"/>
              <w:spacing w:after="0"/>
              <w:rPr>
                <w:sz w:val="20"/>
                <w:szCs w:val="20"/>
                <w:color w:val="auto"/>
              </w:rPr>
            </w:pPr>
            <w:r>
              <w:rPr>
                <w:rFonts w:ascii="Arial" w:cs="Arial" w:eastAsia="Arial" w:hAnsi="Arial"/>
                <w:sz w:val="18"/>
                <w:szCs w:val="18"/>
                <w:color w:val="auto"/>
                <w:w w:val="92"/>
              </w:rPr>
              <w:t>(Custodian)</w:t>
            </w:r>
          </w:p>
        </w:tc>
        <w:tc>
          <w:tcPr>
            <w:tcW w:w="1100" w:type="dxa"/>
            <w:vAlign w:val="bottom"/>
          </w:tcPr>
          <w:p>
            <w:pPr>
              <w:spacing w:after="0"/>
              <w:rPr>
                <w:sz w:val="19"/>
                <w:szCs w:val="19"/>
                <w:color w:val="auto"/>
              </w:rPr>
            </w:pPr>
          </w:p>
        </w:tc>
        <w:tc>
          <w:tcPr>
            <w:tcW w:w="940" w:type="dxa"/>
            <w:vAlign w:val="bottom"/>
            <w:gridSpan w:val="3"/>
          </w:tcPr>
          <w:p>
            <w:pPr>
              <w:ind w:left="380"/>
              <w:spacing w:after="0"/>
              <w:rPr>
                <w:sz w:val="20"/>
                <w:szCs w:val="20"/>
                <w:color w:val="auto"/>
              </w:rPr>
            </w:pPr>
            <w:r>
              <w:rPr>
                <w:rFonts w:ascii="Arial" w:cs="Arial" w:eastAsia="Arial" w:hAnsi="Arial"/>
                <w:sz w:val="18"/>
                <w:szCs w:val="18"/>
                <w:color w:val="auto"/>
                <w:w w:val="94"/>
              </w:rPr>
              <w:t>(Minor)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JT TEN</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2960" w:type="dxa"/>
            <w:vAlign w:val="bottom"/>
          </w:tcPr>
          <w:p>
            <w:pPr>
              <w:ind w:left="140"/>
              <w:spacing w:after="0"/>
              <w:rPr>
                <w:sz w:val="20"/>
                <w:szCs w:val="20"/>
                <w:color w:val="auto"/>
              </w:rPr>
            </w:pPr>
            <w:r>
              <w:rPr>
                <w:rFonts w:ascii="Arial" w:cs="Arial" w:eastAsia="Arial" w:hAnsi="Arial"/>
                <w:sz w:val="18"/>
                <w:szCs w:val="18"/>
                <w:color w:val="auto"/>
              </w:rPr>
              <w:t>as joint tenants with right of</w:t>
            </w:r>
          </w:p>
        </w:tc>
        <w:tc>
          <w:tcPr>
            <w:tcW w:w="5360" w:type="dxa"/>
            <w:vAlign w:val="bottom"/>
            <w:gridSpan w:val="6"/>
          </w:tcPr>
          <w:p>
            <w:pPr>
              <w:ind w:left="2440"/>
              <w:spacing w:after="0"/>
              <w:rPr>
                <w:sz w:val="20"/>
                <w:szCs w:val="20"/>
                <w:color w:val="auto"/>
              </w:rPr>
            </w:pPr>
            <w:r>
              <w:rPr>
                <w:rFonts w:ascii="Arial" w:cs="Arial" w:eastAsia="Arial" w:hAnsi="Arial"/>
                <w:sz w:val="18"/>
                <w:szCs w:val="18"/>
                <w:color w:val="auto"/>
              </w:rPr>
              <w:t>under Uniform Gifts to Minors Act of</w:t>
            </w:r>
          </w:p>
        </w:tc>
      </w:tr>
      <w:tr>
        <w:trPr>
          <w:trHeight w:val="184"/>
        </w:trPr>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tcPr>
          <w:p>
            <w:pPr>
              <w:ind w:left="140"/>
              <w:spacing w:after="0" w:line="184" w:lineRule="exact"/>
              <w:rPr>
                <w:sz w:val="20"/>
                <w:szCs w:val="20"/>
                <w:color w:val="auto"/>
              </w:rPr>
            </w:pPr>
            <w:r>
              <w:rPr>
                <w:rFonts w:ascii="Arial" w:cs="Arial" w:eastAsia="Arial" w:hAnsi="Arial"/>
                <w:sz w:val="18"/>
                <w:szCs w:val="18"/>
                <w:color w:val="auto"/>
              </w:rPr>
              <w:t>survivorship and not as tenants</w:t>
            </w:r>
          </w:p>
        </w:tc>
        <w:tc>
          <w:tcPr>
            <w:tcW w:w="24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in common</w:t>
            </w:r>
          </w:p>
        </w:tc>
        <w:tc>
          <w:tcPr>
            <w:tcW w:w="3320" w:type="dxa"/>
            <w:vAlign w:val="bottom"/>
            <w:gridSpan w:val="2"/>
          </w:tcPr>
          <w:p>
            <w:pPr>
              <w:ind w:left="244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71"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-13970</wp:posOffset>
            </wp:positionV>
            <wp:extent cx="1699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67729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529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7729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529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4"/>
          </w:tcPr>
          <w:p>
            <w:pPr>
              <w:spacing w:after="0"/>
              <w:rPr>
                <w:sz w:val="18"/>
                <w:szCs w:val="18"/>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0" w:type="dxa"/>
            <w:vAlign w:val="bottom"/>
            <w:gridSpan w:val="4"/>
          </w:tcPr>
          <w:p>
            <w:pPr>
              <w:ind w:left="440"/>
              <w:spacing w:after="0"/>
              <w:rPr>
                <w:sz w:val="20"/>
                <w:szCs w:val="20"/>
                <w:color w:val="auto"/>
              </w:rPr>
            </w:pPr>
            <w:r>
              <w:rPr>
                <w:rFonts w:ascii="Arial" w:cs="Arial" w:eastAsia="Arial" w:hAnsi="Arial"/>
                <w:sz w:val="18"/>
                <w:szCs w:val="18"/>
                <w:color w:val="auto"/>
                <w:w w:val="92"/>
              </w:rPr>
              <w:t>) shares of Common Stock of the Corporation represented by this Certificate and does hereby irrevocably</w:t>
            </w:r>
          </w:p>
        </w:tc>
      </w:tr>
      <w:tr>
        <w:trPr>
          <w:trHeight w:val="196"/>
        </w:trPr>
        <w:tc>
          <w:tcPr>
            <w:tcW w:w="16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constitute and appoint</w:t>
            </w: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14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3"/>
              </w:rPr>
              <w:t>attorney to transfer the said shares of Common Stock on the books of the Corporation, with full</w:t>
            </w:r>
          </w:p>
        </w:tc>
      </w:tr>
      <w:tr>
        <w:trPr>
          <w:trHeight w:val="235"/>
        </w:trPr>
        <w:tc>
          <w:tcPr>
            <w:tcW w:w="3220" w:type="dxa"/>
            <w:vAlign w:val="bottom"/>
            <w:gridSpan w:val="6"/>
          </w:tcPr>
          <w:p>
            <w:pPr>
              <w:spacing w:after="0"/>
              <w:rPr>
                <w:sz w:val="20"/>
                <w:szCs w:val="20"/>
                <w:color w:val="auto"/>
              </w:rPr>
            </w:pPr>
            <w:r>
              <w:rPr>
                <w:rFonts w:ascii="Arial" w:cs="Arial" w:eastAsia="Arial" w:hAnsi="Arial"/>
                <w:sz w:val="18"/>
                <w:szCs w:val="18"/>
                <w:color w:val="auto"/>
              </w:rPr>
              <w:t>power of substitution in the premises.</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80"/>
        </w:trPr>
        <w:tc>
          <w:tcPr>
            <w:tcW w:w="3220" w:type="dxa"/>
            <w:vAlign w:val="bottom"/>
            <w:gridSpan w:val="6"/>
          </w:tcPr>
          <w:p>
            <w:pPr>
              <w:spacing w:after="0"/>
              <w:rPr>
                <w:sz w:val="20"/>
                <w:szCs w:val="20"/>
                <w:color w:val="auto"/>
              </w:rPr>
            </w:pPr>
            <w:r>
              <w:rPr>
                <w:rFonts w:ascii="Arial" w:cs="Arial" w:eastAsia="Arial" w:hAnsi="Arial"/>
                <w:sz w:val="18"/>
                <w:szCs w:val="18"/>
                <w:color w:val="auto"/>
              </w:rPr>
              <w:t>Dated</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23"/>
        </w:trPr>
        <w:tc>
          <w:tcPr>
            <w:tcW w:w="4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r>
      <w:tr>
        <w:trPr>
          <w:trHeight w:val="215"/>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NOTICE: The Signature To This Assignment Must Correspond With The</w:t>
            </w: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Name As Written Upon The Face Of The Certificate In Every Particular,</w:t>
            </w:r>
          </w:p>
        </w:tc>
      </w:tr>
      <w:tr>
        <w:trPr>
          <w:trHeight w:val="222"/>
        </w:trPr>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Without Alteration Or Enlargement Or Any Change Whatsoever.</w:t>
            </w:r>
          </w:p>
        </w:tc>
      </w:tr>
    </w:tbl>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(h)</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-13970</wp:posOffset>
            </wp:positionV>
            <wp:extent cx="557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Common Stock</w:t>
      </w:r>
    </w:p>
    <w:p>
      <w:pPr>
        <w:spacing w:after="0" w:line="15"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($.001 Par Value Per Share)</w:t>
      </w:r>
    </w:p>
    <w:p>
      <w:pPr>
        <w:spacing w:after="0" w:line="159"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-13970</wp:posOffset>
            </wp:positionV>
            <wp:extent cx="557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0540"/>
          </w:cols>
          <w:pgMar w:left="112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UNDERWRITING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557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PennantPark Investment Corporation,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proposes to issue and sell an aggregate of [27,000,000] shares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$.001 par value per share (the</w:t>
      </w:r>
      <w:r>
        <w:rPr>
          <w:rFonts w:ascii="Arial" w:cs="Arial" w:eastAsia="Arial" w:hAnsi="Arial"/>
          <w:sz w:val="16"/>
          <w:szCs w:val="16"/>
          <w:b w:val="1"/>
          <w:bCs w:val="1"/>
          <w:i w:val="1"/>
          <w:iCs w:val="1"/>
          <w:color w:val="auto"/>
        </w:rPr>
        <w:t xml:space="preserve"> “Common Stock”</w:t>
      </w:r>
      <w:r>
        <w:rPr>
          <w:rFonts w:ascii="Arial" w:cs="Arial" w:eastAsia="Arial" w:hAnsi="Arial"/>
          <w:sz w:val="16"/>
          <w:szCs w:val="16"/>
          <w:color w:val="auto"/>
        </w:rPr>
        <w:t>), of the Company (the</w:t>
      </w:r>
      <w:r>
        <w:rPr>
          <w:rFonts w:ascii="Arial" w:cs="Arial" w:eastAsia="Arial" w:hAnsi="Arial"/>
          <w:sz w:val="16"/>
          <w:szCs w:val="16"/>
          <w:b w:val="1"/>
          <w:bCs w:val="1"/>
          <w:i w:val="1"/>
          <w:iCs w:val="1"/>
          <w:color w:val="auto"/>
        </w:rPr>
        <w:t xml:space="preserve"> “Offering”</w:t>
      </w:r>
      <w:r>
        <w:rPr>
          <w:rFonts w:ascii="Arial" w:cs="Arial" w:eastAsia="Arial" w:hAnsi="Arial"/>
          <w:sz w:val="16"/>
          <w:szCs w:val="16"/>
          <w:color w:val="auto"/>
        </w:rPr>
        <w:t>). It is understood that, subject to the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hereinafter stated, the Firm Shares will be sold by the Company to the several Underwriters named in Schedule A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xml:space="preserve">) in connection with the offer and sale of such Firm Shares. Bear, Stearns &amp; Co. Inc., Banc of America Securities LLC, UBS Securities LLC and SunTrust Capital Markets, Inc. shall act as joint book-running managers (the </w:t>
      </w:r>
      <w:r>
        <w:rPr>
          <w:rFonts w:ascii="Arial" w:cs="Arial" w:eastAsia="Arial" w:hAnsi="Arial"/>
          <w:sz w:val="16"/>
          <w:szCs w:val="16"/>
          <w:b w:val="1"/>
          <w:bCs w:val="1"/>
          <w:i w:val="1"/>
          <w:iCs w:val="1"/>
          <w:color w:val="auto"/>
        </w:rPr>
        <w:t>“Joint Book-Running Managers”</w:t>
      </w:r>
      <w:r>
        <w:rPr>
          <w:rFonts w:ascii="Arial" w:cs="Arial" w:eastAsia="Arial" w:hAnsi="Arial"/>
          <w:sz w:val="16"/>
          <w:szCs w:val="16"/>
          <w:color w:val="auto"/>
        </w:rPr>
        <w:t>).</w:t>
      </w:r>
    </w:p>
    <w:p>
      <w:pPr>
        <w:spacing w:after="0" w:line="116"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 xml:space="preserve">In addition, solely for the purpose of covering over-allotments, the Company proposes to grant to the Underwriters the option to purchase from the Company up to an additional [4,050,000] shares of Common Stock (the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xml:space="preserve">). The Firm Shares and the Additional Shares are hereinafter collectively sometimes referred to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The Shares are described in the Prospectus which is referred to below.</w:t>
      </w:r>
    </w:p>
    <w:p>
      <w:pPr>
        <w:spacing w:after="0" w:line="107"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Company hereby acknowledges that in connection with the proposed offering of the Shares, it has requested Bear, Stearns &amp; Co. Inc. (</w:t>
      </w:r>
      <w:r>
        <w:rPr>
          <w:rFonts w:ascii="Arial" w:cs="Arial" w:eastAsia="Arial" w:hAnsi="Arial"/>
          <w:sz w:val="15"/>
          <w:szCs w:val="15"/>
          <w:b w:val="1"/>
          <w:bCs w:val="1"/>
          <w:i w:val="1"/>
          <w:iCs w:val="1"/>
          <w:color w:val="auto"/>
        </w:rPr>
        <w:t>“Bear Stearns”</w:t>
      </w:r>
      <w:r>
        <w:rPr>
          <w:rFonts w:ascii="Arial" w:cs="Arial" w:eastAsia="Arial" w:hAnsi="Arial"/>
          <w:sz w:val="15"/>
          <w:szCs w:val="15"/>
          <w:color w:val="auto"/>
        </w:rPr>
        <w:t xml:space="preserve">) to administer a directed share program (the </w:t>
      </w:r>
      <w:r>
        <w:rPr>
          <w:rFonts w:ascii="Arial" w:cs="Arial" w:eastAsia="Arial" w:hAnsi="Arial"/>
          <w:sz w:val="15"/>
          <w:szCs w:val="15"/>
          <w:b w:val="1"/>
          <w:bCs w:val="1"/>
          <w:i w:val="1"/>
          <w:iCs w:val="1"/>
          <w:color w:val="auto"/>
        </w:rPr>
        <w:t>“Directed Share Program”</w:t>
      </w:r>
      <w:r>
        <w:rPr>
          <w:rFonts w:ascii="Arial" w:cs="Arial" w:eastAsia="Arial" w:hAnsi="Arial"/>
          <w:sz w:val="15"/>
          <w:szCs w:val="15"/>
          <w:color w:val="auto"/>
        </w:rPr>
        <w:t xml:space="preserve">) under which up to [500,000] Firm Shares, or [1.85]% of the Firm Shares to be purchased by the Underwriters (the </w:t>
      </w:r>
      <w:r>
        <w:rPr>
          <w:rFonts w:ascii="Arial" w:cs="Arial" w:eastAsia="Arial" w:hAnsi="Arial"/>
          <w:sz w:val="15"/>
          <w:szCs w:val="15"/>
          <w:b w:val="1"/>
          <w:bCs w:val="1"/>
          <w:i w:val="1"/>
          <w:iCs w:val="1"/>
          <w:color w:val="auto"/>
        </w:rPr>
        <w:t>“Reserved Shares”</w:t>
      </w:r>
      <w:r>
        <w:rPr>
          <w:rFonts w:ascii="Arial" w:cs="Arial" w:eastAsia="Arial" w:hAnsi="Arial"/>
          <w:sz w:val="15"/>
          <w:szCs w:val="15"/>
          <w:color w:val="auto"/>
        </w:rPr>
        <w:t xml:space="preserve">), shall be reserved for sale by Bear Stearns at the initial public offering price to the Company’s officers and directors (collectively, the </w:t>
      </w:r>
      <w:r>
        <w:rPr>
          <w:rFonts w:ascii="Arial" w:cs="Arial" w:eastAsia="Arial" w:hAnsi="Arial"/>
          <w:sz w:val="15"/>
          <w:szCs w:val="15"/>
          <w:b w:val="1"/>
          <w:bCs w:val="1"/>
          <w:i w:val="1"/>
          <w:iCs w:val="1"/>
          <w:color w:val="auto"/>
        </w:rPr>
        <w:t>“Directed Share Participants”</w:t>
      </w:r>
      <w:r>
        <w:rPr>
          <w:rFonts w:ascii="Arial" w:cs="Arial" w:eastAsia="Arial" w:hAnsi="Arial"/>
          <w:sz w:val="15"/>
          <w:szCs w:val="15"/>
          <w:color w:val="auto"/>
        </w:rPr>
        <w:t>) as part of the distribution of the Shares by the Underwriters, subject to the terms of this Agreement, the applicable rules, regulations and interpretations of the NASD and all other applicable laws, rules and regulations. The number of Shares available for sale to the general public will be reduced to the extent that Directed Share Participants purchase Reserved Shares. The Underwriters may offer any Reserved Shares not purchased by Directed Share Participants to the general public on the same basis as the other Shares being issued and sold hereunder. The Company has supplied Bear Stearns with names, addresses and telephone numbers of the individuals or other entities which the Company has designated to be participants in the Directed Share Program. It is understood that any number of those designated to participate in the Directed Share Program may decline to do so.</w:t>
      </w:r>
    </w:p>
    <w:p>
      <w:pPr>
        <w:sectPr>
          <w:pgSz w:w="11900" w:h="16838" w:orient="portrait"/>
          <w:cols w:equalWidth="0" w:num="1">
            <w:col w:w="11420"/>
          </w:cols>
          <w:pgMar w:left="240" w:top="274" w:right="239" w:bottom="1440" w:gutter="0" w:footer="0" w:header="0"/>
        </w:sectPr>
      </w:pPr>
    </w:p>
    <w:bookmarkStart w:id="38" w:name="page39"/>
    <w:bookmarkEnd w:id="38"/>
    <w:p>
      <w:pPr>
        <w:ind w:right="2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has filed, in accordance with the provisions of the Securities Act of 1933, as amended, and the rules and regulations thereunder (collectively,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xml:space="preserve">),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xml:space="preserve">) a registration statement on Form N-2 (File No. 333-140092) including a prospectus, relating to the Shares (the </w:t>
      </w:r>
      <w:r>
        <w:rPr>
          <w:rFonts w:ascii="Arial" w:cs="Arial" w:eastAsia="Arial" w:hAnsi="Arial"/>
          <w:sz w:val="15"/>
          <w:szCs w:val="15"/>
          <w:b w:val="1"/>
          <w:bCs w:val="1"/>
          <w:i w:val="1"/>
          <w:iCs w:val="1"/>
          <w:color w:val="auto"/>
        </w:rPr>
        <w:t>“Initial Registration Statement”</w:t>
      </w:r>
      <w:r>
        <w:rPr>
          <w:rFonts w:ascii="Arial" w:cs="Arial" w:eastAsia="Arial" w:hAnsi="Arial"/>
          <w:sz w:val="15"/>
          <w:szCs w:val="15"/>
          <w:color w:val="auto"/>
        </w:rPr>
        <w:t xml:space="preserve">). Any preliminary prospectus included in such Initial Registration Statement or filed with the Commission pursuant to Rule 497 under the Act is hereinafter referred to as a </w:t>
      </w:r>
      <w:r>
        <w:rPr>
          <w:rFonts w:ascii="Arial" w:cs="Arial" w:eastAsia="Arial" w:hAnsi="Arial"/>
          <w:sz w:val="15"/>
          <w:szCs w:val="15"/>
          <w:b w:val="1"/>
          <w:bCs w:val="1"/>
          <w:i w:val="1"/>
          <w:iCs w:val="1"/>
          <w:color w:val="auto"/>
        </w:rPr>
        <w:t>“Preliminary Prospectus;”</w:t>
      </w:r>
      <w:r>
        <w:rPr>
          <w:rFonts w:ascii="Arial" w:cs="Arial" w:eastAsia="Arial" w:hAnsi="Arial"/>
          <w:sz w:val="15"/>
          <w:szCs w:val="15"/>
          <w:color w:val="auto"/>
        </w:rPr>
        <w:t xml:space="preserve"> the Initial Registration Statement, as it may have heretofore been amended at the time it became effective or any amendment became effective, including the information (if any) deemed to be part of the registration statement at the time of effectiveness pursuant to Rule 430A and Rule 497 under the Act and also including any registration statement filed pursuant</w:t>
      </w:r>
    </w:p>
    <w:p>
      <w:pPr>
        <w:spacing w:after="0" w:line="1"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 xml:space="preserve">to Rule 462(b) under the Act, is hereinafter referred to as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xml:space="preserve"> the Preliminary Prospectus, dated as of</w:t>
      </w:r>
      <w:r>
        <w:rPr>
          <w:sz w:val="20"/>
          <w:szCs w:val="20"/>
          <w:color w:val="auto"/>
        </w:rPr>
        <w:tab/>
      </w:r>
      <w:r>
        <w:rPr>
          <w:rFonts w:ascii="Arial" w:cs="Arial" w:eastAsia="Arial" w:hAnsi="Arial"/>
          <w:sz w:val="16"/>
          <w:szCs w:val="16"/>
          <w:color w:val="auto"/>
        </w:rPr>
        <w:t>, 2007, in the form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-17780</wp:posOffset>
            </wp:positionV>
            <wp:extent cx="557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300"/>
        <w:spacing w:after="0" w:line="300" w:lineRule="auto"/>
        <w:rPr>
          <w:sz w:val="20"/>
          <w:szCs w:val="20"/>
          <w:color w:val="auto"/>
        </w:rPr>
      </w:pPr>
      <w:r>
        <w:rPr>
          <w:rFonts w:ascii="Arial" w:cs="Arial" w:eastAsia="Arial" w:hAnsi="Arial"/>
          <w:sz w:val="15"/>
          <w:szCs w:val="15"/>
          <w:color w:val="auto"/>
        </w:rPr>
        <w:t xml:space="preserve">which it was distributed, is hereinafter referred to as the </w:t>
      </w:r>
      <w:r>
        <w:rPr>
          <w:rFonts w:ascii="Arial" w:cs="Arial" w:eastAsia="Arial" w:hAnsi="Arial"/>
          <w:sz w:val="15"/>
          <w:szCs w:val="15"/>
          <w:b w:val="1"/>
          <w:bCs w:val="1"/>
          <w:i w:val="1"/>
          <w:iCs w:val="1"/>
          <w:color w:val="auto"/>
        </w:rPr>
        <w:t>“Pricing Prospectus;”</w:t>
      </w:r>
      <w:r>
        <w:rPr>
          <w:rFonts w:ascii="Arial" w:cs="Arial" w:eastAsia="Arial" w:hAnsi="Arial"/>
          <w:sz w:val="15"/>
          <w:szCs w:val="15"/>
          <w:color w:val="auto"/>
        </w:rPr>
        <w:t xml:space="preserve"> the prospectus to be filed with the Commission pursuant to Rule 497 after the Execution Time (as defined below) and to be used to confirm sales of Shares is hereinafter referred to as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xml:space="preserve"> A Form N-54A – Notification of Election to be Subject to Sections 55 through 65 of the Investment Company Act of 1940 Filed Pursuant to Section 54(a) of the Act (File No. 814-00736) (the</w:t>
      </w:r>
    </w:p>
    <w:p>
      <w:pPr>
        <w:spacing w:after="0" w:line="1"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b w:val="1"/>
          <w:bCs w:val="1"/>
          <w:i w:val="1"/>
          <w:iCs w:val="1"/>
          <w:color w:val="auto"/>
        </w:rPr>
        <w:t>“Notification of Election”</w:t>
      </w:r>
      <w:r>
        <w:rPr>
          <w:rFonts w:ascii="Arial" w:cs="Arial" w:eastAsia="Arial" w:hAnsi="Arial"/>
          <w:sz w:val="18"/>
          <w:szCs w:val="18"/>
          <w:color w:val="auto"/>
        </w:rPr>
        <w:t>) was filed with the Commission on</w:t>
      </w:r>
      <w:r>
        <w:rPr>
          <w:sz w:val="20"/>
          <w:szCs w:val="20"/>
          <w:color w:val="auto"/>
        </w:rPr>
        <w:tab/>
      </w:r>
      <w:r>
        <w:rPr>
          <w:rFonts w:ascii="Arial" w:cs="Arial" w:eastAsia="Arial" w:hAnsi="Arial"/>
          <w:sz w:val="15"/>
          <w:szCs w:val="15"/>
          <w:color w:val="auto"/>
        </w:rPr>
        <w:t>, 2007 under the Investment Company Act of 1940, as amended, and the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-17780</wp:posOffset>
            </wp:positionV>
            <wp:extent cx="557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80"/>
        <w:spacing w:after="0" w:line="261" w:lineRule="auto"/>
        <w:rPr>
          <w:sz w:val="20"/>
          <w:szCs w:val="20"/>
          <w:color w:val="auto"/>
        </w:rPr>
      </w:pPr>
      <w:r>
        <w:rPr>
          <w:rFonts w:ascii="Arial" w:cs="Arial" w:eastAsia="Arial" w:hAnsi="Arial"/>
          <w:sz w:val="18"/>
          <w:szCs w:val="18"/>
          <w:color w:val="auto"/>
        </w:rPr>
        <w:t xml:space="preserve">regulations thereunder (collectively,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xml:space="preserve">). As used herein, </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xml:space="preserve"> shall mean a day on which the New York Stock Exchange is open for trading.</w:t>
      </w:r>
    </w:p>
    <w:p>
      <w:pPr>
        <w:spacing w:after="0" w:line="138" w:lineRule="exact"/>
        <w:rPr>
          <w:sz w:val="20"/>
          <w:szCs w:val="20"/>
          <w:color w:val="auto"/>
        </w:rPr>
      </w:pPr>
    </w:p>
    <w:p>
      <w:pPr>
        <w:ind w:left="460"/>
        <w:spacing w:after="0"/>
        <w:tabs>
          <w:tab w:leader="none" w:pos="8060" w:val="left"/>
        </w:tabs>
        <w:rPr>
          <w:sz w:val="20"/>
          <w:szCs w:val="20"/>
          <w:color w:val="auto"/>
        </w:rPr>
      </w:pPr>
      <w:r>
        <w:rPr>
          <w:rFonts w:ascii="Arial" w:cs="Arial" w:eastAsia="Arial" w:hAnsi="Arial"/>
          <w:sz w:val="18"/>
          <w:szCs w:val="18"/>
          <w:color w:val="auto"/>
        </w:rPr>
        <w:t>The Company has entered into an investment advisory and management agreement, dated as of</w:t>
      </w:r>
      <w:r>
        <w:rPr>
          <w:sz w:val="20"/>
          <w:szCs w:val="20"/>
          <w:color w:val="auto"/>
        </w:rPr>
        <w:tab/>
      </w:r>
      <w:r>
        <w:rPr>
          <w:rFonts w:ascii="Arial" w:cs="Arial" w:eastAsia="Arial" w:hAnsi="Arial"/>
          <w:sz w:val="15"/>
          <w:szCs w:val="15"/>
          <w:color w:val="auto"/>
        </w:rPr>
        <w:t xml:space="preserve">, 2007 (the </w:t>
      </w:r>
      <w:r>
        <w:rPr>
          <w:rFonts w:ascii="Arial" w:cs="Arial" w:eastAsia="Arial" w:hAnsi="Arial"/>
          <w:sz w:val="15"/>
          <w:szCs w:val="15"/>
          <w:b w:val="1"/>
          <w:bCs w:val="1"/>
          <w:i w:val="1"/>
          <w:iCs w:val="1"/>
          <w:color w:val="auto"/>
        </w:rPr>
        <w:t>“Investment 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-13970</wp:posOffset>
            </wp:positionV>
            <wp:extent cx="557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160"/>
        <w:spacing w:after="0" w:line="323" w:lineRule="auto"/>
        <w:rPr>
          <w:sz w:val="20"/>
          <w:szCs w:val="20"/>
          <w:color w:val="auto"/>
        </w:rPr>
      </w:pP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PennantPark Investment Advisers, LLC, a Delaware limited liability company registered as an investment adviser (the</w:t>
      </w:r>
      <w:r>
        <w:rPr>
          <w:rFonts w:ascii="Arial" w:cs="Arial" w:eastAsia="Arial" w:hAnsi="Arial"/>
          <w:sz w:val="16"/>
          <w:szCs w:val="16"/>
          <w:b w:val="1"/>
          <w:bCs w:val="1"/>
          <w:i w:val="1"/>
          <w:iCs w:val="1"/>
          <w:color w:val="auto"/>
        </w:rPr>
        <w:t xml:space="preserve"> “Adviser”</w:t>
      </w:r>
      <w:r>
        <w:rPr>
          <w:rFonts w:ascii="Arial" w:cs="Arial" w:eastAsia="Arial" w:hAnsi="Arial"/>
          <w:sz w:val="16"/>
          <w:szCs w:val="16"/>
          <w:color w:val="auto"/>
        </w:rPr>
        <w:t>)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Investment Advisers Act of 1940, as amended, and the rules and regulations thereunder (collectively,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93" w:lineRule="exact"/>
        <w:rPr>
          <w:sz w:val="20"/>
          <w:szCs w:val="20"/>
          <w:color w:val="auto"/>
        </w:rPr>
      </w:pPr>
    </w:p>
    <w:p>
      <w:pPr>
        <w:ind w:left="460"/>
        <w:spacing w:after="0"/>
        <w:tabs>
          <w:tab w:leader="none" w:pos="6420" w:val="left"/>
        </w:tabs>
        <w:rPr>
          <w:sz w:val="20"/>
          <w:szCs w:val="20"/>
          <w:color w:val="auto"/>
        </w:rPr>
      </w:pPr>
      <w:r>
        <w:rPr>
          <w:rFonts w:ascii="Arial" w:cs="Arial" w:eastAsia="Arial" w:hAnsi="Arial"/>
          <w:sz w:val="18"/>
          <w:szCs w:val="18"/>
          <w:color w:val="auto"/>
        </w:rPr>
        <w:t>The Company has entered into an administration agreement, dated as of</w:t>
      </w:r>
      <w:r>
        <w:rPr>
          <w:sz w:val="20"/>
          <w:szCs w:val="20"/>
          <w:color w:val="auto"/>
        </w:rPr>
        <w:tab/>
      </w:r>
      <w:r>
        <w:rPr>
          <w:rFonts w:ascii="Arial" w:cs="Arial" w:eastAsia="Arial" w:hAnsi="Arial"/>
          <w:sz w:val="15"/>
          <w:szCs w:val="15"/>
          <w:color w:val="auto"/>
        </w:rPr>
        <w:t xml:space="preserve">, 2007 (the </w:t>
      </w:r>
      <w:r>
        <w:rPr>
          <w:rFonts w:ascii="Arial" w:cs="Arial" w:eastAsia="Arial" w:hAnsi="Arial"/>
          <w:sz w:val="15"/>
          <w:szCs w:val="15"/>
          <w:b w:val="1"/>
          <w:bCs w:val="1"/>
          <w:i w:val="1"/>
          <w:iCs w:val="1"/>
          <w:color w:val="auto"/>
        </w:rPr>
        <w:t>“Administration Agreement”</w:t>
      </w:r>
      <w:r>
        <w:rPr>
          <w:rFonts w:ascii="Arial" w:cs="Arial" w:eastAsia="Arial" w:hAnsi="Arial"/>
          <w:sz w:val="15"/>
          <w:szCs w:val="15"/>
          <w:color w:val="auto"/>
        </w:rPr>
        <w:t>), with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-13970</wp:posOffset>
            </wp:positionV>
            <wp:extent cx="557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Investment Administration,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90" w:lineRule="exact"/>
        <w:rPr>
          <w:sz w:val="20"/>
          <w:szCs w:val="20"/>
          <w:color w:val="auto"/>
        </w:rPr>
      </w:pPr>
    </w:p>
    <w:p>
      <w:pPr>
        <w:ind w:firstLine="464"/>
        <w:spacing w:after="0" w:line="303"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Sale and Purchase</w:t>
      </w:r>
      <w:r>
        <w:rPr>
          <w:rFonts w:ascii="Arial" w:cs="Arial" w:eastAsia="Arial" w:hAnsi="Arial"/>
          <w:sz w:val="15"/>
          <w:szCs w:val="15"/>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9 hereof, in each case at a</w:t>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purchase price of $</w:t>
      </w:r>
      <w:r>
        <w:rPr>
          <w:sz w:val="20"/>
          <w:szCs w:val="20"/>
          <w:color w:val="auto"/>
        </w:rPr>
        <w:tab/>
      </w:r>
      <w:r>
        <w:rPr>
          <w:rFonts w:ascii="Arial" w:cs="Arial" w:eastAsia="Arial" w:hAnsi="Arial"/>
          <w:sz w:val="16"/>
          <w:szCs w:val="16"/>
          <w:color w:val="auto"/>
        </w:rPr>
        <w:t>per Share. The Company is advised by you that the Underwriters intend (i) to make a public offering of their respective portions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-17780</wp:posOffset>
            </wp:positionV>
            <wp:extent cx="3346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spacing w:after="0" w:line="361" w:lineRule="auto"/>
        <w:rPr>
          <w:sz w:val="20"/>
          <w:szCs w:val="20"/>
          <w:color w:val="auto"/>
        </w:rPr>
      </w:pPr>
      <w:r>
        <w:rPr>
          <w:rFonts w:ascii="Arial" w:cs="Arial" w:eastAsia="Arial" w:hAnsi="Arial"/>
          <w:sz w:val="15"/>
          <w:szCs w:val="15"/>
          <w:color w:val="auto"/>
        </w:rPr>
        <w:t>Firm Shares as soon after the effective date of the Registration Statement as in your judgment is advisable and (ii) initially to offer the Firm Shares upon the terms set forth in the Prospectus. You may from time to time increase or decrease the public offering price after the public offering to such extent as you may determine.</w:t>
      </w:r>
    </w:p>
    <w:p>
      <w:pPr>
        <w:spacing w:after="0" w:line="6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9" w:name="page40"/>
    <w:bookmarkEnd w:id="39"/>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Additional Shares as may be necessary to cover over-allotments made in connection with the offering of the Firm Shares, at the same purchase price per share to be paid by the Underwriters to the Company for the Firm Shares. This option may be exercised by the Joint Book-Running Managers, acting together, on behalf of the several Underwriters at any time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earlier than the second business day after the date on which the option shall have been exercised nor later than the tenth business day after the date on which the option shall have been exercised.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9 hereof.</w:t>
      </w:r>
    </w:p>
    <w:p>
      <w:pPr>
        <w:spacing w:after="0" w:line="123" w:lineRule="exact"/>
        <w:rPr>
          <w:sz w:val="20"/>
          <w:szCs w:val="20"/>
          <w:color w:val="auto"/>
        </w:rPr>
      </w:pPr>
    </w:p>
    <w:p>
      <w:pPr>
        <w:ind w:firstLine="464"/>
        <w:spacing w:after="0" w:line="305" w:lineRule="auto"/>
        <w:tabs>
          <w:tab w:leader="none" w:pos="632"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Payment and Delivery</w:t>
      </w:r>
      <w:r>
        <w:rPr>
          <w:rFonts w:ascii="Arial" w:cs="Arial" w:eastAsia="Arial" w:hAnsi="Arial"/>
          <w:sz w:val="15"/>
          <w:szCs w:val="15"/>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5"/>
          <w:szCs w:val="15"/>
          <w:b w:val="1"/>
          <w:bCs w:val="1"/>
          <w:i w:val="1"/>
          <w:iCs w:val="1"/>
          <w:color w:val="auto"/>
        </w:rPr>
        <w:t>“DTC”</w:t>
      </w:r>
      <w:r>
        <w:rPr>
          <w:rFonts w:ascii="Arial" w:cs="Arial" w:eastAsia="Arial" w:hAnsi="Arial"/>
          <w:sz w:val="15"/>
          <w:szCs w:val="15"/>
          <w:color w:val="auto"/>
        </w:rPr>
        <w:t>) for the respective accounts of the Underwriters.</w:t>
      </w:r>
    </w:p>
    <w:p>
      <w:pPr>
        <w:spacing w:after="0"/>
        <w:tabs>
          <w:tab w:leader="none" w:pos="6640" w:val="left"/>
        </w:tabs>
        <w:rPr>
          <w:sz w:val="20"/>
          <w:szCs w:val="20"/>
          <w:color w:val="auto"/>
        </w:rPr>
      </w:pPr>
      <w:r>
        <w:rPr>
          <w:rFonts w:ascii="Arial" w:cs="Arial" w:eastAsia="Arial" w:hAnsi="Arial"/>
          <w:sz w:val="18"/>
          <w:szCs w:val="18"/>
          <w:color w:val="auto"/>
        </w:rPr>
        <w:t>Such payment and delivery shall be made at 10:00 A.M., New York City time, on</w:t>
      </w:r>
      <w:r>
        <w:rPr>
          <w:sz w:val="20"/>
          <w:szCs w:val="20"/>
          <w:color w:val="auto"/>
        </w:rPr>
        <w:tab/>
      </w:r>
      <w:r>
        <w:rPr>
          <w:rFonts w:ascii="Arial" w:cs="Arial" w:eastAsia="Arial" w:hAnsi="Arial"/>
          <w:sz w:val="15"/>
          <w:szCs w:val="15"/>
          <w:color w:val="auto"/>
        </w:rPr>
        <w:t>, 2007 (unless another time shall be agreed to by you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-17780</wp:posOffset>
            </wp:positionV>
            <wp:extent cx="557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100"/>
        <w:spacing w:after="0" w:line="255" w:lineRule="auto"/>
        <w:rPr>
          <w:sz w:val="20"/>
          <w:szCs w:val="20"/>
          <w:color w:val="auto"/>
        </w:rPr>
      </w:pPr>
      <w:r>
        <w:rPr>
          <w:rFonts w:ascii="Arial" w:cs="Arial" w:eastAsia="Arial" w:hAnsi="Arial"/>
          <w:sz w:val="18"/>
          <w:szCs w:val="18"/>
          <w:color w:val="auto"/>
        </w:rPr>
        <w:t xml:space="preserve">Company or unless postponed in accordance with the provisions of Section 9 hereof). The time at which such payment and delivery are to be made is hereinafter sometimes called </w:t>
      </w:r>
      <w:r>
        <w:rPr>
          <w:rFonts w:ascii="Arial" w:cs="Arial" w:eastAsia="Arial" w:hAnsi="Arial"/>
          <w:sz w:val="18"/>
          <w:szCs w:val="18"/>
          <w:b w:val="1"/>
          <w:bCs w:val="1"/>
          <w:i w:val="1"/>
          <w:iCs w:val="1"/>
          <w:color w:val="auto"/>
        </w:rPr>
        <w:t>“the time of purchase.”</w:t>
      </w:r>
      <w:r>
        <w:rPr>
          <w:rFonts w:ascii="Arial" w:cs="Arial" w:eastAsia="Arial" w:hAnsi="Arial"/>
          <w:sz w:val="18"/>
          <w:szCs w:val="18"/>
          <w:color w:val="auto"/>
        </w:rPr>
        <w:t xml:space="preserve"> Electronic transfer of the Firm Shares shall be made to you at the time of purchase in such names and in such denominations as you shall specify.</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Payment of the purchase price for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Deliveries of the documents described in Section 7 hereof with respect to the purchase of the Shares shall be made at the offices of Sutherland Asbill &amp; Brennan LLP, 1275 Pennsylvania Avenue, N.W., Washington, D.C. 20004 at 9:00 A.M., New York City time, on the date of the closing of the purchase of the Firm Shares or the Additional Shares, as the case may be.</w:t>
      </w:r>
    </w:p>
    <w:p>
      <w:pPr>
        <w:spacing w:after="0" w:line="140" w:lineRule="exact"/>
        <w:rPr>
          <w:sz w:val="20"/>
          <w:szCs w:val="20"/>
          <w:color w:val="auto"/>
        </w:rPr>
      </w:pPr>
    </w:p>
    <w:p>
      <w:pPr>
        <w:ind w:right="26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4" w:lineRule="exact"/>
        <w:rPr>
          <w:sz w:val="20"/>
          <w:szCs w:val="20"/>
          <w:color w:val="auto"/>
        </w:rPr>
      </w:pPr>
    </w:p>
    <w:p>
      <w:pPr>
        <w:ind w:right="60" w:firstLine="464"/>
        <w:spacing w:after="0" w:line="294"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Registration Statement has been declared effective under the Act; no stop order of the Commission preventing or suspending the use of any Preliminary Prospectus or the Prospectus or the effectiveness of the Registration Statement has been issued and no proceedings for such purpose have been instituted or, to the Company’s knowledge, are contemplated by the Commission; the Pricing Prospectus taken together with the information set forth on Exhibit G hereto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xml:space="preserve">),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and at the time of purchase and any additional time of purchase, did not contain any untrue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0" w:name="page41"/>
    <w:bookmarkEnd w:id="40"/>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requirements of the Act and the Prospectus (and any supplements thereto), as of the date it is first filed in accordance with Rule 497 and at the time of purchase and any additional time of purchase, will comply in all material respects with the requirements of the Act, and any statutes, regulations, contracts or other documents that are required to be described in the Registration Statement, the Pricing Prospectus or the Prospectus or to be filed as exhibits to the Registration Statement have been and will be so described or filed; the Company is eligible to use Form N-2;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warranty or representation with respect to any statement contained in the Pricing Prospectus, the Registration Statement or the Prospectus in reliance upon and in conformity with information concerning an Underwriter and furnished in writing by or on behalf of such Underwriter through you to the Company expressly for use in the Pricing Prospectus, the Registration Statement or the Prospectus; and the Company has not distributed and will not distribute any offering material in connection with the offering or sale of the Shares other than the Registration Statement, the Pricing Prospectus and the Prospectus;</w:t>
      </w:r>
    </w:p>
    <w:p>
      <w:pPr>
        <w:spacing w:after="0" w:line="126" w:lineRule="exact"/>
        <w:rPr>
          <w:sz w:val="20"/>
          <w:szCs w:val="20"/>
          <w:color w:val="auto"/>
        </w:rPr>
      </w:pPr>
    </w:p>
    <w:p>
      <w:pPr>
        <w:ind w:right="240" w:firstLine="464"/>
        <w:spacing w:after="0" w:line="312" w:lineRule="auto"/>
        <w:tabs>
          <w:tab w:leader="none" w:pos="7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05" w:lineRule="exact"/>
        <w:rPr>
          <w:rFonts w:ascii="Arial" w:cs="Arial" w:eastAsia="Arial" w:hAnsi="Arial"/>
          <w:sz w:val="15"/>
          <w:szCs w:val="15"/>
          <w:color w:val="auto"/>
        </w:rPr>
      </w:pPr>
    </w:p>
    <w:p>
      <w:pPr>
        <w:jc w:val="both"/>
        <w:ind w:right="320" w:firstLine="464"/>
        <w:spacing w:after="0" w:line="306"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with full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06" w:lineRule="exact"/>
        <w:rPr>
          <w:rFonts w:ascii="Arial" w:cs="Arial" w:eastAsia="Arial" w:hAnsi="Arial"/>
          <w:sz w:val="16"/>
          <w:szCs w:val="16"/>
          <w:color w:val="auto"/>
        </w:rPr>
      </w:pPr>
    </w:p>
    <w:p>
      <w:pPr>
        <w:jc w:val="both"/>
        <w:ind w:firstLine="464"/>
        <w:spacing w:after="0" w:line="335" w:lineRule="auto"/>
        <w:tabs>
          <w:tab w:leader="none" w:pos="7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results of operation or prospects of the Company (a </w:t>
      </w:r>
      <w:r>
        <w:rPr>
          <w:rFonts w:ascii="Arial" w:cs="Arial" w:eastAsia="Arial" w:hAnsi="Arial"/>
          <w:sz w:val="15"/>
          <w:szCs w:val="15"/>
          <w:b w:val="1"/>
          <w:bCs w:val="1"/>
          <w:i w:val="1"/>
          <w:iCs w:val="1"/>
          <w:color w:val="auto"/>
        </w:rPr>
        <w:t>“Material Adverse Effect”</w:t>
      </w:r>
      <w:r>
        <w:rPr>
          <w:rFonts w:ascii="Arial" w:cs="Arial" w:eastAsia="Arial" w:hAnsi="Arial"/>
          <w:sz w:val="15"/>
          <w:szCs w:val="15"/>
          <w:color w:val="auto"/>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1" w:name="page42"/>
    <w:bookmarkEnd w:id="41"/>
    <w:p>
      <w:pPr>
        <w:ind w:left="-20" w:firstLine="464"/>
        <w:spacing w:after="0" w:line="290" w:lineRule="auto"/>
        <w:tabs>
          <w:tab w:leader="none" w:pos="675"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has no subsidiaries (as defined in the Act) other than Pennant SPV Company, LLC (the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the Subsidiary has been duly formed and is validly existing as a Delaware limited liability company in good standing under the laws of the State of Delaware, with full power and authority to own, lease and operate its properties and to conduct its business as described in the Pricing Prospectus, the Prospectus and the Registration Statement; except as disclosed in the Pricing Prospectus, the Prospectus and the Registration Statement, the Company does not own, directly or indirectly, any shares of stock or any other equity or long-term debt securities of any corporation or have any equity interest in any firm, partnership, joint venture, association or other entity; complete and correct copies of the articles of incorporation, certificate of formation, limited liability company operating agreement and bylaws, as applicable, of each of the Company and the Subsidiary, and all amendments thereto though the date hereof, have been delivered to you;</w:t>
      </w:r>
    </w:p>
    <w:p>
      <w:pPr>
        <w:spacing w:after="0" w:line="118" w:lineRule="exact"/>
        <w:rPr>
          <w:rFonts w:ascii="Arial" w:cs="Arial" w:eastAsia="Arial" w:hAnsi="Arial"/>
          <w:sz w:val="16"/>
          <w:szCs w:val="16"/>
          <w:color w:val="auto"/>
        </w:rPr>
      </w:pPr>
    </w:p>
    <w:p>
      <w:pPr>
        <w:ind w:left="-20" w:right="280" w:firstLine="464"/>
        <w:spacing w:after="0" w:line="259" w:lineRule="auto"/>
        <w:tabs>
          <w:tab w:leader="none" w:pos="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Subsidiary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40" w:lineRule="exact"/>
        <w:rPr>
          <w:rFonts w:ascii="Arial" w:cs="Arial" w:eastAsia="Arial" w:hAnsi="Arial"/>
          <w:sz w:val="18"/>
          <w:szCs w:val="18"/>
          <w:color w:val="auto"/>
        </w:rPr>
      </w:pPr>
    </w:p>
    <w:p>
      <w:pPr>
        <w:ind w:left="-20" w:right="140" w:firstLine="464"/>
        <w:spacing w:after="0" w:line="332"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Shares have been duly and validly authorized and, when issued and delivered against payment therefor by you as provided herein, will be duly and validly issued, fully paid and non-assessable and free of statutory and contractual preemptive rights or rights of first refusal;</w:t>
      </w:r>
    </w:p>
    <w:p>
      <w:pPr>
        <w:spacing w:after="0" w:line="85" w:lineRule="exact"/>
        <w:rPr>
          <w:rFonts w:ascii="Arial" w:cs="Arial" w:eastAsia="Arial" w:hAnsi="Arial"/>
          <w:sz w:val="16"/>
          <w:szCs w:val="16"/>
          <w:color w:val="auto"/>
        </w:rPr>
      </w:pPr>
    </w:p>
    <w:p>
      <w:pPr>
        <w:ind w:left="-20" w:right="500" w:firstLine="464"/>
        <w:spacing w:after="0" w:line="259"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w:t>
      </w:r>
    </w:p>
    <w:p>
      <w:pPr>
        <w:spacing w:after="0" w:line="140" w:lineRule="exact"/>
        <w:rPr>
          <w:rFonts w:ascii="Arial" w:cs="Arial" w:eastAsia="Arial" w:hAnsi="Arial"/>
          <w:sz w:val="18"/>
          <w:szCs w:val="18"/>
          <w:color w:val="auto"/>
        </w:rPr>
      </w:pPr>
    </w:p>
    <w:p>
      <w:pPr>
        <w:ind w:left="-20" w:right="460" w:firstLine="464"/>
        <w:spacing w:after="0" w:line="268" w:lineRule="auto"/>
        <w:tabs>
          <w:tab w:leader="none" w:pos="6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the Investment Advisory Agreement and the Administration Agreement have been duly authorized, executed and delivered by the Company;</w:t>
      </w:r>
    </w:p>
    <w:p>
      <w:pPr>
        <w:spacing w:after="0" w:line="131" w:lineRule="exact"/>
        <w:rPr>
          <w:rFonts w:ascii="Arial" w:cs="Arial" w:eastAsia="Arial" w:hAnsi="Arial"/>
          <w:sz w:val="18"/>
          <w:szCs w:val="18"/>
          <w:color w:val="auto"/>
        </w:rPr>
      </w:pPr>
    </w:p>
    <w:p>
      <w:pPr>
        <w:ind w:left="-20" w:right="40" w:firstLine="464"/>
        <w:spacing w:after="0" w:line="287" w:lineRule="auto"/>
        <w:tabs>
          <w:tab w:leader="none" w:pos="6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the Subsidiary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(i) its charter, by-laws, certificate of formation, limited liability company operating agreement, or other organizational documents of the Company or the Adviser, as applicable, or (ii) any indenture, mortgage, deed of trust, bank loan or credit agreement or other evidence of indebtedness, or any license, lease, contract or other agreement or instrument to which the Company or the Subsidiary, as the case may be, is a party, except, with respect to clause (ii), to the extent that any such contravention would not have a Material Adverse Effect, and the execution, delivery and performance by the Company of this Agreement, the Investment Advisory Agreement and Administration Agreement, the issuance and sale of the Shares and the consummation of the transactions contemplated hereby will not conflict with, result in any breach or violation of or constitute a default under (nor constitute any event which with notice, lapse of time or both would result in any breach or violation of or constitute a default under) (i) the charter, by-laws, certificate of formation, limited liability company operating agreement,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42" w:name="page43"/>
    <w:bookmarkEnd w:id="4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organizational documents of the Company or the Subsidiary, or (ii) any indenture, mortgage, deed of trust, bank loan or credit agreement or other evidence of indebtedness, or any license, lease, contract or other agreement or instrument to which the Company or the Subsidiary is a party, or (iii) any federal, state, local or foreign law, regulation or rule or any decree, judgment or order applicable to the Company or the Subsidiary, except, with respect to clause (ii) and (iii), to the extent that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16" w:lineRule="exact"/>
        <w:rPr>
          <w:sz w:val="20"/>
          <w:szCs w:val="20"/>
          <w:color w:val="auto"/>
        </w:rPr>
      </w:pPr>
    </w:p>
    <w:p>
      <w:pPr>
        <w:ind w:right="40" w:firstLine="464"/>
        <w:spacing w:after="0" w:line="294"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federal, state, local or foreign governmental or regulatory commission, board, body, authority or agency is required in connection with the issuance and sale of the Shares or the consummation by the Company of the transactions contemplated hereby other than (i) registration of the Shares under the Act, which has been effected, and any necessary qualification under the securities or blue sky laws of the various jurisdictions in which the Shares are being offered by the Underwriters or under the rules and regulations of the NASD and (ii) filing of the Notification of Election under the Investment Company Act, which has been effected;</w:t>
      </w:r>
    </w:p>
    <w:p>
      <w:pPr>
        <w:spacing w:after="0" w:line="115" w:lineRule="exact"/>
        <w:rPr>
          <w:rFonts w:ascii="Arial" w:cs="Arial" w:eastAsia="Arial" w:hAnsi="Arial"/>
          <w:sz w:val="16"/>
          <w:szCs w:val="16"/>
          <w:color w:val="auto"/>
        </w:rPr>
      </w:pPr>
    </w:p>
    <w:p>
      <w:pPr>
        <w:ind w:firstLine="464"/>
        <w:spacing w:after="0" w:line="289" w:lineRule="auto"/>
        <w:tabs>
          <w:tab w:leader="none" w:pos="6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contractual or otherwise, to cause the Company to issue or sell to it any shares of Common Stock or shares of any other capital stock or other equity interests of the Company, (ii) no person has any preemptive rights or rights of first refusal to purchase any shares of Common Stock or shares of any other capital stock or other equity interests of the Company, and (iii) no person has the right to act as an underwriter or as a financial advisor to the Company in connection with the offer and sale of the Shares, in the case of each of the foregoing clauses (i), (ii) and (iii), whether as a result of the filing or effectiveness of the Registration Statement or the sale of the Shares as contemplated thereby or otherwise; no person has the right, contractual or otherwise, to cause the Company to register under the Act any shares of Common Stock or shares of any other capital stock or other equity interests of the Company, or to include any such shares or interests in the Registration Statement or the offering contemplated thereby;</w:t>
      </w:r>
    </w:p>
    <w:p>
      <w:pPr>
        <w:spacing w:after="0" w:line="118" w:lineRule="exact"/>
        <w:rPr>
          <w:rFonts w:ascii="Arial" w:cs="Arial" w:eastAsia="Arial" w:hAnsi="Arial"/>
          <w:sz w:val="16"/>
          <w:szCs w:val="16"/>
          <w:color w:val="auto"/>
        </w:rPr>
      </w:pPr>
    </w:p>
    <w:p>
      <w:pPr>
        <w:ind w:right="20" w:firstLine="464"/>
        <w:spacing w:after="0" w:line="253" w:lineRule="auto"/>
        <w:tabs>
          <w:tab w:leader="none" w:pos="7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each of the Company and the Subsidiary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147"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contracts, licenses, agreements, leases or documents of a character required to be described in the Pricing Prospectus and the Prospectus or to be filed as an exhibit to the Registration Statement have been so described or filed as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3" w:name="page44"/>
    <w:bookmarkEnd w:id="43"/>
    <w:p>
      <w:pPr>
        <w:ind w:left="-80" w:right="40" w:firstLine="464"/>
        <w:spacing w:after="0" w:line="294" w:lineRule="auto"/>
        <w:tabs>
          <w:tab w:leader="none" w:pos="625"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no actions, suits, claims, investigations or proceedings pending or, to the Company’s knowledge, threatened to which the Company or the Subsidiary, or any of their respective directors, managing members or officers is or would be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Subsidiary, as the case may be, have, individually or in the aggregate, a Material Adverse Effect or prevent consummation of the transactions contemplated hereby;</w:t>
      </w:r>
    </w:p>
    <w:p>
      <w:pPr>
        <w:spacing w:after="0" w:line="115" w:lineRule="exact"/>
        <w:rPr>
          <w:rFonts w:ascii="Arial" w:cs="Arial" w:eastAsia="Arial" w:hAnsi="Arial"/>
          <w:sz w:val="16"/>
          <w:szCs w:val="16"/>
          <w:color w:val="auto"/>
        </w:rPr>
      </w:pPr>
    </w:p>
    <w:p>
      <w:pPr>
        <w:ind w:left="-80" w:right="640" w:firstLine="464"/>
        <w:spacing w:after="0" w:line="268" w:lineRule="auto"/>
        <w:tabs>
          <w:tab w:leader="none" w:pos="6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are independent public accountants as required by the Act;</w:t>
      </w:r>
    </w:p>
    <w:p>
      <w:pPr>
        <w:spacing w:after="0" w:line="131" w:lineRule="exact"/>
        <w:rPr>
          <w:rFonts w:ascii="Arial" w:cs="Arial" w:eastAsia="Arial" w:hAnsi="Arial"/>
          <w:sz w:val="18"/>
          <w:szCs w:val="18"/>
          <w:color w:val="auto"/>
        </w:rPr>
      </w:pPr>
    </w:p>
    <w:p>
      <w:pPr>
        <w:ind w:left="-80" w:firstLine="464"/>
        <w:spacing w:after="0" w:line="307" w:lineRule="auto"/>
        <w:tabs>
          <w:tab w:leader="none" w:pos="62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Item 10 of Regulation S-K under the Act, to the extent applicable;</w:t>
      </w:r>
    </w:p>
    <w:p>
      <w:pPr>
        <w:spacing w:after="0" w:line="111" w:lineRule="exact"/>
        <w:rPr>
          <w:rFonts w:ascii="Arial" w:cs="Arial" w:eastAsia="Arial" w:hAnsi="Arial"/>
          <w:sz w:val="15"/>
          <w:szCs w:val="15"/>
          <w:color w:val="auto"/>
        </w:rPr>
      </w:pPr>
    </w:p>
    <w:p>
      <w:pPr>
        <w:ind w:left="-80" w:right="140" w:firstLine="464"/>
        <w:spacing w:after="0" w:line="291"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(i) any material adverse change, or any development involving a prospective material adverse change, in the business, management, financial condition or results of operations of the Company or the Subsidiary, (ii) any transaction which is material to the Company or the Subsidiary, (iii) any obligation, direct or contingent (including any off-balance sheet obligations), incurred by the Company or the Subsidiary, which is material to the Company or the Subsidiary, as the case may be; (iv) any change in the capital stock or outstanding indebtedness of the Company or the Subsidiary; or (v) any dividend of any kind declared, paid, or made on the capital stock of the Company or the Subsidiary;</w:t>
      </w:r>
    </w:p>
    <w:p>
      <w:pPr>
        <w:spacing w:after="0" w:line="120" w:lineRule="exact"/>
        <w:rPr>
          <w:rFonts w:ascii="Arial" w:cs="Arial" w:eastAsia="Arial" w:hAnsi="Arial"/>
          <w:sz w:val="16"/>
          <w:szCs w:val="16"/>
          <w:color w:val="auto"/>
        </w:rPr>
      </w:pPr>
    </w:p>
    <w:p>
      <w:pPr>
        <w:ind w:left="-80" w:right="240" w:firstLine="464"/>
        <w:spacing w:after="0" w:line="268" w:lineRule="auto"/>
        <w:tabs>
          <w:tab w:leader="none" w:pos="6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80" w:right="319" w:bottom="1440" w:gutter="0" w:footer="0" w:header="0"/>
        </w:sectPr>
      </w:pPr>
    </w:p>
    <w:bookmarkStart w:id="44" w:name="page45"/>
    <w:bookmarkEnd w:id="44"/>
    <w:p>
      <w:pPr>
        <w:ind w:left="-40" w:right="180" w:firstLine="464"/>
        <w:spacing w:after="0" w:line="370" w:lineRule="auto"/>
        <w:tabs>
          <w:tab w:leader="none" w:pos="626" w:val="left"/>
        </w:tabs>
        <w:numPr>
          <w:ilvl w:val="0"/>
          <w:numId w:val="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Company and the Subsidiary is not and, after giving effect to the offering and sale of the Shares, will not be a “registered management investment company” or an entity “controlled” by a “registered management investment company,” as such terms are used under the Investment Company Act;</w:t>
      </w:r>
    </w:p>
    <w:p>
      <w:pPr>
        <w:spacing w:after="0" w:line="62" w:lineRule="exact"/>
        <w:rPr>
          <w:rFonts w:ascii="Arial" w:cs="Arial" w:eastAsia="Arial" w:hAnsi="Arial"/>
          <w:sz w:val="15"/>
          <w:szCs w:val="15"/>
          <w:color w:val="auto"/>
        </w:rPr>
      </w:pPr>
    </w:p>
    <w:p>
      <w:pPr>
        <w:ind w:left="-40" w:right="60" w:firstLine="464"/>
        <w:spacing w:after="0" w:line="259" w:lineRule="auto"/>
        <w:tabs>
          <w:tab w:leader="none" w:pos="6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the Notification of Election was filed with the Commission, it (i) contained all statements required to be stated therein in accordance with, and compiled in all material respects with the requirements of, the Investment Company Act and (ii) did not include any untrue statement of a material fact or omit to state a material fact necessary to make the statements therein not misleading;</w:t>
      </w:r>
    </w:p>
    <w:p>
      <w:pPr>
        <w:spacing w:after="0" w:line="140" w:lineRule="exact"/>
        <w:rPr>
          <w:rFonts w:ascii="Arial" w:cs="Arial" w:eastAsia="Arial" w:hAnsi="Arial"/>
          <w:sz w:val="18"/>
          <w:szCs w:val="18"/>
          <w:color w:val="auto"/>
        </w:rPr>
      </w:pPr>
    </w:p>
    <w:p>
      <w:pPr>
        <w:ind w:left="-40" w:right="40" w:firstLine="464"/>
        <w:spacing w:after="0" w:line="288" w:lineRule="auto"/>
        <w:tabs>
          <w:tab w:leader="none" w:pos="6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each of the Company and the Subsidiary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except where the failure to own, license or have such rights would not, individually or in the aggregate, have a Material Adverse Effect;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disclosed in the Registration Statement, the Pricing Prospectus and the Prospectus, neither the Company nor the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the Subsidiary, as the case may be, therein, and which infringement or conflict (if the subject of any unfavorable decision, ruling or finding) or invalidity or inadequacy, would result in a Material Adverse Effect;</w:t>
      </w:r>
    </w:p>
    <w:p>
      <w:pPr>
        <w:spacing w:after="0" w:line="119" w:lineRule="exact"/>
        <w:rPr>
          <w:rFonts w:ascii="Arial" w:cs="Arial" w:eastAsia="Arial" w:hAnsi="Arial"/>
          <w:sz w:val="16"/>
          <w:szCs w:val="16"/>
          <w:color w:val="auto"/>
        </w:rPr>
      </w:pPr>
    </w:p>
    <w:p>
      <w:pPr>
        <w:ind w:left="-40" w:right="220" w:firstLine="464"/>
        <w:spacing w:after="0" w:line="306" w:lineRule="auto"/>
        <w:tabs>
          <w:tab w:leader="none" w:pos="7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06" w:lineRule="exact"/>
        <w:rPr>
          <w:rFonts w:ascii="Arial" w:cs="Arial" w:eastAsia="Arial" w:hAnsi="Arial"/>
          <w:sz w:val="16"/>
          <w:szCs w:val="16"/>
          <w:color w:val="auto"/>
        </w:rPr>
      </w:pPr>
    </w:p>
    <w:p>
      <w:pPr>
        <w:ind w:left="-40" w:right="20" w:firstLine="464"/>
        <w:spacing w:after="0" w:line="306" w:lineRule="auto"/>
        <w:tabs>
          <w:tab w:leader="none" w:pos="6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neither the Company nor the Subsidiary has sent or received any communication regarding termination of, or intent not to renew, any of the contracts or agreements referred to or described in, or filed as an exhibit to, the Registration Statement, and no such termination or non-renewal has been threatened by the Company or the Subsidiary or, to the Company’s knowledge, any other party to any such contract or agreement;</w:t>
      </w:r>
    </w:p>
    <w:p>
      <w:pPr>
        <w:spacing w:after="0" w:line="106" w:lineRule="exact"/>
        <w:rPr>
          <w:rFonts w:ascii="Arial" w:cs="Arial" w:eastAsia="Arial" w:hAnsi="Arial"/>
          <w:sz w:val="16"/>
          <w:szCs w:val="16"/>
          <w:color w:val="auto"/>
        </w:rPr>
      </w:pPr>
    </w:p>
    <w:p>
      <w:pPr>
        <w:ind w:left="-40" w:right="380" w:firstLine="464"/>
        <w:spacing w:after="0" w:line="294" w:lineRule="auto"/>
        <w:tabs>
          <w:tab w:leader="none" w:pos="6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15" w:lineRule="exact"/>
        <w:rPr>
          <w:rFonts w:ascii="Arial" w:cs="Arial" w:eastAsia="Arial" w:hAnsi="Arial"/>
          <w:sz w:val="16"/>
          <w:szCs w:val="16"/>
          <w:color w:val="auto"/>
        </w:rPr>
      </w:pPr>
    </w:p>
    <w:p>
      <w:pPr>
        <w:ind w:left="-40" w:firstLine="464"/>
        <w:spacing w:after="0" w:line="33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45" w:name="page46"/>
    <w:bookmarkEnd w:id="45"/>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140" w:lineRule="exact"/>
        <w:rPr>
          <w:sz w:val="20"/>
          <w:szCs w:val="20"/>
          <w:color w:val="auto"/>
        </w:rPr>
      </w:pPr>
    </w:p>
    <w:p>
      <w:pPr>
        <w:ind w:firstLine="464"/>
        <w:spacing w:after="0" w:line="290" w:lineRule="auto"/>
        <w:tabs>
          <w:tab w:leader="none" w:pos="7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18" w:lineRule="exact"/>
        <w:rPr>
          <w:rFonts w:ascii="Arial" w:cs="Arial" w:eastAsia="Arial" w:hAnsi="Arial"/>
          <w:sz w:val="16"/>
          <w:szCs w:val="16"/>
          <w:color w:val="auto"/>
        </w:rPr>
      </w:pPr>
    </w:p>
    <w:p>
      <w:pPr>
        <w:jc w:val="both"/>
        <w:ind w:right="140" w:firstLine="464"/>
        <w:spacing w:after="0" w:line="332" w:lineRule="auto"/>
        <w:tabs>
          <w:tab w:leader="none" w:pos="7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has not, directly or indirectly, extended credit, arranged to extend credit, or renewed any extension of credit, in the form of a personal loan, to or for any director or executive officer of the Company, or to or for any family member or affiliate of any director or executive officer of the Company;</w:t>
      </w:r>
    </w:p>
    <w:p>
      <w:pPr>
        <w:spacing w:after="0" w:line="85" w:lineRule="exact"/>
        <w:rPr>
          <w:rFonts w:ascii="Arial" w:cs="Arial" w:eastAsia="Arial" w:hAnsi="Arial"/>
          <w:sz w:val="16"/>
          <w:szCs w:val="16"/>
          <w:color w:val="auto"/>
        </w:rPr>
      </w:pPr>
    </w:p>
    <w:p>
      <w:pPr>
        <w:ind w:firstLine="464"/>
        <w:spacing w:after="0" w:line="259" w:lineRule="auto"/>
        <w:tabs>
          <w:tab w:leader="none" w:pos="7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employee or agent of the Company has made any payment of funds of the Company or received or retained any funds in violation of any law, rule or regulation, which payment, receipt or retention of funds is of a character required to be disclosed in the Prospectus;</w:t>
      </w:r>
    </w:p>
    <w:p>
      <w:pPr>
        <w:spacing w:after="0" w:line="140" w:lineRule="exact"/>
        <w:rPr>
          <w:rFonts w:ascii="Arial" w:cs="Arial" w:eastAsia="Arial" w:hAnsi="Arial"/>
          <w:sz w:val="18"/>
          <w:szCs w:val="18"/>
          <w:color w:val="auto"/>
        </w:rPr>
      </w:pPr>
    </w:p>
    <w:p>
      <w:pPr>
        <w:ind w:right="80" w:firstLine="464"/>
        <w:spacing w:after="0" w:line="259" w:lineRule="auto"/>
        <w:tabs>
          <w:tab w:leader="none" w:pos="7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w:t>
      </w:r>
    </w:p>
    <w:p>
      <w:pPr>
        <w:spacing w:after="0" w:line="140" w:lineRule="exact"/>
        <w:rPr>
          <w:rFonts w:ascii="Arial" w:cs="Arial" w:eastAsia="Arial" w:hAnsi="Arial"/>
          <w:sz w:val="18"/>
          <w:szCs w:val="18"/>
          <w:color w:val="auto"/>
        </w:rPr>
      </w:pPr>
    </w:p>
    <w:p>
      <w:pPr>
        <w:ind w:firstLine="464"/>
        <w:spacing w:after="0" w:line="306" w:lineRule="auto"/>
        <w:tabs>
          <w:tab w:leader="none" w:pos="7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06" w:lineRule="exact"/>
        <w:rPr>
          <w:rFonts w:ascii="Arial" w:cs="Arial" w:eastAsia="Arial" w:hAnsi="Arial"/>
          <w:sz w:val="16"/>
          <w:szCs w:val="16"/>
          <w:color w:val="auto"/>
        </w:rPr>
      </w:pPr>
    </w:p>
    <w:p>
      <w:pPr>
        <w:ind w:right="60" w:firstLine="464"/>
        <w:spacing w:after="0" w:line="268" w:lineRule="auto"/>
        <w:tabs>
          <w:tab w:leader="none" w:pos="7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the NASD and any of the Company’s officers, directors or securityholders, except as set forth in the Registration Statement, Pricing Prospectus and the Prospectus;</w:t>
      </w:r>
    </w:p>
    <w:p>
      <w:pPr>
        <w:spacing w:after="0" w:line="131" w:lineRule="exact"/>
        <w:rPr>
          <w:rFonts w:ascii="Arial" w:cs="Arial" w:eastAsia="Arial" w:hAnsi="Arial"/>
          <w:sz w:val="18"/>
          <w:szCs w:val="18"/>
          <w:color w:val="auto"/>
        </w:rPr>
      </w:pPr>
    </w:p>
    <w:p>
      <w:pPr>
        <w:ind w:right="80" w:firstLine="464"/>
        <w:spacing w:after="0" w:line="268" w:lineRule="auto"/>
        <w:tabs>
          <w:tab w:leader="none" w:pos="7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46" w:name="page47"/>
    <w:bookmarkEnd w:id="46"/>
    <w:p>
      <w:pPr>
        <w:ind w:left="-20" w:firstLine="464"/>
        <w:spacing w:after="0" w:line="259" w:lineRule="auto"/>
        <w:tabs>
          <w:tab w:leader="none" w:pos="773"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approvals by the board of directors and the sole stockholder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40" w:lineRule="exact"/>
        <w:rPr>
          <w:rFonts w:ascii="Arial" w:cs="Arial" w:eastAsia="Arial" w:hAnsi="Arial"/>
          <w:sz w:val="18"/>
          <w:szCs w:val="18"/>
          <w:color w:val="auto"/>
        </w:rPr>
      </w:pPr>
    </w:p>
    <w:p>
      <w:pPr>
        <w:jc w:val="both"/>
        <w:ind w:left="-20" w:right="100" w:firstLine="464"/>
        <w:spacing w:after="0" w:line="256"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43" w:lineRule="exact"/>
        <w:rPr>
          <w:rFonts w:ascii="Arial" w:cs="Arial" w:eastAsia="Arial" w:hAnsi="Arial"/>
          <w:sz w:val="18"/>
          <w:szCs w:val="18"/>
          <w:color w:val="auto"/>
        </w:rPr>
      </w:pPr>
    </w:p>
    <w:p>
      <w:pPr>
        <w:jc w:val="both"/>
        <w:ind w:left="-20" w:right="80" w:firstLine="464"/>
        <w:spacing w:after="0" w:line="256"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duly elected to be treated by the Commission under the Investment Company Act as a business development company, such election is effective and all required action has been taken by the Company under the Investment Company Act and the Act to make the public offering and consummate the sale of the Shares as provided in this Agreement; the provisions of the corporate charter and by-laws of the Company comply in all material respects with the requirements of the Investment Company Act;</w:t>
      </w:r>
    </w:p>
    <w:p>
      <w:pPr>
        <w:spacing w:after="0" w:line="143" w:lineRule="exact"/>
        <w:rPr>
          <w:rFonts w:ascii="Arial" w:cs="Arial" w:eastAsia="Arial" w:hAnsi="Arial"/>
          <w:sz w:val="18"/>
          <w:szCs w:val="18"/>
          <w:color w:val="auto"/>
        </w:rPr>
      </w:pPr>
    </w:p>
    <w:p>
      <w:pPr>
        <w:ind w:left="-20" w:right="240" w:firstLine="464"/>
        <w:spacing w:after="0" w:line="306" w:lineRule="auto"/>
        <w:tabs>
          <w:tab w:leader="none" w:pos="7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operations of the Company are in compliance in all material respects with the provisions of the Investment Company Act applicable to business development companies and the rules and regulations of the Commission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does not represent or warrant as to the compliance of Sections 10(a)(1)(iii) and 10(a)(4)(iii) with Section 17(i) of the Investment Company Act;</w:t>
      </w:r>
    </w:p>
    <w:p>
      <w:pPr>
        <w:spacing w:after="0" w:line="106" w:lineRule="exact"/>
        <w:rPr>
          <w:rFonts w:ascii="Arial" w:cs="Arial" w:eastAsia="Arial" w:hAnsi="Arial"/>
          <w:sz w:val="16"/>
          <w:szCs w:val="16"/>
          <w:color w:val="auto"/>
        </w:rPr>
      </w:pPr>
    </w:p>
    <w:p>
      <w:pPr>
        <w:ind w:left="-20" w:right="320" w:firstLine="464"/>
        <w:spacing w:after="0" w:line="306"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not offered, or caused the Underwriters to offer, Shares to any person pursuant to the Directed Share Program with the intent to influence unlawfully (i) a customer or supplier of the Company to alter the customer’s or supplier’s level or type of business with the Company or any of the Subsidiaries, or (ii) a trade journalist or publication to write or publish favorable information about the Company or any of its respective products or services;</w:t>
      </w:r>
    </w:p>
    <w:p>
      <w:pPr>
        <w:spacing w:after="0" w:line="106" w:lineRule="exact"/>
        <w:rPr>
          <w:rFonts w:ascii="Arial" w:cs="Arial" w:eastAsia="Arial" w:hAnsi="Arial"/>
          <w:sz w:val="16"/>
          <w:szCs w:val="16"/>
          <w:color w:val="auto"/>
        </w:rPr>
      </w:pPr>
    </w:p>
    <w:p>
      <w:pPr>
        <w:ind w:left="-20" w:right="300" w:firstLine="464"/>
        <w:spacing w:after="0" w:line="268" w:lineRule="auto"/>
        <w:tabs>
          <w:tab w:leader="none" w:pos="8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Company and, to its knowledge, its directors and officers (in such capacity) are in compliance with the applicable provisions of the Sarbanes-Oxley Act of 2002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and the Commission’s published rules promulgated thereunder;</w:t>
      </w:r>
    </w:p>
    <w:p>
      <w:pPr>
        <w:spacing w:after="0" w:line="131" w:lineRule="exact"/>
        <w:rPr>
          <w:rFonts w:ascii="Arial" w:cs="Arial" w:eastAsia="Arial" w:hAnsi="Arial"/>
          <w:sz w:val="18"/>
          <w:szCs w:val="18"/>
          <w:color w:val="auto"/>
        </w:rPr>
      </w:pPr>
    </w:p>
    <w:p>
      <w:pPr>
        <w:ind w:left="-20" w:right="40" w:firstLine="464"/>
        <w:spacing w:after="0" w:line="256" w:lineRule="auto"/>
        <w:tabs>
          <w:tab w:leader="none" w:pos="7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Company and the Subsidiary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43" w:lineRule="exact"/>
        <w:rPr>
          <w:rFonts w:ascii="Arial" w:cs="Arial" w:eastAsia="Arial" w:hAnsi="Arial"/>
          <w:sz w:val="18"/>
          <w:szCs w:val="18"/>
          <w:color w:val="auto"/>
        </w:rPr>
      </w:pPr>
    </w:p>
    <w:p>
      <w:pPr>
        <w:ind w:left="-20" w:right="840" w:firstLine="464"/>
        <w:spacing w:after="0" w:line="268" w:lineRule="auto"/>
        <w:tabs>
          <w:tab w:leader="none" w:pos="7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disclosed in the Pricing Prospectus and the Prospectus, neither the Company nor the Subsidiary has any material lending or other relationship with a bank or lending institution affiliated with any of the Underwriters;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47" w:name="page48"/>
    <w:bookmarkEnd w:id="47"/>
    <w:p>
      <w:pPr>
        <w:jc w:val="both"/>
        <w:ind w:right="220" w:firstLine="464"/>
        <w:spacing w:after="0" w:line="259" w:lineRule="auto"/>
        <w:tabs>
          <w:tab w:leader="none" w:pos="79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Company nor, to the knowledge of the Company, any director, officer, employee or affiliate of the Company is aware of or has taken any action, directly or indirectly, that would result in a violation by such entities or persons of the Foreign Corrupt Practices Act of 1977, as amended, and the rules and regulations thereunder; and</w:t>
      </w:r>
    </w:p>
    <w:p>
      <w:pPr>
        <w:spacing w:after="0" w:line="140" w:lineRule="exact"/>
        <w:rPr>
          <w:rFonts w:ascii="Arial" w:cs="Arial" w:eastAsia="Arial" w:hAnsi="Arial"/>
          <w:sz w:val="18"/>
          <w:szCs w:val="18"/>
          <w:color w:val="auto"/>
        </w:rPr>
      </w:pPr>
    </w:p>
    <w:p>
      <w:pPr>
        <w:ind w:right="200" w:firstLine="464"/>
        <w:spacing w:after="0" w:line="298" w:lineRule="auto"/>
        <w:tabs>
          <w:tab w:leader="none" w:pos="7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or affiliate of the Company is currently subject to any U.S. sanctions administered by the Office of Foreign Assets Control of the U.S. Treasury Department (“OFAC”); and the Company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11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40" w:lineRule="exact"/>
        <w:rPr>
          <w:sz w:val="20"/>
          <w:szCs w:val="20"/>
          <w:color w:val="auto"/>
        </w:rPr>
      </w:pPr>
    </w:p>
    <w:p>
      <w:pPr>
        <w:ind w:right="10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51" w:lineRule="exact"/>
        <w:rPr>
          <w:sz w:val="20"/>
          <w:szCs w:val="20"/>
          <w:color w:val="auto"/>
        </w:rPr>
      </w:pPr>
    </w:p>
    <w:p>
      <w:pPr>
        <w:ind w:right="80" w:firstLine="464"/>
        <w:spacing w:after="0" w:line="288"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0" w:firstLine="464"/>
        <w:spacing w:after="0" w:line="298"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12" w:lineRule="exact"/>
        <w:rPr>
          <w:rFonts w:ascii="Arial" w:cs="Arial" w:eastAsia="Arial" w:hAnsi="Arial"/>
          <w:sz w:val="16"/>
          <w:szCs w:val="16"/>
          <w:color w:val="auto"/>
        </w:rPr>
      </w:pPr>
    </w:p>
    <w:p>
      <w:pPr>
        <w:ind w:firstLine="464"/>
        <w:spacing w:after="0" w:line="256"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8" w:name="page49"/>
    <w:bookmarkEnd w:id="48"/>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85" w:lineRule="exact"/>
        <w:rPr>
          <w:sz w:val="20"/>
          <w:szCs w:val="20"/>
          <w:color w:val="auto"/>
        </w:rPr>
      </w:pPr>
    </w:p>
    <w:p>
      <w:pPr>
        <w:ind w:firstLine="464"/>
        <w:spacing w:after="0" w:line="282" w:lineRule="auto"/>
        <w:tabs>
          <w:tab w:leader="none" w:pos="7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Adviser nor the Administrator is in breach or violation of, or in default under (nor has any event occurred which with notice, lapse of time, or both would reasonably be expected to result in any breach or violation of, constitute a default under or give the holder of any indebtedness (or person acting on such holder’s behalf), the right to require the repurchase, redemption or repayment of all or part of such indebtedness under) (i) its limited liability company operating agreement, or (ii) any indenture, mortgage, deed of trust, bank loan or credit agreement or other evidence of indebtedness, or any license, lease, contract or other agreement or instrument to which the Adviser or the Administrator is a party, or (iii) under any federal, state, local or foreign law, regulation or rule or any decree, judgment or order applicable to the Adviser or the Administrator, as the case may be, except, with respect to clauses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w:t>
      </w:r>
    </w:p>
    <w:p>
      <w:pPr>
        <w:spacing w:after="0" w:line="5" w:lineRule="exact"/>
        <w:rPr>
          <w:rFonts w:ascii="Arial" w:cs="Arial" w:eastAsia="Arial" w:hAnsi="Arial"/>
          <w:sz w:val="16"/>
          <w:szCs w:val="16"/>
          <w:color w:val="auto"/>
        </w:rPr>
      </w:pPr>
    </w:p>
    <w:p>
      <w:pPr>
        <w:ind w:right="20" w:firstLine="8"/>
        <w:spacing w:after="0" w:line="253" w:lineRule="auto"/>
        <w:tabs>
          <w:tab w:leader="none" w:pos="2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limited liability company operating agreement, or (ii) or other organizational documents of the Adviser or the Administrator 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45" w:lineRule="exact"/>
        <w:rPr>
          <w:rFonts w:ascii="Arial" w:cs="Arial" w:eastAsia="Arial" w:hAnsi="Arial"/>
          <w:sz w:val="18"/>
          <w:szCs w:val="18"/>
          <w:color w:val="auto"/>
        </w:rPr>
      </w:pPr>
    </w:p>
    <w:p>
      <w:pPr>
        <w:ind w:right="120" w:firstLine="464"/>
        <w:spacing w:after="0" w:line="291"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the Investment Advisory Agreement and the Administration Agreement constitute valid and legally binding agreements of the Adviser and the Administrator, respectively, except as (i) the enforceability thereof may be limited by bankruptcy, insolvency (including, without limitation, all laws relating to fraudulent transfers) or similar laws affecting creditors’ rights generally and (ii) rights to indemnification and contribution may be limited to equitable principles of general applicability or by state or federal securities laws or the policies underlying such law;</w:t>
      </w:r>
    </w:p>
    <w:p>
      <w:pPr>
        <w:spacing w:after="0" w:line="120" w:lineRule="exact"/>
        <w:rPr>
          <w:rFonts w:ascii="Arial" w:cs="Arial" w:eastAsia="Arial" w:hAnsi="Arial"/>
          <w:sz w:val="16"/>
          <w:szCs w:val="16"/>
          <w:color w:val="auto"/>
        </w:rPr>
      </w:pPr>
    </w:p>
    <w:p>
      <w:pPr>
        <w:ind w:right="60" w:firstLine="464"/>
        <w:spacing w:after="0" w:line="268" w:lineRule="auto"/>
        <w:tabs>
          <w:tab w:leader="none" w:pos="6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description of the Adviser and the Administrator contained in the Pricing Prospectus, the Prospectus and the Registration Statement is true, accurate and complete in all material respects;</w:t>
      </w:r>
    </w:p>
    <w:p>
      <w:pPr>
        <w:spacing w:after="0" w:line="131" w:lineRule="exact"/>
        <w:rPr>
          <w:rFonts w:ascii="Arial" w:cs="Arial" w:eastAsia="Arial" w:hAnsi="Arial"/>
          <w:sz w:val="18"/>
          <w:szCs w:val="18"/>
          <w:color w:val="auto"/>
        </w:rPr>
      </w:pPr>
    </w:p>
    <w:p>
      <w:pPr>
        <w:ind w:right="340" w:firstLine="464"/>
        <w:spacing w:after="0" w:line="306"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9" w:name="page50"/>
    <w:bookmarkEnd w:id="49"/>
    <w:p>
      <w:pPr>
        <w:ind w:right="20" w:firstLine="464"/>
        <w:spacing w:after="0" w:line="256"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to the date of the Registration Statement, the Pricing Prospectus and the Prospectus, there has not been any material adverse change, or any development involving a prospective material adverse change, in the business, financial condition, capitalization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43" w:lineRule="exact"/>
        <w:rPr>
          <w:rFonts w:ascii="Arial" w:cs="Arial" w:eastAsia="Arial" w:hAnsi="Arial"/>
          <w:sz w:val="18"/>
          <w:szCs w:val="18"/>
          <w:color w:val="auto"/>
        </w:rPr>
      </w:pPr>
    </w:p>
    <w:p>
      <w:pPr>
        <w:ind w:right="60" w:firstLine="464"/>
        <w:spacing w:after="0" w:line="291" w:lineRule="auto"/>
        <w:tabs>
          <w:tab w:leader="none" w:pos="6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20" w:lineRule="exact"/>
        <w:rPr>
          <w:rFonts w:ascii="Arial" w:cs="Arial" w:eastAsia="Arial" w:hAnsi="Arial"/>
          <w:sz w:val="16"/>
          <w:szCs w:val="16"/>
          <w:color w:val="auto"/>
        </w:rPr>
      </w:pPr>
    </w:p>
    <w:p>
      <w:pPr>
        <w:ind w:right="40" w:firstLine="464"/>
        <w:spacing w:after="0" w:line="259" w:lineRule="auto"/>
        <w:tabs>
          <w:tab w:leader="none" w:pos="6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Adviser, the Administrator nor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Adviser is not aware that (i) any executive, key employee or significant group of employees of the Company, if any, the Adviser or the</w:t>
      </w:r>
    </w:p>
    <w:p>
      <w:pPr>
        <w:spacing w:after="0" w:line="38" w:lineRule="exact"/>
        <w:rPr>
          <w:rFonts w:ascii="Arial" w:cs="Arial" w:eastAsia="Arial" w:hAnsi="Arial"/>
          <w:sz w:val="16"/>
          <w:szCs w:val="16"/>
          <w:color w:val="auto"/>
        </w:rPr>
      </w:pPr>
    </w:p>
    <w:p>
      <w:pPr>
        <w:ind w:right="20"/>
        <w:spacing w:after="0" w:line="302" w:lineRule="auto"/>
        <w:rPr>
          <w:rFonts w:ascii="Arial" w:cs="Arial" w:eastAsia="Arial" w:hAnsi="Arial"/>
          <w:sz w:val="16"/>
          <w:szCs w:val="16"/>
          <w:color w:val="auto"/>
        </w:rPr>
      </w:pPr>
      <w:r>
        <w:rPr>
          <w:rFonts w:ascii="Arial" w:cs="Arial" w:eastAsia="Arial" w:hAnsi="Arial"/>
          <w:sz w:val="16"/>
          <w:szCs w:val="16"/>
          <w:color w:val="auto"/>
        </w:rPr>
        <w:t>Administrator, as applicable, plans to terminate employment with the Company, the Adviser or the Administrator or (ii) any such executive or key employee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09" w:lineRule="exact"/>
        <w:rPr>
          <w:rFonts w:ascii="Arial" w:cs="Arial" w:eastAsia="Arial" w:hAnsi="Arial"/>
          <w:sz w:val="16"/>
          <w:szCs w:val="16"/>
          <w:color w:val="auto"/>
        </w:rPr>
      </w:pPr>
    </w:p>
    <w:p>
      <w:pPr>
        <w:ind w:firstLine="464"/>
        <w:spacing w:after="0" w:line="259" w:lineRule="auto"/>
        <w:tabs>
          <w:tab w:leader="none" w:pos="6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 and</w:t>
      </w:r>
    </w:p>
    <w:p>
      <w:pPr>
        <w:spacing w:after="0" w:line="140" w:lineRule="exact"/>
        <w:rPr>
          <w:rFonts w:ascii="Arial" w:cs="Arial" w:eastAsia="Arial" w:hAnsi="Arial"/>
          <w:sz w:val="18"/>
          <w:szCs w:val="18"/>
          <w:color w:val="auto"/>
        </w:rPr>
      </w:pPr>
    </w:p>
    <w:p>
      <w:pPr>
        <w:ind w:right="220" w:firstLine="464"/>
        <w:spacing w:after="0" w:line="298" w:lineRule="auto"/>
        <w:tabs>
          <w:tab w:leader="none" w:pos="7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Administrator maintains a system of internal accounting controls sufficient to provide reasonable assurance that (i) transactions for which it has bookkeeping and record keeping responsibility for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13" w:lineRule="exact"/>
        <w:rPr>
          <w:sz w:val="20"/>
          <w:szCs w:val="20"/>
          <w:color w:val="auto"/>
        </w:rPr>
      </w:pPr>
    </w:p>
    <w:p>
      <w:pPr>
        <w:ind w:right="560" w:firstLine="464"/>
        <w:spacing w:after="0" w:line="268"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51" w:lineRule="exact"/>
        <w:rPr>
          <w:sz w:val="20"/>
          <w:szCs w:val="20"/>
          <w:color w:val="auto"/>
        </w:rPr>
      </w:pPr>
    </w:p>
    <w:p>
      <w:pPr>
        <w:ind w:firstLine="464"/>
        <w:spacing w:after="0" w:line="268"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furnish such information as may be required and otherwise to cooperate in qualifying the Shares for offering and sale under the securities or blue sky laws of such states or other jurisdictions as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50" w:name="page51"/>
    <w:bookmarkEnd w:id="5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you may designate and to use its best efforts to maintain such qualifications in effect so long as you may reasonably request for the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43" w:lineRule="exact"/>
        <w:rPr>
          <w:sz w:val="20"/>
          <w:szCs w:val="20"/>
          <w:color w:val="auto"/>
        </w:rPr>
      </w:pPr>
    </w:p>
    <w:p>
      <w:pPr>
        <w:ind w:right="20" w:firstLine="464"/>
        <w:spacing w:after="0" w:line="283"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10(a)(3) of the Act;</w:t>
      </w:r>
    </w:p>
    <w:p>
      <w:pPr>
        <w:spacing w:after="0" w:line="164" w:lineRule="exact"/>
        <w:rPr>
          <w:rFonts w:ascii="Arial" w:cs="Arial" w:eastAsia="Arial" w:hAnsi="Arial"/>
          <w:sz w:val="16"/>
          <w:szCs w:val="16"/>
          <w:color w:val="auto"/>
        </w:rPr>
      </w:pPr>
    </w:p>
    <w:p>
      <w:pPr>
        <w:ind w:firstLine="464"/>
        <w:spacing w:after="0" w:line="294"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that if, at the time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15" w:lineRule="exact"/>
        <w:rPr>
          <w:rFonts w:ascii="Arial" w:cs="Arial" w:eastAsia="Arial" w:hAnsi="Arial"/>
          <w:sz w:val="16"/>
          <w:szCs w:val="16"/>
          <w:color w:val="auto"/>
        </w:rPr>
      </w:pPr>
    </w:p>
    <w:p>
      <w:pPr>
        <w:ind w:right="100" w:firstLine="464"/>
        <w:spacing w:after="0" w:line="253"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advise you promptly, and, if requested, confirming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w:t>
      </w:r>
    </w:p>
    <w:p>
      <w:pPr>
        <w:spacing w:after="0" w:line="147" w:lineRule="exact"/>
        <w:rPr>
          <w:rFonts w:ascii="Arial" w:cs="Arial" w:eastAsia="Arial" w:hAnsi="Arial"/>
          <w:sz w:val="18"/>
          <w:szCs w:val="18"/>
          <w:color w:val="auto"/>
        </w:rPr>
      </w:pPr>
    </w:p>
    <w:p>
      <w:pPr>
        <w:ind w:right="50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furnish to its shareholders as soon as practicable after the end of each fiscal year an annual report (including a consolidated balance sheet and statements of income, shareholders’ equity and cash flow of the Company for such fiscal year accompanied by a copy of the certificate or report thereon of nationally recognized independent certified public accountants);</w:t>
      </w:r>
    </w:p>
    <w:p>
      <w:pPr>
        <w:spacing w:after="0" w:line="140" w:lineRule="exact"/>
        <w:rPr>
          <w:rFonts w:ascii="Arial" w:cs="Arial" w:eastAsia="Arial" w:hAnsi="Arial"/>
          <w:sz w:val="18"/>
          <w:szCs w:val="18"/>
          <w:color w:val="auto"/>
        </w:rPr>
      </w:pPr>
    </w:p>
    <w:p>
      <w:pPr>
        <w:jc w:val="both"/>
        <w:ind w:right="160" w:firstLine="464"/>
        <w:spacing w:after="0" w:line="259" w:lineRule="auto"/>
        <w:tabs>
          <w:tab w:leader="none" w:pos="6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Section 5(d) hereof, to file promptly all reports and any definitive proxy or information statement required to be filed by the Company with the Commission in order to comply with the Exchange Act subsequent to the date of the Prospectus and for so long as the delivery of a prospectus is required in connection with the offering or sale of the Shares; and to promptly notify you of such filing;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51" w:name="page52"/>
    <w:bookmarkEnd w:id="51"/>
    <w:p>
      <w:pPr>
        <w:ind w:left="-80" w:firstLine="464"/>
        <w:spacing w:after="0" w:line="294" w:lineRule="auto"/>
        <w:tabs>
          <w:tab w:leader="none" w:pos="625"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15" w:lineRule="exact"/>
        <w:rPr>
          <w:rFonts w:ascii="Arial" w:cs="Arial" w:eastAsia="Arial" w:hAnsi="Arial"/>
          <w:sz w:val="16"/>
          <w:szCs w:val="16"/>
          <w:color w:val="auto"/>
        </w:rPr>
      </w:pPr>
    </w:p>
    <w:p>
      <w:pPr>
        <w:ind w:left="-80" w:right="40" w:firstLine="464"/>
        <w:spacing w:after="0" w:line="298" w:lineRule="auto"/>
        <w:tabs>
          <w:tab w:leader="none" w:pos="6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7(c) hereof; provided, however, that this requirement to furnish any such information shall be subject to compliance with applicable law;</w:t>
      </w:r>
    </w:p>
    <w:p>
      <w:pPr>
        <w:spacing w:after="0" w:line="112" w:lineRule="exact"/>
        <w:rPr>
          <w:rFonts w:ascii="Arial" w:cs="Arial" w:eastAsia="Arial" w:hAnsi="Arial"/>
          <w:sz w:val="16"/>
          <w:szCs w:val="16"/>
          <w:color w:val="auto"/>
        </w:rPr>
      </w:pPr>
    </w:p>
    <w:p>
      <w:pPr>
        <w:ind w:left="600" w:hanging="216"/>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71" w:lineRule="exact"/>
        <w:rPr>
          <w:rFonts w:ascii="Arial" w:cs="Arial" w:eastAsia="Arial" w:hAnsi="Arial"/>
          <w:sz w:val="18"/>
          <w:szCs w:val="18"/>
          <w:color w:val="auto"/>
        </w:rPr>
      </w:pPr>
    </w:p>
    <w:p>
      <w:pPr>
        <w:ind w:left="-80" w:right="120" w:firstLine="464"/>
        <w:spacing w:after="0" w:line="290" w:lineRule="auto"/>
        <w:tabs>
          <w:tab w:leader="none" w:pos="5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18" w:lineRule="exact"/>
        <w:rPr>
          <w:rFonts w:ascii="Arial" w:cs="Arial" w:eastAsia="Arial" w:hAnsi="Arial"/>
          <w:sz w:val="16"/>
          <w:szCs w:val="16"/>
          <w:color w:val="auto"/>
        </w:rPr>
      </w:pPr>
    </w:p>
    <w:p>
      <w:pPr>
        <w:ind w:left="-80" w:right="340" w:firstLine="464"/>
        <w:spacing w:after="0" w:line="268" w:lineRule="auto"/>
        <w:tabs>
          <w:tab w:leader="none" w:pos="6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31" w:lineRule="exact"/>
        <w:rPr>
          <w:rFonts w:ascii="Arial" w:cs="Arial" w:eastAsia="Arial" w:hAnsi="Arial"/>
          <w:sz w:val="18"/>
          <w:szCs w:val="18"/>
          <w:color w:val="auto"/>
        </w:rPr>
      </w:pPr>
    </w:p>
    <w:p>
      <w:pPr>
        <w:ind w:left="-80" w:right="340" w:firstLine="464"/>
        <w:spacing w:after="0" w:line="268" w:lineRule="auto"/>
        <w:tabs>
          <w:tab w:leader="none" w:pos="5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will promptly deliver to each Underwriter and Sutherland Asbill &amp; Brennan LLP, counsel for the Underwriters, a signed copy of the Registration Statement, as initially filed and all amendments thereto, including all consents and exhibits filed therewith.</w:t>
      </w:r>
    </w:p>
    <w:p>
      <w:pPr>
        <w:spacing w:after="0" w:line="131" w:lineRule="exact"/>
        <w:rPr>
          <w:rFonts w:ascii="Arial" w:cs="Arial" w:eastAsia="Arial" w:hAnsi="Arial"/>
          <w:sz w:val="18"/>
          <w:szCs w:val="18"/>
          <w:color w:val="auto"/>
        </w:rPr>
      </w:pPr>
    </w:p>
    <w:p>
      <w:pPr>
        <w:ind w:left="-80" w:right="320" w:firstLine="464"/>
        <w:spacing w:after="0" w:line="268" w:lineRule="auto"/>
        <w:tabs>
          <w:tab w:leader="none" w:pos="6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131" w:lineRule="exact"/>
        <w:rPr>
          <w:rFonts w:ascii="Arial" w:cs="Arial" w:eastAsia="Arial" w:hAnsi="Arial"/>
          <w:sz w:val="18"/>
          <w:szCs w:val="18"/>
          <w:color w:val="auto"/>
        </w:rPr>
      </w:pPr>
    </w:p>
    <w:p>
      <w:pPr>
        <w:ind w:left="-80" w:right="140" w:firstLine="464"/>
        <w:spacing w:after="0" w:line="332" w:lineRule="auto"/>
        <w:tabs>
          <w:tab w:leader="none" w:pos="6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Company, during a period of two years from the effective date of the Company’s election to be a business development company, will use its best efforts to maintain its status as a business development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may change the nature of its business so as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280" w:right="319" w:bottom="1440" w:gutter="0" w:footer="0" w:header="0"/>
        </w:sectPr>
      </w:pPr>
    </w:p>
    <w:bookmarkStart w:id="52" w:name="page53"/>
    <w:bookmarkEnd w:id="5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cease to be, or to withdraw its election as, a business development company, with the approval of the board of directors and a vote of stockholders as required by Section 58 of the Investment Company Act or any successor provision;</w:t>
      </w:r>
    </w:p>
    <w:p>
      <w:pPr>
        <w:spacing w:after="0" w:line="132" w:lineRule="exact"/>
        <w:rPr>
          <w:sz w:val="20"/>
          <w:szCs w:val="20"/>
          <w:color w:val="auto"/>
        </w:rPr>
      </w:pPr>
    </w:p>
    <w:p>
      <w:pPr>
        <w:jc w:val="both"/>
        <w:ind w:right="100" w:firstLine="464"/>
        <w:spacing w:after="0" w:line="335" w:lineRule="auto"/>
        <w:tabs>
          <w:tab w:leader="none" w:pos="705"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that the Company will use its best efforts to qualify for and elect to be treated as a regulated investment company under Subchapter M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xml:space="preserve">), and to maintain such qualification and election in effect for each full fiscal year during which it is a business development company under the Investment Company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discretion of the Company’s board of directors, it may elect not to be so treated;</w:t>
      </w:r>
    </w:p>
    <w:p>
      <w:pPr>
        <w:spacing w:after="0" w:line="88" w:lineRule="exact"/>
        <w:rPr>
          <w:rFonts w:ascii="Arial" w:cs="Arial" w:eastAsia="Arial" w:hAnsi="Arial"/>
          <w:sz w:val="15"/>
          <w:szCs w:val="15"/>
          <w:color w:val="auto"/>
        </w:rPr>
      </w:pPr>
    </w:p>
    <w:p>
      <w:pPr>
        <w:ind w:firstLine="464"/>
        <w:spacing w:after="0" w:line="301" w:lineRule="auto"/>
        <w:tabs>
          <w:tab w:leader="none" w:pos="705"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Market, (v) any filing for review of the public offering of the Shares by the NASD,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(vii) the offer and sale of the Reserved Shares, including all reasonable costs and expenses of the Underwriters, including the reasonable fees and disbursements of counsel for the</w:t>
      </w:r>
    </w:p>
    <w:p>
      <w:pPr>
        <w:spacing w:after="0" w:line="3" w:lineRule="exact"/>
        <w:rPr>
          <w:rFonts w:ascii="Arial" w:cs="Arial" w:eastAsia="Arial" w:hAnsi="Arial"/>
          <w:sz w:val="15"/>
          <w:szCs w:val="15"/>
          <w:color w:val="auto"/>
        </w:rPr>
      </w:pPr>
    </w:p>
    <w:p>
      <w:pPr>
        <w:ind w:right="620"/>
        <w:spacing w:after="0" w:line="261" w:lineRule="auto"/>
        <w:rPr>
          <w:rFonts w:ascii="Arial" w:cs="Arial" w:eastAsia="Arial" w:hAnsi="Arial"/>
          <w:sz w:val="15"/>
          <w:szCs w:val="15"/>
          <w:color w:val="auto"/>
        </w:rPr>
      </w:pPr>
      <w:r>
        <w:rPr>
          <w:rFonts w:ascii="Arial" w:cs="Arial" w:eastAsia="Arial" w:hAnsi="Arial"/>
          <w:sz w:val="18"/>
          <w:szCs w:val="18"/>
          <w:color w:val="auto"/>
        </w:rPr>
        <w:t>Underwriters, [(viii) [ ] percent of “road show” expenses (including but not limited to travel and accommodations),] and (viii) the performance of the Company’s other obligations hereunder which are not specifically provided for in this Section 5(p);</w:t>
      </w:r>
    </w:p>
    <w:p>
      <w:pPr>
        <w:spacing w:after="0" w:line="137" w:lineRule="exact"/>
        <w:rPr>
          <w:rFonts w:ascii="Arial" w:cs="Arial" w:eastAsia="Arial" w:hAnsi="Arial"/>
          <w:sz w:val="15"/>
          <w:szCs w:val="15"/>
          <w:color w:val="auto"/>
        </w:rPr>
      </w:pPr>
    </w:p>
    <w:p>
      <w:pPr>
        <w:ind w:right="40" w:firstLine="464"/>
        <w:spacing w:after="0" w:line="287"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180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each of the Joint Book-Running Managers, except for (i) the registration of the Shares and the sales to the Underwriters pursuant to this Agreement and (ii) any issuance of shares of Common Stock pursuant to the Company’s dividend reinvestment plan. Notwithstanding the foregoing, for the purpose of allowing the Underwriters to comply with NASD Rule 2711(f)(4), if (i) during the last 17 days of the Lock-Up Period, the Company releases earnings results or publicly announces other material news or a material event relating to the Company occurs or (ii) prior to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3" w:name="page54"/>
    <w:bookmarkEnd w:id="5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expiration of the Lock-Up Period, the Company announces that it will release earnings results during the 16 day period beginning on the last day of the Lock-Up Period, then in each case the Lock-Up Period will be extended until the expiration of the 18-day period beginning on the date of release of the earnings results or the public announcement regarding the material news or the occurrence of the material event, as applicable, unless each of the Joint Book-Running Managers waives, in writing, such extension;</w:t>
      </w:r>
    </w:p>
    <w:p>
      <w:pPr>
        <w:spacing w:after="0" w:line="143" w:lineRule="exact"/>
        <w:rPr>
          <w:sz w:val="20"/>
          <w:szCs w:val="20"/>
          <w:color w:val="auto"/>
        </w:rPr>
      </w:pPr>
    </w:p>
    <w:p>
      <w:pPr>
        <w:ind w:right="240" w:firstLine="464"/>
        <w:spacing w:after="0" w:line="268" w:lineRule="auto"/>
        <w:tabs>
          <w:tab w:leader="none" w:pos="6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use its best efforts to cause the Common Stock to be quoted on the Nasdaq Global Market, and thereafter to comply with all of the requirements of the Nasdaq Global Market applicable to the Company;</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maintain a transfer agent and, if necessary under the jurisdiction of incorporation of the Company, a registrar for the Common Stock; and</w:t>
      </w:r>
    </w:p>
    <w:p>
      <w:pPr>
        <w:spacing w:after="0" w:line="194" w:lineRule="exact"/>
        <w:rPr>
          <w:rFonts w:ascii="Arial" w:cs="Arial" w:eastAsia="Arial" w:hAnsi="Arial"/>
          <w:sz w:val="16"/>
          <w:szCs w:val="16"/>
          <w:color w:val="auto"/>
        </w:rPr>
      </w:pPr>
    </w:p>
    <w:p>
      <w:pPr>
        <w:ind w:firstLine="464"/>
        <w:spacing w:after="0" w:line="256" w:lineRule="auto"/>
        <w:tabs>
          <w:tab w:leader="none" w:pos="6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use its best efforts to ensure that the Directed Shares will be restricted from sale, transfer, assignment, pledge or hypothecation for a period of three months after the date of the Prospectus in accordance with the NASD’s Free-Riding and Withholding Interpretation (IM-2110-1); and to comply with all applicable securities and other applicable laws, rules and regulations in each jurisdiction in which the Reserved Shares are offered in connection with the Directed Share Program.</w:t>
      </w:r>
    </w:p>
    <w:p>
      <w:pPr>
        <w:spacing w:after="0" w:line="143" w:lineRule="exact"/>
        <w:rPr>
          <w:sz w:val="20"/>
          <w:szCs w:val="20"/>
          <w:color w:val="auto"/>
        </w:rPr>
      </w:pPr>
    </w:p>
    <w:p>
      <w:pPr>
        <w:ind w:right="160" w:firstLine="464"/>
        <w:spacing w:after="0" w:line="298"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Shares are not delivered for any reason other than the termination of this Agreement pursuant to the fifth paragraph of Section 9 hereof or the default by one or more of the Underwriters in its or their respective obligations hereunder, the Company shall, in addition to paying the amounts described in Section 5(p) hereof, reimburse the Underwriters for all of their out-of-pocket expenses incurred, including the reasonable fees and disbursements of their counsel incurred in connection with this Agreement and the transactions contemplated hereunder.]</w:t>
      </w:r>
    </w:p>
    <w:p>
      <w:pPr>
        <w:spacing w:after="0" w:line="112" w:lineRule="exact"/>
        <w:rPr>
          <w:rFonts w:ascii="Arial" w:cs="Arial" w:eastAsia="Arial" w:hAnsi="Arial"/>
          <w:sz w:val="16"/>
          <w:szCs w:val="16"/>
          <w:color w:val="auto"/>
        </w:rPr>
      </w:pPr>
    </w:p>
    <w:p>
      <w:pPr>
        <w:ind w:right="200" w:firstLine="464"/>
        <w:spacing w:after="0" w:line="256"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43" w:lineRule="exact"/>
        <w:rPr>
          <w:sz w:val="20"/>
          <w:szCs w:val="20"/>
          <w:color w:val="auto"/>
        </w:rPr>
      </w:pPr>
    </w:p>
    <w:p>
      <w:pPr>
        <w:ind w:right="80" w:firstLine="464"/>
        <w:spacing w:after="0" w:line="25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and, if applicable, at the additional time of purchase, an opinion of Dechert LLP, counsel for the Company, addressed to the Underwriters, and dated the time of purchase or the additional time of purchase, as the case may be, with reproduced copies for each of the other Underwriters and in form and substance satisfactory to Sutherland Asbill &amp; Brennan LLP, counsel for the Underwriters,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(b)(1) You shall have received an opinion of Venable LLP, special counsel for the Company, addressed to the Underwriters, and dated the time of purchase or the additional time of purchase, as the case may be, with reproduced copies for each of the other Underwriters and in form and substance satisfactory to Sutherland Asbill &amp; Brennan LLP, counsel for the Underwriters, to the effect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40" w:lineRule="exact"/>
        <w:rPr>
          <w:sz w:val="20"/>
          <w:szCs w:val="20"/>
          <w:color w:val="auto"/>
        </w:rPr>
      </w:pPr>
    </w:p>
    <w:p>
      <w:pPr>
        <w:ind w:right="96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shall have received an opinion of Dechert LLP, special counsel for the Subsidiary, the Adviser and the Administrator, addressed to the Underwriters, and dated the time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4" w:name="page55"/>
    <w:bookmarkEnd w:id="5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purchase or the additional time of purchase, as the case may be, with reproduced copies for each of the other Underwriters and in form and substance satisfactory to Sutherland Asbill &amp; Brennan LLP, counsel for the Underwriters, to the effect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51" w:lineRule="exact"/>
        <w:rPr>
          <w:sz w:val="20"/>
          <w:szCs w:val="20"/>
          <w:color w:val="auto"/>
        </w:rPr>
      </w:pPr>
    </w:p>
    <w:p>
      <w:pPr>
        <w:ind w:right="100" w:firstLine="464"/>
        <w:spacing w:after="0" w:line="298"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2" w:lineRule="exact"/>
        <w:rPr>
          <w:rFonts w:ascii="Arial" w:cs="Arial" w:eastAsia="Arial" w:hAnsi="Arial"/>
          <w:sz w:val="16"/>
          <w:szCs w:val="16"/>
          <w:color w:val="auto"/>
        </w:rPr>
      </w:pPr>
    </w:p>
    <w:p>
      <w:pPr>
        <w:ind w:right="160" w:firstLine="464"/>
        <w:spacing w:after="0" w:line="259"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Sutherland Asbill &amp; Brennan LLP, counsel for the Underwriters, dated the time of purchase or the additional time of purchase, as the case may be, with respect the sale of the Shares and other related matters as the Underwriters may require.</w:t>
      </w:r>
    </w:p>
    <w:p>
      <w:pPr>
        <w:spacing w:after="0" w:line="140" w:lineRule="exact"/>
        <w:rPr>
          <w:rFonts w:ascii="Arial" w:cs="Arial" w:eastAsia="Arial" w:hAnsi="Arial"/>
          <w:sz w:val="18"/>
          <w:szCs w:val="18"/>
          <w:color w:val="auto"/>
        </w:rPr>
      </w:pPr>
    </w:p>
    <w:p>
      <w:pPr>
        <w:ind w:firstLine="464"/>
        <w:spacing w:after="0" w:line="298"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Registration Statement shall become effective not later than 5:30 p.m. New York City time on the date of this Agreement and, if Rule 430A under the Act is used, the Prospectus shall have been filed with the Commission pursuant to Rule 497(h) under the Act at or before 5:30 p.m. New York City time on the second full business day after the date of this Agreement and any registration statement pursuant to Rule 462(b) under the Act required in connection with the offering and sale of the Shares shall have been filed and become effective no later than 10:00 p.m. New York City time on the date of this Agreement.</w:t>
      </w:r>
    </w:p>
    <w:p>
      <w:pPr>
        <w:spacing w:after="0" w:line="112" w:lineRule="exact"/>
        <w:rPr>
          <w:rFonts w:ascii="Arial" w:cs="Arial" w:eastAsia="Arial" w:hAnsi="Arial"/>
          <w:sz w:val="16"/>
          <w:szCs w:val="16"/>
          <w:color w:val="auto"/>
        </w:rPr>
      </w:pPr>
    </w:p>
    <w:p>
      <w:pPr>
        <w:ind w:right="20" w:firstLine="464"/>
        <w:spacing w:after="0" w:line="254" w:lineRule="auto"/>
        <w:tabs>
          <w:tab w:leader="none" w:pos="6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44"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40"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3(r)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5" w:name="page56"/>
    <w:bookmarkEnd w:id="55"/>
    <w:p>
      <w:pPr>
        <w:ind w:right="140" w:firstLine="464"/>
        <w:spacing w:after="0" w:line="268" w:lineRule="auto"/>
        <w:tabs>
          <w:tab w:leader="none" w:pos="66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shall have been approved for quotation the Nasdaq Global Market, subject only to notice of issuance at or prior to the time of purchase and the additional time of purchase, as the case may be.</w:t>
      </w:r>
    </w:p>
    <w:p>
      <w:pPr>
        <w:spacing w:after="0" w:line="131" w:lineRule="exact"/>
        <w:rPr>
          <w:rFonts w:ascii="Arial" w:cs="Arial" w:eastAsia="Arial" w:hAnsi="Arial"/>
          <w:sz w:val="18"/>
          <w:szCs w:val="18"/>
          <w:color w:val="auto"/>
        </w:rPr>
      </w:pPr>
    </w:p>
    <w:p>
      <w:pPr>
        <w:ind w:right="500" w:firstLine="464"/>
        <w:spacing w:after="0" w:line="259"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sz w:val="20"/>
          <w:szCs w:val="20"/>
          <w:color w:val="auto"/>
        </w:rPr>
      </w:pPr>
    </w:p>
    <w:p>
      <w:pPr>
        <w:ind w:right="40" w:firstLine="464"/>
        <w:spacing w:after="0" w:line="268" w:lineRule="auto"/>
        <w:tabs>
          <w:tab w:leader="none" w:pos="7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Arthur H. Penn shall, on the date of this Agreement, at the time of purchase and, if applicable, at the additional time of purchase, have delivered to you a certificate signed by him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32" w:lineRule="exact"/>
        <w:rPr>
          <w:sz w:val="20"/>
          <w:szCs w:val="20"/>
          <w:color w:val="auto"/>
        </w:rPr>
      </w:pPr>
    </w:p>
    <w:p>
      <w:pPr>
        <w:ind w:firstLine="464"/>
        <w:spacing w:after="0" w:line="285"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or any group of Underwriters (which may include any of the Joint Book-Running Managers) which has agreed to purchase in the aggregate at least 50% of the Firm Shares,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the American Stock Exchange or the Nasdaq Global Market; (ii) a suspension or material limitation in trading in the Company’s securities on the Nasdaq Global Market; (iii) a general moratorium on commercial banking activities declared by either federal or New York State authorities or a material disruption in commercial banking or securities settlement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2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6 and 10 hereof), and the Underwriters shall be under no obligation or liability to the Company under this Agreement (except to the extent provided in Section 10 hereof) or to one another hereunder.</w:t>
      </w:r>
    </w:p>
    <w:p>
      <w:pPr>
        <w:spacing w:after="0" w:line="113" w:lineRule="exact"/>
        <w:rPr>
          <w:sz w:val="20"/>
          <w:szCs w:val="20"/>
          <w:color w:val="auto"/>
        </w:rPr>
      </w:pPr>
    </w:p>
    <w:p>
      <w:pPr>
        <w:ind w:right="16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7 and 8 hereof, if any Underwriter shall default in its obligation to take up and pay for the Firm Shares to be purchased by it hereunder (otherwise than for a failure of a condition set forth in Section 7 hereof or a reason sufficient to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56" w:name="page57"/>
    <w:bookmarkEnd w:id="56"/>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justify the termination of this Agreement under the provisions of Section 8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9 with like effect as if such substituted Underwriter had originally been named in Schedule A.</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201" w:lineRule="exact"/>
        <w:rPr>
          <w:sz w:val="20"/>
          <w:szCs w:val="20"/>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7" w:name="page58"/>
    <w:bookmarkEnd w:id="57"/>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untrue statement or alleged untrue statement of a material fact contained in the Registration Statement (or in the Registration Statement as amended by any post-effective amendment thereof by the Company), any Preliminary Prospectus, the Pricing Prospectus together with the Pricing Information, or the Prospectus (as amended or supplemented by the Company), or arises out of or is based upon any omission or alleged omission to state a material fact required to be stated in either the Registration Statement, any Preliminary Prospectus, the Pricing Prospectus together with the Pricing Information,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any Preliminary Prospectus, the Pricing Prospectus together with the Pricing Information, or the Prospectus or arises out of or is based upon any omission or alleged omission to state a material fact in connection with such information required to be stated in the Registration Statement, any Preliminary Prospectus, the Pricing Prospectus together with the Pricing Information, or the Prospectus or necessary to make such information not misleading, (ii) any untrue statement or alleged untrue statement made by the Company in Section 3 hereof or the failure by the Company to perform when and as required any agreement or covenant contained herein, or (iii) the Directed Share Program, provided that, subject to applicable provisions of the Investment Company Act, if any, the Company shall not be responsible under this clause (iii) for any loss, damage, expense, liability or claim that is finally judicially determined to have resulted from the gross negligence or willful misconduct of the Underwriters in conducting the Directed Share Program.</w:t>
      </w:r>
    </w:p>
    <w:p>
      <w:pPr>
        <w:spacing w:after="0" w:line="128" w:lineRule="exact"/>
        <w:rPr>
          <w:sz w:val="20"/>
          <w:szCs w:val="20"/>
          <w:color w:val="auto"/>
        </w:rPr>
      </w:pPr>
    </w:p>
    <w:p>
      <w:pPr>
        <w:ind w:firstLine="921"/>
        <w:spacing w:after="0" w:line="301" w:lineRule="auto"/>
        <w:tabs>
          <w:tab w:leader="none" w:pos="1162"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Adviser and the Administrator, jointly and severally, agree to indemnify, defend and hold harmless each Underwriter and each other person specified in subsection (a)(1) of this Section 10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any Preliminary Prospectus, the Pricing Prospectus or the Prospectus (as amended or supplemented by the Company) regarding the Adviser or the Administrator, or arises out of or is based upon any omission or alleged omission to state a material fact regarding the Adviser or the Administrator required to be stated in either the Registration Statement, any Preliminary Prospectus, the Pricing Prospectus or the Prospectus or necessary to make the statements made therein not misleading with respect to the Adviser or the Administrator or</w:t>
      </w:r>
    </w:p>
    <w:p>
      <w:pPr>
        <w:spacing w:after="0" w:line="4" w:lineRule="exact"/>
        <w:rPr>
          <w:rFonts w:ascii="Arial" w:cs="Arial" w:eastAsia="Arial" w:hAnsi="Arial"/>
          <w:sz w:val="15"/>
          <w:szCs w:val="15"/>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untrue statement or alleged untrue statement made by the Adviser or the Administrator in Section 4 hereof.</w:t>
      </w:r>
    </w:p>
    <w:p>
      <w:pPr>
        <w:spacing w:after="0" w:line="164" w:lineRule="exact"/>
        <w:rPr>
          <w:rFonts w:ascii="Arial" w:cs="Arial" w:eastAsia="Arial" w:hAnsi="Arial"/>
          <w:sz w:val="18"/>
          <w:szCs w:val="18"/>
          <w:color w:val="auto"/>
        </w:rPr>
      </w:pPr>
    </w:p>
    <w:p>
      <w:pPr>
        <w:ind w:right="100" w:firstLine="921"/>
        <w:spacing w:after="0" w:line="318" w:lineRule="auto"/>
        <w:tabs>
          <w:tab w:leader="none" w:pos="1162" w:val="left"/>
        </w:tabs>
        <w:numPr>
          <w:ilvl w:val="1"/>
          <w:numId w:val="54"/>
        </w:numPr>
        <w:rPr>
          <w:rFonts w:ascii="Arial" w:cs="Arial" w:eastAsia="Arial" w:hAnsi="Arial"/>
          <w:sz w:val="15"/>
          <w:szCs w:val="15"/>
          <w:color w:val="auto"/>
        </w:rPr>
      </w:pPr>
      <w:r>
        <w:rPr>
          <w:rFonts w:ascii="Arial" w:cs="Arial" w:eastAsia="Arial" w:hAnsi="Arial"/>
          <w:sz w:val="15"/>
          <w:szCs w:val="15"/>
          <w:color w:val="auto"/>
        </w:rPr>
        <w:t xml:space="preserve">If any action, suit or proceeding (each, a “Proceeding”)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omission to so notify the Company, the Adviser or the Administrator, as appropriate,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58" w:name="page59"/>
    <w:bookmarkEnd w:id="5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25" w:lineRule="exact"/>
        <w:rPr>
          <w:sz w:val="20"/>
          <w:szCs w:val="20"/>
          <w:color w:val="auto"/>
        </w:rPr>
      </w:pPr>
    </w:p>
    <w:p>
      <w:pPr>
        <w:ind w:right="40" w:firstLine="921"/>
        <w:spacing w:after="0" w:line="290"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agrees, and the Adviser and the Administrator, jointly and severally, agree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investigation) which, jointly or severally, any such Underwriter or any such person may incur under the Act, the Exchange Act, the common law or otherwise, insofar as such loss, damage, expense, liability or claim arises out of or is based upon (a) any of the matters referred to in clauses (i) through (iii) of the first paragraph of this Section 10(a)(1), or (b) any untrue statement or alleged untrue statement of a material fact contained in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59" w:name="page60"/>
    <w:bookmarkEnd w:id="59"/>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material prepared by or with the consent of the Company for distribution to Directed Share Participants in connection with the Directed Share Program or caused by any omission or alleged omission to state therein a material fact required to be stated therein or necessary to make the statements therein not misleading; (ii) caused by the failure of any Directed Share Participant to pay for and accept delivery of Reserved Shares that the Directed Share Participant has agreed to purchase; or (iii) otherwise arises out of or is based upon the Directed Share Program, provided that, subject to applicable provisions of the Investment Company Act, if any, the Company shall not be responsible under this clause (iii) for any loss, damage, expense, liability or claim that is finally judicially determined to have resulted from the gross negligence or willful misconduct of any such Underwriter in conducting the Directed Share Program. The second sentence of this Section 10(a)(3) shall apply equally to any Proceeding brought against any such Underwriter or any such person in respect of which indemnity may be sought against the Company, the Adviser or the Administrator pursuant to the foregoing sentence; except that the Company, the Adviser and the Administrator shall be liable for the expenses of one separate counsel (in addition to any local counsel) for any such Underwriter and any such person, separate and in addition to counsel for the Underwriters, in any such Proceeding.</w:t>
      </w:r>
    </w:p>
    <w:p>
      <w:pPr>
        <w:spacing w:after="0" w:line="123" w:lineRule="exact"/>
        <w:rPr>
          <w:sz w:val="20"/>
          <w:szCs w:val="20"/>
          <w:color w:val="auto"/>
        </w:rPr>
      </w:pPr>
    </w:p>
    <w:p>
      <w:pPr>
        <w:ind w:right="40" w:firstLine="464"/>
        <w:spacing w:after="0" w:line="286"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Underwriter severally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any Preliminary Prospectus, the Pricing Prospectus together with the Pricing Information, or the Prospectus, or arises out of or is based upon any omission or alleged omission to state a material fact in connection with such information required to be stated in the Registration Statement, any Preliminary Prospectus, the Pricing Prospectus together with the Pricing Information or the Prospectus or necessary to make such information not misleading.</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60" w:name="page61"/>
    <w:bookmarkEnd w:id="60"/>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w:t>
      </w:r>
    </w:p>
    <w:p>
      <w:pPr>
        <w:spacing w:after="0" w:line="3" w:lineRule="exact"/>
        <w:rPr>
          <w:sz w:val="20"/>
          <w:szCs w:val="20"/>
          <w:color w:val="auto"/>
        </w:rPr>
      </w:pPr>
    </w:p>
    <w:p>
      <w:pPr>
        <w:ind w:right="140" w:firstLine="8"/>
        <w:spacing w:after="0" w:line="295" w:lineRule="auto"/>
        <w:tabs>
          <w:tab w:leader="none" w:pos="3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15" w:lineRule="exact"/>
        <w:rPr>
          <w:rFonts w:ascii="Arial" w:cs="Arial" w:eastAsia="Arial" w:hAnsi="Arial"/>
          <w:sz w:val="16"/>
          <w:szCs w:val="16"/>
          <w:color w:val="auto"/>
        </w:rPr>
      </w:pPr>
    </w:p>
    <w:p>
      <w:pPr>
        <w:ind w:right="260" w:firstLine="464"/>
        <w:spacing w:after="0" w:line="303" w:lineRule="auto"/>
        <w:tabs>
          <w:tab w:leader="none" w:pos="695" w:val="left"/>
        </w:tabs>
        <w:numPr>
          <w:ilvl w:val="1"/>
          <w:numId w:val="57"/>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10 is unavailable to an indemnified party under subsections (a) and (b) of this Section 10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w:t>
      </w:r>
    </w:p>
    <w:p>
      <w:pPr>
        <w:spacing w:after="0" w:line="1" w:lineRule="exact"/>
        <w:rPr>
          <w:rFonts w:ascii="Arial" w:cs="Arial" w:eastAsia="Arial" w:hAnsi="Arial"/>
          <w:sz w:val="15"/>
          <w:szCs w:val="15"/>
          <w:color w:val="auto"/>
        </w:rPr>
      </w:pPr>
    </w:p>
    <w:p>
      <w:pPr>
        <w:ind w:right="100" w:firstLine="8"/>
        <w:spacing w:after="0" w:line="286" w:lineRule="auto"/>
        <w:tabs>
          <w:tab w:leader="none" w:pos="21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61" w:name="page62"/>
    <w:bookmarkEnd w:id="61"/>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 The Company, the Adviser, the Administrator and the Underwriters agree that it would not be just and equitable if contribution pursuant to this Section 10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10,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underwriting commitments and not joint.</w:t>
      </w:r>
    </w:p>
    <w:p>
      <w:pPr>
        <w:spacing w:after="0" w:line="118" w:lineRule="exact"/>
        <w:rPr>
          <w:sz w:val="20"/>
          <w:szCs w:val="20"/>
          <w:color w:val="auto"/>
        </w:rPr>
      </w:pPr>
    </w:p>
    <w:p>
      <w:pPr>
        <w:ind w:firstLine="464"/>
        <w:spacing w:after="0" w:line="287"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10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any Preliminary Prospectus, the Pricing Prospectus or the Prospectus.</w:t>
      </w:r>
    </w:p>
    <w:p>
      <w:pPr>
        <w:spacing w:after="0" w:line="123" w:lineRule="exact"/>
        <w:rPr>
          <w:sz w:val="20"/>
          <w:szCs w:val="20"/>
          <w:color w:val="auto"/>
        </w:rPr>
      </w:pPr>
    </w:p>
    <w:p>
      <w:pPr>
        <w:jc w:val="both"/>
        <w:ind w:right="200" w:firstLine="464"/>
        <w:spacing w:after="0" w:line="305" w:lineRule="auto"/>
        <w:tabs>
          <w:tab w:leader="none" w:pos="713"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Information Furnished by the Underwriters</w:t>
      </w:r>
      <w:r>
        <w:rPr>
          <w:rFonts w:ascii="Arial" w:cs="Arial" w:eastAsia="Arial" w:hAnsi="Arial"/>
          <w:sz w:val="15"/>
          <w:szCs w:val="15"/>
          <w:color w:val="auto"/>
        </w:rPr>
        <w:t>. [The Company acknowledges that (i) the statements regarding delivery of the Firm Units set forth in the last paragraph of the cover page and in the second paragraph under the heading “Underwriting,” (ii) the sentences relating to concessions and reallowances and</w:t>
      </w:r>
    </w:p>
    <w:p>
      <w:pPr>
        <w:ind w:right="560" w:firstLine="8"/>
        <w:spacing w:after="0" w:line="323" w:lineRule="auto"/>
        <w:tabs>
          <w:tab w:leader="none" w:pos="3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sentences related to stabilization, syndicate covering transactions and penalty bids in the Pricing Prospectus and the Prospectus constitute the only information furnished by or on behalf of the several Underwriters for inclusion in the Pricing Prospectus and the Prospectus.]</w:t>
      </w:r>
    </w:p>
    <w:p>
      <w:pPr>
        <w:spacing w:after="0" w:line="92" w:lineRule="exact"/>
        <w:rPr>
          <w:rFonts w:ascii="Arial" w:cs="Arial" w:eastAsia="Arial" w:hAnsi="Arial"/>
          <w:sz w:val="16"/>
          <w:szCs w:val="16"/>
          <w:color w:val="auto"/>
        </w:rPr>
      </w:pPr>
    </w:p>
    <w:p>
      <w:pPr>
        <w:ind w:left="720" w:hanging="256"/>
        <w:spacing w:after="0"/>
        <w:tabs>
          <w:tab w:leader="none" w:pos="7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Notices. Except as otherwise herein provided, all statements, requests, notices and agreements shall be in writing or by telegram and, if to the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80" w:type="dxa"/>
            <w:vAlign w:val="bottom"/>
            <w:gridSpan w:val="11"/>
          </w:tcPr>
          <w:p>
            <w:pPr>
              <w:spacing w:after="0" w:line="163" w:lineRule="exact"/>
              <w:rPr>
                <w:sz w:val="20"/>
                <w:szCs w:val="20"/>
                <w:color w:val="auto"/>
              </w:rPr>
            </w:pPr>
            <w:r>
              <w:rPr>
                <w:rFonts w:ascii="Arial" w:cs="Arial" w:eastAsia="Arial" w:hAnsi="Arial"/>
                <w:sz w:val="18"/>
                <w:szCs w:val="18"/>
                <w:color w:val="auto"/>
                <w:w w:val="89"/>
              </w:rPr>
              <w:t>Underwriters, shall be sufficient in all respects if delivered, faxed or sent to Bear, Stearns &amp; Co. Inc. at</w:t>
            </w:r>
          </w:p>
        </w:tc>
        <w:tc>
          <w:tcPr>
            <w:tcW w:w="1740" w:type="dxa"/>
            <w:vAlign w:val="bottom"/>
          </w:tcPr>
          <w:p>
            <w:pPr>
              <w:spacing w:after="0"/>
              <w:rPr>
                <w:sz w:val="14"/>
                <w:szCs w:val="14"/>
                <w:color w:val="auto"/>
              </w:rPr>
            </w:pPr>
          </w:p>
        </w:tc>
        <w:tc>
          <w:tcPr>
            <w:tcW w:w="2140" w:type="dxa"/>
            <w:vAlign w:val="bottom"/>
            <w:gridSpan w:val="6"/>
          </w:tcPr>
          <w:p>
            <w:pPr>
              <w:spacing w:after="0" w:line="163" w:lineRule="exact"/>
              <w:rPr>
                <w:sz w:val="20"/>
                <w:szCs w:val="20"/>
                <w:color w:val="auto"/>
              </w:rPr>
            </w:pPr>
            <w:r>
              <w:rPr>
                <w:rFonts w:ascii="Arial" w:cs="Arial" w:eastAsia="Arial" w:hAnsi="Arial"/>
                <w:sz w:val="18"/>
                <w:szCs w:val="18"/>
                <w:color w:val="auto"/>
              </w:rPr>
              <w:t>, facsimile no. (  )   -</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line="202" w:lineRule="exact"/>
              <w:rPr>
                <w:sz w:val="20"/>
                <w:szCs w:val="20"/>
                <w:color w:val="auto"/>
              </w:rPr>
            </w:pPr>
            <w:r>
              <w:rPr>
                <w:rFonts w:ascii="Arial" w:cs="Arial" w:eastAsia="Arial" w:hAnsi="Arial"/>
                <w:sz w:val="18"/>
                <w:szCs w:val="18"/>
                <w:color w:val="auto"/>
                <w:w w:val="91"/>
              </w:rPr>
              <w:t>Attention:</w:t>
            </w: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560" w:type="dxa"/>
            <w:vAlign w:val="bottom"/>
            <w:gridSpan w:val="15"/>
          </w:tcPr>
          <w:p>
            <w:pPr>
              <w:spacing w:after="0" w:line="182" w:lineRule="exact"/>
              <w:rPr>
                <w:sz w:val="20"/>
                <w:szCs w:val="20"/>
                <w:color w:val="auto"/>
              </w:rPr>
            </w:pPr>
            <w:r>
              <w:rPr>
                <w:rFonts w:ascii="Arial" w:cs="Arial" w:eastAsia="Arial" w:hAnsi="Arial"/>
                <w:sz w:val="18"/>
                <w:szCs w:val="18"/>
                <w:color w:val="auto"/>
                <w:w w:val="88"/>
              </w:rPr>
              <w:t>, and, if to the Company, shall be sufficient in all respects if delivered or sent to the Company at the offices of the Company at 445 Park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gridSpan w:val="9"/>
          </w:tcPr>
          <w:p>
            <w:pPr>
              <w:spacing w:after="0" w:line="209" w:lineRule="exact"/>
              <w:rPr>
                <w:sz w:val="20"/>
                <w:szCs w:val="20"/>
                <w:color w:val="auto"/>
              </w:rPr>
            </w:pPr>
            <w:r>
              <w:rPr>
                <w:rFonts w:ascii="Arial" w:cs="Arial" w:eastAsia="Arial" w:hAnsi="Arial"/>
                <w:sz w:val="18"/>
                <w:szCs w:val="18"/>
                <w:color w:val="auto"/>
                <w:w w:val="98"/>
              </w:rPr>
              <w:t>Avenue, 9</w:t>
            </w:r>
            <w:r>
              <w:rPr>
                <w:rFonts w:ascii="Arial" w:cs="Arial" w:eastAsia="Arial" w:hAnsi="Arial"/>
                <w:sz w:val="22"/>
                <w:szCs w:val="22"/>
                <w:color w:val="auto"/>
                <w:w w:val="98"/>
                <w:vertAlign w:val="superscript"/>
              </w:rPr>
              <w:t>th</w:t>
            </w:r>
            <w:r>
              <w:rPr>
                <w:rFonts w:ascii="Arial" w:cs="Arial" w:eastAsia="Arial" w:hAnsi="Arial"/>
                <w:sz w:val="18"/>
                <w:szCs w:val="18"/>
                <w:color w:val="auto"/>
                <w:w w:val="98"/>
              </w:rPr>
              <w:t xml:space="preserve"> Floor, New York, NY 10022, facsimile no. (  )   -</w:t>
            </w:r>
          </w:p>
        </w:tc>
        <w:tc>
          <w:tcPr>
            <w:tcW w:w="2560" w:type="dxa"/>
            <w:vAlign w:val="bottom"/>
            <w:gridSpan w:val="2"/>
          </w:tcPr>
          <w:p>
            <w:pPr>
              <w:jc w:val="right"/>
              <w:ind w:right="452"/>
              <w:spacing w:after="0"/>
              <w:rPr>
                <w:sz w:val="20"/>
                <w:szCs w:val="20"/>
                <w:color w:val="auto"/>
              </w:rPr>
            </w:pPr>
            <w:r>
              <w:rPr>
                <w:rFonts w:ascii="Arial" w:cs="Arial" w:eastAsia="Arial" w:hAnsi="Arial"/>
                <w:sz w:val="18"/>
                <w:szCs w:val="18"/>
                <w:color w:val="auto"/>
              </w:rPr>
              <w:t>, Attention: Arthur Penn.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300" w:type="dxa"/>
            <w:vAlign w:val="bottom"/>
          </w:tcPr>
          <w:p>
            <w:pPr>
              <w:jc w:val="right"/>
              <w:ind w:right="1392"/>
              <w:spacing w:after="0"/>
              <w:rPr>
                <w:sz w:val="20"/>
                <w:szCs w:val="20"/>
                <w:color w:val="auto"/>
              </w:rPr>
            </w:pPr>
            <w:r>
              <w:rPr>
                <w:rFonts w:ascii="Arial" w:cs="Arial" w:eastAsia="Arial" w:hAnsi="Arial"/>
                <w:sz w:val="18"/>
                <w:szCs w:val="18"/>
                <w:color w:val="auto"/>
              </w:rPr>
              <w:t>25</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62" w:name="page63"/>
    <w:bookmarkEnd w:id="62"/>
    <w:p>
      <w:pPr>
        <w:ind w:left="-20" w:firstLine="464"/>
        <w:spacing w:after="0" w:line="294"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15" w:lineRule="exact"/>
        <w:rPr>
          <w:rFonts w:ascii="Arial" w:cs="Arial" w:eastAsia="Arial" w:hAnsi="Arial"/>
          <w:sz w:val="16"/>
          <w:szCs w:val="16"/>
          <w:color w:val="auto"/>
        </w:rPr>
      </w:pPr>
    </w:p>
    <w:p>
      <w:pPr>
        <w:ind w:left="-20" w:right="80" w:firstLine="464"/>
        <w:spacing w:after="0" w:line="286"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jc w:val="both"/>
        <w:ind w:left="-20" w:right="220" w:firstLine="464"/>
        <w:spacing w:after="0" w:line="298"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10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12" w:lineRule="exact"/>
        <w:rPr>
          <w:rFonts w:ascii="Arial" w:cs="Arial" w:eastAsia="Arial" w:hAnsi="Arial"/>
          <w:sz w:val="16"/>
          <w:szCs w:val="16"/>
          <w:color w:val="auto"/>
        </w:rPr>
      </w:pPr>
    </w:p>
    <w:p>
      <w:pPr>
        <w:ind w:left="-20" w:right="280" w:firstLine="464"/>
        <w:spacing w:after="0" w:line="268"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31" w:lineRule="exact"/>
        <w:rPr>
          <w:rFonts w:ascii="Arial" w:cs="Arial" w:eastAsia="Arial" w:hAnsi="Arial"/>
          <w:sz w:val="18"/>
          <w:szCs w:val="18"/>
          <w:color w:val="auto"/>
        </w:rPr>
      </w:pPr>
    </w:p>
    <w:p>
      <w:pPr>
        <w:ind w:left="-20" w:right="40" w:firstLine="464"/>
        <w:spacing w:after="0" w:line="259"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left="-20" w:right="40" w:firstLine="464"/>
        <w:spacing w:after="0" w:line="332"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80" w:right="259" w:bottom="1440" w:gutter="0" w:footer="0" w:header="0"/>
        </w:sectPr>
      </w:pPr>
    </w:p>
    <w:bookmarkStart w:id="63" w:name="page64"/>
    <w:bookmarkEnd w:id="63"/>
    <w:p>
      <w:pPr>
        <w:jc w:val="both"/>
        <w:ind w:right="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w:t>
      </w:r>
    </w:p>
    <w:p>
      <w:pPr>
        <w:spacing w:after="0" w:line="1" w:lineRule="exact"/>
        <w:rPr>
          <w:sz w:val="20"/>
          <w:szCs w:val="20"/>
          <w:color w:val="auto"/>
        </w:rPr>
      </w:pPr>
    </w:p>
    <w:p>
      <w:pPr>
        <w:ind w:firstLine="8"/>
        <w:spacing w:after="0" w:line="288" w:lineRule="auto"/>
        <w:tabs>
          <w:tab w:leader="none" w:pos="3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64" w:name="page65"/>
    <w:bookmarkEnd w:id="64"/>
    <w:p>
      <w:pPr>
        <w:ind w:right="18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02"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17"/>
                <w:szCs w:val="17"/>
                <w:color w:val="auto"/>
              </w:rPr>
            </w:pPr>
          </w:p>
        </w:tc>
        <w:tc>
          <w:tcPr>
            <w:tcW w:w="2180" w:type="dxa"/>
            <w:vAlign w:val="bottom"/>
          </w:tcPr>
          <w:p>
            <w:pPr>
              <w:jc w:val="right"/>
              <w:ind w:right="2032"/>
              <w:spacing w:after="0"/>
              <w:rPr>
                <w:sz w:val="20"/>
                <w:szCs w:val="20"/>
                <w:color w:val="auto"/>
              </w:rPr>
            </w:pPr>
            <w:r>
              <w:rPr>
                <w:rFonts w:ascii="Arial" w:cs="Arial" w:eastAsia="Arial" w:hAnsi="Arial"/>
                <w:sz w:val="18"/>
                <w:szCs w:val="18"/>
                <w:color w:val="auto"/>
                <w:w w:val="78"/>
              </w:rPr>
              <w:t>,</w:t>
            </w:r>
          </w:p>
        </w:tc>
      </w:tr>
      <w:tr>
        <w:trPr>
          <w:trHeight w:val="235"/>
        </w:trPr>
        <w:tc>
          <w:tcPr>
            <w:tcW w:w="2380" w:type="dxa"/>
            <w:vAlign w:val="bottom"/>
            <w:gridSpan w:val="2"/>
          </w:tcPr>
          <w:p>
            <w:pPr>
              <w:spacing w:after="0"/>
              <w:rPr>
                <w:sz w:val="20"/>
                <w:szCs w:val="20"/>
                <w:color w:val="auto"/>
              </w:rPr>
            </w:pPr>
            <w:r>
              <w:rPr>
                <w:rFonts w:ascii="Arial" w:cs="Arial" w:eastAsia="Arial" w:hAnsi="Arial"/>
                <w:sz w:val="18"/>
                <w:szCs w:val="18"/>
                <w:color w:val="auto"/>
              </w:rPr>
              <w:t>its Managing Member</w:t>
            </w:r>
          </w:p>
        </w:tc>
        <w:tc>
          <w:tcPr>
            <w:tcW w:w="2180" w:type="dxa"/>
            <w:vAlign w:val="bottom"/>
          </w:tcPr>
          <w:p>
            <w:pPr>
              <w:spacing w:after="0"/>
              <w:rPr>
                <w:sz w:val="20"/>
                <w:szCs w:val="20"/>
                <w:color w:val="auto"/>
              </w:rPr>
            </w:pPr>
          </w:p>
        </w:tc>
      </w:tr>
      <w:tr>
        <w:trPr>
          <w:trHeight w:val="42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80" w:type="dxa"/>
            <w:vAlign w:val="bottom"/>
          </w:tcPr>
          <w:p>
            <w:pPr>
              <w:spacing w:after="0"/>
              <w:rPr>
                <w:sz w:val="18"/>
                <w:szCs w:val="18"/>
                <w:color w:val="auto"/>
              </w:rPr>
            </w:pP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Name:</w:t>
            </w:r>
          </w:p>
        </w:tc>
        <w:tc>
          <w:tcPr>
            <w:tcW w:w="2180" w:type="dxa"/>
            <w:vAlign w:val="bottom"/>
          </w:tcPr>
          <w:p>
            <w:pPr>
              <w:spacing w:after="0"/>
              <w:rPr>
                <w:sz w:val="19"/>
                <w:szCs w:val="19"/>
                <w:color w:val="auto"/>
              </w:rPr>
            </w:pP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ADMINISTRATION, LLC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 and agreed to as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behalf of themselves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other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CAPITAL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BEAR, STEARNS &amp; CO. INC.</w:t>
            </w:r>
          </w:p>
        </w:tc>
      </w:tr>
      <w:tr>
        <w:trPr>
          <w:trHeight w:val="42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BANC OF AMERICA SECURITIES LLC</w:t>
            </w:r>
          </w:p>
        </w:tc>
      </w:tr>
      <w:tr>
        <w:trPr>
          <w:trHeight w:val="42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UBS SECURITIES LLC</w:t>
            </w:r>
          </w:p>
        </w:tc>
      </w:tr>
      <w:tr>
        <w:trPr>
          <w:trHeight w:val="42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SUNTRUST CAPITAL MARKETS, INC.</w:t>
            </w:r>
          </w:p>
        </w:tc>
      </w:tr>
      <w:tr>
        <w:trPr>
          <w:trHeight w:val="42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280"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582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r>
      <w:tr>
        <w:trPr>
          <w:trHeight w:val="359"/>
        </w:trPr>
        <w:tc>
          <w:tcPr>
            <w:tcW w:w="46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68"/>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1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Firm Shares</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BEAR, STEARNS &amp; CO.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SUNTRUST CAPITAL MARKETS,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BRUYETTEE &amp; WOODS,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FRIEDMAN, BILLINGS, RAMSEY &amp; CO.,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JEFFRIES &amp; COMPANY,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ectPr>
          <w:pgSz w:w="11900" w:h="16838" w:orient="portrait"/>
          <w:cols w:equalWidth="0" w:num="1">
            <w:col w:w="10500"/>
          </w:cols>
          <w:pgMar w:left="700" w:top="257" w:right="6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ind w:left="10980"/>
        <w:spacing w:after="0"/>
        <w:rPr>
          <w:sz w:val="20"/>
          <w:szCs w:val="20"/>
          <w:color w:val="auto"/>
        </w:rPr>
      </w:pPr>
      <w:r>
        <w:rPr>
          <w:rFonts w:ascii="Arial" w:cs="Arial" w:eastAsia="Arial" w:hAnsi="Arial"/>
          <w:sz w:val="16"/>
          <w:szCs w:val="16"/>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Bear, Stearns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This Lock-Up Letter Agreement is being delivered to you in connection with the proposed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xml:space="preserve">) to be entered into by and among PennantPark Investment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PennantPark Investment Advisers, LLC and PennantPark Investment Administration, LLC and you, as Representatives of the several Underwriters named therein, with respect to the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xml:space="preserve">) of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order to induce you to enter into the Underwriting Agreement, the undersigned agrees that from the date hereof until the end of a period of 180 days after the date of the final prospectus relating to the Offering the undersigned will not, without the prior written consent of each of Bear, Stearns &amp; Co. Inc., Banc of America Securities LLC, UBS Securities LLC and SunTrust Capital Markets, Inc. (the </w:t>
      </w:r>
      <w:r>
        <w:rPr>
          <w:rFonts w:ascii="Arial" w:cs="Arial" w:eastAsia="Arial" w:hAnsi="Arial"/>
          <w:sz w:val="16"/>
          <w:szCs w:val="16"/>
          <w:b w:val="1"/>
          <w:bCs w:val="1"/>
          <w:i w:val="1"/>
          <w:iCs w:val="1"/>
          <w:color w:val="auto"/>
        </w:rPr>
        <w:t>“Joint Book-Running Managers”</w:t>
      </w:r>
      <w:r>
        <w:rPr>
          <w:rFonts w:ascii="Arial" w:cs="Arial" w:eastAsia="Arial" w:hAnsi="Arial"/>
          <w:sz w:val="16"/>
          <w:szCs w:val="16"/>
          <w:color w:val="auto"/>
        </w:rPr>
        <w:t xml:space="preserve">)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 other rights to</w:t>
      </w:r>
    </w:p>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Common Stock, whether any such transaction is to be settled by delivery of Common Stock or such other securities, in cash or otherwise, or</w:t>
      </w:r>
    </w:p>
    <w:p>
      <w:pPr>
        <w:spacing w:after="0" w:line="38" w:lineRule="exact"/>
        <w:rPr>
          <w:sz w:val="20"/>
          <w:szCs w:val="20"/>
          <w:color w:val="auto"/>
        </w:rPr>
      </w:pPr>
    </w:p>
    <w:p>
      <w:pPr>
        <w:jc w:val="both"/>
        <w:ind w:right="60" w:firstLine="8"/>
        <w:spacing w:after="0" w:line="292" w:lineRule="auto"/>
        <w:tabs>
          <w:tab w:leader="none" w:pos="3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publicly announce an intention to effect any transaction specified in clause (i) 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(c) dispositions to any trust for the direct or indirect benefit of the undersigned and/or the immediate family of the undersigned, provided that such trust agrees in writing with the Underwriters to be bound by the terms of this Lock-Up Letter Agreement or (d) any issuance of Common Stock pursuant to the Company’s dividend reinvestment plan.</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180 days after the date of the final prospectus relating to the Offering, the undersigned will not, without the prior written consent of each of the Joint Book-Running Managers,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(i) the Company issues an earnings release or material news or a material event relating to the Company occurs during the last 17 days of the 180 day lock-up period, or (ii) prior to the expiration of the 180 day lock-up period, the Company announces that it will release earnings results during the 16-day period beginning on the last day of the 180 day lock-up period, the restrictions imposed by this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(i) the Company notifies you in writing that it does not intend to proceed with the Offering, (ii) the registration statement filed with the Securities and Exchange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its obligations hereunder.</w:t>
      </w: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360"/>
          </w:cols>
          <w:pgMar w:left="240" w:top="280" w:right="299" w:bottom="1440" w:gutter="0" w:footer="0" w:header="0"/>
        </w:sectPr>
      </w:pPr>
    </w:p>
    <w:bookmarkStart w:id="69" w:name="page70"/>
    <w:bookmarkEnd w:id="69"/>
    <w:p>
      <w:pPr>
        <w:jc w:val="center"/>
        <w:ind w:right="-121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177" w:lineRule="exact"/>
        <w:rPr>
          <w:sz w:val="20"/>
          <w:szCs w:val="20"/>
          <w:color w:val="auto"/>
        </w:rPr>
      </w:pPr>
    </w:p>
    <w:p>
      <w:pPr>
        <w:jc w:val="center"/>
        <w:ind w:right="-1212"/>
        <w:spacing w:after="0"/>
        <w:rPr>
          <w:sz w:val="20"/>
          <w:szCs w:val="20"/>
          <w:color w:val="auto"/>
        </w:rPr>
      </w:pPr>
      <w:r>
        <w:rPr>
          <w:rFonts w:ascii="Arial" w:cs="Arial" w:eastAsia="Arial" w:hAnsi="Arial"/>
          <w:sz w:val="16"/>
          <w:szCs w:val="16"/>
          <w:u w:val="single" w:color="auto"/>
          <w:color w:val="auto"/>
        </w:rPr>
        <w:t>List of Persons or Entities Affiliated with the Company, the Adviser and the Administrator</w:t>
      </w:r>
    </w:p>
    <w:p>
      <w:pPr>
        <w:spacing w:after="0" w:line="235"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Pennant SPV Company,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Aviv Efrat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Geoffrey S. Chang</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P. Whitridge Williams, Jr.</w:t>
      </w:r>
    </w:p>
    <w:p>
      <w:pPr>
        <w:sectPr>
          <w:pgSz w:w="11900" w:h="16838" w:orient="portrait"/>
          <w:cols w:equalWidth="0" w:num="1">
            <w:col w:w="10211"/>
          </w:cols>
          <w:pgMar w:left="248" w:top="27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Opinion of Dechert LLP</w:t>
      </w:r>
    </w:p>
    <w:p>
      <w:pPr>
        <w:spacing w:after="0" w:line="171" w:lineRule="exact"/>
        <w:rPr>
          <w:sz w:val="20"/>
          <w:szCs w:val="20"/>
          <w:color w:val="auto"/>
        </w:rPr>
      </w:pPr>
    </w:p>
    <w:p>
      <w:pPr>
        <w:ind w:left="1080" w:hanging="179"/>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our knowledge, the issuance of the Shares will not be subject to preemptive rights or rights of first refusal;</w:t>
      </w:r>
    </w:p>
    <w:p>
      <w:pPr>
        <w:spacing w:after="0" w:line="171" w:lineRule="exact"/>
        <w:rPr>
          <w:rFonts w:ascii="Arial" w:cs="Arial" w:eastAsia="Arial" w:hAnsi="Arial"/>
          <w:sz w:val="18"/>
          <w:szCs w:val="18"/>
          <w:color w:val="auto"/>
        </w:rPr>
      </w:pPr>
    </w:p>
    <w:p>
      <w:pPr>
        <w:ind w:left="-20" w:firstLine="921"/>
        <w:spacing w:after="0" w:line="306" w:lineRule="auto"/>
        <w:tabs>
          <w:tab w:leader="none" w:pos="10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the Company and the Subsidiary is duly qualified to do business as a foreign corporation or limited liability company, as applicable,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w:t>
      </w:r>
    </w:p>
    <w:p>
      <w:pPr>
        <w:spacing w:after="0" w:line="106" w:lineRule="exact"/>
        <w:rPr>
          <w:rFonts w:ascii="Arial" w:cs="Arial" w:eastAsia="Arial" w:hAnsi="Arial"/>
          <w:sz w:val="16"/>
          <w:szCs w:val="16"/>
          <w:color w:val="auto"/>
        </w:rPr>
      </w:pPr>
    </w:p>
    <w:p>
      <w:pPr>
        <w:ind w:left="-20" w:right="20" w:firstLine="921"/>
        <w:spacing w:after="0" w:line="289" w:lineRule="auto"/>
        <w:tabs>
          <w:tab w:leader="none" w:pos="10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the Underwriting Agreement, the Investment Advisory Agreement and the Administration Agreement, and the issuance of the Shares will not (a) contravene any provision of the laws of the State of New York or the federal laws of the United States or, to our knowledge, any decree, judgment or order applicable to the Company pursuant to any New York State or U.S. federal statute by any court or governmental agency or body having jurisdiction over the Company, other than the securities or blue sky laws of the various states, as to which we express no opinion, or (b) conflict with, result in any breach or violation of or constitute a default under (nor constitute any event which with notice, lapse of time or both would result in any breach or violation of or constitute a default under) the limited liability company operating agreement of the Subsidiary or any of the agreements set forth on Schedule 1 attached hereto (except for such conflicts, breaches, violations or defaults as would not have a Material Adverse Effect);</w:t>
      </w:r>
    </w:p>
    <w:p>
      <w:pPr>
        <w:spacing w:after="0" w:line="118" w:lineRule="exact"/>
        <w:rPr>
          <w:rFonts w:ascii="Arial" w:cs="Arial" w:eastAsia="Arial" w:hAnsi="Arial"/>
          <w:sz w:val="16"/>
          <w:szCs w:val="16"/>
          <w:color w:val="auto"/>
        </w:rPr>
      </w:pPr>
    </w:p>
    <w:p>
      <w:pPr>
        <w:ind w:left="-20" w:right="20" w:firstLine="921"/>
        <w:spacing w:after="0" w:line="256" w:lineRule="auto"/>
        <w:tabs>
          <w:tab w:leader="none" w:pos="10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our knowledge, there are no legal or governmental proceedings pending or threatened to which the Company or the Subsidiary is a party or to which the properties of the Company or the Subsidiary are subject that are required under the Act to be described in the Registration Statement and the Prospectus and that are not so described, or which seek to restrain, enjoin, prevent the consummation of or otherwise challenge the issuance or sale of the Shares to be sold under the Underwriting Agreement;</w:t>
      </w:r>
    </w:p>
    <w:p>
      <w:pPr>
        <w:spacing w:after="0" w:line="143" w:lineRule="exact"/>
        <w:rPr>
          <w:rFonts w:ascii="Arial" w:cs="Arial" w:eastAsia="Arial" w:hAnsi="Arial"/>
          <w:sz w:val="18"/>
          <w:szCs w:val="18"/>
          <w:color w:val="auto"/>
        </w:rPr>
      </w:pPr>
    </w:p>
    <w:p>
      <w:pPr>
        <w:ind w:left="-20" w:right="120" w:firstLine="921"/>
        <w:spacing w:after="0" w:line="268"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Underwriting Agreement, the Investment Advisory Agreement and the Administration Agreement have been duly executed and delivered by the Company (to the extent that execution and delivery thereof are matters governed by New York law);</w:t>
      </w:r>
    </w:p>
    <w:p>
      <w:pPr>
        <w:spacing w:after="0" w:line="131" w:lineRule="exact"/>
        <w:rPr>
          <w:rFonts w:ascii="Arial" w:cs="Arial" w:eastAsia="Arial" w:hAnsi="Arial"/>
          <w:sz w:val="18"/>
          <w:szCs w:val="18"/>
          <w:color w:val="auto"/>
        </w:rPr>
      </w:pPr>
    </w:p>
    <w:p>
      <w:pPr>
        <w:ind w:left="-20" w:right="120" w:firstLine="921"/>
        <w:spacing w:after="0" w:line="268"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Investment Advisory Agreement contains the provisions required by Section 205 of the Investment Advisers Act, as amended (the “Advisers Act”), and Section 15 of the Investment Company Act;</w:t>
      </w:r>
    </w:p>
    <w:p>
      <w:pPr>
        <w:spacing w:after="0" w:line="131" w:lineRule="exact"/>
        <w:rPr>
          <w:rFonts w:ascii="Arial" w:cs="Arial" w:eastAsia="Arial" w:hAnsi="Arial"/>
          <w:sz w:val="18"/>
          <w:szCs w:val="18"/>
          <w:color w:val="auto"/>
        </w:rPr>
      </w:pPr>
    </w:p>
    <w:p>
      <w:pPr>
        <w:ind w:left="-20" w:right="40" w:firstLine="921"/>
        <w:spacing w:after="0" w:line="259"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our knowledge, each of the Company and the Subsidiary is not in breach or violation of, or in default under, nor has any event occurred which with notice, lapse of time, or both would result in any breach or violation of, or constitute a default under, the laws of the State of New York or the federal laws of the United States, any of the agreements set forth on Schedule 1</w:t>
      </w:r>
    </w:p>
    <w:p>
      <w:pPr>
        <w:sectPr>
          <w:pgSz w:w="11900" w:h="16838" w:orient="portrait"/>
          <w:cols w:equalWidth="0" w:num="1">
            <w:col w:w="11400"/>
          </w:cols>
          <w:pgMar w:left="260" w:top="274" w:right="239" w:bottom="1440" w:gutter="0" w:footer="0" w:header="0"/>
        </w:sectPr>
      </w:pPr>
    </w:p>
    <w:bookmarkStart w:id="71" w:name="page72"/>
    <w:bookmarkEnd w:id="71"/>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hereto or, to our knowledge, any decree, judgment or order applicable to the Company or the Subsidiary by any court or governmental agency or body having jurisdiction over the Company or the Subsidiary, as the case may be, except in each case, for any breach, violation or default which would not have a Material Adverse Effect;</w:t>
      </w:r>
    </w:p>
    <w:p>
      <w:pPr>
        <w:spacing w:after="0" w:line="140" w:lineRule="exact"/>
        <w:rPr>
          <w:sz w:val="20"/>
          <w:szCs w:val="20"/>
          <w:color w:val="auto"/>
        </w:rPr>
      </w:pPr>
    </w:p>
    <w:p>
      <w:pPr>
        <w:ind w:right="80" w:firstLine="921"/>
        <w:spacing w:after="0" w:line="259" w:lineRule="auto"/>
        <w:tabs>
          <w:tab w:leader="none" w:pos="10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our knowledge, no person has the right, pursuant to the terms of any contract, agreement or other instrument described in or filed as an exhibit to the Registration Statement or otherwise, to cause the Company to register under the Act any shares of Common Stock, or to include any such shares in the Registration Statement or the offering contemplated thereby;</w:t>
      </w:r>
    </w:p>
    <w:p>
      <w:pPr>
        <w:spacing w:after="0" w:line="140" w:lineRule="exact"/>
        <w:rPr>
          <w:rFonts w:ascii="Arial" w:cs="Arial" w:eastAsia="Arial" w:hAnsi="Arial"/>
          <w:sz w:val="18"/>
          <w:szCs w:val="18"/>
          <w:color w:val="auto"/>
        </w:rPr>
      </w:pPr>
    </w:p>
    <w:p>
      <w:pPr>
        <w:ind w:right="80" w:firstLine="921"/>
        <w:spacing w:after="0" w:line="332" w:lineRule="auto"/>
        <w:tabs>
          <w:tab w:leader="none" w:pos="10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form of certificate used to evidence the Shares complies on its face in all material respects with all applicable New York State or U.S. federal statutory requirements, if any, and with the applicable requirements of the Nasdaq Global Market tier of The Nasdaq Stock Market, Inc.;</w:t>
      </w:r>
    </w:p>
    <w:p>
      <w:pPr>
        <w:spacing w:after="0" w:line="85" w:lineRule="exact"/>
        <w:rPr>
          <w:rFonts w:ascii="Arial" w:cs="Arial" w:eastAsia="Arial" w:hAnsi="Arial"/>
          <w:sz w:val="16"/>
          <w:szCs w:val="16"/>
          <w:color w:val="auto"/>
        </w:rPr>
      </w:pPr>
    </w:p>
    <w:p>
      <w:pPr>
        <w:jc w:val="both"/>
        <w:ind w:right="80" w:firstLine="921"/>
        <w:spacing w:after="0" w:line="256" w:lineRule="auto"/>
        <w:tabs>
          <w:tab w:leader="none" w:pos="1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approval, authorization, consent or license of any New York State or U.S. federal governmental or regulatory authority or regulatory body, is required for the performance by the Company of its obligations under the Underwriting Agreement, except such as may be required by the Act, the 1940 Act, the rules of the National Association of Securities Dealers, Inc. and the securities or blue sky laws of the various states in which the Shares are being offered, as to which we express no opinion;</w:t>
      </w:r>
    </w:p>
    <w:p>
      <w:pPr>
        <w:spacing w:after="0" w:line="143" w:lineRule="exact"/>
        <w:rPr>
          <w:rFonts w:ascii="Arial" w:cs="Arial" w:eastAsia="Arial" w:hAnsi="Arial"/>
          <w:sz w:val="18"/>
          <w:szCs w:val="18"/>
          <w:color w:val="auto"/>
        </w:rPr>
      </w:pPr>
    </w:p>
    <w:p>
      <w:pPr>
        <w:ind w:right="160" w:firstLine="921"/>
        <w:spacing w:after="0" w:line="332" w:lineRule="auto"/>
        <w:tabs>
          <w:tab w:leader="none" w:pos="117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of the Company and the Subsidiary is not and, after giving effect to the offering and sale of the Shares and the application of the proceeds therefrom as described in the Prospectus, will not be required to register as an investment company under the Investment Company Act;</w:t>
      </w:r>
    </w:p>
    <w:p>
      <w:pPr>
        <w:spacing w:after="0" w:line="85" w:lineRule="exact"/>
        <w:rPr>
          <w:rFonts w:ascii="Arial" w:cs="Arial" w:eastAsia="Arial" w:hAnsi="Arial"/>
          <w:sz w:val="16"/>
          <w:szCs w:val="16"/>
          <w:color w:val="auto"/>
        </w:rPr>
      </w:pPr>
    </w:p>
    <w:p>
      <w:pPr>
        <w:ind w:firstLine="921"/>
        <w:spacing w:after="0" w:line="256" w:lineRule="auto"/>
        <w:tabs>
          <w:tab w:leader="none" w:pos="1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statements in the Pricing Prospectus and the Prospectus under the captions “Regulation,” “Certain Relationships,” “Management–Investment Management Agreement,” “Management–Administration Agreement,” “Management–License Agreement,” “Description of Our Capital Stock,” and “Underwriting,” in each case insofar as such statements constitute summaries of the legal matters, documents or proceedings referred to therein, fairly present in all material respects the information summarized therein;</w:t>
      </w:r>
    </w:p>
    <w:p>
      <w:pPr>
        <w:spacing w:after="0" w:line="143" w:lineRule="exact"/>
        <w:rPr>
          <w:rFonts w:ascii="Arial" w:cs="Arial" w:eastAsia="Arial" w:hAnsi="Arial"/>
          <w:sz w:val="18"/>
          <w:szCs w:val="18"/>
          <w:color w:val="auto"/>
        </w:rPr>
      </w:pPr>
    </w:p>
    <w:p>
      <w:pPr>
        <w:jc w:val="both"/>
        <w:ind w:right="200" w:firstLine="921"/>
        <w:spacing w:after="0" w:line="370" w:lineRule="auto"/>
        <w:tabs>
          <w:tab w:leader="none" w:pos="1176"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statements in the Prospectus under the caption “Material U.S. Federal Income Tax Considerations,” insofar as such statements constitute a summary of the U.S. federal tax laws referred to therein, are accurate and fairly summarize in all material respects the U.S. federal tax laws referred to therein;</w:t>
      </w:r>
    </w:p>
    <w:p>
      <w:pPr>
        <w:spacing w:after="0" w:line="62" w:lineRule="exact"/>
        <w:rPr>
          <w:rFonts w:ascii="Arial" w:cs="Arial" w:eastAsia="Arial" w:hAnsi="Arial"/>
          <w:sz w:val="15"/>
          <w:szCs w:val="15"/>
          <w:color w:val="auto"/>
        </w:rPr>
      </w:pPr>
    </w:p>
    <w:p>
      <w:pPr>
        <w:ind w:right="420" w:firstLine="921"/>
        <w:spacing w:after="0" w:line="259" w:lineRule="auto"/>
        <w:tabs>
          <w:tab w:leader="none" w:pos="1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Investment Advisory Agreement, the Administration Agreement and the Underwriting Agreement have been approved by the Board of Directors of the Company in accordance with the procedural requirements of Section 15 of the Investment Company Act; and the Investment Advisory Agreement has been approved by the shareholders of the Company in accordance with such requirements;</w:t>
      </w:r>
    </w:p>
    <w:p>
      <w:pPr>
        <w:sectPr>
          <w:pgSz w:w="11900" w:h="16838" w:orient="portrait"/>
          <w:cols w:equalWidth="0" w:num="1">
            <w:col w:w="11400"/>
          </w:cols>
          <w:pgMar w:left="240" w:top="280" w:right="259" w:bottom="1440" w:gutter="0" w:footer="0" w:header="0"/>
        </w:sectPr>
      </w:pPr>
    </w:p>
    <w:bookmarkStart w:id="72" w:name="page73"/>
    <w:bookmarkEnd w:id="72"/>
    <w:p>
      <w:pPr>
        <w:ind w:left="-921" w:right="140" w:firstLine="921"/>
        <w:spacing w:after="0" w:line="259"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our knowledge, there are no legal or governmental proceedings pending or threatened to which the Adviser is a party or to which the properties of the Adviser are subject that are required under the Act to be described in the Prospectus and are not so described, or which seek to restrain, enjoin, prevent the consummation of the issuance or sale of the Shares to be sold under the Underwriting Agreement;</w:t>
      </w:r>
    </w:p>
    <w:p>
      <w:pPr>
        <w:spacing w:after="0" w:line="140" w:lineRule="exact"/>
        <w:rPr>
          <w:rFonts w:ascii="Arial" w:cs="Arial" w:eastAsia="Arial" w:hAnsi="Arial"/>
          <w:sz w:val="18"/>
          <w:szCs w:val="18"/>
          <w:color w:val="auto"/>
        </w:rPr>
      </w:pPr>
    </w:p>
    <w:p>
      <w:pPr>
        <w:ind w:left="-921" w:firstLine="921"/>
        <w:spacing w:after="0" w:line="298"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to our knowledge, is not prohibited by the Advisers Act, the Investment Company Act or the applicable published rules and regulations thereunder from acting under the Investment Advisory Agreement as investment adviser to the Company, as contemplated by the Pricing Prospectus and the Prospectus; and, to our knowledge, there does not exist any proceeding pending or threatened, which could reasonably be expected to adversely affect the registration of the Adviser with the Commission;</w:t>
      </w:r>
    </w:p>
    <w:p>
      <w:pPr>
        <w:spacing w:after="0" w:line="112" w:lineRule="exact"/>
        <w:rPr>
          <w:rFonts w:ascii="Arial" w:cs="Arial" w:eastAsia="Arial" w:hAnsi="Arial"/>
          <w:sz w:val="16"/>
          <w:szCs w:val="16"/>
          <w:color w:val="auto"/>
        </w:rPr>
      </w:pPr>
    </w:p>
    <w:p>
      <w:pPr>
        <w:ind w:left="-921" w:right="40" w:firstLine="921"/>
        <w:spacing w:after="0" w:line="290"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our knowledge, the Adviser is not in breach or violation of, or in default under, nor has any event occurred which, with notice, lapse of time or both, would result in any breach or violation of, or constitute a default under or give the holder of any indebtedness (or person acting on such holder’s behalf), the right to require the repurchase, redemption or repayment of all or part of such indebtedness under, its limited liability company operating agreement or any indenture, mortgage, deed of trust, bank loan or credit agreement or other evidence of indebtedness, or any license, lease, contract or other agreement or instrument to which the Adviser is a party or by which it or its properties may be bound or affected, or under any New York State or U.S. federal law, regulation or rule or any decree, judgment or order applicable to the Adviser, except in each case for any such breach, violation or default which would not have an Adviser/Administrator Material Adverse Effect;</w:t>
      </w:r>
    </w:p>
    <w:p>
      <w:pPr>
        <w:spacing w:after="0" w:line="118" w:lineRule="exact"/>
        <w:rPr>
          <w:rFonts w:ascii="Arial" w:cs="Arial" w:eastAsia="Arial" w:hAnsi="Arial"/>
          <w:sz w:val="16"/>
          <w:szCs w:val="16"/>
          <w:color w:val="auto"/>
        </w:rPr>
      </w:pPr>
    </w:p>
    <w:p>
      <w:pPr>
        <w:ind w:left="-921" w:firstLine="921"/>
        <w:spacing w:after="0" w:line="290" w:lineRule="auto"/>
        <w:tabs>
          <w:tab w:leader="none" w:pos="2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execution, delivery and performance of the Underwriting Agreement and the Investment Advisory Agreement and consummation of the transactions contemplated thereby, will not conflict with, result in any breach or violation of or constitute a default under (nor constitute any event which with notice, lapse of time or both would result in any breach or violation of or constitute a default under), the limited liability company operating agreement of the Adviser or any indenture, mortgage, deed of trust, bank loan or credit agreement or other evidence of indebtedness, or any license, lease, contract or other agreement or instrument to which the Adviser is a party or by which it or its properties may be bound or affected, or any New York State or U.S. federal law, regulation or rule or any decree, judgment or order applicable to the Adviser, except in each case, for any such conflict, breach or violation which would not have an Adviser/Administrator Material Adverse Effect;</w:t>
      </w:r>
    </w:p>
    <w:p>
      <w:pPr>
        <w:spacing w:after="0" w:line="118" w:lineRule="exact"/>
        <w:rPr>
          <w:rFonts w:ascii="Arial" w:cs="Arial" w:eastAsia="Arial" w:hAnsi="Arial"/>
          <w:sz w:val="16"/>
          <w:szCs w:val="16"/>
          <w:color w:val="auto"/>
        </w:rPr>
      </w:pPr>
    </w:p>
    <w:p>
      <w:pPr>
        <w:jc w:val="both"/>
        <w:ind w:left="-921" w:right="60" w:firstLine="921"/>
        <w:spacing w:after="0" w:line="259"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the Adviser (to the extent that execution and delivery thereof are matters governed by the law of the State of New York), and the Investment Advisory Agreement has been duly executed and delivered by the Adviser (to the extent that execution and delivery thereof are matters governed by the law of the State of New York);</w:t>
      </w:r>
    </w:p>
    <w:p>
      <w:pPr>
        <w:sectPr>
          <w:pgSz w:w="11900" w:h="16838" w:orient="portrait"/>
          <w:cols w:equalWidth="0" w:num="1">
            <w:col w:w="10439"/>
          </w:cols>
          <w:pgMar w:left="1161" w:top="280" w:right="299" w:bottom="1440" w:gutter="0" w:footer="0" w:header="0"/>
        </w:sectPr>
      </w:pPr>
    </w:p>
    <w:bookmarkStart w:id="73" w:name="page74"/>
    <w:bookmarkEnd w:id="73"/>
    <w:p>
      <w:pPr>
        <w:ind w:left="-921" w:firstLine="921"/>
        <w:spacing w:after="0" w:line="268"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our knowledge, no further consents, authorizations, approvals or filings by the Adviser are required under any New York State or U.S. federal law, regulation or rule in order to perform its obligations under the Investment Advisory Agreement;</w:t>
      </w:r>
    </w:p>
    <w:p>
      <w:pPr>
        <w:spacing w:after="0" w:line="131" w:lineRule="exact"/>
        <w:rPr>
          <w:rFonts w:ascii="Arial" w:cs="Arial" w:eastAsia="Arial" w:hAnsi="Arial"/>
          <w:sz w:val="18"/>
          <w:szCs w:val="18"/>
          <w:color w:val="auto"/>
        </w:rPr>
      </w:pPr>
    </w:p>
    <w:p>
      <w:pPr>
        <w:ind w:left="-921" w:right="60" w:firstLine="921"/>
        <w:spacing w:after="0" w:line="290"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our knowledge, the Administrator is not in breach or violation of, or in default under, nor has any event occurred which, with notice, lapse of time or both, would result in any breach or violation of, constitute a default under or give the holder of any indebtedness (or person acting on such holder’s behalf), the right to require the repurchase, redemption or repayment of all or part of such indebtedness under, its limited liability company operating agreement or any indenture, mortgage, deed of trust, bank loan or credit agreement or other evidence of indebtedness, or any license, lease, contract or other agreement or instrument to which the Administrator is a party or by which it or its properties may be bound or affected, or under any New York State or U.S. federal law, regulation or rule or any decree, judgment or order applicable to the Adviser, except in each case for any such breach, violation or default which would not have an Adviser/Administrator Material Adverse Effect;</w:t>
      </w:r>
    </w:p>
    <w:p>
      <w:pPr>
        <w:spacing w:after="0" w:line="118" w:lineRule="exact"/>
        <w:rPr>
          <w:rFonts w:ascii="Arial" w:cs="Arial" w:eastAsia="Arial" w:hAnsi="Arial"/>
          <w:sz w:val="16"/>
          <w:szCs w:val="16"/>
          <w:color w:val="auto"/>
        </w:rPr>
      </w:pPr>
    </w:p>
    <w:p>
      <w:pPr>
        <w:ind w:left="-921" w:right="120" w:firstLine="921"/>
        <w:spacing w:after="0" w:line="290"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execution, delivery and performance of the Underwriting Agreement and the Administration Agreement and consummation of the transactions contemplated thereby, will not conflict with, result in any breach or violation of or constitute a default under (nor constitute any event which with notice, lapse of time or both would result in any breach or violation of or constitute a default under), the limited liability company operating agreement of the Administrator or any indenture, mortgage, deed of trust, bank loan or credit agreement or other evidence of indebtedness, or any license, lease, contract or other agreement or instrument to which the Administrator is a party or by which it or its properties may be bound or affected, or any New York State or U.S. federal law, regulation or rule or any decree, judgment or order applicable to the Administrator, except in each case, for any such conflict, breach or violation which would not have an Adviser/Administrator Material Adverse Effect;</w:t>
      </w:r>
    </w:p>
    <w:p>
      <w:pPr>
        <w:spacing w:after="0" w:line="118" w:lineRule="exact"/>
        <w:rPr>
          <w:rFonts w:ascii="Arial" w:cs="Arial" w:eastAsia="Arial" w:hAnsi="Arial"/>
          <w:sz w:val="16"/>
          <w:szCs w:val="16"/>
          <w:color w:val="auto"/>
        </w:rPr>
      </w:pPr>
    </w:p>
    <w:p>
      <w:pPr>
        <w:ind w:left="-921" w:right="200" w:firstLine="921"/>
        <w:spacing w:after="0" w:line="259"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the Administrator (to the extent that execution and delivery thereof are matters governed by the law of the State of New York), and the Administration Agreement has been duly executed and delivered by the Administrator (to the extent that execution and delivery thereof are matters governed by the law of the State of New York).</w:t>
      </w:r>
    </w:p>
    <w:p>
      <w:pPr>
        <w:spacing w:after="0" w:line="140" w:lineRule="exact"/>
        <w:rPr>
          <w:rFonts w:ascii="Arial" w:cs="Arial" w:eastAsia="Arial" w:hAnsi="Arial"/>
          <w:sz w:val="18"/>
          <w:szCs w:val="18"/>
          <w:color w:val="auto"/>
        </w:rPr>
      </w:pPr>
    </w:p>
    <w:p>
      <w:pPr>
        <w:ind w:left="-921" w:firstLine="921"/>
        <w:spacing w:after="0" w:line="290"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Registration Statement has become effective under the Act, and, to the best knowledge of such counsel, no stop order suspending the effectiveness of the Registration Statement has been issued and no proceedings for that purpose have been instituted or are pending or contemplated under the Act, and such counsel (A) is of the opinion that the Registration Statement, as of the Effective Date, the Pricing Prospectus together with the Pricing Information, as of the Execution Time and at the time of purchase and any additional time of purchase, and the Prospectus, as of the date of the Prospectus and at the time of purchase and any additional time of purchase (except for financial statements and schedules and other financial data included therein as to which such counsel need not express any opinion) appeared on their face to be appropriately responsive to the requirements of the Act and the applicable rules and regulations of the Commission thereunder; (B) has no reason to believe that (except for financial statements and schedules and other financial</w:t>
      </w:r>
    </w:p>
    <w:p>
      <w:pPr>
        <w:sectPr>
          <w:pgSz w:w="11900" w:h="16838" w:orient="portrait"/>
          <w:cols w:equalWidth="0" w:num="1">
            <w:col w:w="10439"/>
          </w:cols>
          <w:pgMar w:left="1161" w:top="280" w:right="299" w:bottom="1440" w:gutter="0" w:footer="0" w:header="0"/>
        </w:sectPr>
      </w:pPr>
    </w:p>
    <w:bookmarkStart w:id="74" w:name="page75"/>
    <w:bookmarkEnd w:id="7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data as to which such counsel need not express any belief) the Registration Statement, as of the Effective Date, contained any untrue statement of a material fact or omitted to state a material fact required to be stated therein or necessary to make the statements therein, in light of the circumstances under which they were made, not misleading; and (C) has no reason to believe that (except for financial statements and schedules and other financial data as to which such counsel need not express any belief) the Pricing Prospectus together with the Pricing Information, as of the Execution Time and at the time of purchase and any additional time of purchase, or the Prospectus, as of the date of the Prospectus and at the time of purchase and any additional time of purchase, contained any untrue statement of a material fact or omits to state a material fact necessary in order to make the statements therein, in light of the circumstances under which they were made, not misleading. For purposes of this paragraph 22, the term “Effective Date” shall mean each date and time that the Registration Statement and any post-effective amendment or amendments thereto became or become effective.</w:t>
      </w:r>
    </w:p>
    <w:p>
      <w:pPr>
        <w:sectPr>
          <w:pgSz w:w="11900" w:h="16838" w:orient="portrait"/>
          <w:cols w:equalWidth="0" w:num="1">
            <w:col w:w="11360"/>
          </w:cols>
          <w:pgMar w:left="240" w:top="280" w:right="29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Opinion of Venable LLP</w:t>
      </w:r>
    </w:p>
    <w:p>
      <w:pPr>
        <w:spacing w:after="0" w:line="171" w:lineRule="exact"/>
        <w:rPr>
          <w:sz w:val="20"/>
          <w:szCs w:val="20"/>
          <w:color w:val="auto"/>
        </w:rPr>
      </w:pPr>
    </w:p>
    <w:p>
      <w:pPr>
        <w:ind w:left="-20" w:right="20" w:firstLine="921"/>
        <w:spacing w:after="0" w:line="298" w:lineRule="auto"/>
        <w:tabs>
          <w:tab w:leader="none" w:pos="10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 State Department of Assessments and Taxation of Maryland. The Company has the corporate power to own, lease and operate its property or assets, to conduct its business as described in the Registration Statement, the Pricing Prospectus and the Prospectus under the caption “Business,” to execute and deliver the Company Agreements and to sell, issue and deliver the Shares as contemplated by the Underwriting Agreement.</w:t>
      </w:r>
    </w:p>
    <w:p>
      <w:pPr>
        <w:spacing w:after="0" w:line="112" w:lineRule="exact"/>
        <w:rPr>
          <w:rFonts w:ascii="Arial" w:cs="Arial" w:eastAsia="Arial" w:hAnsi="Arial"/>
          <w:sz w:val="16"/>
          <w:szCs w:val="16"/>
          <w:color w:val="auto"/>
        </w:rPr>
      </w:pPr>
    </w:p>
    <w:p>
      <w:pPr>
        <w:jc w:val="both"/>
        <w:ind w:left="-20" w:right="200" w:firstLine="921"/>
        <w:spacing w:after="0" w:line="259" w:lineRule="auto"/>
        <w:tabs>
          <w:tab w:leader="none" w:pos="10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sale and issuance of the Shares have been duly authorized and, when issued and delivered in accordance with the terms of the Underwriting Agreement, the Shares will be validly issued, fully paid and nonassessable. The issuance of the Shares is not subject to preemptive rights or other similar rights under the Maryland General Corporation Law (“MGCL”), the Charter or the Bylaws.</w:t>
      </w:r>
    </w:p>
    <w:p>
      <w:pPr>
        <w:spacing w:after="0" w:line="140" w:lineRule="exact"/>
        <w:rPr>
          <w:rFonts w:ascii="Arial" w:cs="Arial" w:eastAsia="Arial" w:hAnsi="Arial"/>
          <w:sz w:val="18"/>
          <w:szCs w:val="18"/>
          <w:color w:val="auto"/>
        </w:rPr>
      </w:pPr>
    </w:p>
    <w:p>
      <w:pPr>
        <w:ind w:left="-20" w:right="340" w:firstLine="921"/>
        <w:spacing w:after="0" w:line="332" w:lineRule="auto"/>
        <w:tabs>
          <w:tab w:leader="none" w:pos="10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execution and delivery of each of the Company Agreements have been duly authorized by all necessary corporate action of the Company. Each of the Company Agreements has been duly executed and, so far as is known to such counsel, delivered by the Company.</w:t>
      </w:r>
    </w:p>
    <w:p>
      <w:pPr>
        <w:spacing w:after="0" w:line="85" w:lineRule="exact"/>
        <w:rPr>
          <w:rFonts w:ascii="Arial" w:cs="Arial" w:eastAsia="Arial" w:hAnsi="Arial"/>
          <w:sz w:val="16"/>
          <w:szCs w:val="16"/>
          <w:color w:val="auto"/>
        </w:rPr>
      </w:pPr>
    </w:p>
    <w:p>
      <w:pPr>
        <w:ind w:left="-20" w:firstLine="921"/>
        <w:spacing w:after="0" w:line="256" w:lineRule="auto"/>
        <w:tabs>
          <w:tab w:leader="none" w:pos="10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Prospectus and the Prospectus under the captions “Description of Our Capital Stock” and “Risk Factors – Risks Related to Our Investments – Provisions of the Maryland General Corporation Law and of our charter and bylaws could deter takeover attempts and have an adverse impact on the price of our common stock,” in each case insofar as such statements purport to summarize certain provisions of Maryland law, the Charter or the Bylaws, are accurate in all material respects.</w:t>
      </w:r>
    </w:p>
    <w:p>
      <w:pPr>
        <w:spacing w:after="0" w:line="143" w:lineRule="exact"/>
        <w:rPr>
          <w:rFonts w:ascii="Arial" w:cs="Arial" w:eastAsia="Arial" w:hAnsi="Arial"/>
          <w:sz w:val="18"/>
          <w:szCs w:val="18"/>
          <w:color w:val="auto"/>
        </w:rPr>
      </w:pPr>
    </w:p>
    <w:p>
      <w:pPr>
        <w:ind w:left="-20" w:right="20" w:firstLine="921"/>
        <w:spacing w:after="0" w:line="298" w:lineRule="auto"/>
        <w:tabs>
          <w:tab w:leader="none" w:pos="10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the Company Agreements, the sale and issuance of the Shares and the consummation of the other transactions contemplated by the Company Agreements will not conflict with or violate the Charter or Bylaws or any Maryland law or regulation, or, so far as is known to such counsel, any order or decree of any Maryland governmental authority applicable to the Company (other than any law, regulation, order or decree in connection with the securities laws of the State of Maryland, as to which no opinion is hereby expressed).</w:t>
      </w:r>
    </w:p>
    <w:p>
      <w:pPr>
        <w:spacing w:after="0" w:line="112" w:lineRule="exact"/>
        <w:rPr>
          <w:rFonts w:ascii="Arial" w:cs="Arial" w:eastAsia="Arial" w:hAnsi="Arial"/>
          <w:sz w:val="16"/>
          <w:szCs w:val="16"/>
          <w:color w:val="auto"/>
        </w:rPr>
      </w:pPr>
    </w:p>
    <w:p>
      <w:pPr>
        <w:ind w:left="-20" w:right="520" w:firstLine="921"/>
        <w:spacing w:after="0" w:line="268" w:lineRule="auto"/>
        <w:tabs>
          <w:tab w:leader="none" w:pos="10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Common Stock conforms as to legal matters in all material respects to the description thereof in the Registration Statement, the Pricing Prospectus and the Prospectus under the caption “Description of Our Capital Stock.”</w:t>
      </w:r>
    </w:p>
    <w:p>
      <w:pPr>
        <w:spacing w:after="0" w:line="131" w:lineRule="exact"/>
        <w:rPr>
          <w:rFonts w:ascii="Arial" w:cs="Arial" w:eastAsia="Arial" w:hAnsi="Arial"/>
          <w:sz w:val="18"/>
          <w:szCs w:val="18"/>
          <w:color w:val="auto"/>
        </w:rPr>
      </w:pPr>
    </w:p>
    <w:p>
      <w:pPr>
        <w:ind w:left="-20" w:right="20" w:firstLine="921"/>
        <w:spacing w:after="0" w:line="332" w:lineRule="auto"/>
        <w:tabs>
          <w:tab w:leader="none" w:pos="10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has authority to issue the number of shares of Common Stock set forth in the Registration Statement, the Pricing Prospectus and the Prospectus under the caption “Capitalization.” The shares of Common Stock of the Company issued and outstanding as of the date</w:t>
      </w:r>
    </w:p>
    <w:p>
      <w:pPr>
        <w:sectPr>
          <w:pgSz w:w="11900" w:h="16838" w:orient="portrait"/>
          <w:cols w:equalWidth="0" w:num="1">
            <w:col w:w="11400"/>
          </w:cols>
          <w:pgMar w:left="260" w:top="274" w:right="239" w:bottom="1440" w:gutter="0" w:footer="0" w:header="0"/>
        </w:sectPr>
      </w:pPr>
    </w:p>
    <w:bookmarkStart w:id="76" w:name="page77"/>
    <w:bookmarkEnd w:id="7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hereof (immediately prior to the issuance of the Shares) have been duly authorized and validly issued and are fully paid and nonassessable and are not subject to preemptive rights or other similar rights under the MGCL, the Charter or the Bylaws.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 The form of certificate representing shares of Common Stock complies with the applicable requirements of the MGCL, the Charter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pacing w:after="0" w:line="165" w:lineRule="exact"/>
        <w:rPr>
          <w:sz w:val="20"/>
          <w:szCs w:val="20"/>
          <w:color w:val="auto"/>
        </w:rPr>
      </w:pPr>
    </w:p>
    <w:p>
      <w:pPr>
        <w:ind w:right="140" w:firstLine="921"/>
        <w:spacing w:after="0" w:line="268" w:lineRule="auto"/>
        <w:tabs>
          <w:tab w:leader="none" w:pos="10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personal liability will attach under the laws of the State of Maryland, the Company’s state of incorporation, to holders of the Shares for any debt or obligation of the Company solely as a result of their status as stockholders of the Company.</w:t>
      </w:r>
    </w:p>
    <w:p>
      <w:pPr>
        <w:sectPr>
          <w:pgSz w:w="11900" w:h="16838" w:orient="portrait"/>
          <w:cols w:equalWidth="0" w:num="1">
            <w:col w:w="11280"/>
          </w:cols>
          <w:pgMar w:left="240" w:top="280" w:right="3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Opinion of Dechert LLP</w:t>
      </w:r>
    </w:p>
    <w:p>
      <w:pPr>
        <w:spacing w:after="0" w:line="171" w:lineRule="exact"/>
        <w:rPr>
          <w:sz w:val="20"/>
          <w:szCs w:val="20"/>
          <w:color w:val="auto"/>
        </w:rPr>
      </w:pPr>
    </w:p>
    <w:p>
      <w:pPr>
        <w:ind w:right="20" w:firstLine="921"/>
        <w:spacing w:after="0" w:line="306" w:lineRule="auto"/>
        <w:tabs>
          <w:tab w:leader="none" w:pos="10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Subsidiary has been duly formed and is validly existing as a Delaware limited liability company in good standing under the laws of Delaware, and is duly qualified and authorized to do business as a foreign limited liability company in New York. The Adviser has limited liability company power and authority to conduct its business as described in the Registration Statement, the Pricing Prospectus and the Prospectus.</w:t>
      </w:r>
    </w:p>
    <w:p>
      <w:pPr>
        <w:spacing w:after="0" w:line="106" w:lineRule="exact"/>
        <w:rPr>
          <w:rFonts w:ascii="Arial" w:cs="Arial" w:eastAsia="Arial" w:hAnsi="Arial"/>
          <w:sz w:val="16"/>
          <w:szCs w:val="16"/>
          <w:color w:val="auto"/>
        </w:rPr>
      </w:pPr>
    </w:p>
    <w:p>
      <w:pPr>
        <w:ind w:firstLine="921"/>
        <w:spacing w:after="0" w:line="256"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Adviser has been duly formed and is validly existing as a Delaware limited liability company in good standing under the laws of Delaware, and is duly qualified and authorized to do business as a foreign limited liability company in New York. The Adviser has limited liability company power and authority to conduct its business as described in the Registration Statement, the Pricing Prospectus and the Prospectus and to execute and deliver the Underwriting Agreement and the Investment Advisory Agreement.</w:t>
      </w:r>
    </w:p>
    <w:p>
      <w:pPr>
        <w:spacing w:after="0" w:line="143" w:lineRule="exact"/>
        <w:rPr>
          <w:rFonts w:ascii="Arial" w:cs="Arial" w:eastAsia="Arial" w:hAnsi="Arial"/>
          <w:sz w:val="18"/>
          <w:szCs w:val="18"/>
          <w:color w:val="auto"/>
        </w:rPr>
      </w:pPr>
    </w:p>
    <w:p>
      <w:pPr>
        <w:ind w:right="60" w:firstLine="921"/>
        <w:spacing w:after="0" w:line="268"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and the Investment Advisory Agreement by the Adviser have been duly authorized by all necessary limited liability company action on the part of the Adviser.</w:t>
      </w:r>
    </w:p>
    <w:p>
      <w:pPr>
        <w:spacing w:after="0" w:line="131" w:lineRule="exact"/>
        <w:rPr>
          <w:rFonts w:ascii="Arial" w:cs="Arial" w:eastAsia="Arial" w:hAnsi="Arial"/>
          <w:sz w:val="18"/>
          <w:szCs w:val="18"/>
          <w:color w:val="auto"/>
        </w:rPr>
      </w:pPr>
    </w:p>
    <w:p>
      <w:pPr>
        <w:ind w:right="320" w:firstLine="921"/>
        <w:spacing w:after="0" w:line="256"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Administrator has been duly formed and is validly existing as a Delaware limited liability company in good standing under the laws of Delaware, and is duly qualified and authorized to do business as a foreign limited liability company in New York. The Administrator has limited liability company power and authority to conduct its business as described in the Registration Statement, the Pricing Prospectus and the Prospectus and to execute and deliver the Underwriting Agreement and the Administration Agreement.</w:t>
      </w:r>
    </w:p>
    <w:p>
      <w:pPr>
        <w:spacing w:after="0" w:line="143" w:lineRule="exact"/>
        <w:rPr>
          <w:rFonts w:ascii="Arial" w:cs="Arial" w:eastAsia="Arial" w:hAnsi="Arial"/>
          <w:sz w:val="18"/>
          <w:szCs w:val="18"/>
          <w:color w:val="auto"/>
        </w:rPr>
      </w:pPr>
    </w:p>
    <w:p>
      <w:pPr>
        <w:ind w:right="40" w:firstLine="921"/>
        <w:spacing w:after="0" w:line="268"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and the Administration Agreement by the Administrator have been duly authorized by all necessary limited liability company action on the part of the Administrator.</w:t>
      </w:r>
    </w:p>
    <w:p>
      <w:pPr>
        <w:sectPr>
          <w:pgSz w:w="11900" w:h="16838" w:orient="portrait"/>
          <w:cols w:equalWidth="0" w:num="1">
            <w:col w:w="11420"/>
          </w:cols>
          <w:pgMar w:left="240" w:top="274" w:right="239" w:bottom="1440" w:gutter="0" w:footer="0" w:header="0"/>
        </w:sectPr>
      </w:pPr>
    </w:p>
    <w:bookmarkStart w:id="78" w:name="page79"/>
    <w:bookmarkEnd w:id="78"/>
    <w:p>
      <w:pPr>
        <w:jc w:val="center"/>
        <w:ind w:right="-1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77" w:lineRule="exact"/>
        <w:rPr>
          <w:sz w:val="20"/>
          <w:szCs w:val="20"/>
          <w:color w:val="auto"/>
        </w:rPr>
      </w:pPr>
    </w:p>
    <w:p>
      <w:pPr>
        <w:jc w:val="center"/>
        <w:ind w:right="-111"/>
        <w:spacing w:after="0"/>
        <w:rPr>
          <w:sz w:val="20"/>
          <w:szCs w:val="20"/>
          <w:color w:val="auto"/>
        </w:rPr>
      </w:pPr>
      <w:r>
        <w:rPr>
          <w:rFonts w:ascii="Arial" w:cs="Arial" w:eastAsia="Arial" w:hAnsi="Arial"/>
          <w:sz w:val="18"/>
          <w:szCs w:val="18"/>
          <w:u w:val="single" w:color="auto"/>
          <w:color w:val="auto"/>
        </w:rPr>
        <w:t>Form of Certificate Required by Section 7(h)</w:t>
      </w:r>
    </w:p>
    <w:p>
      <w:pPr>
        <w:spacing w:after="0" w:line="212" w:lineRule="exact"/>
        <w:rPr>
          <w:sz w:val="20"/>
          <w:szCs w:val="20"/>
          <w:color w:val="auto"/>
        </w:rPr>
      </w:pPr>
    </w:p>
    <w:p>
      <w:pPr>
        <w:ind w:left="452" w:hanging="452"/>
        <w:spacing w:after="0"/>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this Agreement are true and correct as of the time of purchase and, if applicable, the additional time of purchase.</w:t>
      </w:r>
    </w:p>
    <w:p>
      <w:pPr>
        <w:spacing w:after="0" w:line="50"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this Agreement as are to be performed at or before the time of purchase and at or before the additional time of purchase, as the case may be.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conditions set forth in paragraphs (e), (f) and (g) of Section 7 of this Agreement have been met.</w:t>
      </w:r>
    </w:p>
    <w:p>
      <w:pPr>
        <w:spacing w:after="0" w:line="9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1312"/>
          </w:cols>
          <w:pgMar w:left="248" w:top="274"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Certificate of Arthur H. Penn</w:t>
      </w:r>
    </w:p>
    <w:p>
      <w:pPr>
        <w:spacing w:after="0" w:line="171" w:lineRule="exact"/>
        <w:rPr>
          <w:sz w:val="20"/>
          <w:szCs w:val="20"/>
          <w:color w:val="auto"/>
        </w:rPr>
      </w:pPr>
    </w:p>
    <w:p>
      <w:pPr>
        <w:ind w:left="-240" w:firstLine="464"/>
        <w:spacing w:after="0" w:line="256" w:lineRule="auto"/>
        <w:tabs>
          <w:tab w:leader="none" w:pos="3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pertaining to my business and financial experience, including but not limited to the information appearing under the caption “About PennantPark Investment Advisers,” contained in the Registration Statement, the Pricing Prospectus and the Prospectus, does not contain an untrue statement of material fact or omit to state a material fact required to be stated therein or necessary to make the statements therein, in light of the circumstances under which they were made, not misleading.</w:t>
      </w:r>
    </w:p>
    <w:p>
      <w:pPr>
        <w:sectPr>
          <w:pgSz w:w="11900" w:h="16838" w:orient="portrait"/>
          <w:cols w:equalWidth="0" w:num="1">
            <w:col w:w="10940"/>
          </w:cols>
          <w:pgMar w:left="480" w:top="274" w:right="4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Pricing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154305</wp:posOffset>
            </wp:positionV>
            <wp:extent cx="3618865"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445770"/>
                    </a:xfrm>
                    <a:prstGeom prst="rect">
                      <a:avLst/>
                    </a:prstGeom>
                    <a:noFill/>
                  </pic:spPr>
                </pic:pic>
              </a:graphicData>
            </a:graphic>
          </wp:anchor>
        </w:drawing>
      </w:r>
    </w:p>
    <w:p>
      <w:pPr>
        <w:spacing w:after="0" w:line="22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Public Offering Price:</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Number of Firm Shares:</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Number of Additional Shares:</w:t>
      </w:r>
    </w:p>
    <w:p>
      <w:pPr>
        <w:sectPr>
          <w:pgSz w:w="11900" w:h="16838" w:orient="portrait"/>
          <w:cols w:equalWidth="0" w:num="1">
            <w:col w:w="9019"/>
          </w:cols>
          <w:pgMar w:left="1440" w:top="274" w:right="1440" w:bottom="1440" w:gutter="0" w:footer="0" w:header="0"/>
        </w:sectPr>
      </w:pPr>
    </w:p>
    <w:bookmarkStart w:id="81" w:name="page82"/>
    <w:bookmarkEnd w:id="81"/>
    <w:tbl>
      <w:tblPr>
        <w:tblLayout w:type="fixed"/>
        <w:tblInd w:w="46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120" w:type="dxa"/>
            <w:vAlign w:val="bottom"/>
          </w:tcPr>
          <w:p>
            <w:pPr>
              <w:ind w:left="3340"/>
              <w:spacing w:after="0"/>
              <w:rPr>
                <w:sz w:val="20"/>
                <w:szCs w:val="20"/>
                <w:color w:val="auto"/>
              </w:rPr>
            </w:pPr>
            <w:r>
              <w:rPr>
                <w:rFonts w:ascii="Arial" w:cs="Arial" w:eastAsia="Arial" w:hAnsi="Arial"/>
                <w:sz w:val="18"/>
                <w:szCs w:val="18"/>
                <w:b w:val="1"/>
                <w:bCs w:val="1"/>
                <w:color w:val="auto"/>
                <w:w w:val="92"/>
              </w:rPr>
              <w:t>Exhibit (j)</w:t>
            </w:r>
          </w:p>
        </w:tc>
      </w:tr>
      <w:tr>
        <w:trPr>
          <w:trHeight w:val="340"/>
        </w:trPr>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CUSTODIAN SERVICES AGREEMENT</w:t>
            </w:r>
          </w:p>
        </w:tc>
        <w:tc>
          <w:tcPr>
            <w:tcW w:w="4120" w:type="dxa"/>
            <w:vAlign w:val="bottom"/>
          </w:tcPr>
          <w:p>
            <w:pPr>
              <w:spacing w:after="0"/>
              <w:rPr>
                <w:sz w:val="24"/>
                <w:szCs w:val="24"/>
                <w:color w:val="auto"/>
              </w:rPr>
            </w:pPr>
          </w:p>
        </w:tc>
      </w:tr>
      <w:tr>
        <w:trPr>
          <w:trHeight w:val="358"/>
        </w:trPr>
        <w:tc>
          <w:tcPr>
            <w:tcW w:w="2940" w:type="dxa"/>
            <w:vAlign w:val="bottom"/>
          </w:tcPr>
          <w:p>
            <w:pPr>
              <w:spacing w:after="0"/>
              <w:rPr>
                <w:sz w:val="20"/>
                <w:szCs w:val="20"/>
                <w:color w:val="auto"/>
              </w:rPr>
            </w:pPr>
            <w:r>
              <w:rPr>
                <w:rFonts w:ascii="Arial" w:cs="Arial" w:eastAsia="Arial" w:hAnsi="Arial"/>
                <w:sz w:val="18"/>
                <w:szCs w:val="18"/>
                <w:color w:val="auto"/>
                <w:w w:val="93"/>
              </w:rPr>
              <w:t>THIS AGREEMENT is made as of April</w:t>
            </w:r>
          </w:p>
        </w:tc>
        <w:tc>
          <w:tcPr>
            <w:tcW w:w="540" w:type="dxa"/>
            <w:vAlign w:val="bottom"/>
            <w:tcBorders>
              <w:bottom w:val="single" w:sz="8" w:color="auto"/>
            </w:tcBorders>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w w:val="91"/>
              </w:rPr>
              <w:t>, 2007 by and between PFPC TRUST COMPANY, a limited purpose trust company incorporated under</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laws of Delaware (“PFPC Trust”) and PENNANTPARK INVESTMENT CORPORATION, a Maryland corporation (the “Fund”).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is a closed-end company that intends to file an election to be treated as a business development company under the Investment Company Act of 1940, as amended (the “1940 Act”); and</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WHEREAS, the Fund wishes to retain PFPC Trust to provide custodian services, and PFPC Trust wishes to furnish custodian services, either directly or through an affiliate or affiliates, as more fully described herein.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contained, and intending to be legally bound hereby, the parties hereto agree as follows:</w:t>
      </w:r>
    </w:p>
    <w:p>
      <w:pPr>
        <w:spacing w:after="0" w:line="16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“1933 Act”</w:t>
      </w:r>
      <w:r>
        <w:rPr>
          <w:rFonts w:ascii="Arial" w:cs="Arial" w:eastAsia="Arial" w:hAnsi="Arial"/>
          <w:sz w:val="18"/>
          <w:szCs w:val="18"/>
          <w:color w:val="auto"/>
        </w:rPr>
        <w:t xml:space="preserve"> means the Securities Act of 1933, as amended.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“1934 Act”</w:t>
      </w:r>
      <w:r>
        <w:rPr>
          <w:rFonts w:ascii="Arial" w:cs="Arial" w:eastAsia="Arial" w:hAnsi="Arial"/>
          <w:sz w:val="18"/>
          <w:szCs w:val="18"/>
          <w:color w:val="auto"/>
        </w:rPr>
        <w:t xml:space="preserve"> means the Securities Exchange Act of 1934, as amended.</w:t>
      </w:r>
    </w:p>
    <w:p>
      <w:pPr>
        <w:spacing w:after="0" w:line="90" w:lineRule="exact"/>
        <w:rPr>
          <w:rFonts w:ascii="Arial" w:cs="Arial" w:eastAsia="Arial" w:hAnsi="Arial"/>
          <w:sz w:val="18"/>
          <w:szCs w:val="18"/>
          <w:color w:val="auto"/>
        </w:rPr>
      </w:pPr>
    </w:p>
    <w:p>
      <w:pPr>
        <w:jc w:val="both"/>
        <w:ind w:left="900" w:right="60" w:hanging="446"/>
        <w:spacing w:after="0" w:line="332"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“Authorized Person”</w:t>
      </w:r>
      <w:r>
        <w:rPr>
          <w:rFonts w:ascii="Arial" w:cs="Arial" w:eastAsia="Arial" w:hAnsi="Arial"/>
          <w:sz w:val="16"/>
          <w:szCs w:val="16"/>
          <w:color w:val="auto"/>
        </w:rPr>
        <w:t xml:space="preserve"> means any officer of the Fund and any other person authorized by the Fund to give Oral or Written Instructions on behalf of the Fund. An Authorized Person’s scope of authority may be limited by setting forth such limitation in a written document signed by both parties hereto.</w:t>
      </w:r>
    </w:p>
    <w:p>
      <w:pPr>
        <w:sectPr>
          <w:pgSz w:w="11900" w:h="16838" w:orient="portrait"/>
          <w:cols w:equalWidth="0" w:num="1">
            <w:col w:w="11420"/>
          </w:cols>
          <w:pgMar w:left="240" w:top="125" w:right="239" w:bottom="1440" w:gutter="0" w:footer="0" w:header="0"/>
        </w:sectPr>
      </w:pPr>
    </w:p>
    <w:bookmarkStart w:id="82" w:name="page83"/>
    <w:bookmarkEnd w:id="82"/>
    <w:p>
      <w:pPr>
        <w:ind w:left="446" w:right="380" w:hanging="446"/>
        <w:spacing w:after="0" w:line="332" w:lineRule="auto"/>
        <w:tabs>
          <w:tab w:leader="none" w:pos="44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“Book-Entry System”</w:t>
      </w:r>
      <w:r>
        <w:rPr>
          <w:rFonts w:ascii="Arial" w:cs="Arial" w:eastAsia="Arial" w:hAnsi="Arial"/>
          <w:sz w:val="16"/>
          <w:szCs w:val="16"/>
          <w:color w:val="auto"/>
        </w:rPr>
        <w:t xml:space="preserve"> means the Federal Reserve Treasury book-entry system for United States and federal agency securities, its successor or successors, and its nominee or nominees and any book-entry system registered with the SEC under the 1934 Act.</w:t>
      </w:r>
    </w:p>
    <w:p>
      <w:pPr>
        <w:spacing w:after="0" w:line="4" w:lineRule="exact"/>
        <w:rPr>
          <w:rFonts w:ascii="Arial" w:cs="Arial" w:eastAsia="Arial" w:hAnsi="Arial"/>
          <w:sz w:val="16"/>
          <w:szCs w:val="16"/>
          <w:color w:val="auto"/>
        </w:rPr>
      </w:pPr>
    </w:p>
    <w:p>
      <w:pPr>
        <w:ind w:left="446" w:right="40" w:hanging="446"/>
        <w:spacing w:after="0" w:line="259" w:lineRule="auto"/>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a change in ownership or control (not including transactions between wholly-owned direct or indirect subsidiaries of a common parent) of 25% or more of the beneficial ownership of the shares of common stock or shares of beneficial interest of an entity or its parent(s).</w:t>
      </w:r>
    </w:p>
    <w:p>
      <w:pPr>
        <w:spacing w:after="0" w:line="59"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“Oral Instructions”</w:t>
      </w:r>
      <w:r>
        <w:rPr>
          <w:rFonts w:ascii="Arial" w:cs="Arial" w:eastAsia="Arial" w:hAnsi="Arial"/>
          <w:sz w:val="18"/>
          <w:szCs w:val="18"/>
          <w:color w:val="auto"/>
        </w:rPr>
        <w:t xml:space="preserve"> mean oral instructions received by PFPC Trust from an Authorized Person or from a person reasonably believed by PFPC Trust to be an Authorized Person. PFPC Trust may, in its sole discretion in each separate instance, consider and rely upon instructions it receives from an Authorized Person via electronic mail as Oral Instructions.</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“PFPC Trust”</w:t>
      </w:r>
      <w:r>
        <w:rPr>
          <w:rFonts w:ascii="Arial" w:cs="Arial" w:eastAsia="Arial" w:hAnsi="Arial"/>
          <w:sz w:val="18"/>
          <w:szCs w:val="18"/>
          <w:color w:val="auto"/>
        </w:rPr>
        <w:t xml:space="preserve"> means PFPC Trust Company or a subsidiary or affiliate of PFPC Trust Company.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xml:space="preserve"> means the Securities and Exchange Commission.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xml:space="preserve"> mean the 1933 Act, the 1934 Act and the 1940 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 the shares of beneficial interest of any series or class of the Fund.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means:</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and all securities and other investment items which the Fund may from time to time deposit, or cause to be deposited, with PFPC Trust or which PFPC Trust may from time to time hold for the Fund;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income in respect of any of such securities or other investment items;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proceeds of the sale of any of such securities or investment items; and</w:t>
      </w:r>
    </w:p>
    <w:p>
      <w:pPr>
        <w:spacing w:after="0" w:line="158"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6"/>
          </w:cols>
          <w:pgMar w:left="694" w:top="280" w:right="419" w:bottom="1440" w:gutter="0" w:footer="0" w:header="0"/>
        </w:sectPr>
      </w:pPr>
    </w:p>
    <w:bookmarkStart w:id="83" w:name="page84"/>
    <w:bookmarkEnd w:id="83"/>
    <w:p>
      <w:pPr>
        <w:ind w:left="1472" w:hanging="567"/>
        <w:spacing w:after="0"/>
        <w:tabs>
          <w:tab w:leader="none" w:pos="1472" w:val="left"/>
        </w:tabs>
        <w:numPr>
          <w:ilvl w:val="2"/>
          <w:numId w:val="7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proceeds of the sale of securities issued by the Fund, which are received by PFPC Trust from time to time, from or on behalf of the Fund.</w:t>
      </w:r>
    </w:p>
    <w:p>
      <w:pPr>
        <w:spacing w:after="0" w:line="124" w:lineRule="exact"/>
        <w:rPr>
          <w:rFonts w:ascii="Arial" w:cs="Arial" w:eastAsia="Arial" w:hAnsi="Arial"/>
          <w:sz w:val="15"/>
          <w:szCs w:val="15"/>
          <w:color w:val="auto"/>
        </w:rPr>
      </w:pPr>
    </w:p>
    <w:p>
      <w:pPr>
        <w:ind w:left="892" w:right="40" w:hanging="446"/>
        <w:spacing w:after="0" w:line="256" w:lineRule="auto"/>
        <w:tabs>
          <w:tab w:leader="none" w:pos="89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“Written Instructions”</w:t>
      </w:r>
      <w:r>
        <w:rPr>
          <w:rFonts w:ascii="Arial" w:cs="Arial" w:eastAsia="Arial" w:hAnsi="Arial"/>
          <w:sz w:val="18"/>
          <w:szCs w:val="18"/>
          <w:color w:val="auto"/>
        </w:rPr>
        <w:t xml:space="preserve"> mean (i) written instructions signed by two Authorized Persons (or persons reasonably believed by PFPC Trust to be Authorized Persons) and received by PFPC Trust or (ii) trade instructions transmitted by means of an electronic transaction reporting system which requires the use of a password or other authorized identifier in order to gain access. The instructions may be delivered electronically (with respect to sub-item (ii) above) or by hand, mail or facsimile sending device.</w:t>
      </w:r>
    </w:p>
    <w:p>
      <w:pPr>
        <w:spacing w:after="0" w:line="177" w:lineRule="exact"/>
        <w:rPr>
          <w:rFonts w:ascii="Arial" w:cs="Arial" w:eastAsia="Arial" w:hAnsi="Arial"/>
          <w:sz w:val="18"/>
          <w:szCs w:val="18"/>
          <w:color w:val="auto"/>
        </w:rPr>
      </w:pPr>
    </w:p>
    <w:p>
      <w:pPr>
        <w:jc w:val="both"/>
        <w:ind w:left="452" w:right="760" w:hanging="452"/>
        <w:spacing w:after="0" w:line="310" w:lineRule="auto"/>
        <w:tabs>
          <w:tab w:leader="none" w:pos="452"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Fund hereby appoints PFPC Trust to provide custodian services to the Fund as set forth herein and PFPC Trust accepts such</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and agrees to furnish such services. PFPC Trust shall be under no duty to take any action hereunder on behalf of the Fund except as specifically set forth herein or as may be specifically agreed to by PFPC Trust and the Fund in a written amendment hereto.</w:t>
      </w:r>
    </w:p>
    <w:p>
      <w:pPr>
        <w:spacing w:after="0" w:line="137" w:lineRule="exact"/>
        <w:rPr>
          <w:rFonts w:ascii="Arial" w:cs="Arial" w:eastAsia="Arial" w:hAnsi="Arial"/>
          <w:sz w:val="16"/>
          <w:szCs w:val="16"/>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Unless otherwise provided in this Agreement, PFPC Trust shall act only upon Oral Instructions or Written Instructions.</w:t>
      </w:r>
    </w:p>
    <w:p>
      <w:pPr>
        <w:spacing w:after="0" w:line="90"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PFPC Trust shall be entitled to rely upon any Oral Instruction or Written Instruction it receives pursuant to this Agreement. PFPC Trust may assume that any Oral Instructions or Written Instructions received hereunder are not in any way inconsistent with the provisions of organizational documents of the Fund or of any vote, resolution or proceeding of the Fund’s Board of Directors or of the Fund’s shareholders, unless and until PFPC Trust receives Written Instructions to the contrary.</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80" w:right="299" w:bottom="1440" w:gutter="0" w:footer="0" w:header="0"/>
        </w:sectPr>
      </w:pPr>
    </w:p>
    <w:bookmarkStart w:id="84" w:name="page85"/>
    <w:bookmarkEnd w:id="84"/>
    <w:p>
      <w:pPr>
        <w:ind w:left="892" w:hanging="446"/>
        <w:spacing w:after="0" w:line="255" w:lineRule="auto"/>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Fund agrees to forward to PFPC Trust Written Instructions confirming Oral Instructions (except where such Oral Instructions are given by PFPC Trust or its affiliates) so that PFPC Trust receives the Written Instructions by the close of business on the same day that such Oral Instructions are received. The fact that such confirming Written Instructions are not received by PFPC Trust or differ from the Oral Instructions shall in no way invalidate the transactions or enforceability of the transactions authorized by the Oral Instructions or PFPC Trust’s ability to rely upon such Oral Instructions.</w:t>
      </w:r>
    </w:p>
    <w:p>
      <w:pPr>
        <w:spacing w:after="0" w:line="177" w:lineRule="exact"/>
        <w:rPr>
          <w:rFonts w:ascii="Arial" w:cs="Arial" w:eastAsia="Arial" w:hAnsi="Arial"/>
          <w:sz w:val="18"/>
          <w:szCs w:val="18"/>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Receive Advice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180" w:hanging="446"/>
        <w:spacing w:after="0" w:line="268"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Advice of the Fund</w:t>
      </w:r>
      <w:r>
        <w:rPr>
          <w:rFonts w:ascii="Arial" w:cs="Arial" w:eastAsia="Arial" w:hAnsi="Arial"/>
          <w:sz w:val="18"/>
          <w:szCs w:val="18"/>
          <w:color w:val="auto"/>
        </w:rPr>
        <w:t>. If PFPC Trust is in doubt as to any action it should or should not take, PFPC Trust may request directions or advice, including Oral Instructions or Written Instructions, from the Fund.</w:t>
      </w:r>
    </w:p>
    <w:p>
      <w:pPr>
        <w:spacing w:after="0" w:line="50" w:lineRule="exact"/>
        <w:rPr>
          <w:rFonts w:ascii="Arial" w:cs="Arial" w:eastAsia="Arial" w:hAnsi="Arial"/>
          <w:sz w:val="18"/>
          <w:szCs w:val="18"/>
          <w:color w:val="auto"/>
        </w:rPr>
      </w:pPr>
    </w:p>
    <w:p>
      <w:pPr>
        <w:jc w:val="both"/>
        <w:ind w:left="892" w:right="180" w:hanging="446"/>
        <w:spacing w:after="0" w:line="259"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If PFPC Trust shall be in doubt as to any question of law pertaining to any action it should or should not take, PFPC Trust may request advice from counsel of its own choosing (who may be counsel for the Fund, the Fund’s investment adviser or PFPC Trust, at the option of PFPC Trust).</w:t>
      </w:r>
    </w:p>
    <w:p>
      <w:pPr>
        <w:spacing w:after="0" w:line="59" w:lineRule="exact"/>
        <w:rPr>
          <w:rFonts w:ascii="Arial" w:cs="Arial" w:eastAsia="Arial" w:hAnsi="Arial"/>
          <w:sz w:val="18"/>
          <w:szCs w:val="18"/>
          <w:color w:val="auto"/>
        </w:rPr>
      </w:pPr>
    </w:p>
    <w:p>
      <w:pPr>
        <w:ind w:left="892" w:right="80" w:hanging="446"/>
        <w:spacing w:after="0" w:line="332" w:lineRule="auto"/>
        <w:tabs>
          <w:tab w:leader="none" w:pos="892"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Conflicting Advice</w:t>
      </w:r>
      <w:r>
        <w:rPr>
          <w:rFonts w:ascii="Arial" w:cs="Arial" w:eastAsia="Arial" w:hAnsi="Arial"/>
          <w:sz w:val="16"/>
          <w:szCs w:val="16"/>
          <w:color w:val="auto"/>
        </w:rPr>
        <w:t>. In the event of a conflict between directions or advice or Oral Instructions or Written Instructions PFPC Trust receives from the Fund, and the advice it receives from counsel, PFPC Trust shall be entitled to rely upon and follow the advice of counsel.</w:t>
      </w:r>
    </w:p>
    <w:p>
      <w:pPr>
        <w:spacing w:after="0" w:line="4" w:lineRule="exact"/>
        <w:rPr>
          <w:rFonts w:ascii="Arial" w:cs="Arial" w:eastAsia="Arial" w:hAnsi="Arial"/>
          <w:sz w:val="16"/>
          <w:szCs w:val="16"/>
          <w:color w:val="auto"/>
        </w:rPr>
      </w:pPr>
    </w:p>
    <w:p>
      <w:pPr>
        <w:ind w:left="892" w:right="340" w:hanging="446"/>
        <w:spacing w:after="0" w:line="259"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No Obligation to Seek Advice</w:t>
      </w:r>
      <w:r>
        <w:rPr>
          <w:rFonts w:ascii="Arial" w:cs="Arial" w:eastAsia="Arial" w:hAnsi="Arial"/>
          <w:sz w:val="18"/>
          <w:szCs w:val="18"/>
          <w:color w:val="auto"/>
        </w:rPr>
        <w:t>. Nothing in this section shall be construed so as to impose an obligation upon PFPC Trust (i) to seek directions or advice or Oral Instructions or Written Instructions or (ii) to act in accordance with such directions or advice or Oral Instructions or Written Instructions.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85" w:name="page86"/>
    <w:bookmarkEnd w:id="85"/>
    <w:p>
      <w:pPr>
        <w:ind w:left="452" w:hanging="452"/>
        <w:spacing w:after="0" w:line="258" w:lineRule="auto"/>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Records; Visits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and records pertaining to the Fund, which are in the possession or under the control of PFPC Trust, shall be the property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Fund. The Fund and Authorized Persons shall have access to such books and records at all times during PFPC Trust’s normal business hours. Upon the reasonable request of the Fund, copies of any such books and records shall be provided by PFPC Trust to the Fund or to an authorized representative of the Fund, at the Fund’s expense.</w:t>
      </w:r>
    </w:p>
    <w:p>
      <w:pPr>
        <w:spacing w:after="0" w:line="176" w:lineRule="exact"/>
        <w:rPr>
          <w:rFonts w:ascii="Arial" w:cs="Arial" w:eastAsia="Arial" w:hAnsi="Arial"/>
          <w:sz w:val="18"/>
          <w:szCs w:val="18"/>
          <w:b w:val="1"/>
          <w:bCs w:val="1"/>
          <w:color w:val="auto"/>
        </w:rPr>
      </w:pPr>
    </w:p>
    <w:p>
      <w:pPr>
        <w:ind w:left="452" w:right="140" w:hanging="452"/>
        <w:spacing w:after="0" w:line="289" w:lineRule="auto"/>
        <w:tabs>
          <w:tab w:leader="none" w:pos="45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keep confidential any information relating to the other party’s business (“Confidential Information”).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shall include (a) any data or information that is competitively sensitive material, and not generally known to the public, including, but not limited to, information about product plans, marketing strategies, finances, operations, customer relationships, customer profiles, customer lists, sales estimates, business plans, and internal performance results relating to the past, present or future business activities of the Fund or PFPC Trust, their respective subsidiaries and affiliated companies; (b) any scientific or technical information, design, process, procedure, formula, or improvement that is commercially valuable and secret in the sense that its confidentiality affords the Fund or PFPC Trust a competitive advantage over its competitors; (c) all confidential or proprietary concepts, documentation, reports, data, specifications, computer software, source code, object code, flow charts, databases, inventions, know-how, and trade secrets, whether or not patentable or copyrightable; and (d) anything designated as confidential. Notwithstanding the foregoing, information shall not be Confidential Information and shall not be subject to such confidentiality</w:t>
      </w:r>
    </w:p>
    <w:p>
      <w:pPr>
        <w:spacing w:after="0" w:line="10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4" w:right="319" w:bottom="1440" w:gutter="0" w:footer="0" w:header="0"/>
        </w:sectPr>
      </w:pPr>
    </w:p>
    <w:bookmarkStart w:id="86" w:name="page87"/>
    <w:bookmarkEnd w:id="86"/>
    <w:p>
      <w:pPr>
        <w:ind w:left="452"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if: (a) it is already known to the receiving party at the time it is obtained; (b) it is or becomes publicly known or available through no wrongful act of the receiving party; (c) it is rightfully received from a third party who, to the best of the receiving party’s knowledge, is not under a duty of confidentiality; (d) it is released by the protected party to a third party without restriction; (e) it is requested or required to be disclosed by the receiving party pursuant to a court order, subpoena, governmental or regulatory agency request or law; (f) release of such information by PFPC Trust is necessary or desirable in connection with the provision of services under this Agreement; (g) it is Fund information provided by PFPC Trust in connection with an independent third party compliance or other review; (h) it is relevant to the defense of any claim or cause of action asserted against the receiving party; or</w:t>
      </w:r>
    </w:p>
    <w:p>
      <w:pPr>
        <w:spacing w:after="0" w:line="1" w:lineRule="exact"/>
        <w:rPr>
          <w:sz w:val="20"/>
          <w:szCs w:val="20"/>
          <w:color w:val="auto"/>
        </w:rPr>
      </w:pPr>
    </w:p>
    <w:p>
      <w:pPr>
        <w:ind w:left="452" w:hanging="6"/>
        <w:spacing w:after="0" w:line="261" w:lineRule="auto"/>
        <w:tabs>
          <w:tab w:leader="none" w:pos="662" w:val="left"/>
        </w:tabs>
        <w:numPr>
          <w:ilvl w:val="1"/>
          <w:numId w:val="83"/>
        </w:numPr>
        <w:rPr>
          <w:rFonts w:ascii="Arial" w:cs="Arial" w:eastAsia="Arial" w:hAnsi="Arial"/>
          <w:sz w:val="18"/>
          <w:szCs w:val="18"/>
          <w:color w:val="auto"/>
        </w:rPr>
      </w:pPr>
      <w:r>
        <w:rPr>
          <w:rFonts w:ascii="Arial" w:cs="Arial" w:eastAsia="Arial" w:hAnsi="Arial"/>
          <w:sz w:val="18"/>
          <w:szCs w:val="18"/>
          <w:color w:val="auto"/>
        </w:rPr>
        <w:t>it has been or is independently developed or obtained by the receiving party. The provisions of this Section 6 shall survive termination of this Agreement for a period of three (3) years after such termination.</w:t>
      </w:r>
    </w:p>
    <w:p>
      <w:pPr>
        <w:spacing w:after="0" w:line="172" w:lineRule="exact"/>
        <w:rPr>
          <w:rFonts w:ascii="Arial" w:cs="Arial" w:eastAsia="Arial" w:hAnsi="Arial"/>
          <w:sz w:val="18"/>
          <w:szCs w:val="18"/>
          <w:color w:val="auto"/>
        </w:rPr>
      </w:pPr>
    </w:p>
    <w:p>
      <w:pPr>
        <w:ind w:left="452" w:right="160" w:hanging="452"/>
        <w:spacing w:after="0" w:line="275" w:lineRule="auto"/>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 with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PFPC Trust shall cooperate with the Fund’s independent public accountants and shall take all reasonable action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requested information available to such accountants as reasonably requested by the Fund.</w:t>
      </w:r>
    </w:p>
    <w:p>
      <w:pPr>
        <w:spacing w:after="0" w:line="160" w:lineRule="exact"/>
        <w:rPr>
          <w:rFonts w:ascii="Arial" w:cs="Arial" w:eastAsia="Arial" w:hAnsi="Arial"/>
          <w:sz w:val="18"/>
          <w:szCs w:val="18"/>
          <w:b w:val="1"/>
          <w:bCs w:val="1"/>
          <w:color w:val="auto"/>
        </w:rPr>
      </w:pPr>
    </w:p>
    <w:p>
      <w:pPr>
        <w:ind w:left="452" w:right="20" w:hanging="452"/>
        <w:spacing w:after="0" w:line="310" w:lineRule="auto"/>
        <w:tabs>
          <w:tab w:leader="none" w:pos="452"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PFPC System</w:t>
      </w:r>
      <w:r>
        <w:rPr>
          <w:rFonts w:ascii="Arial" w:cs="Arial" w:eastAsia="Arial" w:hAnsi="Arial"/>
          <w:sz w:val="16"/>
          <w:szCs w:val="16"/>
          <w:b w:val="1"/>
          <w:bCs w:val="1"/>
          <w:color w:val="auto"/>
        </w:rPr>
        <w:t xml:space="preserve">. </w:t>
      </w:r>
      <w:r>
        <w:rPr>
          <w:rFonts w:ascii="Arial" w:cs="Arial" w:eastAsia="Arial" w:hAnsi="Arial"/>
          <w:sz w:val="16"/>
          <w:szCs w:val="16"/>
          <w:color w:val="auto"/>
        </w:rPr>
        <w:t>PFPC Trust shall retain title to and ownership of any and all data bases, computer programs, screen formats, report formats, interactive</w:t>
      </w:r>
      <w:r>
        <w:rPr>
          <w:rFonts w:ascii="Arial" w:cs="Arial" w:eastAsia="Arial" w:hAnsi="Arial"/>
          <w:sz w:val="16"/>
          <w:szCs w:val="16"/>
          <w:b w:val="1"/>
          <w:bCs w:val="1"/>
          <w:color w:val="auto"/>
        </w:rPr>
        <w:t xml:space="preserve"> </w:t>
      </w:r>
      <w:r>
        <w:rPr>
          <w:rFonts w:ascii="Arial" w:cs="Arial" w:eastAsia="Arial" w:hAnsi="Arial"/>
          <w:sz w:val="16"/>
          <w:szCs w:val="16"/>
          <w:color w:val="auto"/>
        </w:rPr>
        <w:t>design techniques, derivative works, inventions, discoveries, patentable or copyrightable matters, concepts, expertise, patents, copyrights, trade secrets, and other related legal rights utilized by PFPC Trust in connection with the services provided by PFPC Trust to the Fund.</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87" w:name="page88"/>
    <w:bookmarkEnd w:id="87"/>
    <w:p>
      <w:pPr>
        <w:ind w:left="452" w:hanging="452"/>
        <w:spacing w:after="0" w:line="296" w:lineRule="auto"/>
        <w:tabs>
          <w:tab w:leader="none" w:pos="452"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Disaster Recovery</w:t>
      </w:r>
      <w:r>
        <w:rPr>
          <w:rFonts w:ascii="Arial" w:cs="Arial" w:eastAsia="Arial" w:hAnsi="Arial"/>
          <w:sz w:val="16"/>
          <w:szCs w:val="16"/>
          <w:b w:val="1"/>
          <w:bCs w:val="1"/>
          <w:color w:val="auto"/>
        </w:rPr>
        <w:t xml:space="preserve">. </w:t>
      </w:r>
      <w:r>
        <w:rPr>
          <w:rFonts w:ascii="Arial" w:cs="Arial" w:eastAsia="Arial" w:hAnsi="Arial"/>
          <w:sz w:val="16"/>
          <w:szCs w:val="16"/>
          <w:color w:val="auto"/>
        </w:rPr>
        <w:t>PFPC Trust shall enter into and shall maintain in effect with appropriate parties one or more agreements making reasonable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emergency use of electronic data processing equipment to the extent appropriate equipment is available. In the event of equipment failures, PFPC Trust shall, at no additional expense to the Fund, take reasonable steps to minimize service interruptions. PFPC Trust shall have no liability with respect to the loss of data or service interruptions caused by equipment failure provided such loss or interruption is not caused by PFPC Trust’s own willful misfeasance, bad faith, gross negligence or reckless disregard of its duties or obligations under this Agreement.</w:t>
      </w:r>
    </w:p>
    <w:p>
      <w:pPr>
        <w:spacing w:after="0" w:line="148" w:lineRule="exact"/>
        <w:rPr>
          <w:rFonts w:ascii="Arial" w:cs="Arial" w:eastAsia="Arial" w:hAnsi="Arial"/>
          <w:sz w:val="16"/>
          <w:szCs w:val="16"/>
          <w:b w:val="1"/>
          <w:bCs w:val="1"/>
          <w:color w:val="auto"/>
        </w:rPr>
      </w:pPr>
    </w:p>
    <w:p>
      <w:pPr>
        <w:ind w:left="452" w:hanging="452"/>
        <w:spacing w:after="0"/>
        <w:tabs>
          <w:tab w:leader="none" w:pos="4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80" w:hanging="446"/>
        <w:spacing w:after="0" w:line="259" w:lineRule="auto"/>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compensation for custody services rendered by PFPC Trust pursuant to this Agreement, the Fund will pay to PFPC Trust a fee or fees as may be agreed to in writing from time to time by the Fund and PFPC Trust. The Fund acknowledges that PFPC Trust may receive float benefits in connection with maintaining certain accounts required to provide services under this Agreement.</w:t>
      </w:r>
    </w:p>
    <w:p>
      <w:pPr>
        <w:spacing w:after="0" w:line="59" w:lineRule="exact"/>
        <w:rPr>
          <w:rFonts w:ascii="Arial" w:cs="Arial" w:eastAsia="Arial" w:hAnsi="Arial"/>
          <w:sz w:val="18"/>
          <w:szCs w:val="18"/>
          <w:color w:val="auto"/>
        </w:rPr>
      </w:pPr>
    </w:p>
    <w:p>
      <w:pPr>
        <w:ind w:left="892" w:right="120" w:hanging="446"/>
        <w:spacing w:after="0" w:line="291" w:lineRule="auto"/>
        <w:tabs>
          <w:tab w:leader="none" w:pos="892"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undersigned hereby represents and warrants to PFPC Trust that (i) the terms of this Agreement, (ii) the fees and expenses associated with this Agreement, and (iii) any benefits accruing to PFPC Trust or to the adviser or sponsor to the Fund in connection with this Agreement, including but not limited to any fee waivers, conversion cost reimbursements, up front payments, signing payments or periodic payments made or to be made by PFPC Trust to such adviser or sponsor or any affiliate of the Fund relating to this Agreement have been fully disclosed to the Board of Directors of the Fund and that, if required by applicable law, such Board of Directors/Trustees has approved or will approve the terms of this Agreement, any such fees and expenses, and any such benefits.</w:t>
      </w:r>
    </w:p>
    <w:p>
      <w:pPr>
        <w:spacing w:after="0" w:line="10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32"/>
          </w:cols>
          <w:pgMar w:left="248" w:top="274" w:right="319" w:bottom="1440" w:gutter="0" w:footer="0" w:header="0"/>
        </w:sectPr>
      </w:pPr>
    </w:p>
    <w:bookmarkStart w:id="88" w:name="page89"/>
    <w:bookmarkEnd w:id="88"/>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Standard of Care/Limitations of Liability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100" w:hanging="446"/>
        <w:spacing w:after="0" w:line="259" w:lineRule="auto"/>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the terms of this Section 11, PFPC shall be liable to the Fund (or any person or entity claiming through the Fund) for damages only to the extent caused by PFPC Trust’s own willful misfeasance, bad faith, gross negligence or reckless disregard of its duties under this Agreement (“</w:t>
      </w:r>
      <w:r>
        <w:rPr>
          <w:rFonts w:ascii="Arial" w:cs="Arial" w:eastAsia="Arial" w:hAnsi="Arial"/>
          <w:sz w:val="18"/>
          <w:szCs w:val="18"/>
          <w:u w:val="single" w:color="auto"/>
          <w:color w:val="auto"/>
        </w:rPr>
        <w:t>Standard of Care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892" w:hanging="446"/>
        <w:spacing w:after="0" w:line="298" w:lineRule="auto"/>
        <w:tabs>
          <w:tab w:leader="none" w:pos="892"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(other than as specifically provided in Section 13(h)(ii)(B)(4) and Section 13(h)(iii)(A) of this Agreement), the Fund shall be responsible for all filings, tax returns and reports on any transactions undertaken pursuant to this Agreement, or in respect of the Property or any collections undertaken pursuant to this Agreement, which may be requested by any relevant authority. In addition, the Fund shall be responsible for the payment of all taxes and similar items (including without limitation penalties and interest related thereto).</w:t>
      </w:r>
    </w:p>
    <w:p>
      <w:pPr>
        <w:spacing w:after="0" w:line="31" w:lineRule="exact"/>
        <w:rPr>
          <w:rFonts w:ascii="Arial" w:cs="Arial" w:eastAsia="Arial" w:hAnsi="Arial"/>
          <w:sz w:val="16"/>
          <w:szCs w:val="16"/>
          <w:color w:val="auto"/>
        </w:rPr>
      </w:pPr>
    </w:p>
    <w:p>
      <w:pPr>
        <w:ind w:left="892" w:right="60" w:hanging="446"/>
        <w:spacing w:after="0" w:line="298" w:lineRule="auto"/>
        <w:tabs>
          <w:tab w:leader="none" w:pos="892" w:val="left"/>
        </w:tabs>
        <w:numPr>
          <w:ilvl w:val="1"/>
          <w:numId w:val="86"/>
        </w:numPr>
        <w:rPr>
          <w:rFonts w:ascii="Arial" w:cs="Arial" w:eastAsia="Arial" w:hAnsi="Arial"/>
          <w:sz w:val="16"/>
          <w:szCs w:val="16"/>
          <w:color w:val="auto"/>
        </w:rPr>
      </w:pPr>
      <w:r>
        <w:rPr>
          <w:rFonts w:ascii="Arial" w:cs="Arial" w:eastAsia="Arial" w:hAnsi="Arial"/>
          <w:sz w:val="16"/>
          <w:szCs w:val="16"/>
          <w:color w:val="auto"/>
        </w:rPr>
        <w:t>PFPC Trust’s liability to the Fund and any person or entity claiming through the Fund for any loss, claim, suit, controversy, breach or damage of any nature whatsoever (including but not limited to those arising out of or related to this Agreement) and regardless of the form of action or legal theory (“Loss”) shall not exceed the fees received by PFPC Trust for services provided hereunder during the twelve (12) months immediately prior to the date of such Loss; provided that PFPC Trust’s cumulative maximum liability for all Losses shall not exceed $100,000.</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89" w:name="page90"/>
    <w:bookmarkEnd w:id="89"/>
    <w:p>
      <w:pPr>
        <w:ind w:left="446" w:right="40" w:hanging="446"/>
        <w:spacing w:after="0" w:line="254"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PFPC Trust shall not be liable for damages (including without limitation damages caused by delays, failure, errors, interruption or loss of data) occurring directly or indirectly by reason of circumstances beyond its reasonable control, including without limitation acts of God; action or inaction of civil or military authority; national emergencies; public enemy; war; terrorism; riot; fire; flood; catastrophe; sabotage; epidemics; labor disputes; civil commotion; interruption, loss or malfunction of utilities, transportation, computer or communications capabilities; insurrection; elements of nature; non-performance by a third party; failure of the mails; or functions or malfunctions of the internet, firewalls, encryption systems or security devices caused by any of the above.</w:t>
      </w:r>
    </w:p>
    <w:p>
      <w:pPr>
        <w:spacing w:after="0" w:line="63" w:lineRule="exact"/>
        <w:rPr>
          <w:rFonts w:ascii="Arial" w:cs="Arial" w:eastAsia="Arial" w:hAnsi="Arial"/>
          <w:sz w:val="18"/>
          <w:szCs w:val="18"/>
          <w:color w:val="auto"/>
        </w:rPr>
      </w:pPr>
    </w:p>
    <w:p>
      <w:pPr>
        <w:jc w:val="both"/>
        <w:ind w:left="446" w:right="100" w:hanging="446"/>
        <w:spacing w:after="0" w:line="294" w:lineRule="auto"/>
        <w:tabs>
          <w:tab w:leader="none" w:pos="4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PFPC Trust shall not be under any duty or obligation to inquire into and shall not be liable for the validity or invalidity, authority or lack thereof, or truthfulness or accuracy or lack thereof, of any instruction, direction, notice, instrument or other information which PFPC Trust reasonably believes to be genuine. PFPC Trust shall not be liable for any damages that are caused by actions or omissions taken by PFPC Trust in accordance with Oral Instructions or Written Instructions or advice of counsel. PFPC Trust shall not be liable for any damages arising out of any action or omission to act by any prior service provider of the Fund or for any failure to discover any such error or omission.</w:t>
      </w:r>
    </w:p>
    <w:p>
      <w:pPr>
        <w:spacing w:after="0" w:line="34"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Neither PFPC Trust nor its affiliates shall be liable for any consequential, incidental, exemplary, punitive, special or indirect damages, whether or not the likelihood of such damages was known by PFPC Trust or its affiliates.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party shall have a duty to mitigate damages for which the other party may become responsible.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Section 11 shall survive termination of this Agreement.</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6"/>
          </w:cols>
          <w:pgMar w:left="694" w:top="280" w:right="279" w:bottom="1440" w:gutter="0" w:footer="0" w:header="0"/>
        </w:sectPr>
      </w:pPr>
    </w:p>
    <w:bookmarkStart w:id="90" w:name="page91"/>
    <w:bookmarkEnd w:id="90"/>
    <w:p>
      <w:pPr>
        <w:ind w:left="452" w:hanging="452"/>
        <w:spacing w:after="0" w:line="296" w:lineRule="auto"/>
        <w:tabs>
          <w:tab w:leader="none" w:pos="452"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Absent PFPC Trust’s failure to meet its Standard of Care (defined in Section 11 above), the Fund agrees to indemnify, defend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PFPC Trust and its affiliates and their respective directors, trustees, officers, agents and employees from all claims, suits, actions, damages, losses, liabilities, obligations, costs and reasonable expenses (including attorneys’ fees and court costs, travel costs and other reasonable out-of-pocket costs related to dispute resolution) arising directly or indirectly from any of the following: (a) any action or omission to act by any prior service provider of the Fund; and (b) any action taken or omitted to be taken by PFPC Trust in connection with the provision of services to the Fund.</w:t>
      </w:r>
    </w:p>
    <w:p>
      <w:pPr>
        <w:spacing w:after="0" w:line="113"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This Section 12 shall survive termination of this Agreement.</w:t>
      </w:r>
    </w:p>
    <w:p>
      <w:pPr>
        <w:spacing w:after="0" w:line="205" w:lineRule="exact"/>
        <w:rPr>
          <w:rFonts w:ascii="Arial" w:cs="Arial" w:eastAsia="Arial" w:hAnsi="Arial"/>
          <w:sz w:val="16"/>
          <w:szCs w:val="16"/>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Services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320" w:hanging="446"/>
        <w:spacing w:after="0" w:line="259" w:lineRule="auto"/>
        <w:tabs>
          <w:tab w:leader="none" w:pos="892"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Delivery of the Property</w:t>
      </w:r>
      <w:r>
        <w:rPr>
          <w:rFonts w:ascii="Arial" w:cs="Arial" w:eastAsia="Arial" w:hAnsi="Arial"/>
          <w:sz w:val="18"/>
          <w:szCs w:val="18"/>
          <w:color w:val="auto"/>
        </w:rPr>
        <w:t>. The Fund will deliver or arrange for the delivery to PFPC Trust of all the Property owned by the Fund, including cash received as a result of the distribution of Shares, during the term of this Agreement. PFPC Trust will not be responsible for any assets until actual receipt.</w:t>
      </w:r>
    </w:p>
    <w:p>
      <w:pPr>
        <w:spacing w:after="0" w:line="59" w:lineRule="exact"/>
        <w:rPr>
          <w:rFonts w:ascii="Arial" w:cs="Arial" w:eastAsia="Arial" w:hAnsi="Arial"/>
          <w:sz w:val="18"/>
          <w:szCs w:val="18"/>
          <w:color w:val="auto"/>
        </w:rPr>
      </w:pPr>
    </w:p>
    <w:p>
      <w:pPr>
        <w:jc w:val="both"/>
        <w:ind w:left="892" w:right="60" w:hanging="446"/>
        <w:spacing w:after="0" w:line="259" w:lineRule="auto"/>
        <w:tabs>
          <w:tab w:leader="none" w:pos="892"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Receipt and Disbursement of Money</w:t>
      </w:r>
      <w:r>
        <w:rPr>
          <w:rFonts w:ascii="Arial" w:cs="Arial" w:eastAsia="Arial" w:hAnsi="Arial"/>
          <w:sz w:val="18"/>
          <w:szCs w:val="18"/>
          <w:color w:val="auto"/>
        </w:rPr>
        <w:t>. PFPC Trust, acting upon Written Instructions, shall open and maintain a separate account (the Account”) in the Fund’s name. PFPC Trust shall maintain in the Account of the Fund all cash and other assets received from or for the Fund specifically designated to such Account.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91" w:name="page92"/>
    <w:bookmarkEnd w:id="91"/>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PFPC Trust shall make cash payments from or for the Account of the Fund only for:</w:t>
      </w:r>
    </w:p>
    <w:p>
      <w:pPr>
        <w:spacing w:after="0" w:line="90" w:lineRule="exact"/>
        <w:rPr>
          <w:sz w:val="20"/>
          <w:szCs w:val="20"/>
          <w:color w:val="auto"/>
        </w:rPr>
      </w:pPr>
    </w:p>
    <w:p>
      <w:pPr>
        <w:ind w:left="1026" w:right="140" w:hanging="567"/>
        <w:spacing w:after="0" w:line="259" w:lineRule="auto"/>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purchases of securities in the name of the Fund, Pennant SPV Company, PFPC Trust, PFPC Trust’s nominee or a sub-custodian or nominee thereof as provided in sub-section (j) and for which PFPC Trust has received a copy of the broker’s or dealer’s confirmation or payee’s invoice, as appropriate;</w:t>
      </w:r>
    </w:p>
    <w:p>
      <w:pPr>
        <w:spacing w:after="0" w:line="59" w:lineRule="exact"/>
        <w:rPr>
          <w:rFonts w:ascii="Arial" w:cs="Arial" w:eastAsia="Arial" w:hAnsi="Arial"/>
          <w:sz w:val="18"/>
          <w:szCs w:val="18"/>
          <w:color w:val="auto"/>
        </w:rPr>
      </w:pPr>
    </w:p>
    <w:p>
      <w:pPr>
        <w:ind w:left="1026" w:hanging="567"/>
        <w:spacing w:after="0"/>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redemption of Shares of the Fund upon receipt of Written Instructions;</w:t>
      </w:r>
    </w:p>
    <w:p>
      <w:pPr>
        <w:spacing w:after="0" w:line="90" w:lineRule="exact"/>
        <w:rPr>
          <w:rFonts w:ascii="Arial" w:cs="Arial" w:eastAsia="Arial" w:hAnsi="Arial"/>
          <w:sz w:val="18"/>
          <w:szCs w:val="18"/>
          <w:color w:val="auto"/>
        </w:rPr>
      </w:pPr>
    </w:p>
    <w:p>
      <w:pPr>
        <w:jc w:val="both"/>
        <w:ind w:left="1026" w:right="440" w:hanging="567"/>
        <w:spacing w:after="0" w:line="259" w:lineRule="auto"/>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subject to Written Instructions, interest, taxes (provided that tax which PFPC Trust considers is required to be deducted or withheld “at source” will be governed by Section 13(h)(iii)(B) of this Agreement), administration, accounting, distribution, advisory or management fees and similar expenses which are to be borne by the Fund;</w:t>
      </w:r>
    </w:p>
    <w:p>
      <w:pPr>
        <w:spacing w:after="0" w:line="59" w:lineRule="exact"/>
        <w:rPr>
          <w:rFonts w:ascii="Arial" w:cs="Arial" w:eastAsia="Arial" w:hAnsi="Arial"/>
          <w:sz w:val="18"/>
          <w:szCs w:val="18"/>
          <w:color w:val="auto"/>
        </w:rPr>
      </w:pPr>
    </w:p>
    <w:p>
      <w:pPr>
        <w:ind w:left="1026" w:right="140" w:hanging="567"/>
        <w:spacing w:after="0" w:line="323" w:lineRule="auto"/>
        <w:tabs>
          <w:tab w:leader="none" w:pos="1026" w:val="left"/>
        </w:tabs>
        <w:numPr>
          <w:ilvl w:val="0"/>
          <w:numId w:val="89"/>
        </w:numPr>
        <w:rPr>
          <w:rFonts w:ascii="Arial" w:cs="Arial" w:eastAsia="Arial" w:hAnsi="Arial"/>
          <w:sz w:val="15"/>
          <w:szCs w:val="15"/>
          <w:color w:val="auto"/>
        </w:rPr>
      </w:pPr>
      <w:r>
        <w:rPr>
          <w:rFonts w:ascii="Arial" w:cs="Arial" w:eastAsia="Arial" w:hAnsi="Arial"/>
          <w:sz w:val="15"/>
          <w:szCs w:val="15"/>
          <w:color w:val="auto"/>
        </w:rPr>
        <w:t>payment to, subject to receipt of Written Instructions, the Fund’s transfer agent, as agent for the shareholders, of an amount equal to the amount of dividends and distributions stated in the Written Instructions to be distributed in cash by the transfer agent to shareholders, or, in lieu of paying the Fund’s transfer agent, PFPC Trust may arrange for the direct payment of cash dividends and distributions to shareholders in accordance with procedures mutually agreed upon from time to time by and among the Fund, PFPC Trust and the Fund’s transfer agent;</w:t>
      </w:r>
    </w:p>
    <w:p>
      <w:pPr>
        <w:spacing w:after="0" w:line="16" w:lineRule="exact"/>
        <w:rPr>
          <w:rFonts w:ascii="Arial" w:cs="Arial" w:eastAsia="Arial" w:hAnsi="Arial"/>
          <w:sz w:val="15"/>
          <w:szCs w:val="15"/>
          <w:color w:val="auto"/>
        </w:rPr>
      </w:pPr>
    </w:p>
    <w:p>
      <w:pPr>
        <w:ind w:left="1026" w:right="140" w:hanging="567"/>
        <w:spacing w:after="0" w:line="268" w:lineRule="auto"/>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upon receipt of Written Instructions, in connection with the conversion, exchange or surrender of securities owned or subscribed to by the Fund and held pursuant to this Agreement or delivered to PFPC Trust;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of the amounts of dividends received with respect to securities sold short;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to PFPC Trust for its services hereunder;</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to a sub-custodian pursuant to provisions in sub-section (c) of this Section;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payments, upon Written Instructions.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PFPC Trust is hereby authorized to endorse and collect all checks, drafts or other orders for the payment of money received as custodian for the Fund.</w:t>
      </w:r>
    </w:p>
    <w:p>
      <w:pPr>
        <w:spacing w:after="0" w:line="113" w:lineRule="exact"/>
        <w:rPr>
          <w:sz w:val="20"/>
          <w:szCs w:val="20"/>
          <w:color w:val="auto"/>
        </w:rPr>
      </w:pPr>
    </w:p>
    <w:p>
      <w:pPr>
        <w:ind w:left="446" w:hanging="446"/>
        <w:spacing w:after="0"/>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Receipt of Securities; Sub-custodians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90"/>
        </w:numPr>
        <w:rPr>
          <w:rFonts w:ascii="Arial" w:cs="Arial" w:eastAsia="Arial" w:hAnsi="Arial"/>
          <w:sz w:val="18"/>
          <w:szCs w:val="18"/>
          <w:color w:val="auto"/>
        </w:rPr>
      </w:pPr>
      <w:r>
        <w:rPr>
          <w:rFonts w:ascii="Arial" w:cs="Arial" w:eastAsia="Arial" w:hAnsi="Arial"/>
          <w:sz w:val="18"/>
          <w:szCs w:val="18"/>
          <w:color w:val="auto"/>
        </w:rPr>
        <w:t>PFPC Trust shall hold all securities received by it for the Accounts in a separate account that physically segregates such securities from those of any other persons, firms or corporations, except for securities held in a Book-Entry System or through a sub-custodian or depository. All such securities shall be held or disposed of only upon Written Instructions or</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6"/>
          </w:cols>
          <w:pgMar w:left="694" w:top="280" w:right="259" w:bottom="1440" w:gutter="0" w:footer="0" w:header="0"/>
        </w:sectPr>
      </w:pPr>
    </w:p>
    <w:bookmarkStart w:id="92" w:name="page93"/>
    <w:bookmarkEnd w:id="92"/>
    <w:p>
      <w:pPr>
        <w:ind w:left="1026"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pursuant to the terms of this Agreement. PFPC Trust shall have no power or authority to assign, hypothecate, pledge or otherwise dispose of any such securities or other investments, except upon the express terms of this Agreement or upon Written Instructions authorizing the transaction. In no case may any member of the Fund’s Board of Directors or any officer, employee or agent of the Fund withdraw any securities upon their mere receipt.</w:t>
      </w:r>
    </w:p>
    <w:p>
      <w:pPr>
        <w:spacing w:after="0" w:line="62" w:lineRule="exact"/>
        <w:rPr>
          <w:sz w:val="20"/>
          <w:szCs w:val="20"/>
          <w:color w:val="auto"/>
        </w:rPr>
      </w:pPr>
    </w:p>
    <w:p>
      <w:pPr>
        <w:ind w:left="1046" w:right="100"/>
        <w:spacing w:after="0" w:line="290" w:lineRule="auto"/>
        <w:rPr>
          <w:sz w:val="20"/>
          <w:szCs w:val="20"/>
          <w:color w:val="auto"/>
        </w:rPr>
      </w:pPr>
      <w:r>
        <w:rPr>
          <w:rFonts w:ascii="Arial" w:cs="Arial" w:eastAsia="Arial" w:hAnsi="Arial"/>
          <w:sz w:val="16"/>
          <w:szCs w:val="16"/>
          <w:color w:val="auto"/>
        </w:rPr>
        <w:t>At PFPC Trust’s own expense and for its own convenience, PFPC Trust may enter into sub-custodian agreements with other banks or trust companies to perform duties described in this sub-section (c) with respect to domestic assets. Such bank or trust company shall have aggregate capital, surplus and undivided profits, according to its last published report, of at least one million dollars ($1,000,000), if it is a subsidiary or affiliate of PFPC Trust, or at least twenty million dollars ($20,000,000) if such bank or trust company is not a subsidiary or affiliate of PFPC Trust. In addition, such bank or trust company must be qualified to act as custodian and agree to comply with the relevant provisions of applicable rules and regulations. Any such arrangement will not be entered into without prior written notice to the Fund (or as otherwise provided in the 1940 Act).</w:t>
      </w:r>
    </w:p>
    <w:p>
      <w:pPr>
        <w:spacing w:after="0" w:line="37" w:lineRule="exact"/>
        <w:rPr>
          <w:sz w:val="20"/>
          <w:szCs w:val="20"/>
          <w:color w:val="auto"/>
        </w:rPr>
      </w:pPr>
    </w:p>
    <w:p>
      <w:pPr>
        <w:ind w:left="1046" w:right="40"/>
        <w:spacing w:after="0" w:line="259" w:lineRule="auto"/>
        <w:rPr>
          <w:sz w:val="20"/>
          <w:szCs w:val="20"/>
          <w:color w:val="auto"/>
        </w:rPr>
      </w:pPr>
      <w:r>
        <w:rPr>
          <w:rFonts w:ascii="Arial" w:cs="Arial" w:eastAsia="Arial" w:hAnsi="Arial"/>
          <w:sz w:val="18"/>
          <w:szCs w:val="18"/>
          <w:color w:val="auto"/>
        </w:rPr>
        <w:t>In addition, PFPC Trust may enter into arrangements with sub-custodians, in accordance with the 1940 Act, with respect to services regarding foreign assets. Any such arrangement will not be entered into without prior written notice to the Fund (or as otherwise provided in the 1940 Act).</w:t>
      </w:r>
    </w:p>
    <w:p>
      <w:pPr>
        <w:spacing w:after="0" w:line="59" w:lineRule="exact"/>
        <w:rPr>
          <w:sz w:val="20"/>
          <w:szCs w:val="20"/>
          <w:color w:val="auto"/>
        </w:rPr>
      </w:pPr>
    </w:p>
    <w:p>
      <w:pPr>
        <w:ind w:left="1046" w:right="20"/>
        <w:spacing w:after="0" w:line="256" w:lineRule="auto"/>
        <w:rPr>
          <w:sz w:val="20"/>
          <w:szCs w:val="20"/>
          <w:color w:val="auto"/>
        </w:rPr>
      </w:pPr>
      <w:r>
        <w:rPr>
          <w:rFonts w:ascii="Arial" w:cs="Arial" w:eastAsia="Arial" w:hAnsi="Arial"/>
          <w:sz w:val="18"/>
          <w:szCs w:val="18"/>
          <w:color w:val="auto"/>
        </w:rPr>
        <w:t>Sub-custodians utilized by PFPC Trust may be subsidiaries or affiliates of PFPC Trust, and such entities will be compensated for their services at such rates as are agreed between the entity and PFPC Trust. PFPC Trust shall remain responsible for the acts and omissions of any sub-custodian chosen by PFPC Trust under the terms of this sub-section (c) to the same extent that PFPC Trust is responsible for its own acts and omissions under this Agreement.</w:t>
      </w:r>
    </w:p>
    <w:p>
      <w:pPr>
        <w:spacing w:after="0" w:line="62" w:lineRule="exact"/>
        <w:rPr>
          <w:sz w:val="20"/>
          <w:szCs w:val="20"/>
          <w:color w:val="auto"/>
        </w:rPr>
      </w:pPr>
    </w:p>
    <w:p>
      <w:pPr>
        <w:ind w:left="446" w:hanging="446"/>
        <w:spacing w:after="0"/>
        <w:tabs>
          <w:tab w:leader="none" w:pos="44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Transactions Requiring Instructions</w:t>
      </w:r>
      <w:r>
        <w:rPr>
          <w:rFonts w:ascii="Arial" w:cs="Arial" w:eastAsia="Arial" w:hAnsi="Arial"/>
          <w:sz w:val="18"/>
          <w:szCs w:val="18"/>
          <w:color w:val="auto"/>
        </w:rPr>
        <w:t>. Upon receipt of Oral Instructions or Written Instructions and not otherwise, PFPC Trust shall:</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deliver any securities held for the Fund against the receipt of payment for the sale of such securities or otherwise in accordance with standard market practice;</w:t>
      </w:r>
    </w:p>
    <w:p>
      <w:pPr>
        <w:spacing w:after="0" w:line="50" w:lineRule="exact"/>
        <w:rPr>
          <w:rFonts w:ascii="Arial" w:cs="Arial" w:eastAsia="Arial" w:hAnsi="Arial"/>
          <w:sz w:val="18"/>
          <w:szCs w:val="18"/>
          <w:color w:val="auto"/>
        </w:rPr>
      </w:pPr>
    </w:p>
    <w:p>
      <w:pPr>
        <w:ind w:left="1026" w:right="60" w:hanging="567"/>
        <w:spacing w:after="0" w:line="259" w:lineRule="auto"/>
        <w:tabs>
          <w:tab w:leader="none" w:pos="1026"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execute and deliver to such persons as may be designated in such Oral Instructions or Written Instructions, proxies, consents, authorizations, and any other instruments received by PFPC Trust as custodian whereby the authority of the Fund as owner of any securities may be exercised;</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6"/>
          </w:cols>
          <w:pgMar w:left="694" w:top="280" w:right="259" w:bottom="1440" w:gutter="0" w:footer="0" w:header="0"/>
        </w:sectPr>
      </w:pPr>
    </w:p>
    <w:bookmarkStart w:id="93" w:name="page94"/>
    <w:bookmarkEnd w:id="93"/>
    <w:p>
      <w:pPr>
        <w:ind w:left="567" w:hanging="567"/>
        <w:spacing w:after="0" w:line="332" w:lineRule="auto"/>
        <w:tabs>
          <w:tab w:leader="none" w:pos="567"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 any securities to the issuer thereof, or its agent, when such securities are called, redeemed, retired or otherwise become payable at the option of the holder; provided that, in any such case, the cash or other consideration is to be delivered to PFPC Trust;</w:t>
      </w:r>
    </w:p>
    <w:p>
      <w:pPr>
        <w:spacing w:after="0" w:line="4" w:lineRule="exact"/>
        <w:rPr>
          <w:rFonts w:ascii="Arial" w:cs="Arial" w:eastAsia="Arial" w:hAnsi="Arial"/>
          <w:sz w:val="16"/>
          <w:szCs w:val="16"/>
          <w:color w:val="auto"/>
        </w:rPr>
      </w:pPr>
    </w:p>
    <w:p>
      <w:pPr>
        <w:ind w:left="567" w:right="200" w:hanging="567"/>
        <w:spacing w:after="0" w:line="259" w:lineRule="auto"/>
        <w:tabs>
          <w:tab w:leader="none" w:pos="567"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deliver any securities held for the Fund against receipt of other securities or cash issued or paid in connection with the liquidation, reorganization, refinancing, tender offer, merger, consolidation or recapitalization of any corporation or other entity, or the exercise of any conversion privilege;</w:t>
      </w:r>
    </w:p>
    <w:p>
      <w:pPr>
        <w:spacing w:after="0" w:line="59" w:lineRule="exact"/>
        <w:rPr>
          <w:rFonts w:ascii="Arial" w:cs="Arial" w:eastAsia="Arial" w:hAnsi="Arial"/>
          <w:sz w:val="18"/>
          <w:szCs w:val="18"/>
          <w:color w:val="auto"/>
        </w:rPr>
      </w:pPr>
    </w:p>
    <w:p>
      <w:pPr>
        <w:ind w:left="567" w:right="160" w:hanging="567"/>
        <w:spacing w:after="0" w:line="256" w:lineRule="auto"/>
        <w:tabs>
          <w:tab w:leader="none" w:pos="567"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deliver any securities held for the Fund to any protective committee, reorganization committee or other person in connection with the reorganization, refinancing, merger, consolidation, recapitalization or sale of assets of any corporation or other entity, and receive and hold under the terms of this Agreement such certificates of deposit, interim receipts or other instruments or documents as may be issued to it to evidence such delivery;</w:t>
      </w:r>
    </w:p>
    <w:p>
      <w:pPr>
        <w:spacing w:after="0" w:line="62" w:lineRule="exact"/>
        <w:rPr>
          <w:rFonts w:ascii="Arial" w:cs="Arial" w:eastAsia="Arial" w:hAnsi="Arial"/>
          <w:sz w:val="18"/>
          <w:szCs w:val="18"/>
          <w:color w:val="auto"/>
        </w:rPr>
      </w:pPr>
    </w:p>
    <w:p>
      <w:pPr>
        <w:ind w:left="567" w:right="320" w:hanging="567"/>
        <w:spacing w:after="0" w:line="259" w:lineRule="auto"/>
        <w:tabs>
          <w:tab w:leader="none" w:pos="567"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such transfer or exchanges of the assets of the Fund and take such other steps as shall be stated in said Oral Instructions or Written Instructions to be for the purpose of effectuating a duly authorized plan of liquidation, reorganization, merger, consolidation or recapitalization of the Fund;</w:t>
      </w:r>
    </w:p>
    <w:p>
      <w:pPr>
        <w:spacing w:after="0" w:line="59" w:lineRule="exact"/>
        <w:rPr>
          <w:rFonts w:ascii="Arial" w:cs="Arial" w:eastAsia="Arial" w:hAnsi="Arial"/>
          <w:sz w:val="18"/>
          <w:szCs w:val="18"/>
          <w:color w:val="auto"/>
        </w:rPr>
      </w:pPr>
    </w:p>
    <w:p>
      <w:pPr>
        <w:ind w:left="567" w:right="60" w:hanging="567"/>
        <w:spacing w:after="0" w:line="294" w:lineRule="auto"/>
        <w:tabs>
          <w:tab w:leader="none" w:pos="567"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release securities belonging to the Fund to any bank or trust company for the purpose of a pledge or hypothecation to secure any loan incurred by the Fund; provided, however, that securities shall be released only upon payment to PFPC Trust of the monies borrowed, except that in cases where additional collateral is required to secure a borrowing already made subject to proper prior authorization, further securities may be released for that purpose; and repay such loan upon redelivery to it of the securities pledged or hypothecated therefor and upon surrender of the note or notes evidencing the loan;</w:t>
      </w:r>
    </w:p>
    <w:p>
      <w:pPr>
        <w:spacing w:after="0" w:line="34" w:lineRule="exact"/>
        <w:rPr>
          <w:rFonts w:ascii="Arial" w:cs="Arial" w:eastAsia="Arial" w:hAnsi="Arial"/>
          <w:sz w:val="16"/>
          <w:szCs w:val="16"/>
          <w:color w:val="auto"/>
        </w:rPr>
      </w:pPr>
    </w:p>
    <w:p>
      <w:pPr>
        <w:ind w:left="567" w:right="80" w:hanging="567"/>
        <w:spacing w:after="0" w:line="259" w:lineRule="auto"/>
        <w:tabs>
          <w:tab w:leader="none" w:pos="567"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release and deliver securities owned by the Fund in connection with any repurchase agreement entered into by the Fund, but only on receipt of payment therefor; and pay out monies of the Fund in connection with such repurchase agreements, but only upon the delivery of the securities;</w:t>
      </w:r>
    </w:p>
    <w:p>
      <w:pPr>
        <w:spacing w:after="0" w:line="59" w:lineRule="exact"/>
        <w:rPr>
          <w:rFonts w:ascii="Arial" w:cs="Arial" w:eastAsia="Arial" w:hAnsi="Arial"/>
          <w:sz w:val="18"/>
          <w:szCs w:val="18"/>
          <w:color w:val="auto"/>
        </w:rPr>
      </w:pPr>
    </w:p>
    <w:p>
      <w:pPr>
        <w:ind w:left="567" w:right="140" w:hanging="567"/>
        <w:spacing w:after="0" w:line="268" w:lineRule="auto"/>
        <w:tabs>
          <w:tab w:leader="none" w:pos="567"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release and deliver or exchange securities owned by the Fund in connection with any conversion of such securities, pursuant to their terms, into other securities;</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7"/>
          </w:cols>
          <w:pgMar w:left="1153" w:top="280" w:right="279" w:bottom="1440" w:gutter="0" w:footer="0" w:header="0"/>
        </w:sectPr>
      </w:pPr>
    </w:p>
    <w:bookmarkStart w:id="94" w:name="page95"/>
    <w:bookmarkEnd w:id="94"/>
    <w:p>
      <w:pPr>
        <w:ind w:left="1026" w:right="720" w:hanging="567"/>
        <w:spacing w:after="0" w:line="268" w:lineRule="auto"/>
        <w:tabs>
          <w:tab w:leader="none" w:pos="1026" w:val="left"/>
        </w:tabs>
        <w:numPr>
          <w:ilvl w:val="1"/>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release and deliver securities to a broker in connection with the broker’s custody of margin collateral relating to futures and options transactions;</w:t>
      </w:r>
    </w:p>
    <w:p>
      <w:pPr>
        <w:spacing w:after="0" w:line="50" w:lineRule="exact"/>
        <w:rPr>
          <w:rFonts w:ascii="Arial" w:cs="Arial" w:eastAsia="Arial" w:hAnsi="Arial"/>
          <w:sz w:val="18"/>
          <w:szCs w:val="18"/>
          <w:color w:val="auto"/>
        </w:rPr>
      </w:pPr>
    </w:p>
    <w:p>
      <w:pPr>
        <w:ind w:left="1026" w:right="340" w:hanging="567"/>
        <w:spacing w:after="0" w:line="268" w:lineRule="auto"/>
        <w:tabs>
          <w:tab w:leader="none" w:pos="1026"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release and deliver securities owned by the Fund for the purpose of redeeming in kind Shares of the Fund upon delivery thereof to PFPC Trust; and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release and deliver or exchange securities owned by the Fund for other purposes.</w:t>
      </w:r>
    </w:p>
    <w:p>
      <w:pPr>
        <w:spacing w:after="0" w:line="9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Use of Book-Entry System or Other Depository</w:t>
      </w:r>
      <w:r>
        <w:rPr>
          <w:rFonts w:ascii="Arial" w:cs="Arial" w:eastAsia="Arial" w:hAnsi="Arial"/>
          <w:sz w:val="16"/>
          <w:szCs w:val="16"/>
          <w:color w:val="auto"/>
        </w:rPr>
        <w:t>. PFPC Trust will deposit in Book-Entry Systems and other depositories all securities belonging to the Fund eligible for deposit therein and will utilize Book-Entry Systems and other depositories to the extent possible in connection with settlements of purchases and sales of securities by the Fund, and deliveries and returns of securities loaned, subject to repurchase agreements or used as collateral in connection with borrowings. PFPC Trust shall continue to perform such duties until it receives Written Instructions or Oral Instructions authorizing contrary actions. Notwithstanding anything in this Agreement to the contrary, PFPC Trust’s use of a Book-Entry System shall comply with the requirements of Rule 17f-4 under the 1940 Act.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PFPC Trust shall administer a Book-Entry System or other depository as follows:</w:t>
      </w:r>
    </w:p>
    <w:p>
      <w:pPr>
        <w:spacing w:after="0" w:line="90" w:lineRule="exact"/>
        <w:rPr>
          <w:sz w:val="20"/>
          <w:szCs w:val="20"/>
          <w:color w:val="auto"/>
        </w:rPr>
      </w:pPr>
    </w:p>
    <w:p>
      <w:pPr>
        <w:ind w:left="1026" w:right="200" w:hanging="567"/>
        <w:spacing w:after="0" w:line="268" w:lineRule="auto"/>
        <w:tabs>
          <w:tab w:leader="none" w:pos="10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securities of the Fund which are maintained in a Book-Entry System or another depository, the records of PFPC Trust shall identify by book-entry or otherwise those securities as belonging to the Fund.</w:t>
      </w:r>
    </w:p>
    <w:p>
      <w:pPr>
        <w:spacing w:after="0" w:line="50" w:lineRule="exact"/>
        <w:rPr>
          <w:rFonts w:ascii="Arial" w:cs="Arial" w:eastAsia="Arial" w:hAnsi="Arial"/>
          <w:sz w:val="18"/>
          <w:szCs w:val="18"/>
          <w:color w:val="auto"/>
        </w:rPr>
      </w:pPr>
    </w:p>
    <w:p>
      <w:pPr>
        <w:ind w:left="1026" w:hanging="567"/>
        <w:spacing w:after="0" w:line="259" w:lineRule="auto"/>
        <w:tabs>
          <w:tab w:leader="none" w:pos="10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Assets of the Fund deposited in a Book-Entry System or another depository will (to the extent consistent with applicable law and standard practice) at all times be segregated from any assets and cash controlled by PFPC Trust in other than a fiduciary or custodian capacity but may be commingled with other assets held in such capacities.</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80" w:right="239" w:bottom="1440" w:gutter="0" w:footer="0" w:header="0"/>
        </w:sectPr>
      </w:pPr>
    </w:p>
    <w:bookmarkStart w:id="95" w:name="page96"/>
    <w:bookmarkEnd w:id="95"/>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PFPC Trust will provide the Fund with such reports on its own system of internal control as the Fund may reasonably request from time to time.</w:t>
      </w:r>
    </w:p>
    <w:p>
      <w:pPr>
        <w:spacing w:after="0" w:line="113" w:lineRule="exact"/>
        <w:rPr>
          <w:sz w:val="20"/>
          <w:szCs w:val="20"/>
          <w:color w:val="auto"/>
        </w:rPr>
      </w:pPr>
    </w:p>
    <w:p>
      <w:pPr>
        <w:ind w:left="446" w:hanging="446"/>
        <w:spacing w:after="0" w:line="286" w:lineRule="auto"/>
        <w:tabs>
          <w:tab w:leader="none" w:pos="44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Registration of Securities</w:t>
      </w:r>
      <w:r>
        <w:rPr>
          <w:rFonts w:ascii="Arial" w:cs="Arial" w:eastAsia="Arial" w:hAnsi="Arial"/>
          <w:sz w:val="16"/>
          <w:szCs w:val="16"/>
          <w:color w:val="auto"/>
        </w:rPr>
        <w:t>. All securities held for the Fund which are issued or issuable only in bearer form, except such securities maintained in the Book-Entry System or in another depository, shall be held by PFPC Trust in bearer form; all other securities maintained for the Fund may be registered in the name of the Fund, PFPC Trust, a Book-Entry System, another depository, a sub-custodian, or any duly appointed nominee of the Fund, PFPC Trust, a Book-Entry System, a depository or a sub-custodian. The Fund agrees to furnish to PFPC Trust appropriate instruments to enable PFPC Trust to maintain or deliver in proper form for transfer, or to register in the name of its nominee or in the name of a Book-Entry System or in the name of another appropriate entity, any securities which it may maintain pursuant to this Agreement. With respect to uncertificated securities which are registered in the name of the Fund (or a nominee thereof), PFPC Trust will reflect such securities on its records based upon the holdings information provided to it by the issuer of such securities, but notwithstanding anything in this Agreement to the contrary PFPC Trust shall not be obligated to safekeep such securities or to perform other duties with respect to such securities other than to make payment for the purchase of such securities upon receipt of Oral or Written Instructions, accept in sale proceeds received by PFPC Trust upon the sale of such securities of which PFPC Trust is informed pursuant to Oral or Written Instructions, and accept in other distributions received by PFPC Trust with respect to such securities or reflect on its records any reinvested distributions with respect to such securities of which it is informed by the issuer of the securities.</w:t>
      </w:r>
    </w:p>
    <w:p>
      <w:pPr>
        <w:spacing w:after="0" w:line="111"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6"/>
          </w:cols>
          <w:pgMar w:left="694" w:top="280" w:right="299" w:bottom="1440" w:gutter="0" w:footer="0" w:header="0"/>
        </w:sectPr>
      </w:pPr>
    </w:p>
    <w:bookmarkStart w:id="96" w:name="page97"/>
    <w:bookmarkEnd w:id="96"/>
    <w:p>
      <w:pPr>
        <w:ind w:left="446" w:right="40" w:hanging="446"/>
        <w:spacing w:after="0" w:line="298" w:lineRule="auto"/>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w:t>
      </w:r>
      <w:r>
        <w:rPr>
          <w:rFonts w:ascii="Arial" w:cs="Arial" w:eastAsia="Arial" w:hAnsi="Arial"/>
          <w:sz w:val="16"/>
          <w:szCs w:val="16"/>
          <w:color w:val="auto"/>
        </w:rPr>
        <w:t>. Neither PFPC Trust nor its nominee shall vote any of the securities held pursuant to this Agreement by or for the account of the Fund, except in accordance with Written Instructions. PFPC Trust, directly or through the use of another entity, shall execute in blank and promptly deliver all notices, proxies and proxy soliciting materials received by PFPC Trust as custodian of the Property to the registered holder of such securities. If the registered holder is not the Fund, then Written Instructions or Oral Instructions must designate the person who owns such securities.</w:t>
      </w:r>
    </w:p>
    <w:p>
      <w:pPr>
        <w:spacing w:after="0" w:line="31" w:lineRule="exact"/>
        <w:rPr>
          <w:rFonts w:ascii="Arial" w:cs="Arial" w:eastAsia="Arial" w:hAnsi="Arial"/>
          <w:sz w:val="16"/>
          <w:szCs w:val="16"/>
          <w:color w:val="auto"/>
        </w:rPr>
      </w:pPr>
    </w:p>
    <w:p>
      <w:pPr>
        <w:ind w:left="446" w:hanging="446"/>
        <w:spacing w:after="0" w:line="332" w:lineRule="auto"/>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Transactions Not Requiring Instructions</w:t>
      </w:r>
      <w:r>
        <w:rPr>
          <w:rFonts w:ascii="Arial" w:cs="Arial" w:eastAsia="Arial" w:hAnsi="Arial"/>
          <w:sz w:val="16"/>
          <w:szCs w:val="16"/>
          <w:color w:val="auto"/>
        </w:rPr>
        <w:t>. Notwithstanding anything in this Agreement requiring instructions in order to take a particular action, in the absence of a contrary Written Instruction PFPC Trust is authorized to take the following actions without the need for instructions:</w:t>
      </w:r>
    </w:p>
    <w:p>
      <w:pPr>
        <w:spacing w:after="0" w:line="4" w:lineRule="exact"/>
        <w:rPr>
          <w:rFonts w:ascii="Arial" w:cs="Arial" w:eastAsia="Arial" w:hAnsi="Arial"/>
          <w:sz w:val="16"/>
          <w:szCs w:val="16"/>
          <w:color w:val="auto"/>
        </w:rPr>
      </w:pPr>
    </w:p>
    <w:p>
      <w:pPr>
        <w:ind w:left="1026" w:hanging="567"/>
        <w:spacing w:after="0"/>
        <w:tabs>
          <w:tab w:leader="none" w:pos="102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Collection of Income and Other 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220" w:hanging="440"/>
        <w:spacing w:after="0" w:line="259" w:lineRule="auto"/>
        <w:tabs>
          <w:tab w:leader="none" w:pos="1466" w:val="left"/>
        </w:tabs>
        <w:numPr>
          <w:ilvl w:val="2"/>
          <w:numId w:val="97"/>
        </w:numPr>
        <w:rPr>
          <w:rFonts w:ascii="Arial" w:cs="Arial" w:eastAsia="Arial" w:hAnsi="Arial"/>
          <w:sz w:val="18"/>
          <w:szCs w:val="18"/>
          <w:color w:val="auto"/>
        </w:rPr>
      </w:pPr>
      <w:r>
        <w:rPr>
          <w:rFonts w:ascii="Arial" w:cs="Arial" w:eastAsia="Arial" w:hAnsi="Arial"/>
          <w:sz w:val="18"/>
          <w:szCs w:val="18"/>
          <w:color w:val="auto"/>
        </w:rPr>
        <w:t>collect and receive for the account of the Fund, all income, dividends, distributions, coupons, option premiums, other payments and similar items, included or to be included in the Property, and, in addition, promptly advise the Fund of such receipt and credit such income to the Fund’s custodian account;</w:t>
      </w:r>
    </w:p>
    <w:p>
      <w:pPr>
        <w:spacing w:after="0" w:line="59" w:lineRule="exact"/>
        <w:rPr>
          <w:rFonts w:ascii="Arial" w:cs="Arial" w:eastAsia="Arial" w:hAnsi="Arial"/>
          <w:sz w:val="18"/>
          <w:szCs w:val="18"/>
          <w:color w:val="auto"/>
        </w:rPr>
      </w:pPr>
    </w:p>
    <w:p>
      <w:pPr>
        <w:ind w:left="1466" w:hanging="440"/>
        <w:spacing w:after="0"/>
        <w:tabs>
          <w:tab w:leader="none" w:pos="1466" w:val="left"/>
        </w:tabs>
        <w:numPr>
          <w:ilvl w:val="2"/>
          <w:numId w:val="97"/>
        </w:numPr>
        <w:rPr>
          <w:rFonts w:ascii="Arial" w:cs="Arial" w:eastAsia="Arial" w:hAnsi="Arial"/>
          <w:sz w:val="18"/>
          <w:szCs w:val="18"/>
          <w:color w:val="auto"/>
        </w:rPr>
      </w:pPr>
      <w:r>
        <w:rPr>
          <w:rFonts w:ascii="Arial" w:cs="Arial" w:eastAsia="Arial" w:hAnsi="Arial"/>
          <w:sz w:val="18"/>
          <w:szCs w:val="18"/>
          <w:color w:val="auto"/>
        </w:rPr>
        <w:t>endorse and deposit for collection, in the name of the Fund, checks, drafts, or other orders for the payment of money;</w:t>
      </w:r>
    </w:p>
    <w:p>
      <w:pPr>
        <w:spacing w:after="0" w:line="90" w:lineRule="exact"/>
        <w:rPr>
          <w:rFonts w:ascii="Arial" w:cs="Arial" w:eastAsia="Arial" w:hAnsi="Arial"/>
          <w:sz w:val="18"/>
          <w:szCs w:val="18"/>
          <w:color w:val="auto"/>
        </w:rPr>
      </w:pPr>
    </w:p>
    <w:p>
      <w:pPr>
        <w:ind w:left="1466" w:right="360" w:hanging="440"/>
        <w:spacing w:after="0" w:line="306" w:lineRule="auto"/>
        <w:tabs>
          <w:tab w:leader="none" w:pos="1466" w:val="left"/>
        </w:tabs>
        <w:numPr>
          <w:ilvl w:val="2"/>
          <w:numId w:val="97"/>
        </w:numPr>
        <w:rPr>
          <w:rFonts w:ascii="Arial" w:cs="Arial" w:eastAsia="Arial" w:hAnsi="Arial"/>
          <w:sz w:val="16"/>
          <w:szCs w:val="16"/>
          <w:color w:val="auto"/>
        </w:rPr>
      </w:pPr>
      <w:r>
        <w:rPr>
          <w:rFonts w:ascii="Arial" w:cs="Arial" w:eastAsia="Arial" w:hAnsi="Arial"/>
          <w:sz w:val="16"/>
          <w:szCs w:val="16"/>
          <w:color w:val="auto"/>
        </w:rPr>
        <w:t>receive and hold for the account of the Fund all securities received as a distribution on the Fund’s securities as a result of a stock dividend, share split-up or reorganization, recapitalization, readjustment or other rearrangement or distribution of rights or similar securities issued with respect to any securities belonging to the Fund and held by PFPC Trust hereunder;</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6"/>
          </w:cols>
          <w:pgMar w:left="694" w:top="280" w:right="259" w:bottom="1440" w:gutter="0" w:footer="0" w:header="0"/>
        </w:sectPr>
      </w:pPr>
    </w:p>
    <w:bookmarkStart w:id="97" w:name="page98"/>
    <w:bookmarkEnd w:id="97"/>
    <w:p>
      <w:pPr>
        <w:ind w:left="1007" w:right="80" w:hanging="440"/>
        <w:spacing w:after="0" w:line="268" w:lineRule="auto"/>
        <w:tabs>
          <w:tab w:leader="none" w:pos="1007" w:val="left"/>
        </w:tabs>
        <w:numPr>
          <w:ilvl w:val="1"/>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 for payment and collect the amount payable upon all securities which may mature or be called, redeemed, retired or otherwise become payable (on a mandatory basis) on the date such securities become payable; and</w:t>
      </w:r>
    </w:p>
    <w:p>
      <w:pPr>
        <w:spacing w:after="0" w:line="50" w:lineRule="exact"/>
        <w:rPr>
          <w:rFonts w:ascii="Arial" w:cs="Arial" w:eastAsia="Arial" w:hAnsi="Arial"/>
          <w:sz w:val="18"/>
          <w:szCs w:val="18"/>
          <w:color w:val="auto"/>
        </w:rPr>
      </w:pPr>
    </w:p>
    <w:p>
      <w:pPr>
        <w:ind w:left="1007" w:right="160" w:hanging="440"/>
        <w:spacing w:after="0" w:line="268" w:lineRule="auto"/>
        <w:tabs>
          <w:tab w:leader="none" w:pos="1007" w:val="left"/>
        </w:tabs>
        <w:numPr>
          <w:ilvl w:val="1"/>
          <w:numId w:val="98"/>
        </w:numPr>
        <w:rPr>
          <w:rFonts w:ascii="Arial" w:cs="Arial" w:eastAsia="Arial" w:hAnsi="Arial"/>
          <w:sz w:val="18"/>
          <w:szCs w:val="18"/>
          <w:color w:val="auto"/>
        </w:rPr>
      </w:pPr>
      <w:r>
        <w:rPr>
          <w:rFonts w:ascii="Arial" w:cs="Arial" w:eastAsia="Arial" w:hAnsi="Arial"/>
          <w:sz w:val="18"/>
          <w:szCs w:val="18"/>
          <w:color w:val="auto"/>
        </w:rPr>
        <w:t>take any action which may be necessary and proper in connection with the collection and receipt of such income and other payments and the endorsement for collection of checks, drafts, and other negotiable instruments.</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Miscellaneous Transactions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right="20" w:hanging="440"/>
        <w:spacing w:after="0" w:line="268" w:lineRule="auto"/>
        <w:tabs>
          <w:tab w:leader="none" w:pos="1007" w:val="left"/>
        </w:tabs>
        <w:numPr>
          <w:ilvl w:val="1"/>
          <w:numId w:val="99"/>
        </w:numPr>
        <w:rPr>
          <w:rFonts w:ascii="Arial" w:cs="Arial" w:eastAsia="Arial" w:hAnsi="Arial"/>
          <w:sz w:val="18"/>
          <w:szCs w:val="18"/>
          <w:color w:val="auto"/>
        </w:rPr>
      </w:pPr>
      <w:r>
        <w:rPr>
          <w:rFonts w:ascii="Arial" w:cs="Arial" w:eastAsia="Arial" w:hAnsi="Arial"/>
          <w:sz w:val="18"/>
          <w:szCs w:val="18"/>
          <w:color w:val="auto"/>
        </w:rPr>
        <w:t>PFPC Trust is authorized to deliver or cause to be delivered Property against payment or other consideration or written receipt therefor in the following cases:</w:t>
      </w:r>
    </w:p>
    <w:p>
      <w:pPr>
        <w:spacing w:after="0" w:line="50" w:lineRule="exact"/>
        <w:rPr>
          <w:rFonts w:ascii="Arial" w:cs="Arial" w:eastAsia="Arial" w:hAnsi="Arial"/>
          <w:sz w:val="18"/>
          <w:szCs w:val="18"/>
          <w:color w:val="auto"/>
        </w:rPr>
      </w:pPr>
    </w:p>
    <w:p>
      <w:pPr>
        <w:ind w:left="1467" w:hanging="441"/>
        <w:spacing w:after="0"/>
        <w:tabs>
          <w:tab w:leader="none" w:pos="1467" w:val="left"/>
        </w:tabs>
        <w:numPr>
          <w:ilvl w:val="2"/>
          <w:numId w:val="99"/>
        </w:numPr>
        <w:rPr>
          <w:rFonts w:ascii="Arial" w:cs="Arial" w:eastAsia="Arial" w:hAnsi="Arial"/>
          <w:sz w:val="16"/>
          <w:szCs w:val="16"/>
          <w:color w:val="auto"/>
        </w:rPr>
      </w:pPr>
      <w:r>
        <w:rPr>
          <w:rFonts w:ascii="Arial" w:cs="Arial" w:eastAsia="Arial" w:hAnsi="Arial"/>
          <w:sz w:val="16"/>
          <w:szCs w:val="16"/>
          <w:color w:val="auto"/>
        </w:rPr>
        <w:t>for examination by a broker or dealer selling for the account of the Fund in accordance with street delivery custom;</w:t>
      </w:r>
    </w:p>
    <w:p>
      <w:pPr>
        <w:spacing w:after="0" w:line="113" w:lineRule="exact"/>
        <w:rPr>
          <w:rFonts w:ascii="Arial" w:cs="Arial" w:eastAsia="Arial" w:hAnsi="Arial"/>
          <w:sz w:val="16"/>
          <w:szCs w:val="16"/>
          <w:color w:val="auto"/>
        </w:rPr>
      </w:pPr>
    </w:p>
    <w:p>
      <w:pPr>
        <w:ind w:left="1467" w:hanging="441"/>
        <w:spacing w:after="0"/>
        <w:tabs>
          <w:tab w:leader="none" w:pos="1467" w:val="left"/>
        </w:tabs>
        <w:numPr>
          <w:ilvl w:val="2"/>
          <w:numId w:val="99"/>
        </w:numPr>
        <w:rPr>
          <w:rFonts w:ascii="Arial" w:cs="Arial" w:eastAsia="Arial" w:hAnsi="Arial"/>
          <w:sz w:val="18"/>
          <w:szCs w:val="18"/>
          <w:color w:val="auto"/>
        </w:rPr>
      </w:pPr>
      <w:r>
        <w:rPr>
          <w:rFonts w:ascii="Arial" w:cs="Arial" w:eastAsia="Arial" w:hAnsi="Arial"/>
          <w:sz w:val="18"/>
          <w:szCs w:val="18"/>
          <w:color w:val="auto"/>
        </w:rPr>
        <w:t>for the exchange of interim receipts or temporary securities for definitive securities; and</w:t>
      </w:r>
    </w:p>
    <w:p>
      <w:pPr>
        <w:spacing w:after="0" w:line="90" w:lineRule="exact"/>
        <w:rPr>
          <w:rFonts w:ascii="Arial" w:cs="Arial" w:eastAsia="Arial" w:hAnsi="Arial"/>
          <w:sz w:val="18"/>
          <w:szCs w:val="18"/>
          <w:color w:val="auto"/>
        </w:rPr>
      </w:pPr>
    </w:p>
    <w:p>
      <w:pPr>
        <w:ind w:left="1467" w:hanging="441"/>
        <w:spacing w:after="0" w:line="256" w:lineRule="auto"/>
        <w:tabs>
          <w:tab w:leader="none" w:pos="1467" w:val="left"/>
        </w:tabs>
        <w:numPr>
          <w:ilvl w:val="2"/>
          <w:numId w:val="99"/>
        </w:numPr>
        <w:rPr>
          <w:rFonts w:ascii="Arial" w:cs="Arial" w:eastAsia="Arial" w:hAnsi="Arial"/>
          <w:sz w:val="18"/>
          <w:szCs w:val="18"/>
          <w:color w:val="auto"/>
        </w:rPr>
      </w:pPr>
      <w:r>
        <w:rPr>
          <w:rFonts w:ascii="Arial" w:cs="Arial" w:eastAsia="Arial" w:hAnsi="Arial"/>
          <w:sz w:val="18"/>
          <w:szCs w:val="18"/>
          <w:color w:val="auto"/>
        </w:rPr>
        <w:t>for transfer of securities into the name of the Fund or PFPC Trust or a sub-custodian or a nominee of one of the foregoing, or for exchange of securities for a different number of bonds, certificates, or other evidence, representing the same aggregate face amount or number of units bearing the same interest rate, maturity date and call provisions, if any; provided that, in any such case, the new securities are to be delivered to PFPC Trust.</w:t>
      </w:r>
    </w:p>
    <w:p>
      <w:pPr>
        <w:spacing w:after="0" w:line="62" w:lineRule="exact"/>
        <w:rPr>
          <w:rFonts w:ascii="Arial" w:cs="Arial" w:eastAsia="Arial" w:hAnsi="Arial"/>
          <w:sz w:val="18"/>
          <w:szCs w:val="18"/>
          <w:color w:val="auto"/>
        </w:rPr>
      </w:pPr>
    </w:p>
    <w:p>
      <w:pPr>
        <w:ind w:left="1007" w:hanging="440"/>
        <w:spacing w:after="0"/>
        <w:tabs>
          <w:tab w:leader="none" w:pos="1007" w:val="left"/>
        </w:tabs>
        <w:numPr>
          <w:ilvl w:val="1"/>
          <w:numId w:val="99"/>
        </w:numPr>
        <w:rPr>
          <w:rFonts w:ascii="Arial" w:cs="Arial" w:eastAsia="Arial" w:hAnsi="Arial"/>
          <w:sz w:val="18"/>
          <w:szCs w:val="18"/>
          <w:color w:val="auto"/>
        </w:rPr>
      </w:pPr>
      <w:r>
        <w:rPr>
          <w:rFonts w:ascii="Arial" w:cs="Arial" w:eastAsia="Arial" w:hAnsi="Arial"/>
          <w:sz w:val="18"/>
          <w:szCs w:val="18"/>
          <w:color w:val="auto"/>
        </w:rPr>
        <w:t>PFPC Trust shall:</w:t>
      </w:r>
    </w:p>
    <w:p>
      <w:pPr>
        <w:spacing w:after="0" w:line="90" w:lineRule="exact"/>
        <w:rPr>
          <w:rFonts w:ascii="Arial" w:cs="Arial" w:eastAsia="Arial" w:hAnsi="Arial"/>
          <w:sz w:val="18"/>
          <w:szCs w:val="18"/>
          <w:color w:val="auto"/>
        </w:rPr>
      </w:pPr>
    </w:p>
    <w:p>
      <w:pPr>
        <w:ind w:left="1467" w:right="200" w:hanging="441"/>
        <w:spacing w:after="0" w:line="268" w:lineRule="auto"/>
        <w:tabs>
          <w:tab w:leader="none" w:pos="1467" w:val="left"/>
        </w:tabs>
        <w:numPr>
          <w:ilvl w:val="2"/>
          <w:numId w:val="99"/>
        </w:numPr>
        <w:rPr>
          <w:rFonts w:ascii="Arial" w:cs="Arial" w:eastAsia="Arial" w:hAnsi="Arial"/>
          <w:sz w:val="18"/>
          <w:szCs w:val="18"/>
          <w:color w:val="auto"/>
        </w:rPr>
      </w:pPr>
      <w:r>
        <w:rPr>
          <w:rFonts w:ascii="Arial" w:cs="Arial" w:eastAsia="Arial" w:hAnsi="Arial"/>
          <w:sz w:val="18"/>
          <w:szCs w:val="18"/>
          <w:color w:val="auto"/>
        </w:rPr>
        <w:t>pay all income items held by it which call for payment upon presentation and hold the cash received by it upon such payment for the account of the Fund;</w:t>
      </w:r>
    </w:p>
    <w:p>
      <w:pPr>
        <w:spacing w:after="0" w:line="50" w:lineRule="exact"/>
        <w:rPr>
          <w:rFonts w:ascii="Arial" w:cs="Arial" w:eastAsia="Arial" w:hAnsi="Arial"/>
          <w:sz w:val="18"/>
          <w:szCs w:val="18"/>
          <w:color w:val="auto"/>
        </w:rPr>
      </w:pPr>
    </w:p>
    <w:p>
      <w:pPr>
        <w:ind w:left="1467" w:hanging="441"/>
        <w:spacing w:after="0"/>
        <w:tabs>
          <w:tab w:leader="none" w:pos="1467" w:val="left"/>
        </w:tabs>
        <w:numPr>
          <w:ilvl w:val="2"/>
          <w:numId w:val="99"/>
        </w:numPr>
        <w:rPr>
          <w:rFonts w:ascii="Arial" w:cs="Arial" w:eastAsia="Arial" w:hAnsi="Arial"/>
          <w:sz w:val="18"/>
          <w:szCs w:val="18"/>
          <w:color w:val="auto"/>
        </w:rPr>
      </w:pPr>
      <w:r>
        <w:rPr>
          <w:rFonts w:ascii="Arial" w:cs="Arial" w:eastAsia="Arial" w:hAnsi="Arial"/>
          <w:sz w:val="18"/>
          <w:szCs w:val="18"/>
          <w:color w:val="auto"/>
        </w:rPr>
        <w:t>collect interest and cash dividends received, with notice to the Fund, to the account of the Fund;</w:t>
      </w:r>
    </w:p>
    <w:p>
      <w:pPr>
        <w:spacing w:after="0" w:line="90" w:lineRule="exact"/>
        <w:rPr>
          <w:rFonts w:ascii="Arial" w:cs="Arial" w:eastAsia="Arial" w:hAnsi="Arial"/>
          <w:sz w:val="18"/>
          <w:szCs w:val="18"/>
          <w:color w:val="auto"/>
        </w:rPr>
      </w:pPr>
    </w:p>
    <w:p>
      <w:pPr>
        <w:ind w:left="1467" w:right="240" w:hanging="441"/>
        <w:spacing w:after="0" w:line="268" w:lineRule="auto"/>
        <w:tabs>
          <w:tab w:leader="none" w:pos="1467" w:val="left"/>
        </w:tabs>
        <w:numPr>
          <w:ilvl w:val="2"/>
          <w:numId w:val="99"/>
        </w:numPr>
        <w:rPr>
          <w:rFonts w:ascii="Arial" w:cs="Arial" w:eastAsia="Arial" w:hAnsi="Arial"/>
          <w:sz w:val="18"/>
          <w:szCs w:val="18"/>
          <w:color w:val="auto"/>
        </w:rPr>
      </w:pPr>
      <w:r>
        <w:rPr>
          <w:rFonts w:ascii="Arial" w:cs="Arial" w:eastAsia="Arial" w:hAnsi="Arial"/>
          <w:sz w:val="18"/>
          <w:szCs w:val="18"/>
          <w:color w:val="auto"/>
        </w:rPr>
        <w:t>hold for the account of the Fund all stock dividends, rights and similar securities issued with respect to any securities held by PFPC Trust hereunder; and</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87"/>
          </w:cols>
          <w:pgMar w:left="1153" w:top="280" w:right="259" w:bottom="1440" w:gutter="0" w:footer="0" w:header="0"/>
        </w:sectPr>
      </w:pPr>
    </w:p>
    <w:bookmarkStart w:id="98" w:name="page99"/>
    <w:bookmarkEnd w:id="98"/>
    <w:p>
      <w:pPr>
        <w:ind w:left="1926" w:hanging="441"/>
        <w:spacing w:after="0" w:line="256" w:lineRule="auto"/>
        <w:tabs>
          <w:tab w:leader="none" w:pos="1926" w:val="left"/>
        </w:tabs>
        <w:numPr>
          <w:ilvl w:val="3"/>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receipt of such documentation and information as PFPC Trust may request, execute as agent on behalf of the Fund all necessary ownership certificates required by a national governmental taxing authority or under the laws of any U.S. state now or hereafter in effect, inserting the Fund’s name on such certificate as the owner of the securities covered thereby, to the extent it may lawfully do so.</w:t>
      </w:r>
    </w:p>
    <w:p>
      <w:pPr>
        <w:spacing w:after="0" w:line="62" w:lineRule="exact"/>
        <w:rPr>
          <w:rFonts w:ascii="Arial" w:cs="Arial" w:eastAsia="Arial" w:hAnsi="Arial"/>
          <w:sz w:val="18"/>
          <w:szCs w:val="18"/>
          <w:color w:val="auto"/>
        </w:rPr>
      </w:pPr>
    </w:p>
    <w:p>
      <w:pPr>
        <w:ind w:left="1026" w:hanging="567"/>
        <w:spacing w:after="0"/>
        <w:tabs>
          <w:tab w:leader="none" w:pos="102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140" w:hanging="440"/>
        <w:spacing w:after="0" w:line="256" w:lineRule="auto"/>
        <w:tabs>
          <w:tab w:leader="none" w:pos="146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Subject to receipt of such documentation and information as PFPC Trust may request, PFPC Trust will, in such jurisdictions as PFPC Trust may agree from time to time, seek to reclaim or obtain a reduction with respect to any withholdings or other taxes relating to assets maintained hereunder (provided that PFPC Trust will not be liable for failure to obtain any particular relief in a particular jurisdiction); and</w:t>
      </w:r>
    </w:p>
    <w:p>
      <w:pPr>
        <w:spacing w:after="0" w:line="62" w:lineRule="exact"/>
        <w:rPr>
          <w:rFonts w:ascii="Arial" w:cs="Arial" w:eastAsia="Arial" w:hAnsi="Arial"/>
          <w:sz w:val="18"/>
          <w:szCs w:val="18"/>
          <w:color w:val="auto"/>
        </w:rPr>
      </w:pPr>
    </w:p>
    <w:p>
      <w:pPr>
        <w:ind w:left="1466" w:right="280" w:hanging="440"/>
        <w:spacing w:after="0" w:line="268" w:lineRule="auto"/>
        <w:tabs>
          <w:tab w:leader="none" w:pos="146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PFPC Trust is authorized to deduct or withhold any sum in respect of tax which PFPC Trust considers is required to be deducted or withheld “at source” by any relevant law or practice.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Segregated Accounts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right="380" w:hanging="567"/>
        <w:spacing w:after="0" w:line="268" w:lineRule="auto"/>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PFPC Trust shall establish and maintain segregated accounts on its records for and on behalf of the Fund. Such accounts may be used to transfer cash and securities, including securities in a Book-Entry System or other depository:</w:t>
      </w:r>
    </w:p>
    <w:p>
      <w:pPr>
        <w:spacing w:after="0" w:line="50" w:lineRule="exact"/>
        <w:rPr>
          <w:rFonts w:ascii="Arial" w:cs="Arial" w:eastAsia="Arial" w:hAnsi="Arial"/>
          <w:sz w:val="18"/>
          <w:szCs w:val="18"/>
          <w:color w:val="auto"/>
        </w:rPr>
      </w:pPr>
    </w:p>
    <w:p>
      <w:pPr>
        <w:ind w:left="1466" w:right="280" w:hanging="440"/>
        <w:spacing w:after="0" w:line="259" w:lineRule="auto"/>
        <w:tabs>
          <w:tab w:leader="none" w:pos="146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for the purposes of compliance by the Fund with the procedures required by a securities or option exchange, providing such procedures comply with the 1940 Act and any releases of the SEC relating to the maintenance of segregated accounts by registered investment companies; and</w:t>
      </w:r>
    </w:p>
    <w:p>
      <w:pPr>
        <w:spacing w:after="0" w:line="59" w:lineRule="exact"/>
        <w:rPr>
          <w:rFonts w:ascii="Arial" w:cs="Arial" w:eastAsia="Arial" w:hAnsi="Arial"/>
          <w:sz w:val="18"/>
          <w:szCs w:val="18"/>
          <w:color w:val="auto"/>
        </w:rPr>
      </w:pPr>
    </w:p>
    <w:p>
      <w:pPr>
        <w:ind w:left="1466" w:hanging="440"/>
        <w:spacing w:after="0"/>
        <w:tabs>
          <w:tab w:leader="none" w:pos="146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upon receipt of Written Instructions, for other purposes.</w:t>
      </w:r>
    </w:p>
    <w:p>
      <w:pPr>
        <w:spacing w:after="0" w:line="90" w:lineRule="exact"/>
        <w:rPr>
          <w:rFonts w:ascii="Arial" w:cs="Arial" w:eastAsia="Arial" w:hAnsi="Arial"/>
          <w:sz w:val="18"/>
          <w:szCs w:val="18"/>
          <w:color w:val="auto"/>
        </w:rPr>
      </w:pPr>
    </w:p>
    <w:p>
      <w:pPr>
        <w:ind w:left="1026" w:right="180" w:hanging="567"/>
        <w:spacing w:after="0" w:line="256" w:lineRule="auto"/>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PFPC Trust shall arrange for the establishment of IRA custodian accounts for such shareholders holding Shares through IRA accounts, in accordance with the Fund’s prospectuses, the Internal Revenue Code of 1986, as amended (including regulations promulgated thereunder), and with such other procedures as are mutually agreed upon from time to time by and among the Fund, PFPC Trust and the Fund’s transfer agent.</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6"/>
          </w:cols>
          <w:pgMar w:left="694" w:top="280" w:right="239" w:bottom="1440" w:gutter="0" w:footer="0" w:header="0"/>
        </w:sectPr>
      </w:pPr>
    </w:p>
    <w:bookmarkStart w:id="99" w:name="page100"/>
    <w:bookmarkEnd w:id="99"/>
    <w:p>
      <w:pPr>
        <w:ind w:left="446" w:hanging="446"/>
        <w:spacing w:after="0"/>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Purchases of Securities</w:t>
      </w:r>
      <w:r>
        <w:rPr>
          <w:rFonts w:ascii="Arial" w:cs="Arial" w:eastAsia="Arial" w:hAnsi="Arial"/>
          <w:sz w:val="16"/>
          <w:szCs w:val="16"/>
          <w:color w:val="auto"/>
        </w:rPr>
        <w:t>. PFPC Trust shall settle purchased securities upon receipt of Oral Instructions or Written Instructions that specify:</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name of the issuer and the title of the securities, including CUSIP number if applicable;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number of shares or the principal amount purchased and accrued interest, if any;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date of purchase and settlement;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purchase price per unit;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total amount payable upon such purchase; and</w:t>
      </w:r>
    </w:p>
    <w:p>
      <w:pPr>
        <w:spacing w:after="0" w:line="90" w:lineRule="exact"/>
        <w:rPr>
          <w:rFonts w:ascii="Arial" w:cs="Arial" w:eastAsia="Arial" w:hAnsi="Arial"/>
          <w:sz w:val="18"/>
          <w:szCs w:val="18"/>
          <w:color w:val="auto"/>
        </w:rPr>
      </w:pPr>
    </w:p>
    <w:p>
      <w:pPr>
        <w:ind w:left="1026" w:hanging="567"/>
        <w:spacing w:after="0" w:line="298" w:lineRule="auto"/>
        <w:tabs>
          <w:tab w:leader="none" w:pos="102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name of the person from whom or the broker through whom the purchase was made. PFPC Trust shall upon receipt of securities purchased by or for the Fund (or otherwise in accordance with standard market practice) pay out of the monies held for the account of the Fund the total amount payable to the person from whom or the broker through whom the purchase was made, provided that the same conforms to the total amount payable as set forth in such Oral Instructions or Written Instructions.</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Sales of Securities</w:t>
      </w:r>
      <w:r>
        <w:rPr>
          <w:rFonts w:ascii="Arial" w:cs="Arial" w:eastAsia="Arial" w:hAnsi="Arial"/>
          <w:sz w:val="18"/>
          <w:szCs w:val="18"/>
          <w:color w:val="auto"/>
        </w:rPr>
        <w:t>. PFPC Trust shall settle sold securities upon receipt of Oral</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Instructions or Written Instructions that specify:</w:t>
      </w:r>
    </w:p>
    <w:p>
      <w:pPr>
        <w:spacing w:after="0" w:line="90" w:lineRule="exact"/>
        <w:rPr>
          <w:sz w:val="20"/>
          <w:szCs w:val="20"/>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name of the issuer and the title of the security, including CUSIP number if applicable;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number of shares or principal amount sold, and accrued interest, if any;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date of trade and settlement;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sale price per unit;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total amount payable to the Fund upon such sale;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name of the broker through whom or the person to whom the sale was made;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location to which the security must be delivered and delivery deadline, if any.</w:t>
      </w:r>
    </w:p>
    <w:p>
      <w:pPr>
        <w:spacing w:after="0" w:line="158" w:lineRule="exact"/>
        <w:rPr>
          <w:sz w:val="20"/>
          <w:szCs w:val="20"/>
          <w:color w:val="auto"/>
        </w:rPr>
      </w:pPr>
    </w:p>
    <w:p>
      <w:pPr>
        <w:jc w:val="center"/>
        <w:ind w:right="15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86"/>
          </w:cols>
          <w:pgMar w:left="694" w:top="280" w:right="519" w:bottom="1440" w:gutter="0" w:footer="0" w:header="0"/>
        </w:sectPr>
      </w:pPr>
    </w:p>
    <w:bookmarkStart w:id="100" w:name="page101"/>
    <w:bookmarkEnd w:id="100"/>
    <w:p>
      <w:pPr>
        <w:ind w:left="6"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PFPC Trust shall deliver the securities upon receipt of the total amount payable to the Fund upon such sale, provided that the total amount payable is the same as was set forth in the Oral Instructions or Written Instructions. Notwithstanding anything to the contrary in this Agreement, PFPC Trust may accept payment in such form as is consistent with standard industry practice and may deliver assets and arrange for payment in accordance with standard market practice.</w:t>
      </w:r>
    </w:p>
    <w:p>
      <w:pPr>
        <w:spacing w:after="0" w:line="62" w:lineRule="exact"/>
        <w:rPr>
          <w:sz w:val="20"/>
          <w:szCs w:val="20"/>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Reports; Proxy Materials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PFPC Trust shall furnish to the Fund the following reports:</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such periodic and special reports as the Fund may reasonably request;</w:t>
      </w:r>
    </w:p>
    <w:p>
      <w:pPr>
        <w:spacing w:after="0" w:line="90" w:lineRule="exact"/>
        <w:rPr>
          <w:rFonts w:ascii="Arial" w:cs="Arial" w:eastAsia="Arial" w:hAnsi="Arial"/>
          <w:sz w:val="18"/>
          <w:szCs w:val="18"/>
          <w:color w:val="auto"/>
        </w:rPr>
      </w:pPr>
    </w:p>
    <w:p>
      <w:pPr>
        <w:ind w:left="1466" w:right="160" w:hanging="440"/>
        <w:spacing w:after="0" w:line="259" w:lineRule="auto"/>
        <w:tabs>
          <w:tab w:leader="none" w:pos="14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 monthly statement summarizing all transactions and entries for the account of the Fund, listing each portfolio security belonging to the Fund (with the corresponding security identification number) held at the end of such month and stating the cash balance of the Account at the end of such month.</w:t>
      </w:r>
    </w:p>
    <w:p>
      <w:pPr>
        <w:spacing w:after="0" w:line="59" w:lineRule="exact"/>
        <w:rPr>
          <w:rFonts w:ascii="Arial" w:cs="Arial" w:eastAsia="Arial" w:hAnsi="Arial"/>
          <w:sz w:val="18"/>
          <w:szCs w:val="18"/>
          <w:color w:val="auto"/>
        </w:rPr>
      </w:pPr>
    </w:p>
    <w:p>
      <w:pPr>
        <w:ind w:left="1466" w:hanging="440"/>
        <w:spacing w:after="0"/>
        <w:tabs>
          <w:tab w:leader="none" w:pos="14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reports required to be furnished to the Fund pursuant to Rule 17f-4 of the 1940 Act; and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such other information as may be agreed upon from time to time between the Fund and PFPC Trust.</w:t>
      </w:r>
    </w:p>
    <w:p>
      <w:pPr>
        <w:spacing w:after="0" w:line="90" w:lineRule="exact"/>
        <w:rPr>
          <w:rFonts w:ascii="Arial" w:cs="Arial" w:eastAsia="Arial" w:hAnsi="Arial"/>
          <w:sz w:val="18"/>
          <w:szCs w:val="18"/>
          <w:color w:val="auto"/>
        </w:rPr>
      </w:pPr>
    </w:p>
    <w:p>
      <w:pPr>
        <w:ind w:left="1026" w:hanging="567"/>
        <w:spacing w:after="0" w:line="256" w:lineRule="auto"/>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PFPC Trust shall transmit promptly to the Fund any proxy statement, proxy material, notice of a call or conversion or similar communication received by it as custodian of the Property. PFPC Trust shall be under no other obligation to inform the Fund as to such actions or events. For clarification, upon termination of this Agreement PFPC Trust shall have no responsibility to transmit such material or to inform the Fund or any other person of such actions or events.</w:t>
      </w:r>
    </w:p>
    <w:p>
      <w:pPr>
        <w:spacing w:after="0" w:line="13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6"/>
          </w:cols>
          <w:pgMar w:left="694" w:top="280" w:right="259" w:bottom="1440" w:gutter="0" w:footer="0" w:header="0"/>
        </w:sectPr>
      </w:pPr>
    </w:p>
    <w:bookmarkStart w:id="101" w:name="page102"/>
    <w:bookmarkEnd w:id="101"/>
    <w:p>
      <w:pPr>
        <w:ind w:left="446" w:hanging="446"/>
        <w:spacing w:after="0" w:line="286" w:lineRule="auto"/>
        <w:tabs>
          <w:tab w:leader="none" w:pos="44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Crediting of Accounts</w:t>
      </w:r>
      <w:r>
        <w:rPr>
          <w:rFonts w:ascii="Arial" w:cs="Arial" w:eastAsia="Arial" w:hAnsi="Arial"/>
          <w:sz w:val="16"/>
          <w:szCs w:val="16"/>
          <w:color w:val="auto"/>
        </w:rPr>
        <w:t>. PFPC Trust may in its sole discretion credit an Account with respect to income, dividends, distributions, coupons, option premiums, other payments or similar items prior to PFPC Trust’s actual receipt thereof, and in addition PFPC Trust may in its sole discretion credit or debit the assets in an Account on a contractual settlement date with respect to any sale, exchange or purchase applicable to the Account; provided that nothing herein or otherwise shall require PFPC Trust to make any advances or to credit any amounts until PFPC Trust’s actual receipt thereof. If PFPC Trust credits an Account with respect to (a) income, dividends, distributions, coupons, option premiums, other payments or similar items on a contractual payment date or otherwise in advance of PFPC Trust’s actual receipt of the amount due, (b) the proceeds of any sale or other disposition of assets on the contractual settlement date or otherwise in advance of PFPC Trust’s actual receipt of the amount due or (c) provisional crediting of any amounts due, and (i) PFPC Trust is subsequently unable to collect full and final payment for the amounts so credited within a reasonable time period using reasonable efforts or (ii) pursuant to standard industry practice, law or regulation PFPC Trust is required to repay to a third party such amounts so credited, or if any Property has been incorrectly credited, PFPC Trust shall have the absolute right in its sole discretion without demand to reverse any such credit or payment, to debit or deduct the amount of such credit or payment from the Account, and to otherwise pursue recovery of any such amounts so credited from the Fund. The Fund hereby grants to PFPC Trust and to each sub-custodian utilized by PFPC Trust in connection with providing services to the Fund a first</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6"/>
          </w:cols>
          <w:pgMar w:left="694" w:top="280" w:right="239" w:bottom="1440" w:gutter="0" w:footer="0" w:header="0"/>
        </w:sectPr>
      </w:pPr>
    </w:p>
    <w:bookmarkStart w:id="102" w:name="page103"/>
    <w:bookmarkEnd w:id="102"/>
    <w:p>
      <w:pPr>
        <w:ind w:left="466"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priority contractual possessory security interest in and a right of setoff against the assets maintained in an Account in the amount necessary to secure the return and payment to PFPC Trust and to each such sub-custodian of any advance or credit made by PFPC Trust and/or by such sub-custodian (including charges related thereto) to such Account. Notwithstanding anything in this Agreement to the contrary, PFPC Trust shall be entitled to assign any rights it has under this sub-section (m) to any sub-custodian utilized by PFPC Trust in connection with providing services to the Fund which sub-custodian makes any credits or advances with respect to the Fund.</w:t>
      </w:r>
    </w:p>
    <w:p>
      <w:pPr>
        <w:spacing w:after="0" w:line="35" w:lineRule="exact"/>
        <w:rPr>
          <w:sz w:val="20"/>
          <w:szCs w:val="20"/>
          <w:color w:val="auto"/>
        </w:rPr>
      </w:pPr>
    </w:p>
    <w:p>
      <w:pPr>
        <w:ind w:left="446" w:hanging="446"/>
        <w:spacing w:after="0" w:line="314" w:lineRule="auto"/>
        <w:tabs>
          <w:tab w:leader="none" w:pos="446"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Collections</w:t>
      </w:r>
      <w:r>
        <w:rPr>
          <w:rFonts w:ascii="Arial" w:cs="Arial" w:eastAsia="Arial" w:hAnsi="Arial"/>
          <w:sz w:val="15"/>
          <w:szCs w:val="15"/>
          <w:color w:val="auto"/>
        </w:rPr>
        <w:t>. All collections of monies or other property in respect, or which are to become part, of the Property (but not the safekeeping thereof upon receipt by PFPC Trust) shall be at the sole risk of the Fund. If payment is not received by PFPC Trust within a reasonable time after proper demands have been made, PFPC Trust shall notify the Fund in writing, including copies of all demand letters, any written responses and memoranda of all oral responses and shall await instructions from the Fund. PFPC Trust shall not be obliged to take legal action for collection unless and until reasonably indemnified to its satisfaction. PFPC Trust shall also notify the Fund as soon as reasonably practicable whenever income due on securities is not collected in due course and shall provide the Fund with periodic status reports of such income collected after a reasonable time.</w:t>
      </w:r>
    </w:p>
    <w:p>
      <w:pPr>
        <w:spacing w:after="0" w:line="23" w:lineRule="exact"/>
        <w:rPr>
          <w:rFonts w:ascii="Arial" w:cs="Arial" w:eastAsia="Arial" w:hAnsi="Arial"/>
          <w:sz w:val="15"/>
          <w:szCs w:val="15"/>
          <w:color w:val="auto"/>
        </w:rPr>
      </w:pPr>
    </w:p>
    <w:p>
      <w:pPr>
        <w:ind w:left="446" w:right="220" w:hanging="446"/>
        <w:spacing w:after="0" w:line="268" w:lineRule="auto"/>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Excess Cash Sweep</w:t>
      </w:r>
      <w:r>
        <w:rPr>
          <w:rFonts w:ascii="Arial" w:cs="Arial" w:eastAsia="Arial" w:hAnsi="Arial"/>
          <w:sz w:val="18"/>
          <w:szCs w:val="18"/>
          <w:color w:val="auto"/>
        </w:rPr>
        <w:t>. PFPC Trust will, consistent with applicable law, sweep any net excess cash balances daily into an investment vehicle or other instrument designated in Written Instructions, so long as the investment vehicle or instrument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6"/>
          </w:cols>
          <w:pgMar w:left="694" w:top="280" w:right="259" w:bottom="1440" w:gutter="0" w:footer="0" w:header="0"/>
        </w:sectPr>
      </w:pPr>
    </w:p>
    <w:bookmarkStart w:id="103" w:name="page104"/>
    <w:bookmarkEnd w:id="103"/>
    <w:p>
      <w:pPr>
        <w:ind w:left="912" w:right="4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acceptable to PFPC Trust, subject to a fee, paid to PFPC Trust for such service, to be agreed between the parties. Such investment vehicle or instrument may be offered by an affiliate of PFPC Trust or by a PFPC Trust client and PFPC Trust may receive compensation therefrom.</w:t>
      </w:r>
    </w:p>
    <w:p>
      <w:pPr>
        <w:ind w:left="892" w:right="220" w:hanging="446"/>
        <w:spacing w:after="0" w:line="259" w:lineRule="auto"/>
        <w:tabs>
          <w:tab w:leader="none" w:pos="89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Foreign Exchange</w:t>
      </w:r>
      <w:r>
        <w:rPr>
          <w:rFonts w:ascii="Arial" w:cs="Arial" w:eastAsia="Arial" w:hAnsi="Arial"/>
          <w:sz w:val="18"/>
          <w:szCs w:val="18"/>
          <w:color w:val="auto"/>
        </w:rPr>
        <w:t>. PFPC Trust, its sub-custodians and the respective affiliates of such entities (together, “Affiliated Entities”) jointly or separately may act as principal and/or agent for foreign exchange (“FX”) transactions for the Fund, and any of the Affiliated Entities may arrange FX transactions for the Fund with third parties that act as principal or agent.</w:t>
      </w:r>
    </w:p>
    <w:p>
      <w:pPr>
        <w:spacing w:after="0" w:line="59" w:lineRule="exact"/>
        <w:rPr>
          <w:sz w:val="20"/>
          <w:szCs w:val="20"/>
          <w:color w:val="auto"/>
        </w:rPr>
      </w:pPr>
    </w:p>
    <w:p>
      <w:pPr>
        <w:ind w:left="912" w:right="120"/>
        <w:spacing w:after="0" w:line="268" w:lineRule="auto"/>
        <w:rPr>
          <w:sz w:val="20"/>
          <w:szCs w:val="20"/>
          <w:color w:val="auto"/>
        </w:rPr>
      </w:pPr>
      <w:r>
        <w:rPr>
          <w:rFonts w:ascii="Arial" w:cs="Arial" w:eastAsia="Arial" w:hAnsi="Arial"/>
          <w:sz w:val="18"/>
          <w:szCs w:val="18"/>
          <w:color w:val="auto"/>
        </w:rPr>
        <w:t>Affiliated Entities and third parties may receive fees and other compensation in connection with FX transactions for the Fund, and PFPC Trust may receive from such entities a portion of their fees or other compensation.</w:t>
      </w:r>
    </w:p>
    <w:p>
      <w:pPr>
        <w:spacing w:after="0" w:line="51" w:lineRule="exact"/>
        <w:rPr>
          <w:sz w:val="20"/>
          <w:szCs w:val="20"/>
          <w:color w:val="auto"/>
        </w:rPr>
      </w:pPr>
    </w:p>
    <w:p>
      <w:pPr>
        <w:ind w:left="912" w:right="560"/>
        <w:spacing w:after="0" w:line="259" w:lineRule="auto"/>
        <w:rPr>
          <w:sz w:val="20"/>
          <w:szCs w:val="20"/>
          <w:color w:val="auto"/>
        </w:rPr>
      </w:pPr>
      <w:r>
        <w:rPr>
          <w:rFonts w:ascii="Arial" w:cs="Arial" w:eastAsia="Arial" w:hAnsi="Arial"/>
          <w:sz w:val="18"/>
          <w:szCs w:val="18"/>
          <w:color w:val="auto"/>
        </w:rPr>
        <w:t>Unless PFPC Trust itself is the principal for a FX transaction, PFPC Trust will not be responsible and shall have no liability for the actions or omissions of any principal (including any other Affiliated Entity) to any FX transaction for the Fund nor any responsibility to monitor the commercial terms of any such FX transactions.</w:t>
      </w:r>
    </w:p>
    <w:p>
      <w:pPr>
        <w:spacing w:after="0" w:line="175" w:lineRule="exact"/>
        <w:rPr>
          <w:sz w:val="20"/>
          <w:szCs w:val="20"/>
          <w:color w:val="auto"/>
        </w:rPr>
      </w:pPr>
    </w:p>
    <w:p>
      <w:pPr>
        <w:ind w:left="452" w:hanging="452"/>
        <w:spacing w:after="0" w:line="258" w:lineRule="auto"/>
        <w:tabs>
          <w:tab w:leader="none" w:pos="45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continue until terminated by the Fund or PFPC Trust on sixty (60) days’ prior written notice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 the event this Agreement is terminated (pending appointment of a successor to PFPC Trust or vote of the shareholders of the Fund to dissolve or to function without a custodian of its cash, securities or other property), PFPC Trust shall not deliver cash, securities or other property of the the Fund. It may deliver them to a bank or trust company of PFPC Trust’s</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80" w:right="259" w:bottom="1440" w:gutter="0" w:footer="0" w:header="0"/>
        </w:sectPr>
      </w:pPr>
    </w:p>
    <w:bookmarkStart w:id="104" w:name="page105"/>
    <w:bookmarkEnd w:id="104"/>
    <w:p>
      <w:pPr>
        <w:ind w:left="452"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choice, having aggregate capital, surplus and undivided profits, as shown by its last published report, of not less than twenty million dollars ($20,000,000), as a custodian for the Fund to be held under terms similar to those of this Agreement. PFPC Trust shall not be required to make any delivery or payment of assets upon termination until full payment shall have been made to PFPC Trust of all of its fees, compensation, costs and expenses (including without limitation fees and expenses associated with deconversion or conversion to another service provider and other trailing expenses incurred by PFPC Trust). PFPC Trust shall have a first priority contractual possessory security interest in and shall have a right of setoff against the Property as security for the payment of its fees, compensation, costs and expenses.</w:t>
      </w:r>
    </w:p>
    <w:p>
      <w:pPr>
        <w:spacing w:after="0" w:line="155" w:lineRule="exact"/>
        <w:rPr>
          <w:sz w:val="20"/>
          <w:szCs w:val="20"/>
          <w:color w:val="auto"/>
        </w:rPr>
      </w:pPr>
    </w:p>
    <w:p>
      <w:pPr>
        <w:jc w:val="both"/>
        <w:ind w:left="452" w:right="120" w:hanging="452"/>
        <w:spacing w:after="0" w:line="262" w:lineRule="auto"/>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in the event of an agreement to enter into a transaction that would result in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of the Fund’s adviser or sponsor, the Fund’s ability to terminate the Agreement pursuant to Section 14 will be suspended from the time of such agreement until two (2) years after the Change of Control.</w:t>
      </w:r>
    </w:p>
    <w:p>
      <w:pPr>
        <w:spacing w:after="0" w:line="172" w:lineRule="exact"/>
        <w:rPr>
          <w:rFonts w:ascii="Arial" w:cs="Arial" w:eastAsia="Arial" w:hAnsi="Arial"/>
          <w:sz w:val="18"/>
          <w:szCs w:val="18"/>
          <w:b w:val="1"/>
          <w:bCs w:val="1"/>
          <w:color w:val="auto"/>
        </w:rPr>
      </w:pPr>
    </w:p>
    <w:p>
      <w:pPr>
        <w:ind w:left="452" w:right="40" w:hanging="452"/>
        <w:spacing w:after="0" w:line="289" w:lineRule="auto"/>
        <w:tabs>
          <w:tab w:leader="none" w:pos="452"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shall be addressed (a) if to PFPC Trust at 8800 Tinicum Boulevard, Philadelphia, Pennsylvania 19153, Attention: Sam Sparhawk (or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address as PFPC Trust may inform the Fund in writing); (b) if to the Fund, at 445 Park Avenue, 10th Floor, New York, NY 10022, Attention:</w:t>
      </w:r>
    </w:p>
    <w:p>
      <w:pPr>
        <w:spacing w:after="0" w:line="1" w:lineRule="exact"/>
        <w:rPr>
          <w:rFonts w:ascii="Arial" w:cs="Arial" w:eastAsia="Arial" w:hAnsi="Arial"/>
          <w:sz w:val="16"/>
          <w:szCs w:val="16"/>
          <w:b w:val="1"/>
          <w:bCs w:val="1"/>
          <w:color w:val="auto"/>
        </w:rPr>
      </w:pPr>
    </w:p>
    <w:p>
      <w:pPr>
        <w:ind w:left="452" w:firstLine="922"/>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(or such other address as the Fund may inform PFPC Trust in writing); or (c) if to neither of the foregoing, at such other address as shall have been given by like notice to the sender of any such notice or other communication by the receiving party. If notice is sent by confirming electronic delivery, hand or facsimile sending device, it shall be deemed to have been given immediately.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-305435</wp:posOffset>
            </wp:positionV>
            <wp:extent cx="5575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72"/>
          </w:cols>
          <w:pgMar w:left="248" w:top="280" w:right="279" w:bottom="1440" w:gutter="0" w:footer="0" w:header="0"/>
        </w:sectPr>
      </w:pPr>
    </w:p>
    <w:bookmarkStart w:id="105" w:name="page106"/>
    <w:bookmarkEnd w:id="105"/>
    <w:p>
      <w:pPr>
        <w:ind w:left="452"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is sent by first-class mail, it shall be deemed to have been given five days after it has been mailed. If notice is sent by messenger, it shall be deemed to have been given on the day it is delivered.</w:t>
      </w:r>
    </w:p>
    <w:p>
      <w:pPr>
        <w:spacing w:after="0" w:line="166" w:lineRule="exact"/>
        <w:rPr>
          <w:sz w:val="20"/>
          <w:szCs w:val="20"/>
          <w:color w:val="auto"/>
        </w:rPr>
      </w:pPr>
    </w:p>
    <w:p>
      <w:pPr>
        <w:ind w:left="452" w:right="840" w:hanging="452"/>
        <w:spacing w:after="0" w:line="275" w:lineRule="auto"/>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any term hereof, may be changed or waived only by a written amendment, signed by the party against whom</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of such change or waiver is sought.</w:t>
      </w:r>
    </w:p>
    <w:p>
      <w:pPr>
        <w:spacing w:after="0" w:line="160" w:lineRule="exact"/>
        <w:rPr>
          <w:rFonts w:ascii="Arial" w:cs="Arial" w:eastAsia="Arial" w:hAnsi="Arial"/>
          <w:sz w:val="18"/>
          <w:szCs w:val="18"/>
          <w:b w:val="1"/>
          <w:bCs w:val="1"/>
          <w:color w:val="auto"/>
        </w:rPr>
      </w:pPr>
    </w:p>
    <w:p>
      <w:pPr>
        <w:ind w:left="452" w:right="380" w:hanging="452"/>
        <w:spacing w:after="0" w:line="275" w:lineRule="auto"/>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PFPC Trust may assign this Agreement to any affiliate of PFPC Trust or of The PNC Financial Services Group, Inc., provided that PFPC</w:t>
      </w:r>
      <w:r>
        <w:rPr>
          <w:rFonts w:ascii="Arial" w:cs="Arial" w:eastAsia="Arial" w:hAnsi="Arial"/>
          <w:sz w:val="18"/>
          <w:szCs w:val="18"/>
          <w:b w:val="1"/>
          <w:bCs w:val="1"/>
          <w:color w:val="auto"/>
        </w:rPr>
        <w:t xml:space="preserve"> </w:t>
      </w:r>
      <w:r>
        <w:rPr>
          <w:rFonts w:ascii="Arial" w:cs="Arial" w:eastAsia="Arial" w:hAnsi="Arial"/>
          <w:sz w:val="18"/>
          <w:szCs w:val="18"/>
          <w:color w:val="auto"/>
        </w:rPr>
        <w:t>Trust gives the Fund thirty (30) days’ prior written notice of such assignment.</w:t>
      </w:r>
    </w:p>
    <w:p>
      <w:pPr>
        <w:spacing w:after="0" w:line="160" w:lineRule="exact"/>
        <w:rPr>
          <w:rFonts w:ascii="Arial" w:cs="Arial" w:eastAsia="Arial" w:hAnsi="Arial"/>
          <w:sz w:val="18"/>
          <w:szCs w:val="18"/>
          <w:b w:val="1"/>
          <w:bCs w:val="1"/>
          <w:color w:val="auto"/>
        </w:rPr>
      </w:pPr>
    </w:p>
    <w:p>
      <w:pPr>
        <w:ind w:left="452" w:right="280" w:hanging="452"/>
        <w:spacing w:after="0" w:line="275" w:lineRule="auto"/>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0" w:lineRule="exact"/>
        <w:rPr>
          <w:rFonts w:ascii="Arial" w:cs="Arial" w:eastAsia="Arial" w:hAnsi="Arial"/>
          <w:sz w:val="18"/>
          <w:szCs w:val="18"/>
          <w:b w:val="1"/>
          <w:bCs w:val="1"/>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hanging="446"/>
        <w:spacing w:after="0" w:line="259" w:lineRule="auto"/>
        <w:tabs>
          <w:tab w:leader="none" w:pos="892"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and understanding between the parties and supersedes all prior agreements and understandings relating to the subject matter hereof, provided that the parties may embody in one or more separate documents their agreement, if any, with respect to delegated duties.</w:t>
      </w:r>
    </w:p>
    <w:p>
      <w:pPr>
        <w:spacing w:after="0" w:line="59" w:lineRule="exact"/>
        <w:rPr>
          <w:rFonts w:ascii="Arial" w:cs="Arial" w:eastAsia="Arial" w:hAnsi="Arial"/>
          <w:sz w:val="18"/>
          <w:szCs w:val="18"/>
          <w:color w:val="auto"/>
        </w:rPr>
      </w:pPr>
    </w:p>
    <w:p>
      <w:pPr>
        <w:ind w:left="892" w:right="320" w:hanging="446"/>
        <w:spacing w:after="0" w:line="306" w:lineRule="auto"/>
        <w:tabs>
          <w:tab w:leader="none" w:pos="892"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During the term of this Agreement and for one year thereafter, the Fund shall not (with the exceptions noted in the immediately succeeding sentence) knowingly solicit or recruit for employment or hire any of PFPC Trust’s employees, and the Fund shall cause the Fund’s sponsor and the Fund’s affiliates to not (with the exceptions noted in the immediately succeeding sentence)</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80" w:right="239" w:bottom="1440" w:gutter="0" w:footer="0" w:header="0"/>
        </w:sectPr>
      </w:pPr>
    </w:p>
    <w:bookmarkStart w:id="106" w:name="page107"/>
    <w:bookmarkEnd w:id="106"/>
    <w:p>
      <w:pPr>
        <w:ind w:left="46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knowingly solicit or recruit for employment or hire any of PFPC Trust’s employees. To “knowingly” solicit, recruit or hire within the meaning of this provision does not include, and therefore does not prohibit, solicitation, recruitment or hiring of a PFPC Trust employee by the Fund, the Fund’s sponsor or an affiliate of the Fund if the PFPC Trust employee was identified by such entity solely as a result of the PFPC Trust employee’s response to a general advertisement by such entity in a publication of trade or industry interest or other similar general solicitation by such entity.</w:t>
      </w:r>
    </w:p>
    <w:p>
      <w:pPr>
        <w:spacing w:after="0" w:line="32" w:lineRule="exact"/>
        <w:rPr>
          <w:sz w:val="20"/>
          <w:szCs w:val="20"/>
          <w:color w:val="auto"/>
        </w:rPr>
      </w:pPr>
    </w:p>
    <w:p>
      <w:pPr>
        <w:ind w:left="446" w:right="20" w:hanging="446"/>
        <w:spacing w:after="0" w:line="255" w:lineRule="auto"/>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 Representations or Warranties</w:t>
      </w:r>
      <w:r>
        <w:rPr>
          <w:rFonts w:ascii="Arial" w:cs="Arial" w:eastAsia="Arial" w:hAnsi="Arial"/>
          <w:sz w:val="18"/>
          <w:szCs w:val="18"/>
          <w:color w:val="auto"/>
        </w:rPr>
        <w:t>. Except as expressly provided in this Agreement, PFPC Trust hereby disclaims all representations and warranties, express or implied, made to the Fund or any other person, including, without limitation, any warranties regarding quality, suitability, merchantability, fitness for a particular purpose or otherwise (irrespective of any course of dealing, custom or usage of trade), of any services or any goods provided incidental to services provided under this Agreement. PFPC Trust disclaims any warranty of title or non-infringement except as otherwise set forth in this Agreement.</w:t>
      </w:r>
    </w:p>
    <w:p>
      <w:pPr>
        <w:spacing w:after="0" w:line="61" w:lineRule="exact"/>
        <w:rPr>
          <w:rFonts w:ascii="Arial" w:cs="Arial" w:eastAsia="Arial" w:hAnsi="Arial"/>
          <w:sz w:val="18"/>
          <w:szCs w:val="18"/>
          <w:color w:val="auto"/>
        </w:rPr>
      </w:pPr>
    </w:p>
    <w:p>
      <w:pPr>
        <w:ind w:left="446" w:right="480" w:hanging="446"/>
        <w:spacing w:after="0" w:line="306" w:lineRule="auto"/>
        <w:tabs>
          <w:tab w:leader="none" w:pos="446"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No Changes that Materially Affect Obligations</w:t>
      </w:r>
      <w:r>
        <w:rPr>
          <w:rFonts w:ascii="Arial" w:cs="Arial" w:eastAsia="Arial" w:hAnsi="Arial"/>
          <w:sz w:val="16"/>
          <w:szCs w:val="16"/>
          <w:color w:val="auto"/>
        </w:rPr>
        <w:t>. Notwithstanding anything in this Agreement to the contrary, the Fund agrees not to make any modifications to its registration statement or adopt any policies which would affect materially the obligations or responsibilities of PFPC Trust hereunder without the prior written approval of PFPC Trust, which approval shall not be unreasonably withheld or delayed.</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6"/>
          </w:cols>
          <w:pgMar w:left="694" w:top="280" w:right="259" w:bottom="1440" w:gutter="0" w:footer="0" w:header="0"/>
        </w:sectPr>
      </w:pPr>
    </w:p>
    <w:bookmarkStart w:id="107" w:name="page108"/>
    <w:bookmarkEnd w:id="107"/>
    <w:p>
      <w:pPr>
        <w:ind w:left="446" w:hanging="446"/>
        <w:spacing w:after="0" w:line="268" w:lineRule="auto"/>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Captions</w:t>
      </w:r>
      <w:r>
        <w:rPr>
          <w:rFonts w:ascii="Arial" w:cs="Arial" w:eastAsia="Arial" w:hAnsi="Arial"/>
          <w:sz w:val="18"/>
          <w:szCs w:val="18"/>
          <w:color w:val="auto"/>
        </w:rPr>
        <w:t>. The captions in this Agreement are included for convenience of reference only and in no way define or delimit any of the provisions hereof or otherwise affect their construction or effect.</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Fund will provide such information and documentation as PFPC Trust may reasonably request in connection with services provided by PFPC Trust to the Fund.</w:t>
      </w:r>
    </w:p>
    <w:p>
      <w:pPr>
        <w:spacing w:after="0" w:line="5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in Delaware and governed by Delaware law, without regard to principles of conflicts of law.</w:t>
      </w:r>
    </w:p>
    <w:p>
      <w:pPr>
        <w:spacing w:after="0" w:line="50"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If any provision of this Agreement shall be held or made invalid by a court decision, statute, rule or otherwise, the remainder of this Agreement shall not be affected thereby.</w:t>
      </w:r>
    </w:p>
    <w:p>
      <w:pPr>
        <w:spacing w:after="0" w:line="50"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shall inure to the benefit of the parties hereto and their respective successors and permitted assigns.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Facsimile Signatures</w:t>
      </w:r>
      <w:r>
        <w:rPr>
          <w:rFonts w:ascii="Arial" w:cs="Arial" w:eastAsia="Arial" w:hAnsi="Arial"/>
          <w:sz w:val="16"/>
          <w:szCs w:val="16"/>
          <w:color w:val="auto"/>
        </w:rPr>
        <w:t>. The facsimile signature of any party to this Agreement shall constitute the valid and binding execution hereof by such party.</w:t>
      </w:r>
    </w:p>
    <w:p>
      <w:pPr>
        <w:spacing w:after="0" w:line="113" w:lineRule="exact"/>
        <w:rPr>
          <w:rFonts w:ascii="Arial" w:cs="Arial" w:eastAsia="Arial" w:hAnsi="Arial"/>
          <w:sz w:val="16"/>
          <w:szCs w:val="16"/>
          <w:color w:val="auto"/>
        </w:rPr>
      </w:pPr>
    </w:p>
    <w:p>
      <w:pPr>
        <w:ind w:left="446" w:right="40" w:hanging="446"/>
        <w:spacing w:after="0" w:line="298" w:lineRule="auto"/>
        <w:tabs>
          <w:tab w:leader="none" w:pos="44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Customer Identification Program Notice</w:t>
      </w:r>
      <w:r>
        <w:rPr>
          <w:rFonts w:ascii="Arial" w:cs="Arial" w:eastAsia="Arial" w:hAnsi="Arial"/>
          <w:sz w:val="16"/>
          <w:szCs w:val="16"/>
          <w:color w:val="auto"/>
        </w:rPr>
        <w:t>. To help the U.S. government fight the funding of terrorism and money laundering activities, U.S. Federal law requires each financial institution to obtain, verify, and record certain information that identifies each person who initially opens an account with that financial institution on or after October 1, 2003. Consistent with this requirement, PFPC Trust may request (or may have already requested) the Fund’s name, address and taxpayer identification number or other government-issued identification number, and, if</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6"/>
          </w:cols>
          <w:pgMar w:left="694" w:top="280" w:right="259" w:bottom="1440" w:gutter="0" w:footer="0" w:header="0"/>
        </w:sectPr>
      </w:pPr>
    </w:p>
    <w:bookmarkStart w:id="108" w:name="page109"/>
    <w:bookmarkEnd w:id="108"/>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party is a natural person, that party’s date of birth. PFPC Trust may also ask (and may have already asked) for additional identifying information, and PFPC Trust may take steps (and may have already taken steps) to verify the authenticity and accuracy of these data elements.</w:t>
      </w:r>
    </w:p>
    <w:p>
      <w:pPr>
        <w:spacing w:after="0" w:line="4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00"/>
          </w:cols>
          <w:pgMar w:left="1160" w:top="280" w:right="7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PFPC TRUST 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27940</wp:posOffset>
            </wp:positionV>
            <wp:extent cx="25984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27940</wp:posOffset>
            </wp:positionV>
            <wp:extent cx="25984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27940</wp:posOffset>
            </wp:positionV>
            <wp:extent cx="25984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PENNANTPARK INVESTMENT CORPORATION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27940</wp:posOffset>
            </wp:positionV>
            <wp:extent cx="25984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27940</wp:posOffset>
            </wp:positionV>
            <wp:extent cx="25984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27940</wp:posOffset>
            </wp:positionV>
            <wp:extent cx="25984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100"/>
          </w:cols>
          <w:pgMar w:left="700" w:top="280" w:right="10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(k)(3)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LICENSE AGREEMENT</w:t>
      </w:r>
    </w:p>
    <w:p>
      <w:pPr>
        <w:spacing w:after="0" w:line="17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This TRADEMARK LICENSE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effective as of March , 2007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PennantPark Investment Advisers, LLC a Delaware limited liability company (the “</w:t>
      </w:r>
      <w:r>
        <w:rPr>
          <w:rFonts w:ascii="Arial" w:cs="Arial" w:eastAsia="Arial" w:hAnsi="Arial"/>
          <w:sz w:val="16"/>
          <w:szCs w:val="16"/>
          <w:u w:val="single" w:color="auto"/>
          <w:color w:val="auto"/>
        </w:rPr>
        <w:t>Licensor</w:t>
      </w:r>
      <w:r>
        <w:rPr>
          <w:rFonts w:ascii="Arial" w:cs="Arial" w:eastAsia="Arial" w:hAnsi="Arial"/>
          <w:sz w:val="16"/>
          <w:szCs w:val="16"/>
          <w:color w:val="auto"/>
        </w:rPr>
        <w:t>” or “</w:t>
      </w:r>
      <w:r>
        <w:rPr>
          <w:rFonts w:ascii="Arial" w:cs="Arial" w:eastAsia="Arial" w:hAnsi="Arial"/>
          <w:sz w:val="16"/>
          <w:szCs w:val="16"/>
          <w:u w:val="single" w:color="auto"/>
          <w:color w:val="auto"/>
        </w:rPr>
        <w:t>Adviser</w:t>
      </w:r>
      <w:r>
        <w:rPr>
          <w:rFonts w:ascii="Arial" w:cs="Arial" w:eastAsia="Arial" w:hAnsi="Arial"/>
          <w:sz w:val="16"/>
          <w:szCs w:val="16"/>
          <w:color w:val="auto"/>
        </w:rPr>
        <w:t>”), and PennantPark Investment Corporation, a corporation organized under the laws of the State of Maryland (“</w:t>
      </w:r>
      <w:r>
        <w:rPr>
          <w:rFonts w:ascii="Arial" w:cs="Arial" w:eastAsia="Arial" w:hAnsi="Arial"/>
          <w:sz w:val="16"/>
          <w:szCs w:val="16"/>
          <w:u w:val="single" w:color="auto"/>
          <w:color w:val="auto"/>
        </w:rPr>
        <w:t>Corporation</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-329565</wp:posOffset>
            </wp:positionV>
            <wp:extent cx="1117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WHEREAS, Adviser is the owner of the trade name “PENNANTPARK” (the “</w:t>
      </w:r>
      <w:r>
        <w:rPr>
          <w:rFonts w:ascii="Arial" w:cs="Arial" w:eastAsia="Arial" w:hAnsi="Arial"/>
          <w:sz w:val="16"/>
          <w:szCs w:val="16"/>
          <w:u w:val="single" w:color="auto"/>
          <w:color w:val="auto"/>
        </w:rPr>
        <w:t>Licensed Mark</w:t>
      </w:r>
      <w:r>
        <w:rPr>
          <w:rFonts w:ascii="Arial" w:cs="Arial" w:eastAsia="Arial" w:hAnsi="Arial"/>
          <w:sz w:val="16"/>
          <w:szCs w:val="16"/>
          <w:color w:val="auto"/>
        </w:rPr>
        <w:t>”) and has filed an application to register the mark in the United States of America (the “Territory”) for investment management, investment consultation and investment advisory services.</w:t>
      </w:r>
    </w:p>
    <w:p>
      <w:pPr>
        <w:spacing w:after="0" w:line="85"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WHEREAS, Corporation is a newly organized closed-end management investment company that has filed notice with the Securities and Exchange Commission that it intends to elect to be treated as a business development company under the Investment Company Act of 1940 (the “1940 Act”);</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WHEREAS, the Corporation is entering into an investment advisory and management agreement with Adviser (the “</w:t>
      </w:r>
      <w:r>
        <w:rPr>
          <w:rFonts w:ascii="Arial" w:cs="Arial" w:eastAsia="Arial" w:hAnsi="Arial"/>
          <w:sz w:val="18"/>
          <w:szCs w:val="18"/>
          <w:u w:val="single" w:color="auto"/>
          <w:color w:val="auto"/>
        </w:rPr>
        <w:t>Advisory Agreement</w:t>
      </w:r>
      <w:r>
        <w:rPr>
          <w:rFonts w:ascii="Arial" w:cs="Arial" w:eastAsia="Arial" w:hAnsi="Arial"/>
          <w:sz w:val="18"/>
          <w:szCs w:val="18"/>
          <w:color w:val="auto"/>
        </w:rPr>
        <w:t>”), wherein Corporation will engage Adviser to act as the investment adviser to the Corporation; and</w:t>
      </w:r>
    </w:p>
    <w:p>
      <w:pPr>
        <w:spacing w:after="0" w:line="132"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WHEREAS, Corporation desires to use the Licensed Mark in connection with the operation of its business, and Adviser is willing to permit Corporation to use the Licensed Mark, subject to the terms and conditions of this Agreement.</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GRANT</w:t>
      </w:r>
    </w:p>
    <w:p>
      <w:pPr>
        <w:spacing w:after="0" w:line="165"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License</w:t>
      </w:r>
      <w:r>
        <w:rPr>
          <w:rFonts w:ascii="Arial" w:cs="Arial" w:eastAsia="Arial" w:hAnsi="Arial"/>
          <w:sz w:val="16"/>
          <w:szCs w:val="16"/>
          <w:color w:val="auto"/>
        </w:rPr>
        <w:t>. Subject to the terms and conditions of this Agreement, Adviser hereby grants to Corporation, and Corporation hereby accepts from Adviser, a personal, non-exclusive, royalty-free right and license to use the Licensed Mark solely and exclusively as an element of Corporation’s own corporate name and in connection with marketing the investment management, investment consultation and investment advisory services that Adviser may provide to Corporation.</w:t>
      </w:r>
    </w:p>
    <w:p>
      <w:pPr>
        <w:spacing w:after="0" w:line="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During the term of this Agreement, Corporation shall use the Licensed Mark only to the extent permitted under this License, and except as provided above, neither Corporation nor any affiliate, owner, director, officer, employee, or agent thereof shall otherwise use the Licensed Mark or any derivative thereof in the Territory without the prior express written consent of Adviser in its sole and absolute discretion and shall not use the Licensed Mark for any purpose outside the Territory. All rights not expressly granted to Corporation hereunder shall remain the exclusive property of Adviser.</w:t>
      </w:r>
    </w:p>
    <w:p>
      <w:pPr>
        <w:sectPr>
          <w:pgSz w:w="11900" w:h="16838" w:orient="portrait"/>
          <w:cols w:equalWidth="0" w:num="1">
            <w:col w:w="11420"/>
          </w:cols>
          <w:pgMar w:left="240" w:top="125" w:right="239" w:bottom="1440" w:gutter="0" w:footer="0" w:header="0"/>
        </w:sectPr>
      </w:pPr>
    </w:p>
    <w:bookmarkStart w:id="111" w:name="page112"/>
    <w:bookmarkEnd w:id="111"/>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6"/>
          <w:szCs w:val="16"/>
          <w:u w:val="single" w:color="auto"/>
          <w:color w:val="auto"/>
        </w:rPr>
        <w:t>Licensor’s Use</w:t>
      </w:r>
      <w:r>
        <w:rPr>
          <w:rFonts w:ascii="Arial" w:cs="Arial" w:eastAsia="Arial" w:hAnsi="Arial"/>
          <w:sz w:val="16"/>
          <w:szCs w:val="16"/>
          <w:color w:val="auto"/>
        </w:rPr>
        <w:t>. Nothing in this Agreement shall preclude Licensor or any of its successors or assigns from using or permitting other entities to use the Licensed Mark, whether or not such entity directly or indirectly competes or conflicts with Corporation’s business in any manner.</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OWNERSHIP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Ownership</w:t>
      </w:r>
      <w:r>
        <w:rPr>
          <w:rFonts w:ascii="Arial" w:cs="Arial" w:eastAsia="Arial" w:hAnsi="Arial"/>
          <w:sz w:val="18"/>
          <w:szCs w:val="18"/>
          <w:color w:val="auto"/>
        </w:rPr>
        <w:t>. Corporation acknowledges and agrees that Adviser is the owner of all right, title, and interest in and to the Licensed Mark, and all such right, title and interest shall remain with the Adviser. Corporation shall not contest, dispute, challenge, oppose or seek to cancel Adviser’s right, title, and interest in and to the Licensed Mark. Corporation shall not prosecute any application for registration of the Licensed Mark, or seek to register the Licensed Mark as a domain name or part of any domain name.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Goodwill</w:t>
      </w:r>
      <w:r>
        <w:rPr>
          <w:rFonts w:ascii="Arial" w:cs="Arial" w:eastAsia="Arial" w:hAnsi="Arial"/>
          <w:sz w:val="16"/>
          <w:szCs w:val="16"/>
          <w:color w:val="auto"/>
        </w:rPr>
        <w:t>. Corporation acknowledges that Corporation shall not acquire any right, title, or interest in the Licensed Mark by virtue of this Agreement other than the license granted hereunder, and disclaims any such right, title, interest, or ownership. All goodwill and reputation generated by Corporation’s use of the Licensed Mark shall inure to the exclusive benefit of Adviser. Corporation shall not by any act or omission use the Licensed Mark in any manner that disparages or reflects adversely on Adviser or its business or reputation. Corporation shall not take any action that would interfere with or prejudice Adviser’s ownership or registration of the Licensed Mark, the validity of the Licensed Mark or the validity of the license granted by this Agreement.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COMPLIANCE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Quality Control</w:t>
      </w:r>
      <w:r>
        <w:rPr>
          <w:rFonts w:ascii="Arial" w:cs="Arial" w:eastAsia="Arial" w:hAnsi="Arial"/>
          <w:sz w:val="16"/>
          <w:szCs w:val="16"/>
          <w:color w:val="auto"/>
        </w:rPr>
        <w:t>. In order to preserve the inherent value of the Licensed Mark, Corporation agrees to use reasonable efforts to ensure that it maintains the quality of the Corporation’s business and the operation thereof equal to the standards prevailing in the operation of Adviser’s and Corporation’s business as of the date of this Agreement. Adviser shall oversee the quality of the services provided under the Licensed Mark by virtue of its role as investment adviser to the Corporation, and shall approve, prior to their use, all prospectuses, advertisements, and other materials upon which Corporation uses the Licensed Mark. The Corporation further agrees to use the Licensed Mark in accordance with such quality standards as may be reasonably established by Licensor and communicated to the Corporation from time to time in writing, or as may be agreed to by Licensor and the Corporation from time to time in writing.</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Corporation agrees that the business operated by it in connection with the Licensed Mark shall comply with all laws, rules, regulations and</w:t>
      </w:r>
    </w:p>
    <w:p>
      <w:pPr>
        <w:sectPr>
          <w:pgSz w:w="11900" w:h="16838" w:orient="portrait"/>
          <w:cols w:equalWidth="0" w:num="1">
            <w:col w:w="11360"/>
          </w:cols>
          <w:pgMar w:left="240" w:top="280" w:right="299" w:bottom="1440" w:gutter="0" w:footer="0" w:header="0"/>
        </w:sectPr>
      </w:pPr>
    </w:p>
    <w:bookmarkStart w:id="112" w:name="page113"/>
    <w:bookmarkEnd w:id="112"/>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any governmental body in the Territory or elsewhere as may be applicable to the operation, advertising and promotion of the business and shall notify Adviser of any action that must be taken by Corporation to comply with such law, rules, regulations or requirements.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Notification of Infringement</w:t>
      </w:r>
      <w:r>
        <w:rPr>
          <w:rFonts w:ascii="Arial" w:cs="Arial" w:eastAsia="Arial" w:hAnsi="Arial"/>
          <w:sz w:val="16"/>
          <w:szCs w:val="16"/>
          <w:color w:val="auto"/>
        </w:rPr>
        <w:t>. Each party shall immediately notify the other party and provide to the other party all relevant background facts upon becoming aware of (a) any registrations of, or applications for registration of, marks in the Territory that do or may conflict with any Licensed Mark, and (b) any infringements, imitations, or illegal use or misuse of the Licensed Mark in the Territory. Adviser shall have the exclusive right, but not the obligation, to prosecute, defend and/or settle in its sole discretion, all actions, proceedings and claims involving any Third Party Infringement or Third Party Claim, and to take any other action that it deems necessary or proper for the protection and preservation of its rights in the Licensed Mark. Corporation shall cooperate with Adviser in the prosecution, defense, or settlement of such actions, proceedings, or claims.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4.1. Corporation acknowledges that Adviser has applied for registration in the Territory of PENNANTPARK, that Adviser’s application for registration has not yet been examined or approved for registration, and that Corporation accepts this license on an “as is” basis. Corporation acknowledges that Adviser makes no explicit or implicit representation or warranty as to the registrability, validity, enforceability, or ownership of the Licensed Mark, or as to Corporation’s ability to use the Licensed Mark without infringing or otherwise violating the rights of others, and Adviser has no obligation to indemnify Corporation with respect to any claims arising from Corporation’s use of the Licensed Mark.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hereby represents and warrants to the other party as follows:</w:t>
      </w:r>
    </w:p>
    <w:p>
      <w:pPr>
        <w:spacing w:after="0" w:line="90" w:lineRule="exact"/>
        <w:rPr>
          <w:sz w:val="20"/>
          <w:szCs w:val="20"/>
          <w:color w:val="auto"/>
        </w:rPr>
      </w:pPr>
    </w:p>
    <w:p>
      <w:pPr>
        <w:ind w:right="140" w:firstLine="921"/>
        <w:spacing w:after="0" w:line="332"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Such party is a corporation duly incorporated and in good standing as of the Effective Date, and the execution, delivery and performance of this Agreement by such party have been duly authorized by all necessary action on the part of such party.</w:t>
      </w:r>
    </w:p>
    <w:p>
      <w:pPr>
        <w:spacing w:after="0" w:line="85" w:lineRule="exact"/>
        <w:rPr>
          <w:rFonts w:ascii="Arial" w:cs="Arial" w:eastAsia="Arial" w:hAnsi="Arial"/>
          <w:sz w:val="16"/>
          <w:szCs w:val="16"/>
          <w:color w:val="auto"/>
        </w:rPr>
      </w:pPr>
    </w:p>
    <w:p>
      <w:pPr>
        <w:ind w:right="140" w:firstLine="921"/>
        <w:spacing w:after="0" w:line="332" w:lineRule="auto"/>
        <w:tabs>
          <w:tab w:leader="none" w:pos="116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Due Execution</w:t>
      </w:r>
      <w:r>
        <w:rPr>
          <w:rFonts w:ascii="Arial" w:cs="Arial" w:eastAsia="Arial" w:hAnsi="Arial"/>
          <w:sz w:val="16"/>
          <w:szCs w:val="16"/>
          <w:color w:val="auto"/>
        </w:rPr>
        <w:t>. This Agreement has been duly executed and delivered by such party and, with due authorization, execution and delivery by the other party, constitutes a legal, valid and binding obligation of such party, enforceable against such party in accordance with its terms.</w:t>
      </w:r>
    </w:p>
    <w:p>
      <w:pPr>
        <w:spacing w:after="0" w:line="85" w:lineRule="exact"/>
        <w:rPr>
          <w:rFonts w:ascii="Arial" w:cs="Arial" w:eastAsia="Arial" w:hAnsi="Arial"/>
          <w:sz w:val="16"/>
          <w:szCs w:val="16"/>
          <w:color w:val="auto"/>
        </w:rPr>
      </w:pPr>
    </w:p>
    <w:p>
      <w:pPr>
        <w:ind w:right="180" w:firstLine="921"/>
        <w:spacing w:after="0" w:line="268" w:lineRule="auto"/>
        <w:tabs>
          <w:tab w:leader="none" w:pos="115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Such party’s execution, delivery and performance of this Agreement do not: (i) violate, conflict with or result in the breach of any provision of the charter or by-laws (or similar organizational documents) of such party; (ii) conflict with or violate any</w:t>
      </w:r>
    </w:p>
    <w:p>
      <w:pPr>
        <w:sectPr>
          <w:pgSz w:w="11900" w:h="16838" w:orient="portrait"/>
          <w:cols w:equalWidth="0" w:num="1">
            <w:col w:w="11380"/>
          </w:cols>
          <w:pgMar w:left="240" w:top="280" w:right="279" w:bottom="1440" w:gutter="0" w:footer="0" w:header="0"/>
        </w:sectPr>
      </w:pPr>
    </w:p>
    <w:bookmarkStart w:id="113" w:name="page114"/>
    <w:bookmarkEnd w:id="113"/>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or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agreement, lease, sublease, license, permit, franchise or other instrument or arrangement to which it is a party.</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 AND TERMINATION</w:t>
      </w:r>
    </w:p>
    <w:p>
      <w:pPr>
        <w:spacing w:after="0" w:line="16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expire (a) upon expiration or termination of the Advisory Agreement; (b) if the Adviser ceases to serve as investment adviser to Corporation; (c) by Adviser or Corporation upon sixty (60) days’ written notice to the other party, or (d) by Adviser at any time in the event Corporation assigns or attempts to assign or sublicense this Agreement or any of Corporation’s rights or duties hereunder without the prior written consent of Adviser.</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Upon Termination</w:t>
      </w:r>
      <w:r>
        <w:rPr>
          <w:rFonts w:ascii="Arial" w:cs="Arial" w:eastAsia="Arial" w:hAnsi="Arial"/>
          <w:sz w:val="18"/>
          <w:szCs w:val="18"/>
          <w:color w:val="auto"/>
        </w:rPr>
        <w:t>. Upon expiration or termination of this Agreement, all rights granted to Corporation under this Agreement with respect to the Licensed Mark shall cease, and Corporation shall immediately discontinue all use of the Licensed Mark. Corporation shall immediately change its corporate name by deleting the term “PENNANTPARK.” For twenty-four (24) months following termination of this Agreement, Corporation shall specify on all public-facing materials in a prominent place and in prominent typeface that Corporation is no longer operating under the Licensed Mark and is no longer associated with Licensor.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Corporation will not sublicense, assign, pledge, grant or otherwise encumber or transfer to any third party all or any part of its rights or duties under this Agreement, in whole or in part, without the prior written consent from Adviser, which consent Adviser may grant or withhold in its sole and absolute discretion. Any purported transfer without such consent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Except as expressly provided or authorized in the Advisory Agreement, neither party shall have, or shall represent that it has, any power, right or authority to bind the other party to any obligation or liability, or to assume or create any obligation or liability on behalf of the other party.</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or made (and shall be deemed to have been duly given or made upon receipt) by delivery in person, by overnight courier service (with signature required), by facsimile, or by registered or certified mail (postage prepaid, return receipt requested) to the respective parties at the following addresses:</w:t>
      </w:r>
    </w:p>
    <w:p>
      <w:pPr>
        <w:sectPr>
          <w:pgSz w:w="11900" w:h="16838" w:orient="portrait"/>
          <w:cols w:equalWidth="0" w:num="1">
            <w:col w:w="11420"/>
          </w:cols>
          <w:pgMar w:left="240" w:top="280"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to Adviser: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If to Corporation:</w:t>
      </w:r>
    </w:p>
    <w:p>
      <w:pPr>
        <w:spacing w:after="0" w:line="140"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PennantPark Investment Advisers,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307-3280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515-3451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PennantPark Investment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307-3280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515-3451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ectPr>
          <w:pgSz w:w="11900" w:h="16838" w:orient="portrait"/>
          <w:cols w:equalWidth="0" w:num="2">
            <w:col w:w="5240" w:space="720"/>
            <w:col w:w="5460"/>
          </w:cols>
          <w:pgMar w:left="240" w:top="280" w:right="239" w:bottom="1440" w:gutter="0" w:footer="0" w:header="0"/>
          <w:type w:val="continuous"/>
        </w:sectPr>
      </w:pPr>
    </w:p>
    <w:bookmarkStart w:id="114" w:name="page115"/>
    <w:bookmarkEnd w:id="114"/>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except by an instrument in writing signed by each party hereto.</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convenience of reference only and shall not affect in any way the meaning or interpretation of this Agreement.</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executed shall be deemed to be an original instrument and all of which taken together shall constitute one and the same agreement.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supersedes all prior agreements and undertakings, both written and oral, between the parties with respect to such subject matter.</w:t>
      </w:r>
    </w:p>
    <w:p>
      <w:pPr>
        <w:sectPr>
          <w:pgSz w:w="11900" w:h="16838" w:orient="portrait"/>
          <w:cols w:equalWidth="0" w:num="1">
            <w:col w:w="11320"/>
          </w:cols>
          <w:pgMar w:left="240" w:top="280" w:right="339" w:bottom="1440" w:gutter="0" w:footer="0" w:header="0"/>
        </w:sectPr>
      </w:pPr>
    </w:p>
    <w:bookmarkStart w:id="115" w:name="page116"/>
    <w:bookmarkEnd w:id="115"/>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either express or implied, is intended to or shall confer upon any third party any legal or equitable right, benefit or remedy of any nature whatsoever under or by reason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party has caused this Agreement to be executed as of the Effective Date by its duly authorized officer.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(K)(5)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CREDIT AGREEMENT</w:t>
      </w:r>
    </w:p>
    <w:p>
      <w:pPr>
        <w:spacing w:after="0" w:line="171" w:lineRule="exact"/>
        <w:rPr>
          <w:sz w:val="20"/>
          <w:szCs w:val="20"/>
          <w:color w:val="auto"/>
        </w:rPr>
      </w:pPr>
    </w:p>
    <w:p>
      <w:pPr>
        <w:ind w:right="280" w:firstLine="913"/>
        <w:spacing w:after="0" w:line="275" w:lineRule="auto"/>
        <w:rPr>
          <w:sz w:val="20"/>
          <w:szCs w:val="20"/>
          <w:color w:val="auto"/>
        </w:rPr>
      </w:pPr>
      <w:r>
        <w:rPr>
          <w:rFonts w:ascii="Arial" w:cs="Arial" w:eastAsia="Arial" w:hAnsi="Arial"/>
          <w:sz w:val="18"/>
          <w:szCs w:val="18"/>
          <w:color w:val="auto"/>
        </w:rPr>
        <w:t xml:space="preserve">THIS AMENDMENT NO. 1 TO CREDIT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dated as of March 26, 2007, is hereby executed among Pennant SPV Company, LLC, as borrower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and Bear Stearns Investment Products, Inc., as lender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65"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color w:val="auto"/>
        </w:rPr>
        <w:t xml:space="preserve">WHEREAS, the Borrower and Lender desire to amend the Credit Agreement (the </w:t>
      </w:r>
      <w:r>
        <w:rPr>
          <w:rFonts w:ascii="Arial" w:cs="Arial" w:eastAsia="Arial" w:hAnsi="Arial"/>
          <w:sz w:val="18"/>
          <w:szCs w:val="18"/>
          <w:b w:val="1"/>
          <w:bCs w:val="1"/>
          <w:color w:val="auto"/>
        </w:rPr>
        <w:t>“Credit Agreement”)</w:t>
      </w:r>
      <w:r>
        <w:rPr>
          <w:rFonts w:ascii="Arial" w:cs="Arial" w:eastAsia="Arial" w:hAnsi="Arial"/>
          <w:sz w:val="18"/>
          <w:szCs w:val="18"/>
          <w:color w:val="auto"/>
        </w:rPr>
        <w:t xml:space="preserve"> dated as of February 6, 2007 between the Borrower and Lender.</w:t>
      </w:r>
    </w:p>
    <w:p>
      <w:pPr>
        <w:spacing w:after="0" w:line="12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NOW, THEREFORE, in consideration of the mutual premises, covenants, representations and warranties hereinafter set forth or incorporated herein, the Borrower and Lender hereby agree as follows:</w:t>
      </w:r>
    </w:p>
    <w:p>
      <w:pPr>
        <w:spacing w:after="0" w:line="5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Amendment, capitalized terms used herein but not otherwise defined herein shall have the meanings specified in the Credit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w:t>
      </w:r>
      <w:r>
        <w:rPr>
          <w:rFonts w:ascii="Arial" w:cs="Arial" w:eastAsia="Arial" w:hAnsi="Arial"/>
          <w:sz w:val="18"/>
          <w:szCs w:val="18"/>
          <w:color w:val="auto"/>
        </w:rPr>
        <w:t>. The Borrower and Lender hereby agree that:</w:t>
      </w:r>
    </w:p>
    <w:p>
      <w:pPr>
        <w:spacing w:after="0" w:line="90" w:lineRule="exact"/>
        <w:rPr>
          <w:sz w:val="20"/>
          <w:szCs w:val="20"/>
          <w:color w:val="auto"/>
        </w:rPr>
      </w:pPr>
    </w:p>
    <w:p>
      <w:pPr>
        <w:ind w:right="100" w:firstLine="921"/>
        <w:spacing w:after="0" w:line="332" w:lineRule="auto"/>
        <w:tabs>
          <w:tab w:leader="none" w:pos="115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defined term “</w:t>
      </w:r>
      <w:r>
        <w:rPr>
          <w:rFonts w:ascii="Arial" w:cs="Arial" w:eastAsia="Arial" w:hAnsi="Arial"/>
          <w:sz w:val="16"/>
          <w:szCs w:val="16"/>
          <w:u w:val="single" w:color="auto"/>
          <w:color w:val="auto"/>
        </w:rPr>
        <w:t>Available Loan Amount</w:t>
      </w:r>
      <w:r>
        <w:rPr>
          <w:rFonts w:ascii="Arial" w:cs="Arial" w:eastAsia="Arial" w:hAnsi="Arial"/>
          <w:sz w:val="16"/>
          <w:szCs w:val="16"/>
          <w:color w:val="auto"/>
        </w:rPr>
        <w:t>” set forth in Section 1 of the Credit Agreement, shall be amended by deleting “Two Hundred Million Dollars and no cents (US$200,000,000.00)” and replacing it with “Two Hundred Fifty Million Dollars and no cents (US$250,000,000.00)”.</w:t>
      </w:r>
    </w:p>
    <w:p>
      <w:pPr>
        <w:spacing w:after="0" w:line="85" w:lineRule="exact"/>
        <w:rPr>
          <w:rFonts w:ascii="Arial" w:cs="Arial" w:eastAsia="Arial" w:hAnsi="Arial"/>
          <w:sz w:val="16"/>
          <w:szCs w:val="16"/>
          <w:color w:val="auto"/>
        </w:rPr>
      </w:pPr>
    </w:p>
    <w:p>
      <w:pPr>
        <w:ind w:right="260" w:firstLine="921"/>
        <w:spacing w:after="0" w:line="268"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u w:val="single" w:color="auto"/>
          <w:color w:val="auto"/>
        </w:rPr>
        <w:t>Parent</w:t>
      </w:r>
      <w:r>
        <w:rPr>
          <w:rFonts w:ascii="Arial" w:cs="Arial" w:eastAsia="Arial" w:hAnsi="Arial"/>
          <w:sz w:val="18"/>
          <w:szCs w:val="18"/>
          <w:color w:val="auto"/>
        </w:rPr>
        <w:t>” set forth in Section 1 of the Credit Agreement shall be amended by deleting “Pennant Investment Corporation” and replacing it with “PennantPark Investment Corporation.”</w:t>
      </w:r>
    </w:p>
    <w:p>
      <w:pPr>
        <w:spacing w:after="0" w:line="132"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 xml:space="preserve">Sections. </w:t>
      </w:r>
      <w:r>
        <w:rPr>
          <w:rFonts w:ascii="Arial" w:cs="Arial" w:eastAsia="Arial" w:hAnsi="Arial"/>
          <w:sz w:val="18"/>
          <w:szCs w:val="18"/>
          <w:u w:val="single" w:color="auto"/>
          <w:color w:val="auto"/>
        </w:rPr>
        <w:t>Conflict</w:t>
      </w:r>
      <w:r>
        <w:rPr>
          <w:rFonts w:ascii="Arial" w:cs="Arial" w:eastAsia="Arial" w:hAnsi="Arial"/>
          <w:sz w:val="18"/>
          <w:szCs w:val="18"/>
          <w:color w:val="auto"/>
        </w:rPr>
        <w:t xml:space="preserve">. To the extent any term or provision of this Amendment conflicts with any term or provision of the Credit Agreement, such term or condition set forth in the Credit Agreement shall be read in a manner that is consistent with the spirit and intent of the amendments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Any conflicting language set forth in the Credit Agreement shall be deemed to have been amended pursuant to the terms hereof to effect the intended amendment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43"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w:t>
      </w:r>
      <w:r>
        <w:rPr>
          <w:rFonts w:ascii="Arial" w:cs="Arial" w:eastAsia="Arial" w:hAnsi="Arial"/>
          <w:sz w:val="18"/>
          <w:szCs w:val="18"/>
          <w:color w:val="auto"/>
        </w:rPr>
        <w:t>. By executing this Amendment, the parties hereto shall be deemed to have agreed that all notices required under the Credit Agreement have been timely provided or waived.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Confirmation</w:t>
      </w:r>
      <w:r>
        <w:rPr>
          <w:rFonts w:ascii="Arial" w:cs="Arial" w:eastAsia="Arial" w:hAnsi="Arial"/>
          <w:sz w:val="18"/>
          <w:szCs w:val="18"/>
          <w:color w:val="auto"/>
        </w:rPr>
        <w:t>. The amended Credit Agreement is hereby confirmed in all other respects by the parties hereto.</w:t>
      </w:r>
    </w:p>
    <w:p>
      <w:pPr>
        <w:sectPr>
          <w:pgSz w:w="11900" w:h="16838" w:orient="portrait"/>
          <w:cols w:equalWidth="0" w:num="1">
            <w:col w:w="11420"/>
          </w:cols>
          <w:pgMar w:left="240" w:top="125" w:right="239" w:bottom="1440" w:gutter="0" w:footer="0" w:header="0"/>
        </w:sectPr>
      </w:pPr>
    </w:p>
    <w:bookmarkStart w:id="117" w:name="page118"/>
    <w:bookmarkEnd w:id="117"/>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hereto represents and warrants that this Amendment has been duly and validly authorized, executed and delivered and is legal, valid, binding and enforceable against it in accordance with its terms.</w:t>
      </w:r>
    </w:p>
    <w:p>
      <w:pPr>
        <w:spacing w:after="0" w:line="132"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facsimile or electronic mail in any number of counterparts and by different parties hereto on separate counterparts, each of which counterparts, when executed and delivered, shall be deemed an original and all of which counterparts, taken together, shall constitute one and the same agreement.</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Amendment is expressly conditioned on satisfaction of each of the following on or prior to the date hereof:</w:t>
      </w:r>
    </w:p>
    <w:p>
      <w:pPr>
        <w:spacing w:after="0" w:line="51" w:lineRule="exact"/>
        <w:rPr>
          <w:sz w:val="20"/>
          <w:szCs w:val="20"/>
          <w:color w:val="auto"/>
        </w:rPr>
      </w:pPr>
    </w:p>
    <w:p>
      <w:pPr>
        <w:ind w:right="420" w:firstLine="921"/>
        <w:spacing w:after="0" w:line="268" w:lineRule="auto"/>
        <w:tabs>
          <w:tab w:leader="none" w:pos="11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Lender shall have received resolutions approving all actions taken by the Borrower or the Parent, as applicable, in connection with this Amendment; and</w:t>
      </w:r>
    </w:p>
    <w:p>
      <w:pPr>
        <w:spacing w:after="0" w:line="50"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Lender shall have received originally executed copies of the written opinion of Dechert LLP, New York counsel to the Borrower, dated as of the date of this Amendment and covering certain corporate matters, confirming the opinions covered in its opinion delivered at the Closing and covering certain other matters, in form and substance reasonably satisfactory to such Lender (and the Borrower hereby instructs such counsel to deliver such opinion to the Lender).</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AMENDMENT SHALL BE GOVERNED BY, AND CONSTRUED IN ACCORDANCE WITH, THE</w:t>
      </w:r>
    </w:p>
    <w:p>
      <w:pPr>
        <w:spacing w:after="0" w:line="4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INTERNAL LAWS OF THE STATE OF NEW YORK APPLICABLE TO AGREEMENTS MADE AND TO BE PERFORMED IN THE STATE OF NEW YORK, AND THE OBLIGATIONS, RIGHTS AND REMEDIES OF THE PARTIES HEREUNDER SHALL BE DETERMINED IN ACCORDANCE WITH SUCH LAWS.</w:t>
      </w:r>
    </w:p>
    <w:p>
      <w:pPr>
        <w:sectPr>
          <w:pgSz w:w="11900" w:h="16838" w:orient="portrait"/>
          <w:cols w:equalWidth="0" w:num="1">
            <w:col w:w="11360"/>
          </w:cols>
          <w:pgMar w:left="240" w:top="280" w:right="299" w:bottom="1440" w:gutter="0" w:footer="0" w:header="0"/>
        </w:sectPr>
      </w:pPr>
    </w:p>
    <w:bookmarkStart w:id="118" w:name="page119"/>
    <w:bookmarkEnd w:id="11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parties have caused this Amendment to be duly executed and delivered by its duly authorized officer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 SPV COMPANY,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124"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BEAR STEARNS INVESTMENT PRODUCTS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Lender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Jonathan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Jonathan Weiss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successor to Pennant Investment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124"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ectPr>
          <w:pgSz w:w="11900" w:h="16838" w:orient="portrait"/>
          <w:cols w:equalWidth="0" w:num="1">
            <w:col w:w="11280"/>
          </w:cols>
          <w:pgMar w:left="240" w:top="280" w:right="3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(k)(6)</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April ·, 2007</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PENNANTPARK INVESTMENT CORPORATION</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OTHER HOLDERS NAMED HEREIN</w:t>
      </w:r>
    </w:p>
    <w:p>
      <w:pPr>
        <w:sectPr>
          <w:pgSz w:w="11900" w:h="16838" w:orient="portrait"/>
          <w:cols w:equalWidth="0" w:num="1">
            <w:col w:w="10220"/>
          </w:cols>
          <w:pgMar w:left="1440" w:top="125" w:right="239" w:bottom="1440" w:gutter="0" w:footer="0" w:header="0"/>
        </w:sectPr>
      </w:pPr>
    </w:p>
    <w:bookmarkStart w:id="120" w:name="page121"/>
    <w:bookmarkEnd w:id="1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77"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This Registration Rights Agreement is made and entered into as of April ·, 2007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PennantPark Investment Corporation, a corporation organized under the laws of Maryland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named on the signature pages hereto (the “</w:t>
      </w:r>
      <w:r>
        <w:rPr>
          <w:rFonts w:ascii="Arial" w:cs="Arial" w:eastAsia="Arial" w:hAnsi="Arial"/>
          <w:sz w:val="16"/>
          <w:szCs w:val="16"/>
          <w:u w:val="single" w:color="auto"/>
          <w:color w:val="auto"/>
        </w:rPr>
        <w:t>Investors</w:t>
      </w:r>
      <w:r>
        <w:rPr>
          <w:rFonts w:ascii="Arial" w:cs="Arial" w:eastAsia="Arial" w:hAnsi="Arial"/>
          <w:sz w:val="16"/>
          <w:szCs w:val="16"/>
          <w:color w:val="auto"/>
        </w:rPr>
        <w:t>”).</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A. WHEREAS, the Company has filed a registration statement on Form N-2 for the purpose of registering 31,050,000 shares of its Common Stock (as defined herein) for issuance and sale by the Company in an initial public offering (the “IPO”).</w:t>
      </w:r>
    </w:p>
    <w:p>
      <w:pPr>
        <w:spacing w:after="0" w:line="132" w:lineRule="exact"/>
        <w:rPr>
          <w:sz w:val="20"/>
          <w:szCs w:val="20"/>
          <w:color w:val="auto"/>
        </w:rPr>
      </w:pPr>
    </w:p>
    <w:p>
      <w:pPr>
        <w:jc w:val="both"/>
        <w:ind w:right="300" w:firstLine="913"/>
        <w:spacing w:after="0" w:line="306" w:lineRule="auto"/>
        <w:rPr>
          <w:sz w:val="20"/>
          <w:szCs w:val="20"/>
          <w:color w:val="auto"/>
        </w:rPr>
      </w:pPr>
      <w:r>
        <w:rPr>
          <w:rFonts w:ascii="Arial" w:cs="Arial" w:eastAsia="Arial" w:hAnsi="Arial"/>
          <w:sz w:val="16"/>
          <w:szCs w:val="16"/>
          <w:color w:val="auto"/>
        </w:rPr>
        <w:t>B. WHEREAS, immediately prior to the IPO, the Company and the Investors are entering into a subscription agreement dated April ·, 2007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pursuant to which the Company has agreed to issue and sell to the Investors, and the Investors have agreed to purchase from the Company, an aggregate of 320,000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on the terms and subject to the conditions described therein; and</w:t>
      </w:r>
    </w:p>
    <w:p>
      <w:pPr>
        <w:spacing w:after="0" w:line="10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C. WHEREAS, as an inducement to the Investors to enter into the Subscription Agreement, the Company has agreed to provide the registration rights set forth in this Agreement.</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SECTION 1. DEFINITIONS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Defined Terms. As used in this Agreement, the following terms shall have the following meanings:</w:t>
      </w:r>
    </w:p>
    <w:p>
      <w:pPr>
        <w:spacing w:after="0" w:line="90"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Disclosure</w:t>
      </w:r>
      <w:r>
        <w:rPr>
          <w:rFonts w:ascii="Arial" w:cs="Arial" w:eastAsia="Arial" w:hAnsi="Arial"/>
          <w:sz w:val="16"/>
          <w:szCs w:val="16"/>
          <w:color w:val="auto"/>
        </w:rPr>
        <w:t>” means public disclosure of material non-public information, which disclosure, in the good faith judgment of the Board of Directors or the chief executive officer of the Company after consultation with counsel to the Company, (i) would be required to be made in any Registration Statement so that such Registration Statement would not be materially misleading, (ii) would not be required to be made at such time but for the public availability of such Registration Statement and (iii) the Company has a bona fide business purpose for not disclosing publicly.</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hereto.</w:t>
      </w:r>
    </w:p>
    <w:p>
      <w:pPr>
        <w:sectPr>
          <w:pgSz w:w="11900" w:h="16838" w:orient="portrait"/>
          <w:cols w:equalWidth="0" w:num="1">
            <w:col w:w="11340"/>
          </w:cols>
          <w:pgMar w:left="240" w:top="274" w:right="319" w:bottom="1440" w:gutter="0" w:footer="0" w:header="0"/>
        </w:sectPr>
      </w:pPr>
    </w:p>
    <w:bookmarkStart w:id="121" w:name="page122"/>
    <w:bookmarkEnd w:id="1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hereto and shall include the Company’s successors by merger, amalgamation, acquisition, reorganization or otherwise.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set forth in Section 2.2(a).</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any rules and regulations promulgated thereunder, all as the same shall be in effect from time to time.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any holder or holders of Registrable Securities who is a party hereto or who otherwise agrees in writing to be bound by the provisions of this Agreement pursuant to Section 3.3.</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Incidental Registration</w:t>
      </w:r>
      <w:r>
        <w:rPr>
          <w:rFonts w:ascii="Arial" w:cs="Arial" w:eastAsia="Arial" w:hAnsi="Arial"/>
          <w:sz w:val="18"/>
          <w:szCs w:val="18"/>
          <w:color w:val="auto"/>
        </w:rPr>
        <w:t>” has the meaning set forth in Section 2.3(a).</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any successor thereto, and any rules and regulations promulgated thereunder, all as the same shall be in effect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has the meaning set forth in the preamble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recitals hereto.</w:t>
      </w:r>
    </w:p>
    <w:p>
      <w:pPr>
        <w:spacing w:after="0" w:line="171"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Listing Date</w:t>
      </w:r>
      <w:r>
        <w:rPr>
          <w:rFonts w:ascii="Arial" w:cs="Arial" w:eastAsia="Arial" w:hAnsi="Arial"/>
          <w:sz w:val="16"/>
          <w:szCs w:val="16"/>
          <w:color w:val="auto"/>
        </w:rPr>
        <w:t>” means the date on which the Common Stock commences trading on the Nasdaq Global Market, any U.S. national securities exchange, the London Stock Market (including the AIM Market), the Euronext Registered Market or any other securities exchange.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has the meaning set forth in Section 2.9(a).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limited liability company or partnership, joint venture, corporation, joint stock company, trust or unincorporated organization, incorporated or unincorporated association, government (or any department, agency or political subdivision thereof) or other entity of any kind.</w:t>
      </w:r>
    </w:p>
    <w:p>
      <w:pPr>
        <w:spacing w:after="0" w:line="14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and supplements to such prospectus and all material incorporated by reference in such prospectus.</w:t>
      </w:r>
    </w:p>
    <w:p>
      <w:pPr>
        <w:spacing w:after="0" w:line="132"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all of the Shares issued and sold by the Company to the Investors pursuant to the terms of the Subscription Agreement and (ii) any securities that may be issued or distributed or be issuable in respect thereof by way of stock</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40"/>
          </w:cols>
          <w:pgMar w:left="240" w:top="280" w:right="319" w:bottom="1440" w:gutter="0" w:footer="0" w:header="0"/>
        </w:sectPr>
      </w:pPr>
    </w:p>
    <w:bookmarkStart w:id="122" w:name="page123"/>
    <w:bookmarkEnd w:id="12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dividend, stock split or other distribution, merger, amalgamation, consolidation, exchange offer, recapitalization or reclassification or similar transaction or exercise or conversion of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of the foregoing securities shall cease to be “Registrable Securities” to the extent (i) a Registration Statement with respect to their sale or exchange for registered securities has been declared effective under the Securities Act and they have been disposed of or exchanged pursuant to such Registration Statement, (ii) they have been distributed pursuant to Rule 144 (or any similar provision then in force) under the Securities Act or (iii) new certificates for them not bearing a legend restricting transfer under the Securities Act shall have been delivered by the Company and they may be publicly resold (without volume or method of sale restrictions) without registration under the Securities Act. For purposes of this Agreement, a “class” of Registrable Securities shall mean all Securities with the same terms and a “percentage” (or a “majority”) of the Registrable Securities (or, where applicable, of any other securities) shall be determined based on the number of shares of such securities.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w:t>
      </w:r>
      <w:r>
        <w:rPr>
          <w:rFonts w:ascii="Arial" w:cs="Arial" w:eastAsia="Arial" w:hAnsi="Arial"/>
          <w:sz w:val="18"/>
          <w:szCs w:val="18"/>
          <w:color w:val="auto"/>
        </w:rPr>
        <w:t>” means a registration of the Company’s securities for sale to the public under a Registration Statement.</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filed with, or to be filed with, the SEC under the rules and regulations promulgated under the Securities Act, including the Prospectus, any and all amendments and supplements to such registration statement, including post-effective amendments, and all exhibits to and all material incorporated by reference in such registration statement.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and any rules and regulations promulgated thereunder, all as the same shall be in effect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effected pursuant to Section 2.1.</w:t>
      </w:r>
    </w:p>
    <w:p>
      <w:pPr>
        <w:spacing w:after="0" w:line="171" w:lineRule="exact"/>
        <w:rPr>
          <w:sz w:val="20"/>
          <w:szCs w:val="20"/>
          <w:color w:val="auto"/>
        </w:rPr>
      </w:pPr>
    </w:p>
    <w:p>
      <w:pPr>
        <w:jc w:val="both"/>
        <w:ind w:right="3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a Registration Statement of the Company filed with the SEC on Form N-2 (or any successor form or other appropriate forms under the Securities Act or the Investment Company Act) for an offering to be made on a continuous or delayed basis pursuant to Rule 415 under the Securities Act (or any similar rule that may be adopted by the SEC) covering the Registrable Securities.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hereto.</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the Company are sold to an underwriter or underwriters on a firm commitment basis for reoffering to the public.</w:t>
      </w:r>
    </w:p>
    <w:p>
      <w:pPr>
        <w:spacing w:after="0" w:line="51"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General Interpretive Principles</w:t>
      </w:r>
      <w:r>
        <w:rPr>
          <w:rFonts w:ascii="Arial" w:cs="Arial" w:eastAsia="Arial" w:hAnsi="Arial"/>
          <w:sz w:val="18"/>
          <w:szCs w:val="18"/>
          <w:color w:val="auto"/>
        </w:rPr>
        <w:t>. Whenever used in this Agreement, except as otherwise expressly provided or unless the context otherwise requires, any noun or pronoun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123" w:name="page124"/>
    <w:bookmarkEnd w:id="123"/>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deemed to include the plural as well as the singular and to cover all genders. The names assigned in this Agreement and the section captions used herein are for convenience of reference only and shall not be construed to affect the meaning, construction or effect hereof. Unless otherwise specified, the terms “hereof,” “herein,” “hereunder” and similar terms refer to this Agreement as a whole (including the exhibits, schedules and disclosure statements hereto), and references herein to Sections refer to Sections of this 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REGISTRATION RIGHTS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9" w:lineRule="auto"/>
        <w:tabs>
          <w:tab w:leader="none" w:pos="11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Commencing at such time as the Company is eligible to use Form S-3, and subject to Section 2.1(c), upon the written request of the holders of not less than 25% of the Registrable Securities at any time, the Company shall use its reasonable best efforts to file with the SEC as soon as practicable and, in any event, within 60 days of the Company’s receipt of such written request, a Shelf Registration Statement relating to the offer and sale of all Registrable Securities from time to time in accordance with the reasonable and customary methods of distribution elected by such requesting holders and shall use its reasonable best efforts to cause such Shelf Registration Statement to be declared effective under the Securities Act. The Company shall not be required to effect more than three Shelf Registrations covering the Registrable Securities. The Company may elect to include in such registration additional securities of the same class as the Registrable Securities to be registered hereunder, including securities to be sold for the Company’s own account or for the account of Persons who are not holders of Registrable Securities.</w:t>
      </w:r>
    </w:p>
    <w:p>
      <w:pPr>
        <w:spacing w:after="0" w:line="118" w:lineRule="exact"/>
        <w:rPr>
          <w:rFonts w:ascii="Arial" w:cs="Arial" w:eastAsia="Arial" w:hAnsi="Arial"/>
          <w:sz w:val="16"/>
          <w:szCs w:val="16"/>
          <w:color w:val="auto"/>
        </w:rPr>
      </w:pPr>
    </w:p>
    <w:p>
      <w:pPr>
        <w:ind w:right="80" w:firstLine="921"/>
        <w:spacing w:after="0" w:line="290" w:lineRule="auto"/>
        <w:tabs>
          <w:tab w:leader="none" w:pos="1161"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Continued Effectiveness</w:t>
      </w:r>
      <w:r>
        <w:rPr>
          <w:rFonts w:ascii="Arial" w:cs="Arial" w:eastAsia="Arial" w:hAnsi="Arial"/>
          <w:sz w:val="16"/>
          <w:szCs w:val="16"/>
          <w:color w:val="auto"/>
        </w:rPr>
        <w:t>. Subject to Section 2.1(c), the Company shall use its reasonable best efforts to keep a Shelf Registration Statement filed pursuant to Section 2.1(a) continuously effective for a period of two years (or such shorter period as will terminate when all Registrable Securities covered by such Shelf Registration Statement have been sold or withdrawn) in order to permit the Prospectus forming a part thereof to be usable by the holders during such two-year (or shorter) period. The Company shall not be deemed to have used its reasonable best efforts to keep a Shelf Registration Statement effective if the Company voluntarily takes any action, or omits to take any action, that would result in the inability of any holder of Registrable Securities covered by such Registration Statement to be able to offer and sell any such Registrable Securities during the two-year (or shorter) period during which such Registration Statement is required to be effective, unless such action or omission is required by applicable law.</w:t>
      </w:r>
    </w:p>
    <w:p>
      <w:pPr>
        <w:spacing w:after="0" w:line="118" w:lineRule="exact"/>
        <w:rPr>
          <w:rFonts w:ascii="Arial" w:cs="Arial" w:eastAsia="Arial" w:hAnsi="Arial"/>
          <w:sz w:val="16"/>
          <w:szCs w:val="16"/>
          <w:color w:val="auto"/>
        </w:rPr>
      </w:pPr>
    </w:p>
    <w:p>
      <w:pPr>
        <w:ind w:firstLine="921"/>
        <w:spacing w:after="0" w:line="255" w:lineRule="auto"/>
        <w:tabs>
          <w:tab w:leader="none" w:pos="115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Suspension of Registration</w:t>
      </w:r>
      <w:r>
        <w:rPr>
          <w:rFonts w:ascii="Arial" w:cs="Arial" w:eastAsia="Arial" w:hAnsi="Arial"/>
          <w:sz w:val="18"/>
          <w:szCs w:val="18"/>
          <w:color w:val="auto"/>
        </w:rPr>
        <w:t>. If the filing, initial effectiveness or continued use of a Shelf Registration Statement at any time would require the Company to make an Adverse Disclosure or would require the inclusion in such Shelf Registration Statement of financial statements that are unavailable to the Company for reasons beyond the Company’s control, the Company may, upon giving prompt written notice of such action to the holders, delay the filing or initial effectiveness of, or suspend use of, such Shelf Registration Statement for the shortest period of time determined in good faith by the Company to be necessary for such</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124" w:name="page125"/>
    <w:bookmarkEnd w:id="1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permitted to do so (A) more than two times during any 12-month period, (B) for a period exceeding 120 days on any one occasion or (C) for a total of more than 180 days in any 12-month period. In the event the Company exercises its rights under the preceding sentence, the holders agree to suspend, immediately upon their receipt of the notice referred to above, their use of the Prospectus relating to such Shelf Registration in connection with any sale or offer to sell Registrable Securities and agree not to disclose to any other Person the fact that the Company has exercised such rights or any related facts. The Company shall immediately notify the holders upon the expiration of any period during which it exercised its rights under this Section 2.1(c) and that the use of the Prospectus may, subject to receipt of any supplemented or amended Prospectus contemplated by Section 2.5(a)(iv) if necessitated by the circumstances giving rise to the delay or suspension described above, be resumed. In the event that the Company shall exercise its rights under this Section 2.1(c) to suspend the use of such Shelf Registration Statement after it has been declared effective, the period during which the Shelf Registration Statement is required pursuant to Section 2.1(b) to be maintained effective shall be extended by the number of days during the period from and including the date of the giving of such suspension notice to and including the date when each holder of Registrable Securities covered by such Shelf Registration Statement either receives the copies of the supplemented or amended Prospectus contemplated by Section 2.5(a)(iv) or is advised in writing by the Company that the use of the Prospectus may be resumed.</w:t>
      </w:r>
    </w:p>
    <w:p>
      <w:pPr>
        <w:spacing w:after="0" w:line="124" w:lineRule="exact"/>
        <w:rPr>
          <w:sz w:val="20"/>
          <w:szCs w:val="20"/>
          <w:color w:val="auto"/>
        </w:rPr>
      </w:pPr>
    </w:p>
    <w:p>
      <w:pPr>
        <w:ind w:right="20" w:firstLine="921"/>
        <w:spacing w:after="0" w:line="291" w:lineRule="auto"/>
        <w:tabs>
          <w:tab w:leader="none" w:pos="116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If the holders of not less than two-thirds of the Registrable Securities included in any offering pursuant to a Shelf Registration Statement so elect, such offering shall be in the foam of an Underwritten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estimated market value of any such offering, including any other shares of Common Stock included therein, would constitute at least $50 million in aggregate gross proceeds. If necessary, the Company shall amend or supplement the Shelf Registration Statement for such purpose. The Issuer shall have the right, after consulting with the holders of Registrable Securities making such election to be included in such Underwritten Offering, to select the managing underwriter or underwriters for the offering, subject to the right of a majority of such holders to approve such managing underwriter or underwriters, which approval shall not be unreasonably withheld.</w:t>
      </w:r>
    </w:p>
    <w:p>
      <w:pPr>
        <w:spacing w:after="0" w:line="120" w:lineRule="exact"/>
        <w:rPr>
          <w:rFonts w:ascii="Arial" w:cs="Arial" w:eastAsia="Arial" w:hAnsi="Arial"/>
          <w:sz w:val="16"/>
          <w:szCs w:val="16"/>
          <w:color w:val="auto"/>
        </w:rPr>
      </w:pPr>
    </w:p>
    <w:p>
      <w:pPr>
        <w:ind w:right="360" w:firstLine="921"/>
        <w:spacing w:after="0" w:line="259" w:lineRule="auto"/>
        <w:tabs>
          <w:tab w:leader="none" w:pos="115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Effect on Demand and Incidental Registration Obligation</w:t>
      </w:r>
      <w:r>
        <w:rPr>
          <w:rFonts w:ascii="Arial" w:cs="Arial" w:eastAsia="Arial" w:hAnsi="Arial"/>
          <w:sz w:val="18"/>
          <w:szCs w:val="18"/>
          <w:color w:val="auto"/>
        </w:rPr>
        <w:t>. The provisions of Sections 2.2 and 2.3 shall not apply to any holder of Registrable Securities at any time the Company is maintaining an effective Shelf Registration Statement with respect to any Registrable Securities of such holder and is complying with its obligations under this Section 2.1 with respect to Registrable Securities.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Registrations</w:t>
      </w:r>
      <w:r>
        <w:rPr>
          <w:rFonts w:ascii="Arial" w:cs="Arial" w:eastAsia="Arial" w:hAnsi="Arial"/>
          <w:sz w:val="18"/>
          <w:szCs w:val="18"/>
          <w:color w:val="auto"/>
        </w:rPr>
        <w:t>.</w:t>
      </w:r>
    </w:p>
    <w:p>
      <w:pPr>
        <w:spacing w:after="0" w:line="90" w:lineRule="exact"/>
        <w:rPr>
          <w:sz w:val="20"/>
          <w:szCs w:val="20"/>
          <w:color w:val="auto"/>
        </w:rPr>
      </w:pPr>
    </w:p>
    <w:p>
      <w:pPr>
        <w:ind w:right="200" w:firstLine="921"/>
        <w:spacing w:after="0" w:line="259" w:lineRule="auto"/>
        <w:tabs>
          <w:tab w:leader="none" w:pos="115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Demand by Holders</w:t>
      </w:r>
      <w:r>
        <w:rPr>
          <w:rFonts w:ascii="Arial" w:cs="Arial" w:eastAsia="Arial" w:hAnsi="Arial"/>
          <w:sz w:val="18"/>
          <w:szCs w:val="18"/>
          <w:color w:val="auto"/>
        </w:rPr>
        <w:t>. (i) From and after the date which is the earlier of (A) 180 days after the date upon which the Company has commenced filing reports under Section 13 of the Exchange Act with the SEC and (B) the Listing Date, the holders of not less than two-thirds of Registrable Securities may make a written request to the Company for registration of all</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125" w:name="page126"/>
    <w:bookmarkEnd w:id="12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any portion of the Registrable Securities held by such requesting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estimated market value of the Registrable Securities to be registered is at least $50 million in aggregate gross proceeds in any public offering thereof. Any such requested registration shall hereinafter be referred to as a “</w:t>
      </w:r>
      <w:r>
        <w:rPr>
          <w:rFonts w:ascii="Arial" w:cs="Arial" w:eastAsia="Arial" w:hAnsi="Arial"/>
          <w:sz w:val="18"/>
          <w:szCs w:val="18"/>
          <w:u w:val="single" w:color="auto"/>
          <w:color w:val="auto"/>
        </w:rPr>
        <w:t>Demand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w:t>
      </w:r>
      <w:r>
        <w:rPr>
          <w:rFonts w:ascii="Arial" w:cs="Arial" w:eastAsia="Arial" w:hAnsi="Arial"/>
          <w:sz w:val="18"/>
          <w:szCs w:val="18"/>
          <w:color w:val="auto"/>
        </w:rPr>
        <w:t>.” Each request for a Demand Registration shall specify the aggregate amount of Registrable Securities to be registered and the intended methods of disposition thereof.</w:t>
      </w:r>
    </w:p>
    <w:p>
      <w:pPr>
        <w:spacing w:after="0" w:line="143" w:lineRule="exact"/>
        <w:rPr>
          <w:sz w:val="20"/>
          <w:szCs w:val="20"/>
          <w:color w:val="auto"/>
        </w:rPr>
      </w:pPr>
    </w:p>
    <w:p>
      <w:pPr>
        <w:ind w:right="20" w:firstLine="921"/>
        <w:spacing w:after="0" w:line="289" w:lineRule="auto"/>
        <w:tabs>
          <w:tab w:leader="none" w:pos="117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Within five days following receipt of any written request for a Demand Registration, the Company shall deliver written notice of such request to all other holders of Registrable Securities of the class or classes to be registered. Thereafter, subject to Section 2.2(g), the Company shall include in such Demand Registration any additional Registrable Securities of each such class which the holder or holders thereof have requested in writing be included in such Demand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requests therefor have been received by the Company within 15 days of the Company’s having sent the applicable notice to such holder or holders. All such requests shall specify the aggregate amount and class of Registrable Securities to be registered and the intended method of distribution of the same. Subject to Section 2.2(g), the Company also may elect to include in such registration additional securities of the class or classes of the Registrable Securities to be registered hereunder, including securities to be sold for the Company’s own account or for the account of Persons who are not holders of Registrable Securities.</w:t>
      </w:r>
    </w:p>
    <w:p>
      <w:pPr>
        <w:spacing w:after="0" w:line="118" w:lineRule="exact"/>
        <w:rPr>
          <w:rFonts w:ascii="Arial" w:cs="Arial" w:eastAsia="Arial" w:hAnsi="Arial"/>
          <w:sz w:val="16"/>
          <w:szCs w:val="16"/>
          <w:color w:val="auto"/>
        </w:rPr>
      </w:pPr>
    </w:p>
    <w:p>
      <w:pPr>
        <w:ind w:right="200" w:firstLine="921"/>
        <w:spacing w:after="0" w:line="259" w:lineRule="auto"/>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promptly as practicable (and, in any event, within 60 days) following receipt of a written request for a Demand Registration, the Company shall file a Registration Statement relating to such Demand Registration and shall use its reasonable best efforts to cause such Registration Statement to be declared effective under the Securities Act.</w:t>
      </w:r>
    </w:p>
    <w:p>
      <w:pPr>
        <w:spacing w:after="0" w:line="140" w:lineRule="exact"/>
        <w:rPr>
          <w:sz w:val="20"/>
          <w:szCs w:val="20"/>
          <w:color w:val="auto"/>
        </w:rPr>
      </w:pPr>
    </w:p>
    <w:p>
      <w:pPr>
        <w:ind w:left="1160" w:hanging="239"/>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Limitation on Demand Registrations</w:t>
      </w:r>
      <w:r>
        <w:rPr>
          <w:rFonts w:ascii="Arial" w:cs="Arial" w:eastAsia="Arial" w:hAnsi="Arial"/>
          <w:sz w:val="18"/>
          <w:szCs w:val="18"/>
          <w:color w:val="auto"/>
        </w:rPr>
        <w:t>. In no event shall the Company be required to effect more than four Demand Registrations.</w:t>
      </w:r>
    </w:p>
    <w:p>
      <w:pPr>
        <w:spacing w:after="0" w:line="171" w:lineRule="exact"/>
        <w:rPr>
          <w:rFonts w:ascii="Arial" w:cs="Arial" w:eastAsia="Arial" w:hAnsi="Arial"/>
          <w:sz w:val="18"/>
          <w:szCs w:val="18"/>
          <w:color w:val="auto"/>
        </w:rPr>
      </w:pPr>
    </w:p>
    <w:p>
      <w:pPr>
        <w:ind w:right="20" w:firstLine="921"/>
        <w:spacing w:after="0" w:line="255" w:lineRule="auto"/>
        <w:tabs>
          <w:tab w:leader="none" w:pos="115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Demand Withdrawal</w:t>
      </w:r>
      <w:r>
        <w:rPr>
          <w:rFonts w:ascii="Arial" w:cs="Arial" w:eastAsia="Arial" w:hAnsi="Arial"/>
          <w:sz w:val="18"/>
          <w:szCs w:val="18"/>
          <w:color w:val="auto"/>
        </w:rPr>
        <w:t>. A holder may withdraw its Registrable Securities from a Demand Registration at any time prior to the effectiveness of the applicable Registration Statement. If holders of a majority of the Registrable Securities to be included in the applicable Registration Statement do so, the Company shall cease all efforts to secure registration and such registration nonetheless shall be deemed a Demand Registration for purposes Section 2.2(b) unless such withdrawing holders shall have paid or reimbursed the Company for all of the reasonable out-of-pocket fees and expenses incurred by the Company in connection with the withdrawn registration.</w:t>
      </w:r>
    </w:p>
    <w:p>
      <w:pPr>
        <w:spacing w:after="0" w:line="142" w:lineRule="exact"/>
        <w:rPr>
          <w:rFonts w:ascii="Arial" w:cs="Arial" w:eastAsia="Arial" w:hAnsi="Arial"/>
          <w:sz w:val="18"/>
          <w:szCs w:val="18"/>
          <w:color w:val="auto"/>
        </w:rPr>
      </w:pPr>
    </w:p>
    <w:p>
      <w:pPr>
        <w:ind w:firstLine="921"/>
        <w:spacing w:after="0" w:line="294" w:lineRule="auto"/>
        <w:tabs>
          <w:tab w:leader="none" w:pos="1161"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Effective Registration</w:t>
      </w:r>
      <w:r>
        <w:rPr>
          <w:rFonts w:ascii="Arial" w:cs="Arial" w:eastAsia="Arial" w:hAnsi="Arial"/>
          <w:sz w:val="16"/>
          <w:szCs w:val="16"/>
          <w:color w:val="auto"/>
        </w:rPr>
        <w:t>. The Company shall be deemed to have effected a Demand Registration if the applicable Registration Statement is declared effective by the SEC and remains effective for not less than 180 days (or such shorter period as will terminate when all Registrable Securities covered by such Registration Statement have been sold or withdrawn). No Demand Registration shall be deemed to have been effected if an Underwritten Offering is contemplated by such Demand Registration and the conditions to closing specified in the applicable underwriting agreement are not satisfied by reason of a wrongful act, misrepresentation or breach of such underwriting agreement or this Agreement by the Company.</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126" w:name="page127"/>
    <w:bookmarkEnd w:id="126"/>
    <w:p>
      <w:pPr>
        <w:ind w:left="-921" w:firstLine="921"/>
        <w:spacing w:after="0" w:line="285" w:lineRule="auto"/>
        <w:tabs>
          <w:tab w:leader="none" w:pos="23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of Registration</w:t>
      </w:r>
      <w:r>
        <w:rPr>
          <w:rFonts w:ascii="Arial" w:cs="Arial" w:eastAsia="Arial" w:hAnsi="Arial"/>
          <w:sz w:val="16"/>
          <w:szCs w:val="16"/>
          <w:color w:val="auto"/>
        </w:rPr>
        <w:t xml:space="preserve">. If the filing, initial effectiveness or continued use of a Registration Statement in respect of a Demand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a the shortest period of time determined in good faith by the Company to be necessary for such purpose;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permitted to do so for a period exceeding 90 days on any one occasion. In the event the Company exercises its rights under the preceding sentence, the holders agree to suspend, immediately upon their receipt of the notice referred to above, their use of the Prospectus relating to the Demand Registration in connection with any sale or offer to sell Registrable Securities and agree not to disclose to any other Person the fact that the Company has exercised such rights or any related facts. The Company shall immediately notify the holders of the expiration of any period during which it exercised its rights under this Section 2.2(e) and that the use of the Prospectus may, subject to receipt of any supplemented or amended Prospectus contemplated by Section 2.5(a)(iv) if necessitated by the circumstances giving rise to the delay or suspension described above, be resumed. In the event that the Company shall exercise its rights under this Section 2.2(e) to suspend the use of such Registration Statement after it has been declared effective, the period during which the Registration Statement is required pursuant to Section 2.2(d) to be maintained effective shall be extended by the number of days during the period from and including the date of the giving of such suspension notice to and including the date when each seller of Registrable Securities covered by such Registration Statement either receives the copies of the supplemented or amended Prospectus contemplated by Section 2.5(a)(iv) or is advised in writing by the Company that the use of the Prospectus may be resumed.</w:t>
      </w:r>
    </w:p>
    <w:p>
      <w:pPr>
        <w:spacing w:after="0" w:line="126" w:lineRule="exact"/>
        <w:rPr>
          <w:rFonts w:ascii="Arial" w:cs="Arial" w:eastAsia="Arial" w:hAnsi="Arial"/>
          <w:sz w:val="16"/>
          <w:szCs w:val="16"/>
          <w:color w:val="auto"/>
        </w:rPr>
      </w:pPr>
    </w:p>
    <w:p>
      <w:pPr>
        <w:ind w:left="-921" w:right="80" w:firstLine="921"/>
        <w:spacing w:after="0" w:line="298" w:lineRule="auto"/>
        <w:tabs>
          <w:tab w:leader="none" w:pos="21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either the Company or the holders of not less than two-thirds of the Registrable Securities included in any offering pursuant to a Demand Registration so elect, such offering shall be in the form of an Underwritten Offering. The Company shall have the right, after consulting with the holders of the Registrable Securities included in such Underwritten Offering, to select the managing underwriter or underwriters for the offering, subject to the right of a majority of such holders to approve such managing underwriter or underwriters, which approval shall not be unreasonably withheld.</w:t>
      </w:r>
    </w:p>
    <w:p>
      <w:pPr>
        <w:spacing w:after="0" w:line="112" w:lineRule="exact"/>
        <w:rPr>
          <w:rFonts w:ascii="Arial" w:cs="Arial" w:eastAsia="Arial" w:hAnsi="Arial"/>
          <w:sz w:val="16"/>
          <w:szCs w:val="16"/>
          <w:color w:val="auto"/>
        </w:rPr>
      </w:pPr>
    </w:p>
    <w:p>
      <w:pPr>
        <w:ind w:left="-921" w:right="120" w:firstLine="921"/>
        <w:spacing w:after="0" w:line="255" w:lineRule="auto"/>
        <w:tabs>
          <w:tab w:leader="none" w:pos="24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Priority of Securities Registered Pursuant to Demand Registrations</w:t>
      </w:r>
      <w:r>
        <w:rPr>
          <w:rFonts w:ascii="Arial" w:cs="Arial" w:eastAsia="Arial" w:hAnsi="Arial"/>
          <w:sz w:val="18"/>
          <w:szCs w:val="18"/>
          <w:color w:val="auto"/>
        </w:rPr>
        <w:t>. If the managing underwriter or underwriters of a proposed Underwritten Offering of a class of Registrable Securities included in a Demand Registration (or, in the case of a Demand Registration not being underwritten, the holders of a majority of a class of Registrable Securities included in such Registration Statement), inform the holders of such Registrable Securities and the Company in writing that, in its or their opinion, the number of securities of such class requested to be included in such Demand Registration (including securities of the Company for</w:t>
      </w:r>
    </w:p>
    <w:p>
      <w:pPr>
        <w:spacing w:after="0" w:line="129" w:lineRule="exact"/>
        <w:rPr>
          <w:rFonts w:ascii="Arial" w:cs="Arial" w:eastAsia="Arial" w:hAnsi="Arial"/>
          <w:sz w:val="18"/>
          <w:szCs w:val="18"/>
          <w:color w:val="auto"/>
        </w:rPr>
      </w:pPr>
    </w:p>
    <w:p>
      <w:pPr>
        <w:ind w:left="4759" w:hanging="112"/>
        <w:spacing w:after="0"/>
        <w:tabs>
          <w:tab w:leader="none" w:pos="475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99"/>
          </w:cols>
          <w:pgMar w:left="1161" w:top="280" w:right="239" w:bottom="1440" w:gutter="0" w:footer="0" w:header="0"/>
        </w:sectPr>
      </w:pPr>
    </w:p>
    <w:bookmarkStart w:id="127" w:name="page128"/>
    <w:bookmarkEnd w:id="12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its own account or for the account of other Persons which are not holders of Registrable Securities) exceeds the number which can be sold in such offering without being likely to have a significant adverse effect on the price, timing or distribution of the class of securities offered or the market for the class of securities offered, the Company will include in such registration all of the Registrable Securities of such class sought to be registered therein and only such lesser number of other securities as shall not, in the opinion of the managing underwriter or underwriters (or, in the case of a Demand Registration not being underwritten, in the opinion of the holders of a majority of such class of Registrable Securities included therein) be likely to have such an effect. In the event that, despite the reduction of the number of shares of securities to be offered for the account of the Company or Persons other than holders of Registrable Securities in such registration pursuant to the immediately preceding sentence, the number of Registrable Securities of such class to be included in such registration exceeds the number which, in the opinion of the managing underwriter or underwriters (or, in the case of a Demand Registration not being underwritten, the holders of a majority of such class of Registrable Securities included therein) can be sold without having the adverse effect referred to above, the number of Registrable Securities of such class that can be included without having such an adverse effect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holders which have requested participation in the Demand Registration (based, for each such holder, on the percentage derived by dividing (i) the number of Registrable Securities of such class which such holder has requested to include in such Demand Registration by (ii) the aggregate number of Registrable Securities of such class which all such holders have requested to include).</w:t>
      </w:r>
    </w:p>
    <w:p>
      <w:pPr>
        <w:spacing w:after="0" w:line="121" w:lineRule="exact"/>
        <w:rPr>
          <w:sz w:val="20"/>
          <w:szCs w:val="20"/>
          <w:color w:val="auto"/>
        </w:rPr>
      </w:pPr>
    </w:p>
    <w:p>
      <w:pPr>
        <w:ind w:right="40" w:firstLine="921"/>
        <w:spacing w:after="0" w:line="256" w:lineRule="auto"/>
        <w:tabs>
          <w:tab w:leader="none" w:pos="116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Registration Statement Form</w:t>
      </w:r>
      <w:r>
        <w:rPr>
          <w:rFonts w:ascii="Arial" w:cs="Arial" w:eastAsia="Arial" w:hAnsi="Arial"/>
          <w:sz w:val="18"/>
          <w:szCs w:val="18"/>
          <w:color w:val="auto"/>
        </w:rPr>
        <w:t>. Registrations under this Section 2.2 shall be on such appropriate registration form of the SEC (i) as shall be selected by the Company and as shall be reasonably acceptable to the holders of a majority of Registrable Securities requesting participation in the Demand Registration and (ii) as shall permit the disposition of the Registrable Securities in accordance with the intended method or methods of disposition specified in the applicable holders’ requests for such registration.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Incidental Registrations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83" w:lineRule="auto"/>
        <w:tabs>
          <w:tab w:leader="none" w:pos="115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(i) If the Company at any time proposes to file a Registration Statement with respect to any offering of its equity securities (including securities convertible into equity securities) for its own account or for the account of any holders of its securities (other than (A) a registration under Section 2.1 or 2.2 hereof, (B) a registration on Form N-14 or any successor form to such form or (C) pursuant to a shelf registration under Rule 415 of the Securities Act), then, as soon as practicable (but in no event less than 20 days prior to the proposed date of filing such Registration Statement), the Company shall give written notice of such proposed filing to all holders of Registrable Securities, and such notice shall offer the holders of such Registrable Securities the opportunity to register such number of Registrable Securities as each such holder may request in writing (an “</w:t>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 Subject to this</w:t>
      </w:r>
    </w:p>
    <w:p>
      <w:pPr>
        <w:spacing w:after="0" w:line="1"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Section 2.3(b), the Company shall include in such Registration Statement all such Registrable Securities which are requested to be included therein within 15 days after the receipt by such holder of any such notice. If at any time after giving written notice of its intention to</w:t>
      </w:r>
    </w:p>
    <w:p>
      <w:pPr>
        <w:spacing w:after="0" w:line="124" w:lineRule="exact"/>
        <w:rPr>
          <w:rFonts w:ascii="Arial" w:cs="Arial" w:eastAsia="Arial" w:hAnsi="Arial"/>
          <w:sz w:val="16"/>
          <w:szCs w:val="16"/>
          <w:color w:val="auto"/>
        </w:rPr>
      </w:pPr>
    </w:p>
    <w:p>
      <w:pPr>
        <w:ind w:left="5680" w:hanging="112"/>
        <w:spacing w:after="0"/>
        <w:tabs>
          <w:tab w:leader="none" w:pos="56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80" w:right="239" w:bottom="1440" w:gutter="0" w:footer="0" w:header="0"/>
        </w:sectPr>
      </w:pPr>
    </w:p>
    <w:bookmarkStart w:id="128" w:name="page129"/>
    <w:bookmarkEnd w:id="12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 any securities and prior to the effective date of the Registration Statement filed in connection with such registration, the Company shall determine for any reason not to register or to delay registration of such securities, the Company may, at its election, give written notice of such determination to each holder of Registrable Securities and, (x) in the case of a determination not to register, shall be relieved of its obligation to register any Registrable Securities in connection with such registration, and (y) in the case of a determination to delay registering, shall be permitted to delay registering any Registrable Securities for the same period as the delay in registering such other securities.</w:t>
      </w:r>
    </w:p>
    <w:p>
      <w:pPr>
        <w:spacing w:after="0" w:line="143" w:lineRule="exact"/>
        <w:rPr>
          <w:sz w:val="20"/>
          <w:szCs w:val="20"/>
          <w:color w:val="auto"/>
        </w:rPr>
      </w:pPr>
    </w:p>
    <w:p>
      <w:pPr>
        <w:ind w:firstLine="1492"/>
        <w:spacing w:after="0" w:line="255" w:lineRule="auto"/>
        <w:tabs>
          <w:tab w:leader="none" w:pos="174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If the offering pursuant to an Incidental Registration is to be an Underwritten Offering, then each holder making a request for its Registrable Securities to be included therein must, and the Company shall make such arrangements with the underwriters so that each such holder may, participate in such Underwritten Offering on the same terms as the Company and other Persons selling securities in such Underwritten Offering. If the offering pursuant to such registration is to be on any other basis, then each holder making a request for an Incidental Registration pursuant to this Section 2.3(a) must participate in such offering on such basis.</w:t>
      </w:r>
    </w:p>
    <w:p>
      <w:pPr>
        <w:spacing w:after="0" w:line="142" w:lineRule="exact"/>
        <w:rPr>
          <w:rFonts w:ascii="Arial" w:cs="Arial" w:eastAsia="Arial" w:hAnsi="Arial"/>
          <w:sz w:val="18"/>
          <w:szCs w:val="18"/>
          <w:color w:val="auto"/>
        </w:rPr>
      </w:pPr>
    </w:p>
    <w:p>
      <w:pPr>
        <w:ind w:firstLine="1492"/>
        <w:spacing w:after="0" w:line="306" w:lineRule="auto"/>
        <w:tabs>
          <w:tab w:leader="none" w:pos="1791"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Each holder of Registrable Securities shall be permitted to withdraw all or part of such holder’s Registrable Securities from an Incidental Registration at any time prior to the effective date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be entitled to reimbursement from the holder of such withdrawn Registrable Securities for any SEC registration fees incurred by the Company in connection with the registration of such withdrawn Registrable Securities.</w:t>
      </w:r>
    </w:p>
    <w:p>
      <w:pPr>
        <w:spacing w:after="0" w:line="106" w:lineRule="exact"/>
        <w:rPr>
          <w:rFonts w:ascii="Arial" w:cs="Arial" w:eastAsia="Arial" w:hAnsi="Arial"/>
          <w:sz w:val="16"/>
          <w:szCs w:val="16"/>
          <w:color w:val="auto"/>
        </w:rPr>
      </w:pPr>
    </w:p>
    <w:p>
      <w:pPr>
        <w:ind w:right="100" w:firstLine="921"/>
        <w:spacing w:after="0" w:line="291" w:lineRule="auto"/>
        <w:tabs>
          <w:tab w:leader="none" w:pos="1161"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Priority of Incidental Registration</w:t>
      </w:r>
      <w:r>
        <w:rPr>
          <w:rFonts w:ascii="Arial" w:cs="Arial" w:eastAsia="Arial" w:hAnsi="Arial"/>
          <w:sz w:val="16"/>
          <w:szCs w:val="16"/>
          <w:color w:val="auto"/>
        </w:rPr>
        <w:t>. If the managing underwriter or underwriters of any proposed Underwritten Offering of a class of securities included in an Incidental Registration (or in the case of an Incidental Registration not being underwritten, the Company) informs the holders of Registrable Securities of any class sought to be included in such registration in writing that, in its or their opinion, the total amount or kind of securities which such holders and any other Persons intend to include in such offering exceeds the number which can be sold in such offering without being likely to have a significant adverse effect on the price, timing or distribution of the class or classes of the securities offered or the market for the class or classes of securities offered or the Company’s publicly traded capital stock, then the securities of each class to be included in such registration shall be allocated as follows:</w:t>
      </w:r>
    </w:p>
    <w:p>
      <w:pPr>
        <w:spacing w:after="0" w:line="39" w:lineRule="exact"/>
        <w:rPr>
          <w:rFonts w:ascii="Arial" w:cs="Arial" w:eastAsia="Arial" w:hAnsi="Arial"/>
          <w:sz w:val="16"/>
          <w:szCs w:val="16"/>
          <w:color w:val="auto"/>
        </w:rPr>
      </w:pPr>
    </w:p>
    <w:p>
      <w:pPr>
        <w:ind w:left="1920" w:right="340" w:hanging="440"/>
        <w:spacing w:after="0" w:line="332" w:lineRule="auto"/>
        <w:tabs>
          <w:tab w:leader="none" w:pos="1920" w:val="left"/>
        </w:tabs>
        <w:numPr>
          <w:ilvl w:val="1"/>
          <w:numId w:val="126"/>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100% of the securities that the Company or (subject to Section 2.7) any Person (other than a holder of Registrable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exercising a contractual right to demand registration has proposed to sell shall be included therein;</w:t>
      </w:r>
    </w:p>
    <w:p>
      <w:pPr>
        <w:spacing w:after="0" w:line="4" w:lineRule="exact"/>
        <w:rPr>
          <w:rFonts w:ascii="Arial" w:cs="Arial" w:eastAsia="Arial" w:hAnsi="Arial"/>
          <w:sz w:val="16"/>
          <w:szCs w:val="16"/>
          <w:color w:val="auto"/>
        </w:rPr>
      </w:pPr>
    </w:p>
    <w:p>
      <w:pPr>
        <w:ind w:left="1920" w:right="320" w:hanging="440"/>
        <w:spacing w:after="0" w:line="370" w:lineRule="auto"/>
        <w:tabs>
          <w:tab w:leader="none" w:pos="1920" w:val="left"/>
        </w:tabs>
        <w:numPr>
          <w:ilvl w:val="1"/>
          <w:numId w:val="126"/>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and only if all the securities referenced in clause (i) have been included, the number of Registrable Securities of such class</w:t>
      </w:r>
      <w:r>
        <w:rPr>
          <w:rFonts w:ascii="Arial" w:cs="Arial" w:eastAsia="Arial" w:hAnsi="Arial"/>
          <w:sz w:val="15"/>
          <w:szCs w:val="15"/>
          <w:i w:val="1"/>
          <w:iCs w:val="1"/>
          <w:color w:val="auto"/>
        </w:rPr>
        <w:t xml:space="preserve"> </w:t>
      </w:r>
      <w:r>
        <w:rPr>
          <w:rFonts w:ascii="Arial" w:cs="Arial" w:eastAsia="Arial" w:hAnsi="Arial"/>
          <w:sz w:val="15"/>
          <w:szCs w:val="15"/>
          <w:color w:val="auto"/>
        </w:rPr>
        <w:t>that, in the opinion of such underwriter or underwriters (or in the case of an Incidental Registration not being underwritten, the</w:t>
      </w:r>
    </w:p>
    <w:p>
      <w:pPr>
        <w:spacing w:after="0" w:line="48" w:lineRule="exact"/>
        <w:rPr>
          <w:rFonts w:ascii="Arial" w:cs="Arial" w:eastAsia="Arial" w:hAnsi="Arial"/>
          <w:sz w:val="15"/>
          <w:szCs w:val="15"/>
          <w:color w:val="auto"/>
        </w:rPr>
      </w:pPr>
    </w:p>
    <w:p>
      <w:pPr>
        <w:ind w:left="5680" w:hanging="112"/>
        <w:spacing w:after="0"/>
        <w:tabs>
          <w:tab w:leader="none" w:pos="5680" w:val="left"/>
        </w:tabs>
        <w:numPr>
          <w:ilvl w:val="3"/>
          <w:numId w:val="12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80" w:right="239" w:bottom="1440" w:gutter="0" w:footer="0" w:header="0"/>
        </w:sectPr>
      </w:pPr>
    </w:p>
    <w:bookmarkStart w:id="129" w:name="page130"/>
    <w:bookmarkEnd w:id="129"/>
    <w:p>
      <w:pPr>
        <w:ind w:left="10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can be sold without having such adverse effect shall be included therein, with such number to be allocated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among the holders which have requested participation in the Incidental Registration (based, for each such holder, on the percentage derived by dividing (x) the number of Registrable Securities of such class which such holder has requested to include in such Incidental Registration by (y) the aggregate number of Registrable Securities of such class which all such holders have requested to include); and</w:t>
      </w:r>
    </w:p>
    <w:p>
      <w:pPr>
        <w:spacing w:after="0" w:line="17" w:lineRule="exact"/>
        <w:rPr>
          <w:sz w:val="20"/>
          <w:szCs w:val="20"/>
          <w:color w:val="auto"/>
        </w:rPr>
      </w:pPr>
    </w:p>
    <w:p>
      <w:pPr>
        <w:ind w:left="1000" w:right="140" w:hanging="440"/>
        <w:spacing w:after="0" w:line="268"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and only if all of the Registrable Securities referenced in clauses (i) and (ii) have been included, any other securities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in such registration shall be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Black-out Periods</w:t>
      </w:r>
      <w:r>
        <w:rPr>
          <w:rFonts w:ascii="Arial" w:cs="Arial" w:eastAsia="Arial" w:hAnsi="Arial"/>
          <w:sz w:val="18"/>
          <w:szCs w:val="18"/>
          <w:color w:val="auto"/>
        </w:rPr>
        <w:t>.</w:t>
      </w:r>
    </w:p>
    <w:p>
      <w:pPr>
        <w:spacing w:after="0" w:line="90" w:lineRule="exact"/>
        <w:rPr>
          <w:sz w:val="20"/>
          <w:szCs w:val="20"/>
          <w:color w:val="auto"/>
        </w:rPr>
      </w:pPr>
    </w:p>
    <w:p>
      <w:pPr>
        <w:ind w:left="-920" w:firstLine="921"/>
        <w:spacing w:after="0" w:line="286" w:lineRule="auto"/>
        <w:tabs>
          <w:tab w:leader="none" w:pos="232"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Black-out Periods for Holders</w:t>
      </w:r>
      <w:r>
        <w:rPr>
          <w:rFonts w:ascii="Arial" w:cs="Arial" w:eastAsia="Arial" w:hAnsi="Arial"/>
          <w:sz w:val="16"/>
          <w:szCs w:val="16"/>
          <w:color w:val="auto"/>
        </w:rPr>
        <w:t xml:space="preserve">. In the event of a registration by the Company involving the offering and sale by the Company of equity securities or securities convertible into or exchanged for its equity securities, the holders of Registrable Securities agree, if requested by the Company (or, in the case of an Underwritten Offering, by the managing underwriter or underwriters), not to effect any public sale or distribution (including any sale pursuant to Rule 144 under the Securities Act) of any securities (except, in each case, as part of the applicable registration, if permitted hereunder or otherwise) that are the same as or similar to those being registered in connection with such registration, or which are convertible into or exchangeable or exercisable for such securities, during the period beginning on the date that is the earlier of (i) the receipt by such holder of information concerning the date for such offering and sale by the Company (if such information is then not otherwise known to the public), but in no event more than 30 days, or (ii) seven days before, and ending 180 days (or such lesser period as may be permitted by the Company or such managing underwriter or underwriters) after, the effective date of the Registration Statement filed in connection with such registration, to the extent such holders are timely notified in writing by the Company or the managing underwriter or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and distribution restrictions set forth above in this Section 2.4(a) shall apply only to the first two registrations by the Company described above or until the date that is the two year anniversary of the Effective Date, whichever is earlier.</w:t>
      </w:r>
    </w:p>
    <w:p>
      <w:pPr>
        <w:spacing w:after="0" w:line="127" w:lineRule="exact"/>
        <w:rPr>
          <w:rFonts w:ascii="Arial" w:cs="Arial" w:eastAsia="Arial" w:hAnsi="Arial"/>
          <w:sz w:val="16"/>
          <w:szCs w:val="16"/>
          <w:color w:val="auto"/>
        </w:rPr>
      </w:pPr>
    </w:p>
    <w:p>
      <w:pPr>
        <w:ind w:left="-920" w:right="60" w:firstLine="921"/>
        <w:spacing w:after="0" w:line="254" w:lineRule="auto"/>
        <w:tabs>
          <w:tab w:leader="none" w:pos="24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Black-out Period for the Company and Others</w:t>
      </w:r>
      <w:r>
        <w:rPr>
          <w:rFonts w:ascii="Arial" w:cs="Arial" w:eastAsia="Arial" w:hAnsi="Arial"/>
          <w:sz w:val="18"/>
          <w:szCs w:val="18"/>
          <w:color w:val="auto"/>
        </w:rPr>
        <w:t>. (i) In the case of a registration of Registrable Securities pursuant to Section 2.1 or 2.2, the Company agrees, if requested by the holders of a majority of Registrable Securities to be sold pursuant to the such registration (or, in the case of an Underwritten Offering, by the managing underwriter or underwriters in such Underwritten Offering), not to effect any public sale or distribution of any securities (except, in each case, as part of the applicable registration, if permitted) which are the same as or similar to those being registered, or which are convertible into or exchangeable or exercisable for such securities, during the period beginning seven days before, and ending 90 days (or such lesser period as may be permitted by such holders or such underwriter or</w:t>
      </w:r>
    </w:p>
    <w:p>
      <w:pPr>
        <w:spacing w:after="0" w:line="130" w:lineRule="exact"/>
        <w:rPr>
          <w:rFonts w:ascii="Arial" w:cs="Arial" w:eastAsia="Arial" w:hAnsi="Arial"/>
          <w:sz w:val="18"/>
          <w:szCs w:val="18"/>
          <w:color w:val="auto"/>
        </w:rPr>
      </w:pPr>
    </w:p>
    <w:p>
      <w:pPr>
        <w:ind w:left="4700" w:hanging="96"/>
        <w:spacing w:after="0"/>
        <w:tabs>
          <w:tab w:leader="none" w:pos="47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480"/>
          </w:cols>
          <w:pgMar w:left="1160" w:top="280" w:right="259" w:bottom="1440" w:gutter="0" w:footer="0" w:header="0"/>
        </w:sectPr>
      </w:pPr>
    </w:p>
    <w:bookmarkStart w:id="130" w:name="page131"/>
    <w:bookmarkEnd w:id="13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after, the effective date of the Registration Statement filed in connection with such registration, to the extent the Company is timely notified in writing by a holder of Registrable Securities covered by such Registration Statement or the managing underwriter or underwriters. Notwithstanding the foregoing, the Company may effect a public sale or distribution of securities of the type described above and during the periods described above if the same is made</w:t>
      </w:r>
    </w:p>
    <w:p>
      <w:pPr>
        <w:spacing w:after="0" w:line="1" w:lineRule="exact"/>
        <w:rPr>
          <w:sz w:val="20"/>
          <w:szCs w:val="20"/>
          <w:color w:val="auto"/>
        </w:rPr>
      </w:pPr>
    </w:p>
    <w:p>
      <w:pPr>
        <w:ind w:right="400" w:firstLine="8"/>
        <w:spacing w:after="0" w:line="261" w:lineRule="auto"/>
        <w:tabs>
          <w:tab w:leader="none" w:pos="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pursuant to any registration on Form N-14 or any successor form to such form, (B) in connection with a direct or indirect acquisition by the Company of another Person or (C) pursuant to an effective shelf registration under Rule 415 of the Securities Act.</w:t>
      </w:r>
    </w:p>
    <w:p>
      <w:pPr>
        <w:spacing w:after="0" w:line="137" w:lineRule="exact"/>
        <w:rPr>
          <w:rFonts w:ascii="Arial" w:cs="Arial" w:eastAsia="Arial" w:hAnsi="Arial"/>
          <w:sz w:val="18"/>
          <w:szCs w:val="18"/>
          <w:color w:val="auto"/>
        </w:rPr>
      </w:pPr>
    </w:p>
    <w:p>
      <w:pPr>
        <w:jc w:val="both"/>
        <w:ind w:right="100" w:firstLine="1492"/>
        <w:spacing w:after="0" w:line="291" w:lineRule="auto"/>
        <w:tabs>
          <w:tab w:leader="none" w:pos="174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Company agrees to use all reasonable efforts to obtain from each holder of restricted securities of the Company which are the same as or similar to those being registered by the Company, or which are convertible into or exchangeable or exercisable for any of its securities, an agreement not to effect any public sale or distribution of such securities (other than securities purchased in a public offering) during any period referred to in this Section 2.4(b), except as part of any such registration if permitted. Without limiting the foregoing (but subject to Section 2.7), if after the date hereof the Company grants any Person (other than a holder of Registrable Securities) any rights to demand or participate in a registration, the Company agrees that the agreement with respect thereto shall include such Person’s agreement as contemplated by the previous sentence.</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306" w:lineRule="auto"/>
        <w:tabs>
          <w:tab w:leader="none" w:pos="115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 connection with the Company’s registration obligations in this Agreement, the Company will, subject to the limitations set forth herein, use its reasonable best efforts to effect any such registration so as to permit the sale of the applicable Registrable Securities in accordance with the intended method or methods of distribution thereof as expeditiously as reasonably practicable, and in connection therewith the Company will:</w:t>
      </w:r>
    </w:p>
    <w:p>
      <w:pPr>
        <w:spacing w:after="0" w:line="25" w:lineRule="exact"/>
        <w:rPr>
          <w:rFonts w:ascii="Arial" w:cs="Arial" w:eastAsia="Arial" w:hAnsi="Arial"/>
          <w:sz w:val="16"/>
          <w:szCs w:val="16"/>
          <w:color w:val="auto"/>
        </w:rPr>
      </w:pPr>
    </w:p>
    <w:p>
      <w:pPr>
        <w:jc w:val="both"/>
        <w:ind w:right="180" w:firstLine="1492"/>
        <w:spacing w:after="0" w:line="306" w:lineRule="auto"/>
        <w:tabs>
          <w:tab w:leader="none" w:pos="1693" w:val="left"/>
        </w:tabs>
        <w:numPr>
          <w:ilvl w:val="2"/>
          <w:numId w:val="130"/>
        </w:numPr>
        <w:rPr>
          <w:rFonts w:ascii="Arial" w:cs="Arial" w:eastAsia="Arial" w:hAnsi="Arial"/>
          <w:sz w:val="16"/>
          <w:szCs w:val="16"/>
          <w:color w:val="auto"/>
        </w:rPr>
      </w:pPr>
      <w:r>
        <w:rPr>
          <w:rFonts w:ascii="Arial" w:cs="Arial" w:eastAsia="Arial" w:hAnsi="Arial"/>
          <w:sz w:val="16"/>
          <w:szCs w:val="16"/>
          <w:color w:val="auto"/>
        </w:rPr>
        <w:t>before filing a Registration Statement or Prospectus, or any amendments or supplements thereto and in connection therewith, furnish to the underwriter or underwriters, if any, and to the holders of Registrable Securities covered by such Registration Statement, copies of all documents prepared to be filed, which documents will be subject to the review of such underwriters and such holders and their respective counsel;</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prepare and file with the SEC such amendments or supplements to the applicable Registration Statement or Prospectus as may be</w:t>
      </w:r>
    </w:p>
    <w:p>
      <w:pPr>
        <w:spacing w:after="0" w:line="38" w:lineRule="exact"/>
        <w:rPr>
          <w:rFonts w:ascii="Arial" w:cs="Arial" w:eastAsia="Arial" w:hAnsi="Arial"/>
          <w:sz w:val="16"/>
          <w:szCs w:val="16"/>
          <w:color w:val="auto"/>
        </w:rPr>
      </w:pPr>
    </w:p>
    <w:p>
      <w:pPr>
        <w:ind w:right="460" w:firstLine="8"/>
        <w:spacing w:after="0" w:line="261" w:lineRule="auto"/>
        <w:tabs>
          <w:tab w:leader="none" w:pos="28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reasonably requested by any participating holder (to the extent such request relates to information relating to such holder) or (B) necessary to keep such registration effective for the period of time required by this Agreement;</w:t>
      </w:r>
    </w:p>
    <w:p>
      <w:pPr>
        <w:spacing w:after="0" w:line="137" w:lineRule="exact"/>
        <w:rPr>
          <w:rFonts w:ascii="Arial" w:cs="Arial" w:eastAsia="Arial" w:hAnsi="Arial"/>
          <w:sz w:val="18"/>
          <w:szCs w:val="18"/>
          <w:color w:val="auto"/>
        </w:rPr>
      </w:pPr>
    </w:p>
    <w:p>
      <w:pPr>
        <w:ind w:right="40" w:firstLine="1492"/>
        <w:spacing w:after="0" w:line="306" w:lineRule="auto"/>
        <w:tabs>
          <w:tab w:leader="none" w:pos="1791" w:val="left"/>
        </w:tabs>
        <w:numPr>
          <w:ilvl w:val="2"/>
          <w:numId w:val="131"/>
        </w:numPr>
        <w:rPr>
          <w:rFonts w:ascii="Arial" w:cs="Arial" w:eastAsia="Arial" w:hAnsi="Arial"/>
          <w:sz w:val="16"/>
          <w:szCs w:val="16"/>
          <w:color w:val="auto"/>
        </w:rPr>
      </w:pPr>
      <w:r>
        <w:rPr>
          <w:rFonts w:ascii="Arial" w:cs="Arial" w:eastAsia="Arial" w:hAnsi="Arial"/>
          <w:sz w:val="16"/>
          <w:szCs w:val="16"/>
          <w:color w:val="auto"/>
        </w:rPr>
        <w:t>notify the selling holders of Registrable Securities and the managing underwriter or underwriters, if any, and (if requested) confirm such advice in writing, as soon as reasonably practicable after notice thereof is received by the Company, (A) when the applicable Registration Statement or any amendment thereto has been filed or becomes effective and when the applicable Prospectus or any amendment or supplement thereto has been filed, (B)</w:t>
      </w:r>
    </w:p>
    <w:p>
      <w:pPr>
        <w:spacing w:after="0" w:line="93" w:lineRule="exact"/>
        <w:rPr>
          <w:rFonts w:ascii="Arial" w:cs="Arial" w:eastAsia="Arial" w:hAnsi="Arial"/>
          <w:sz w:val="16"/>
          <w:szCs w:val="16"/>
          <w:color w:val="auto"/>
        </w:rPr>
      </w:pPr>
    </w:p>
    <w:p>
      <w:pPr>
        <w:ind w:left="5620" w:hanging="93"/>
        <w:spacing w:after="0"/>
        <w:tabs>
          <w:tab w:leader="none" w:pos="56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80" w:right="259" w:bottom="1440" w:gutter="0" w:footer="0" w:header="0"/>
        </w:sectPr>
      </w:pPr>
    </w:p>
    <w:bookmarkStart w:id="131" w:name="page132"/>
    <w:bookmarkEnd w:id="13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written comments by the SEC or any request by the SEC or any other federal or state governmental authority for amendments or supplements to such Registration Statement or Prospectus or for additional information, (C) of the issuance by the SEC of any stop order suspending the effectiveness of such Registration Statement or any order preventing or suspending the use of any preliminary or final Prospectus or the initiation or threat of any proceedings for such purposes and (D) of the receipt by the Company of any notification with respect to the suspension of the qualification of the Registrable Securities for offering or sale in any jurisdiction or the initiation or threat of any proceeding for such purpose;</w:t>
      </w:r>
    </w:p>
    <w:p>
      <w:pPr>
        <w:spacing w:after="0" w:line="116" w:lineRule="exact"/>
        <w:rPr>
          <w:sz w:val="20"/>
          <w:szCs w:val="20"/>
          <w:color w:val="auto"/>
        </w:rPr>
      </w:pPr>
    </w:p>
    <w:p>
      <w:pPr>
        <w:ind w:right="100" w:firstLine="1492"/>
        <w:spacing w:after="0" w:line="253" w:lineRule="auto"/>
        <w:tabs>
          <w:tab w:leader="none" w:pos="178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promptly notify each selling holder of Registrable Securities and the managing underwriter or underwriters, if any, when the Company becomes aware of the happening of any event as a result of which the applicable Registration Statement or Prospectus (as then in effect) contains any untrue statement of a material fact or omits to state a material fact necessary to make the statements therein (in the case of the Prospectus and any preliminary Prospectus, in light of the circumstances under which they were made) not misleading or, if for any other reason it shall be necessary to amend or supplement such Registration Statement or Prospectus in order to comply with the Securities Act and, in either case as promptly as reasonably practicable thereafter, prepare and file with the SEC an amendment or supplement to such Registration Statement or Prospectus which will correct such statement or omission or effect such compliance;</w:t>
      </w:r>
    </w:p>
    <w:p>
      <w:pPr>
        <w:spacing w:after="0" w:line="147" w:lineRule="exact"/>
        <w:rPr>
          <w:rFonts w:ascii="Arial" w:cs="Arial" w:eastAsia="Arial" w:hAnsi="Arial"/>
          <w:sz w:val="18"/>
          <w:szCs w:val="18"/>
          <w:color w:val="auto"/>
        </w:rPr>
      </w:pPr>
    </w:p>
    <w:p>
      <w:pPr>
        <w:ind w:right="160" w:firstLine="1492"/>
        <w:spacing w:after="0" w:line="268" w:lineRule="auto"/>
        <w:tabs>
          <w:tab w:leader="none" w:pos="17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every reasonable effort to prevent, or obtain at the earliest possible moment the withdrawal of, any stop order with respect to, the applicable Registration Statement or other order suspending the use of any preliminary or final Prospectus;</w:t>
      </w:r>
    </w:p>
    <w:p>
      <w:pPr>
        <w:spacing w:after="0" w:line="131" w:lineRule="exact"/>
        <w:rPr>
          <w:rFonts w:ascii="Arial" w:cs="Arial" w:eastAsia="Arial" w:hAnsi="Arial"/>
          <w:sz w:val="18"/>
          <w:szCs w:val="18"/>
          <w:color w:val="auto"/>
        </w:rPr>
      </w:pPr>
    </w:p>
    <w:p>
      <w:pPr>
        <w:ind w:firstLine="1492"/>
        <w:spacing w:after="0" w:line="323" w:lineRule="auto"/>
        <w:tabs>
          <w:tab w:leader="none" w:pos="1781" w:val="left"/>
        </w:tabs>
        <w:numPr>
          <w:ilvl w:val="0"/>
          <w:numId w:val="132"/>
        </w:numPr>
        <w:rPr>
          <w:rFonts w:ascii="Arial" w:cs="Arial" w:eastAsia="Arial" w:hAnsi="Arial"/>
          <w:sz w:val="15"/>
          <w:szCs w:val="15"/>
          <w:color w:val="auto"/>
        </w:rPr>
      </w:pPr>
      <w:r>
        <w:rPr>
          <w:rFonts w:ascii="Arial" w:cs="Arial" w:eastAsia="Arial" w:hAnsi="Arial"/>
          <w:sz w:val="15"/>
          <w:szCs w:val="15"/>
          <w:color w:val="auto"/>
        </w:rPr>
        <w:t>promptly incorporate in a Prospectus supplement or post-effective amendment to the applicable Registration Statement such information as the managing underwriter or underwriters, if any, or the holders of a majority of the Registrable Securities being sold agree should be included therein relating to the plan of distribution with respect to such Registrable Securities; and make all required filings of such Prospectus supplement or post-effective amendment as soon as reasonably practicable after being notified of the matters to be incorporated in such Prospectus supplement or post-effective amendment;</w:t>
      </w:r>
    </w:p>
    <w:p>
      <w:pPr>
        <w:spacing w:after="0" w:line="97" w:lineRule="exact"/>
        <w:rPr>
          <w:rFonts w:ascii="Arial" w:cs="Arial" w:eastAsia="Arial" w:hAnsi="Arial"/>
          <w:sz w:val="15"/>
          <w:szCs w:val="15"/>
          <w:color w:val="auto"/>
        </w:rPr>
      </w:pPr>
    </w:p>
    <w:p>
      <w:pPr>
        <w:ind w:right="380" w:firstLine="1492"/>
        <w:spacing w:after="0" w:line="268" w:lineRule="auto"/>
        <w:tabs>
          <w:tab w:leader="none" w:pos="183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furnish to each selling holder of Registrable Securities and each managing underwriter, if any, without charge, as many conformed copies as such holder or managing underwriter may reasonably request of the applicable Registration Statement;</w:t>
      </w:r>
    </w:p>
    <w:p>
      <w:pPr>
        <w:spacing w:after="0" w:line="131" w:lineRule="exact"/>
        <w:rPr>
          <w:rFonts w:ascii="Arial" w:cs="Arial" w:eastAsia="Arial" w:hAnsi="Arial"/>
          <w:sz w:val="18"/>
          <w:szCs w:val="18"/>
          <w:color w:val="auto"/>
        </w:rPr>
      </w:pPr>
    </w:p>
    <w:p>
      <w:pPr>
        <w:ind w:right="140" w:firstLine="1492"/>
        <w:spacing w:after="0" w:line="256" w:lineRule="auto"/>
        <w:tabs>
          <w:tab w:leader="none" w:pos="187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deliver to each selling holder of Registrable Securities and each managing underwriter, if any, without charge, as many copies of the applicable Prospectus (including each preliminary Prospectus) as such holder or managing underwriter may reasonably request (it being understood that the Company consents to the use of the Prospectus by each of the selling holders of Registrable Securities and the underwriter or underwriters, if any, in connection with the offering and sale of the Registrable Securities covered by the Prospectus);</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80"/>
          </w:cols>
          <w:pgMar w:left="240" w:top="280" w:right="279" w:bottom="1440" w:gutter="0" w:footer="0" w:header="0"/>
        </w:sectPr>
      </w:pPr>
    </w:p>
    <w:bookmarkStart w:id="132" w:name="page133"/>
    <w:bookmarkEnd w:id="132"/>
    <w:p>
      <w:pPr>
        <w:ind w:right="80" w:firstLine="1492"/>
        <w:spacing w:after="0" w:line="290" w:lineRule="auto"/>
        <w:tabs>
          <w:tab w:leader="none" w:pos="1781"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 or prior to the date on which the applicable Registration Statement is declared effective, use its reasonable best efforts to register or qualify such Registrable Securities for offer and sale under the securities or `Blue Sky” laws of each state and other jurisdiction of the United States, as any such selling holder or underwriter, if any, or their respective counsel reasonably requests in writing, and do any and all other acts or things reasonably necessary or advisable to keep such registration or qualification in effect so as to permit the commencement and continuance of sales and dealings in such jurisdictions for as long as may be necessary to complete the distribution of the Registrable Securities covered by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18" w:lineRule="exact"/>
        <w:rPr>
          <w:rFonts w:ascii="Arial" w:cs="Arial" w:eastAsia="Arial" w:hAnsi="Arial"/>
          <w:sz w:val="16"/>
          <w:szCs w:val="16"/>
          <w:color w:val="auto"/>
        </w:rPr>
      </w:pPr>
    </w:p>
    <w:p>
      <w:pPr>
        <w:ind w:right="160" w:firstLine="1492"/>
        <w:spacing w:after="0" w:line="332" w:lineRule="auto"/>
        <w:tabs>
          <w:tab w:leader="none" w:pos="173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cooperate with the selling holders of Registrable Securities and the managing underwriter, underwriters or agent, if any, to facilitate the timely preparation and delivery of certificates representing Registrable Securities to be sold and not bearing any restrictive legends;</w:t>
      </w:r>
    </w:p>
    <w:p>
      <w:pPr>
        <w:spacing w:after="0" w:line="85" w:lineRule="exact"/>
        <w:rPr>
          <w:rFonts w:ascii="Arial" w:cs="Arial" w:eastAsia="Arial" w:hAnsi="Arial"/>
          <w:sz w:val="16"/>
          <w:szCs w:val="16"/>
          <w:color w:val="auto"/>
        </w:rPr>
      </w:pPr>
    </w:p>
    <w:p>
      <w:pPr>
        <w:ind w:right="240" w:firstLine="1492"/>
        <w:spacing w:after="0" w:line="259" w:lineRule="auto"/>
        <w:tabs>
          <w:tab w:leader="none" w:pos="178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provide a CUSIP number for all Registrable Securities and provide the applicable transfer agent with printed certificates for the Registrable Securities, if required, which certificates shall be in a form eligible for deposit with The Depository Trust Company;</w:t>
      </w:r>
    </w:p>
    <w:p>
      <w:pPr>
        <w:spacing w:after="0" w:line="140" w:lineRule="exact"/>
        <w:rPr>
          <w:rFonts w:ascii="Arial" w:cs="Arial" w:eastAsia="Arial" w:hAnsi="Arial"/>
          <w:sz w:val="18"/>
          <w:szCs w:val="18"/>
          <w:color w:val="auto"/>
        </w:rPr>
      </w:pPr>
    </w:p>
    <w:p>
      <w:pPr>
        <w:jc w:val="both"/>
        <w:ind w:right="60" w:firstLine="1492"/>
        <w:spacing w:after="0" w:line="298" w:lineRule="auto"/>
        <w:tabs>
          <w:tab w:leader="none" w:pos="183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obtain for delivery to the holders of Registrable Securities being registered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counsel and opinions shall be reasonably satisfactory to a majority of the holders of Registrable Securities being registered and the underwriter or underwriters, if any, and their respective counsel;</w:t>
      </w:r>
    </w:p>
    <w:p>
      <w:pPr>
        <w:spacing w:after="0" w:line="112" w:lineRule="exact"/>
        <w:rPr>
          <w:rFonts w:ascii="Arial" w:cs="Arial" w:eastAsia="Arial" w:hAnsi="Arial"/>
          <w:sz w:val="16"/>
          <w:szCs w:val="16"/>
          <w:color w:val="auto"/>
        </w:rPr>
      </w:pPr>
    </w:p>
    <w:p>
      <w:pPr>
        <w:ind w:right="100" w:firstLine="1492"/>
        <w:spacing w:after="0" w:line="298" w:lineRule="auto"/>
        <w:tabs>
          <w:tab w:leader="none" w:pos="187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the case of an Underwritten Offering, obtain for delivery to the Company and the underwriter or underwriters, if any, with copies to the holders of Registrable Securities included in such registration,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date of the closing under the underwriting agreement;</w:t>
      </w:r>
    </w:p>
    <w:p>
      <w:pPr>
        <w:spacing w:after="0" w:line="112" w:lineRule="exact"/>
        <w:rPr>
          <w:rFonts w:ascii="Arial" w:cs="Arial" w:eastAsia="Arial" w:hAnsi="Arial"/>
          <w:sz w:val="16"/>
          <w:szCs w:val="16"/>
          <w:color w:val="auto"/>
        </w:rPr>
      </w:pPr>
    </w:p>
    <w:p>
      <w:pPr>
        <w:ind w:right="520" w:firstLine="1492"/>
        <w:spacing w:after="0" w:line="268" w:lineRule="auto"/>
        <w:tabs>
          <w:tab w:leader="none" w:pos="186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or agent, if any, participating in the disposition of such Registrable Securities and their respective counsel in connection with any filings required to be made with the NASD;</w:t>
      </w:r>
    </w:p>
    <w:p>
      <w:pPr>
        <w:spacing w:after="0" w:line="131" w:lineRule="exact"/>
        <w:rPr>
          <w:rFonts w:ascii="Arial" w:cs="Arial" w:eastAsia="Arial" w:hAnsi="Arial"/>
          <w:sz w:val="18"/>
          <w:szCs w:val="18"/>
          <w:color w:val="auto"/>
        </w:rPr>
      </w:pPr>
    </w:p>
    <w:p>
      <w:pPr>
        <w:ind w:left="1820" w:hanging="328"/>
        <w:spacing w:after="0"/>
        <w:tabs>
          <w:tab w:leader="none" w:pos="18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use its reasonable best efforts to comply with all applicable rules and regulations of the SEC and make generally available to its security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holders, as soon as</w:t>
      </w:r>
    </w:p>
    <w:p>
      <w:pPr>
        <w:spacing w:after="0" w:line="151" w:lineRule="exact"/>
        <w:rPr>
          <w:rFonts w:ascii="Arial" w:cs="Arial" w:eastAsia="Arial" w:hAnsi="Arial"/>
          <w:sz w:val="15"/>
          <w:szCs w:val="15"/>
          <w:color w:val="auto"/>
        </w:rPr>
      </w:pPr>
    </w:p>
    <w:p>
      <w:pPr>
        <w:ind w:left="5620" w:hanging="96"/>
        <w:spacing w:after="0"/>
        <w:tabs>
          <w:tab w:leader="none" w:pos="5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80" w:right="259" w:bottom="1440" w:gutter="0" w:footer="0" w:header="0"/>
        </w:sectPr>
      </w:pPr>
    </w:p>
    <w:bookmarkStart w:id="133" w:name="page134"/>
    <w:bookmarkEnd w:id="133"/>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practicable (but not more than 15 months) after the effective date of the applicable Registration Statement, an earnings statement satisfying the provisions of Section 11(a) of the Securities Act and the rules and regulations promulgated thereunder;</w:t>
      </w:r>
    </w:p>
    <w:p>
      <w:pPr>
        <w:spacing w:after="0" w:line="132" w:lineRule="exact"/>
        <w:rPr>
          <w:sz w:val="20"/>
          <w:szCs w:val="20"/>
          <w:color w:val="auto"/>
        </w:rPr>
      </w:pPr>
    </w:p>
    <w:p>
      <w:pPr>
        <w:ind w:right="180" w:firstLine="1492"/>
        <w:spacing w:after="0" w:line="268" w:lineRule="auto"/>
        <w:tabs>
          <w:tab w:leader="none" w:pos="186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31" w:lineRule="exact"/>
        <w:rPr>
          <w:rFonts w:ascii="Arial" w:cs="Arial" w:eastAsia="Arial" w:hAnsi="Arial"/>
          <w:sz w:val="18"/>
          <w:szCs w:val="18"/>
          <w:color w:val="auto"/>
        </w:rPr>
      </w:pPr>
    </w:p>
    <w:p>
      <w:pPr>
        <w:ind w:firstLine="1492"/>
        <w:spacing w:after="0" w:line="259" w:lineRule="auto"/>
        <w:tabs>
          <w:tab w:leader="none" w:pos="191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cause all Registrable Securities of the class covered by the applicable Registration Statement to be listed on each securities exchange on which any of the Company’s securities of such class are then listed and on each interdealer quotation system on which any of the Company’s securities of such class are then quoted;</w:t>
      </w:r>
    </w:p>
    <w:p>
      <w:pPr>
        <w:spacing w:after="0" w:line="140" w:lineRule="exact"/>
        <w:rPr>
          <w:rFonts w:ascii="Arial" w:cs="Arial" w:eastAsia="Arial" w:hAnsi="Arial"/>
          <w:sz w:val="18"/>
          <w:szCs w:val="18"/>
          <w:color w:val="auto"/>
        </w:rPr>
      </w:pPr>
    </w:p>
    <w:p>
      <w:pPr>
        <w:ind w:right="20" w:firstLine="1492"/>
        <w:spacing w:after="0" w:line="289" w:lineRule="auto"/>
        <w:tabs>
          <w:tab w:leader="none" w:pos="196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make available upon reasonable notice at reasonable times and for reasonable periods for inspection by a representative appointed by the holders of a majority of the Registrable Securities covered by the applicable Registration Statement, by any managing underwriter or underwriters participating in any disposition to be effected pursuant to such Registration Statement and by any attorney, accountant or other agent retained by such sellers or any such managing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reasonably available to discuss the business of the Company and to supply all information reasonably requested by any such seller, underwriter, attorney, accountant or agent in connection with such Registration Statement as shall be necessary to enable them to exercise their due diligence responsibility (subject to the entry by each party referred to in this clause (xviii) into customary confidentiality agreements in a form reasonably acceptable to the Company); and</w:t>
      </w:r>
    </w:p>
    <w:p>
      <w:pPr>
        <w:spacing w:after="0" w:line="118" w:lineRule="exact"/>
        <w:rPr>
          <w:rFonts w:ascii="Arial" w:cs="Arial" w:eastAsia="Arial" w:hAnsi="Arial"/>
          <w:sz w:val="16"/>
          <w:szCs w:val="16"/>
          <w:color w:val="auto"/>
        </w:rPr>
      </w:pPr>
    </w:p>
    <w:p>
      <w:pPr>
        <w:ind w:firstLine="1492"/>
        <w:spacing w:after="0" w:line="306" w:lineRule="auto"/>
        <w:tabs>
          <w:tab w:leader="none" w:pos="186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 the case of an Underwritten Offering, cause the senior executive officers of the Company to participate in the customary “road show” presentations that may be reasonably requested by the managing underwriter in any such Underwritten Offering and otherwise to facilitate, cooperate with, and participate in each proposed offering contemplated herein and customary selling efforts related thereto.</w:t>
      </w:r>
    </w:p>
    <w:p>
      <w:pPr>
        <w:spacing w:after="0" w:line="106" w:lineRule="exact"/>
        <w:rPr>
          <w:rFonts w:ascii="Arial" w:cs="Arial" w:eastAsia="Arial" w:hAnsi="Arial"/>
          <w:sz w:val="16"/>
          <w:szCs w:val="16"/>
          <w:color w:val="auto"/>
        </w:rPr>
      </w:pPr>
    </w:p>
    <w:p>
      <w:pPr>
        <w:ind w:firstLine="921"/>
        <w:spacing w:after="0" w:line="294" w:lineRule="auto"/>
        <w:tabs>
          <w:tab w:leader="none" w:pos="11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may require each selling holder of Registrable Securities as to which any registration is being effected to furnish to the Company such information regarding the distribution of such Registrable Securities and such other information relating to such holder and its ownership of the applicable Registrable Securities as the Company may from time to time reasonably request. Each holder of Registrable Securities agrees to furnish such information to the Company and to cooperate with the Company as necessary to enable the Company to comply with the provisions of this Agreement. The Company shall have the right to exclude any holder that does not comply with the preceding sentence from the applicable registration.</w:t>
      </w:r>
    </w:p>
    <w:p>
      <w:pPr>
        <w:spacing w:after="0" w:line="115" w:lineRule="exact"/>
        <w:rPr>
          <w:rFonts w:ascii="Arial" w:cs="Arial" w:eastAsia="Arial" w:hAnsi="Arial"/>
          <w:sz w:val="16"/>
          <w:szCs w:val="16"/>
          <w:color w:val="auto"/>
        </w:rPr>
      </w:pPr>
    </w:p>
    <w:p>
      <w:pPr>
        <w:ind w:right="160" w:firstLine="921"/>
        <w:spacing w:after="0" w:line="268" w:lineRule="auto"/>
        <w:tabs>
          <w:tab w:leader="none" w:pos="11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holder of Registrable Securities agrees by acquisition of such Registrable Securities that, upon receipt of any notice from the Company of the happening of any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80"/>
          </w:cols>
          <w:pgMar w:left="240" w:top="280" w:right="279" w:bottom="1440" w:gutter="0" w:footer="0" w:header="0"/>
        </w:sectPr>
      </w:pPr>
    </w:p>
    <w:bookmarkStart w:id="134" w:name="page135"/>
    <w:bookmarkEnd w:id="134"/>
    <w:p>
      <w:pPr>
        <w:ind w:right="6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of the kind described in Section 2.5(a)(iv), such holder shall discontinue disposition of its Registrable Securities pursuant to such Registration Statement until such holder’s receipt of the copies of the supplemented or amended Prospectus contemplated by Section 2.5(a)(iv), or until such holder is advised in writing by the Company that the use of the Prospectus may be resumed, and has received copies of any additional or supplemental filings that are incorporated by reference in the Prospectus, and, if so directed by the Company, such holder shall deliver to the Company (at the Company’s expense) all copies, other than permanent file copies then in such holder’s possession, of the Prospectus covering such Registrable Securities which are current at the time of the receipt of such notice. In the event that the Company shall give any such notice in respect of a Demand Registration,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2.5(a)(iv) or is advised in writing by the Company that the use of the Prospectus may be resumed.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Underwritten Offerings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8" w:lineRule="auto"/>
        <w:tabs>
          <w:tab w:leader="none" w:pos="1152"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Underwriting Agreements</w:t>
      </w:r>
      <w:r>
        <w:rPr>
          <w:rFonts w:ascii="Arial" w:cs="Arial" w:eastAsia="Arial" w:hAnsi="Arial"/>
          <w:sz w:val="16"/>
          <w:szCs w:val="16"/>
          <w:color w:val="auto"/>
        </w:rPr>
        <w:t>. If requested by the underwriters for any Underwritten Offering requested by the Company or the holders pursuant to Section 2.1, 2.2 or 2.3, the Company and the holders of Registrable Securities to be included therein shall enter into an underwriting agreement with such underwriters, such agreement to be reasonably satisfactory in substance and form to the Company, the holders of majority of the Registrable Securities to be included in such Underwritten Offering and the underwriters, and to contain such terms and conditions as are customary in agreements of that type, including, without limitation, indemnities no less favorable to the recipient thereof than those provided in Section 2.9. The holders of any Registrable Securities to be included in any Underwritten Offering pursuant to Section 2.3 shall enter into such an underwriting agreement at the request of the Company. No holder shall be required in any such underwriting agreement to make any representations or warranties to or agreements with the Company or the underwriters other than representations, warranties or agreements regarding such holder, ownership of such holder’s Registrable Securities, such holder’s intended method of distribution, any other representations required by law and customary indemnity and contribution agreements.</w:t>
      </w:r>
    </w:p>
    <w:p>
      <w:pPr>
        <w:spacing w:after="0" w:line="119" w:lineRule="exact"/>
        <w:rPr>
          <w:rFonts w:ascii="Arial" w:cs="Arial" w:eastAsia="Arial" w:hAnsi="Arial"/>
          <w:sz w:val="16"/>
          <w:szCs w:val="16"/>
          <w:color w:val="auto"/>
        </w:rPr>
      </w:pPr>
    </w:p>
    <w:p>
      <w:pPr>
        <w:ind w:right="40" w:firstLine="921"/>
        <w:spacing w:after="0" w:line="256" w:lineRule="auto"/>
        <w:tabs>
          <w:tab w:leader="none" w:pos="116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Participation in Underwritten Registrations</w:t>
      </w:r>
      <w:r>
        <w:rPr>
          <w:rFonts w:ascii="Arial" w:cs="Arial" w:eastAsia="Arial" w:hAnsi="Arial"/>
          <w:sz w:val="18"/>
          <w:szCs w:val="18"/>
          <w:color w:val="auto"/>
        </w:rPr>
        <w:t>. No Person may participate in an Underwritten Offering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14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 Inconsistent Agreements; Additional Rights</w:t>
      </w:r>
      <w:r>
        <w:rPr>
          <w:rFonts w:ascii="Arial" w:cs="Arial" w:eastAsia="Arial" w:hAnsi="Arial"/>
          <w:sz w:val="18"/>
          <w:szCs w:val="18"/>
          <w:color w:val="auto"/>
        </w:rPr>
        <w:t>. The Company shall not enter into, and is not currently a party to, any agreement which is inconsistent with the rights granted to the holders of Registrable Securities by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80" w:right="259" w:bottom="1440" w:gutter="0" w:footer="0" w:header="0"/>
        </w:sectPr>
      </w:pPr>
    </w:p>
    <w:bookmarkStart w:id="135" w:name="page136"/>
    <w:bookmarkEnd w:id="135"/>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pay all of the expenses set forth in the following sentence in connection with the registration pursuant to this Agreement of Registrable Securities. Such expenses are: (i) all registration and filing fees, and any other fees and expenses associated with filings required to be made with the SEC or the NASD, (ii) all fees and expenses of compliance with state securities or “Blue Sky” laws,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of the Company, (v) all fees and expenses incurred in connection with the listing of the Registrable Securities on any securities exchange or the quotation of the Registrable Securities on any interdealer quotation system and (vi) in connection with such registration, that portion of the marketing or “roadshow” expenses incurred by the holders or the Company in any offering of Registrable Securities as are not paid by the underwriters of such offering. In addition, in all cases the Company shall pay its internal expenses (including, without limitation, all salaries and expenses of its officers and employees performing legal or accounting duties), the expense of any audit and the fees and expenses of any Person, including special experts, retained by the Company. The Company shall also pay all reasonable fees and disbursements of one law firm or other counsel selected by the holders of a majority of the Registrable Securities being registered, such counsel to be reasonably acceptable to the Company. The Company shall not be required to pay any other costs or expenses in the course of the transactions contemplated hereby, including underwriting discounts and commissions and transfer taxes attributable to the sale of Registrable Securities, all of which costs and expenses shall be borne proportionately by the holders of Registrable Securities, covered by the applicable Registration Statement in accordance with the number of Registrable Securities each such holder is registering, and the fees and expenses of counsel to the underwriters, which shall be borne by the underwriters.</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88" w:lineRule="auto"/>
        <w:tabs>
          <w:tab w:leader="none" w:pos="1152"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holder of Registrable Securities and their respective officers, directors, advisors, agents and employees and each Person who controls (within the meaning of the Securities Act or the Exchange Act) such Persons from and against any and all losses, claims, damages, liabilities (or actions or proceedings in respect thereof, whether or not such indemnified party is a party thereto) and expenses (including reasonable costs of investigation and legal expenses), joint or several (each, a “</w:t>
      </w:r>
      <w:r>
        <w:rPr>
          <w:rFonts w:ascii="Arial" w:cs="Arial" w:eastAsia="Arial" w:hAnsi="Arial"/>
          <w:sz w:val="16"/>
          <w:szCs w:val="16"/>
          <w:u w:val="single" w:color="auto"/>
          <w:color w:val="auto"/>
        </w:rPr>
        <w:t>Loss</w:t>
      </w:r>
      <w:r>
        <w:rPr>
          <w:rFonts w:ascii="Arial" w:cs="Arial" w:eastAsia="Arial" w:hAnsi="Arial"/>
          <w:sz w:val="16"/>
          <w:szCs w:val="16"/>
          <w:color w:val="auto"/>
        </w:rPr>
        <w:t>” and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(ii) any omission or alleged omission to state therein a material fact required to be stated therein or necessary to make the statements therein (in the case of a Prospectus or preliminary Prospectus,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to an indemnified</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80"/>
          </w:cols>
          <w:pgMar w:left="240" w:top="280" w:right="279" w:bottom="1440" w:gutter="0" w:footer="0" w:header="0"/>
        </w:sectPr>
      </w:pPr>
    </w:p>
    <w:bookmarkStart w:id="136" w:name="page137"/>
    <w:bookmarkEnd w:id="13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party in any such case to the extent that any such Loss arises out of or is based upon an untrue statement or alleged untrue statement or omission or alleged omission made in any such Registration Statement in reliance upon and in conformity with written information furnished to the Company by such indemnified party expressly for use in the preparation thereof;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Company will not be liable to any indemnified party in any case to the extent that any such Loss arises out of or is based upon any untrue statement or alleged untrue statement or omission or alleged omission made in any final, preliminary or summary Prospectus if such untrue statement or alleged untrue statement or omission or alleged omission is corrected in an amendment or supplement to such Prospectus which has been made available to the holders and the relevant holder of Registrable Securities fails to deliver such Prospectus as so amended or supplemented, if such delivery is required under applicable law or the applicable rules of any securities exchange, prior to or concurrently with the sales of the Registrable Securities to the Person asserting such loss, claim, damage, liability or expense. This indemnity shall be in addition to any liability the Company may otherwise have.</w:t>
      </w:r>
    </w:p>
    <w:p>
      <w:pPr>
        <w:spacing w:after="0" w:line="120" w:lineRule="exact"/>
        <w:rPr>
          <w:sz w:val="20"/>
          <w:szCs w:val="20"/>
          <w:color w:val="auto"/>
        </w:rPr>
      </w:pPr>
    </w:p>
    <w:p>
      <w:pPr>
        <w:ind w:right="60" w:firstLine="921"/>
        <w:spacing w:after="0" w:line="285" w:lineRule="auto"/>
        <w:tabs>
          <w:tab w:leader="none" w:pos="116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Holders</w:t>
      </w:r>
      <w:r>
        <w:rPr>
          <w:rFonts w:ascii="Arial" w:cs="Arial" w:eastAsia="Arial" w:hAnsi="Arial"/>
          <w:sz w:val="16"/>
          <w:szCs w:val="16"/>
          <w:color w:val="auto"/>
        </w:rPr>
        <w:t>. Each selling holder of Registrable Securities agrees (severally and not jointly) to indemnify and hold harmless, to the full extent permitted by law, the Company, its directors and officers and each Person who controls the Company (within the meaning of the Securities Act and the Exchange Act) from and against any Losses resulting from any untrue statement of a material fact or any omission of a material fact that is provided by such selling holder and that is (i) required to be stated in the Registration Statement under which such Registrable Securities were registered under the Securities Act (including any final, preliminary or summary Prospectus contained therein or any amendment thereof or supplement thereto or any documents incorporated by reference therein), or (ii) necessary to make the statements therein (in the case of a Prospectus or preliminary Prospectus, in light of the circumstances under which they were made) not misleading, in each case to the extent, but only to the extent, that such untrue statement or omission had been contained in any information furnished in writing by such selling holder to the Company specifically for inclusion in such Registration Statement. This indemnity shall be in addition to any liability such holder may otherwise have. In no event shall the liability of any selling holder of Registrable Securities hereunder be greater in amount than the dollar amount of the proceeds received by such holder under the sale of the Registrable Securities giving rise to such indemnification obligation. The Company shall be entitled to receive indemnities from, if applicable and if requested, underwriters, selling brokers, dealer managers and similar securities industry professionals participating in the distribution, to the same extent as provided above (with appropriate modification) with respect to information so furnished in writing by such Persons specifically for inclusion in any Prospectus or Registration Statement. Each holder also shall indemnify any underwriters of the Registrable Securities, their officers and directors and each Person who controls such underwriters (within the meaning of the Securities Act) to the same extent as provided above with respect to the indemnification of the Company.</w:t>
      </w:r>
    </w:p>
    <w:p>
      <w:pPr>
        <w:spacing w:after="0" w:line="126" w:lineRule="exact"/>
        <w:rPr>
          <w:rFonts w:ascii="Arial" w:cs="Arial" w:eastAsia="Arial" w:hAnsi="Arial"/>
          <w:sz w:val="16"/>
          <w:szCs w:val="16"/>
          <w:color w:val="auto"/>
        </w:rPr>
      </w:pPr>
    </w:p>
    <w:p>
      <w:pPr>
        <w:ind w:right="880" w:firstLine="921"/>
        <w:spacing w:after="0" w:line="268"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Any Person entitled to indemnification hereunder shall (i) give prompt written notice to the indemnifying party of any claim with respect to which it seeks indemnification and (ii) permit such indemnifying party to</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280" w:right="259" w:bottom="1440" w:gutter="0" w:footer="0" w:header="0"/>
        </w:sectPr>
      </w:pPr>
    </w:p>
    <w:bookmarkStart w:id="137" w:name="page138"/>
    <w:bookmarkEnd w:id="1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assume the defense of such claim with counsel reasonably satisfactory to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having received notice of such claim from the Person entitled to indemnification hereunder and to employ counsel reasonably satisfactory to such Person or (C)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 be subject to any liability for any settlement made without its consent, but such consent may not be unreasonably withheld;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indemnifying party shall not be required to consent to any settlement involving the imposition of equitable remedies or involving the imposition of any material obligations on such indemnifying party other than financial obligations for which such indemnified party shall be indemnified hereunder. If the indemnifying party assumes the defense, the indemnifying party shall have the right to settle such action without the consent of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that the indemnifying party shall be required to obtain such consent (which consent shall not be unreasonably withheld) if the settlement includes any admission of wrongdoing on the part of the indemnified party or any restriction on the indemnified party or its officers or directors. No indemnifying party shall consent to entry of any judgment or enter into any settlement which does not include as an unconditional term thereof the giving by the claimant or plaintiff to each indemnified party of an unconditional release from all liability in respect to such claim or litigation.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from all such indemnified party or parties unless (x) the employment of more than one counsel has been authorized in writing by the indemnifying party or parties or (y) a conflict or potential conflict exists or may exist (based 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28" w:lineRule="exact"/>
        <w:rPr>
          <w:sz w:val="20"/>
          <w:szCs w:val="20"/>
          <w:color w:val="auto"/>
        </w:rPr>
      </w:pPr>
    </w:p>
    <w:p>
      <w:pPr>
        <w:ind w:right="100" w:firstLine="921"/>
        <w:spacing w:after="0" w:line="254" w:lineRule="auto"/>
        <w:tabs>
          <w:tab w:leader="none" w:pos="11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indemnification provided for in the paragraphs (a) and (b) of this Section 2.9 is unavailable to an indemnified party or insufficient to hold it harmless as contemplated by paragraphs (a) and (b) of this Section 2.9, then the indemnifying party shall contribute to the amount paid or payable by the indemnified party as a result of such Loss in such proportion as is appropriate to reflect the relative fault of the indemnifying party on the one hand and the indemnified party on the other.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00"/>
          </w:cols>
          <w:pgMar w:left="240" w:top="280" w:right="259" w:bottom="1440" w:gutter="0" w:footer="0" w:header="0"/>
        </w:sectPr>
      </w:pPr>
    </w:p>
    <w:bookmarkStart w:id="138" w:name="page139"/>
    <w:bookmarkEnd w:id="13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intent, knowledge, access to information and opportunity to correct or prevent such untrue statement or omission. Notwithstanding anything in this Section 2.9(d) to the contrary, no indemnifying party (other than the Company) shall be required pursuant to this Section 2.9(d) to contribute any amount in excess of the amount by which the net proceeds received by such indemnifying party from the sale of Registrable Securities in the offering to which the Losses of the indemnified parties relate exceeds the amount of any damages which such indemnifying party has otherwise been required to pay by reason of such untrue statement or omission. The parties hereto agree that it would not be just and equitable if contribution pursuant to this Section 2.9(d)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above. No person guilty of fraudulent misrepresentation (within the meaning of Section 11(f) of the Securities Act) shall be entitled to contribution from any Person who was not guilty of such fraudulent misrepresentation. If indemnification is available under this Section 2.9, the indemnifying parties shall indemnify each indemnified party to the full extent provided in Sections 2.9(a) and 2.9(b) hereof without regard to the relative fault of said indemnifying parties or indemnified party.</w:t>
      </w:r>
    </w:p>
    <w:p>
      <w:pPr>
        <w:spacing w:after="0" w:line="120" w:lineRule="exact"/>
        <w:rPr>
          <w:sz w:val="20"/>
          <w:szCs w:val="20"/>
          <w:color w:val="auto"/>
        </w:rPr>
      </w:pPr>
    </w:p>
    <w:p>
      <w:pPr>
        <w:ind w:right="360" w:firstLine="921"/>
        <w:spacing w:after="0" w:line="268"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2.9, no party shall be entitled to indemnification or contribution under this Agreement in violation of Section 17(i) of the Investment Company Act.</w:t>
      </w:r>
    </w:p>
    <w:p>
      <w:pPr>
        <w:spacing w:after="0" w:line="132"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Rules 144 and 144A</w:t>
      </w:r>
      <w:r>
        <w:rPr>
          <w:rFonts w:ascii="Arial" w:cs="Arial" w:eastAsia="Arial" w:hAnsi="Arial"/>
          <w:sz w:val="16"/>
          <w:szCs w:val="16"/>
          <w:color w:val="auto"/>
        </w:rPr>
        <w:t xml:space="preserve">. The Company covenants that it will file the reports required to be filed by it under the Securities Act and the Exchange Act and the rules and regulations adopted by the SEC thereunder (or, if the Company is not required to file such reports, it will, upon the request of any holder of Registrable Securities after the transfer date, make publicly available other information so long as necessary to permit sales pursuant to Rule 144 or 144A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to make any Adverse Disclosure), and it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(i) Rule 144 or 144A under the Securities Act, as such Rules may be amended from time to time, or (ii) any similar rule or regulation hereafter adopted by the SEC.</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 MISCELLANEOUS</w:t>
      </w:r>
    </w:p>
    <w:p>
      <w:pPr>
        <w:spacing w:after="0" w:line="204" w:lineRule="exact"/>
        <w:rPr>
          <w:sz w:val="20"/>
          <w:szCs w:val="20"/>
          <w:color w:val="auto"/>
        </w:rPr>
      </w:pPr>
    </w:p>
    <w:p>
      <w:pPr>
        <w:ind w:right="40" w:firstLine="913"/>
        <w:spacing w:after="0" w:line="26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the date of this Agreement or (ii) with respect to each holder of Registrable Securities, the date as of which (A) all of the Registrable Securities of such holder have been sold pursuant to a Registration Statement (but in no event prior to the applicable period referred to in Section 4(3) of the Securities Act and Rule 174 thereunder) or (B) such holder is permitted to sell its Registrable Securities under Rule 144(k) under the Securities Act (or any similar provision then in force permitting the sale of restricted securities without limitation on the amount of securities sold or the manner of sale). The provisions of Section 2.9 and Section 2.10 shall survive any termination of this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139" w:name="page140"/>
    <w:bookmarkEnd w:id="139"/>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herein, whenever this Agreement provides that any notice, demand, request, consent, approval, declaration or other communication shall or may be given to or served upon any of the parties by another, or whenever any of the parties desires to give or serve upon another any communication with respect to this Agreement, each such notice, demand, request, consent, approval, declaration or other communication shall be in writing and shall be deemed to have been given upon personal delivery thereof, upon transmittal of such notice by telecopy (with confirmation of receipt by telecopy or telex) or five days after transmittal by registered or certified mail, postage prepaid, addressed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If to Company:</w:t>
            </w: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PennantPark Investment Corporation</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line="217" w:lineRule="exact"/>
              <w:rPr>
                <w:sz w:val="20"/>
                <w:szCs w:val="20"/>
                <w:color w:val="auto"/>
              </w:rPr>
            </w:pPr>
            <w:r>
              <w:rPr>
                <w:rFonts w:ascii="Arial" w:cs="Arial" w:eastAsia="Arial" w:hAnsi="Arial"/>
                <w:sz w:val="18"/>
                <w:szCs w:val="18"/>
                <w:color w:val="auto"/>
              </w:rPr>
              <w:t>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New York, NY 10022</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Attention: Chief Financial Officer</w:t>
            </w:r>
          </w:p>
        </w:tc>
      </w:tr>
      <w:tr>
        <w:trPr>
          <w:trHeight w:val="222"/>
        </w:trPr>
        <w:tc>
          <w:tcPr>
            <w:tcW w:w="3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Telecopier: (212) 307-3290</w:t>
            </w:r>
          </w:p>
        </w:tc>
      </w:tr>
      <w:tr>
        <w:trPr>
          <w:trHeight w:val="331"/>
        </w:trPr>
        <w:tc>
          <w:tcPr>
            <w:tcW w:w="3300" w:type="dxa"/>
            <w:vAlign w:val="bottom"/>
          </w:tcPr>
          <w:p>
            <w:pPr>
              <w:spacing w:after="0"/>
              <w:rPr>
                <w:sz w:val="20"/>
                <w:szCs w:val="20"/>
                <w:color w:val="auto"/>
              </w:rPr>
            </w:pPr>
            <w:r>
              <w:rPr>
                <w:rFonts w:ascii="Arial" w:cs="Arial" w:eastAsia="Arial" w:hAnsi="Arial"/>
                <w:sz w:val="18"/>
                <w:szCs w:val="18"/>
                <w:color w:val="auto"/>
              </w:rPr>
              <w:t>with a copy to:</w:t>
            </w:r>
          </w:p>
        </w:tc>
        <w:tc>
          <w:tcPr>
            <w:tcW w:w="270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Dechert LLP</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1775 I Street, N.W.</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Washington, D.C. 20006</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Attention: Thomas J. Friedmann</w:t>
            </w:r>
          </w:p>
        </w:tc>
      </w:tr>
      <w:tr>
        <w:trPr>
          <w:trHeight w:val="222"/>
        </w:trPr>
        <w:tc>
          <w:tcPr>
            <w:tcW w:w="3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Telecopier: (202) 261-3333</w:t>
            </w:r>
          </w:p>
        </w:tc>
      </w:tr>
      <w:tr>
        <w:trPr>
          <w:trHeight w:val="331"/>
        </w:trPr>
        <w:tc>
          <w:tcPr>
            <w:tcW w:w="3300" w:type="dxa"/>
            <w:vAlign w:val="bottom"/>
          </w:tcPr>
          <w:p>
            <w:pPr>
              <w:spacing w:after="0"/>
              <w:rPr>
                <w:sz w:val="20"/>
                <w:szCs w:val="20"/>
                <w:color w:val="auto"/>
              </w:rPr>
            </w:pPr>
            <w:r>
              <w:rPr>
                <w:rFonts w:ascii="Arial" w:cs="Arial" w:eastAsia="Arial" w:hAnsi="Arial"/>
                <w:sz w:val="18"/>
                <w:szCs w:val="18"/>
                <w:color w:val="auto"/>
              </w:rPr>
              <w:t>If to Investors:</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c>
          <w:tcPr>
            <w:tcW w:w="3340" w:type="dxa"/>
            <w:vAlign w:val="bottom"/>
          </w:tcPr>
          <w:p>
            <w:pPr>
              <w:ind w:left="60"/>
              <w:spacing w:after="0"/>
              <w:rPr>
                <w:sz w:val="20"/>
                <w:szCs w:val="20"/>
                <w:color w:val="auto"/>
              </w:rPr>
            </w:pPr>
            <w:r>
              <w:rPr>
                <w:rFonts w:ascii="Arial" w:cs="Arial" w:eastAsia="Arial" w:hAnsi="Arial"/>
                <w:sz w:val="18"/>
                <w:szCs w:val="18"/>
                <w:color w:val="auto"/>
              </w:rPr>
              <w:t>PennantPark Investment Advisers, LLC</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line="217" w:lineRule="exact"/>
              <w:rPr>
                <w:sz w:val="20"/>
                <w:szCs w:val="20"/>
                <w:color w:val="auto"/>
              </w:rPr>
            </w:pPr>
            <w:r>
              <w:rPr>
                <w:rFonts w:ascii="Arial" w:cs="Arial" w:eastAsia="Arial" w:hAnsi="Arial"/>
                <w:sz w:val="18"/>
                <w:szCs w:val="18"/>
                <w:color w:val="auto"/>
              </w:rPr>
              <w:t>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New York, NY 10022</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w w:val="90"/>
              </w:rPr>
              <w:t>Attention: Arthur H. Penn, Managing Member</w:t>
            </w:r>
          </w:p>
        </w:tc>
      </w:tr>
      <w:tr>
        <w:trPr>
          <w:trHeight w:val="222"/>
        </w:trPr>
        <w:tc>
          <w:tcPr>
            <w:tcW w:w="3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Telecopier: (212) 307-3290</w:t>
            </w:r>
          </w:p>
        </w:tc>
      </w:tr>
      <w:tr>
        <w:trPr>
          <w:trHeight w:val="331"/>
        </w:trPr>
        <w:tc>
          <w:tcPr>
            <w:tcW w:w="3300" w:type="dxa"/>
            <w:vAlign w:val="bottom"/>
          </w:tcPr>
          <w:p>
            <w:pPr>
              <w:spacing w:after="0"/>
              <w:rPr>
                <w:sz w:val="20"/>
                <w:szCs w:val="20"/>
                <w:color w:val="auto"/>
              </w:rPr>
            </w:pPr>
            <w:r>
              <w:rPr>
                <w:rFonts w:ascii="Arial" w:cs="Arial" w:eastAsia="Arial" w:hAnsi="Arial"/>
                <w:sz w:val="18"/>
                <w:szCs w:val="18"/>
                <w:color w:val="auto"/>
              </w:rPr>
              <w:t>with a copy to:</w:t>
            </w:r>
          </w:p>
        </w:tc>
        <w:tc>
          <w:tcPr>
            <w:tcW w:w="270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Dechert LLP</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1775 I Street, N.W.</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Washington, D.C. 20006</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Attention: Thomas J. Friedmann</w:t>
            </w:r>
          </w:p>
        </w:tc>
      </w:tr>
      <w:tr>
        <w:trPr>
          <w:trHeight w:val="222"/>
        </w:trPr>
        <w:tc>
          <w:tcPr>
            <w:tcW w:w="3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Telecopier: (202) 261-3333</w:t>
            </w:r>
          </w:p>
        </w:tc>
      </w:tr>
      <w:tr>
        <w:trPr>
          <w:trHeight w:val="338"/>
        </w:trPr>
        <w:tc>
          <w:tcPr>
            <w:tcW w:w="330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c>
          <w:tcPr>
            <w:tcW w:w="3340" w:type="dxa"/>
            <w:vAlign w:val="bottom"/>
          </w:tcPr>
          <w:p>
            <w:pPr>
              <w:ind w:left="60"/>
              <w:spacing w:after="0"/>
              <w:rPr>
                <w:sz w:val="20"/>
                <w:szCs w:val="20"/>
                <w:color w:val="auto"/>
              </w:rPr>
            </w:pPr>
            <w:r>
              <w:rPr>
                <w:rFonts w:ascii="Arial" w:cs="Arial" w:eastAsia="Arial" w:hAnsi="Arial"/>
                <w:sz w:val="18"/>
                <w:szCs w:val="18"/>
                <w:color w:val="auto"/>
              </w:rPr>
              <w:t>Adam K. Bernstein</w:t>
            </w:r>
          </w:p>
        </w:tc>
      </w:tr>
      <w:tr>
        <w:trPr>
          <w:trHeight w:val="324"/>
        </w:trPr>
        <w:tc>
          <w:tcPr>
            <w:tcW w:w="330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(3)</w:t>
            </w:r>
          </w:p>
        </w:tc>
        <w:tc>
          <w:tcPr>
            <w:tcW w:w="3340" w:type="dxa"/>
            <w:vAlign w:val="bottom"/>
          </w:tcPr>
          <w:p>
            <w:pPr>
              <w:ind w:left="60"/>
              <w:spacing w:after="0"/>
              <w:rPr>
                <w:sz w:val="20"/>
                <w:szCs w:val="20"/>
                <w:color w:val="auto"/>
              </w:rPr>
            </w:pPr>
            <w:r>
              <w:rPr>
                <w:rFonts w:ascii="Arial" w:cs="Arial" w:eastAsia="Arial" w:hAnsi="Arial"/>
                <w:sz w:val="18"/>
                <w:szCs w:val="18"/>
                <w:color w:val="auto"/>
              </w:rPr>
              <w:t>Marshall Brozost</w:t>
            </w:r>
          </w:p>
        </w:tc>
      </w:tr>
      <w:tr>
        <w:trPr>
          <w:trHeight w:val="365"/>
        </w:trPr>
        <w:tc>
          <w:tcPr>
            <w:tcW w:w="3300" w:type="dxa"/>
            <w:vAlign w:val="bottom"/>
          </w:tcPr>
          <w:p>
            <w:pPr>
              <w:spacing w:after="0"/>
              <w:rPr>
                <w:sz w:val="24"/>
                <w:szCs w:val="24"/>
                <w:color w:val="auto"/>
              </w:rPr>
            </w:pPr>
          </w:p>
        </w:tc>
        <w:tc>
          <w:tcPr>
            <w:tcW w:w="2700" w:type="dxa"/>
            <w:vAlign w:val="bottom"/>
          </w:tcPr>
          <w:p>
            <w:pPr>
              <w:jc w:val="right"/>
              <w:ind w:right="12"/>
              <w:spacing w:after="0"/>
              <w:rPr>
                <w:sz w:val="20"/>
                <w:szCs w:val="20"/>
                <w:color w:val="auto"/>
              </w:rPr>
            </w:pPr>
            <w:r>
              <w:rPr>
                <w:rFonts w:ascii="Arial" w:cs="Arial" w:eastAsia="Arial" w:hAnsi="Arial"/>
                <w:sz w:val="18"/>
                <w:szCs w:val="18"/>
                <w:color w:val="auto"/>
              </w:rPr>
              <w:t>- 20 -</w:t>
            </w:r>
          </w:p>
        </w:tc>
        <w:tc>
          <w:tcPr>
            <w:tcW w:w="334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140" w:name="page141"/>
    <w:bookmarkEnd w:id="140"/>
    <w:p>
      <w:pPr>
        <w:ind w:left="5620"/>
        <w:spacing w:after="0"/>
        <w:tabs>
          <w:tab w:leader="none" w:pos="5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r>
        <w:rPr>
          <w:sz w:val="20"/>
          <w:szCs w:val="20"/>
          <w:color w:val="auto"/>
        </w:rPr>
        <w:tab/>
      </w:r>
      <w:r>
        <w:rPr>
          <w:rFonts w:ascii="Arial" w:cs="Arial" w:eastAsia="Arial" w:hAnsi="Arial"/>
          <w:sz w:val="16"/>
          <w:szCs w:val="16"/>
          <w:color w:val="auto"/>
        </w:rPr>
        <w:t>Jeffrey Flug</w:t>
      </w:r>
    </w:p>
    <w:p>
      <w:pPr>
        <w:spacing w:after="0" w:line="117"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Samuel L. Katz</w:t>
      </w:r>
    </w:p>
    <w:p>
      <w:pPr>
        <w:spacing w:after="0" w:line="117"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Aviv Efrat</w:t>
      </w:r>
    </w:p>
    <w:p>
      <w:pPr>
        <w:spacing w:after="0" w:line="117"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5"/>
          <w:szCs w:val="15"/>
          <w:color w:val="auto"/>
        </w:rPr>
        <w:t>Geoffrey S. Chang</w:t>
      </w:r>
    </w:p>
    <w:p>
      <w:pPr>
        <w:spacing w:after="0" w:line="117"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Salvatore Gianetti III</w:t>
      </w:r>
    </w:p>
    <w:p>
      <w:pPr>
        <w:spacing w:after="0" w:line="117"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P. Whitridge Williams, Jr.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addresses set forth above may be changed by any party upon furnishing to the other party a notice of change of address in accordance with the terms of this paragraph.</w:t>
      </w:r>
    </w:p>
    <w:p>
      <w:pPr>
        <w:spacing w:after="0" w:line="132"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Successors, Assigns and Transferees</w:t>
      </w:r>
      <w:r>
        <w:rPr>
          <w:rFonts w:ascii="Arial" w:cs="Arial" w:eastAsia="Arial" w:hAnsi="Arial"/>
          <w:sz w:val="16"/>
          <w:szCs w:val="16"/>
          <w:color w:val="auto"/>
        </w:rPr>
        <w:t xml:space="preserve">. (a) The registration rights of any holder under this Agreement with respect to any Registrable Securities may be transferred and assigned,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be binding upon or obligate the Company to any such assignee unless and until (i) the Company shall have received notice of such assignment as herein provided and a written agreement of the assignee to be bound by the provisions of this Agreement and (ii) such assignee acquires Registrable Securities with an estimated aggregate market value of $100,000 or more. Any transfer or assignment made other than as provided in the first sentence of this Section 3.3 shall be null and void.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240"/>
          </w:cols>
          <w:pgMar w:left="240" w:top="280" w:right="419" w:bottom="1440" w:gutter="0" w:footer="0" w:header="0"/>
        </w:sectPr>
      </w:pPr>
    </w:p>
    <w:bookmarkStart w:id="141" w:name="page142"/>
    <w:bookmarkEnd w:id="14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This Agreement shall be binding upon and shall inure to the benefit of the parties hereto, and their respective successors and permitted assigns.</w:t>
      </w:r>
    </w:p>
    <w:p>
      <w:pPr>
        <w:spacing w:after="0" w:line="19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Governing Law; Service of Process; Consent to Jurisdiction</w:t>
      </w:r>
      <w:r>
        <w:rPr>
          <w:rFonts w:ascii="Arial" w:cs="Arial" w:eastAsia="Arial" w:hAnsi="Arial"/>
          <w:sz w:val="18"/>
          <w:szCs w:val="18"/>
          <w:color w:val="auto"/>
        </w:rPr>
        <w:t>. (a) This agreement shall be governed by, and construed in accordance with, the laws of the State of New York.</w:t>
      </w:r>
    </w:p>
    <w:p>
      <w:pPr>
        <w:spacing w:after="0" w:line="132" w:lineRule="exact"/>
        <w:rPr>
          <w:sz w:val="20"/>
          <w:szCs w:val="20"/>
          <w:color w:val="auto"/>
        </w:rPr>
      </w:pPr>
    </w:p>
    <w:p>
      <w:pPr>
        <w:ind w:right="20" w:firstLine="921"/>
        <w:spacing w:after="0" w:line="290" w:lineRule="auto"/>
        <w:tabs>
          <w:tab w:leader="none" w:pos="116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each party hereto (i) agrees that any claim, action or proceeding by such party seeking any relief whatsoever arising out of, or in connection with, this Agreement or the transactions contemplated hereby shall be brought only in the United States District Court for the Southern District of New York and in any New York State court located in the Borough of Manhattan and not in any other State or Federal court in the United States of America or any court in any other country, (ii) agrees to submit to the exclusive jurisdiction of such courts located in the State of New York for purposes of all legal proceedings arising out of, or in connection with, this Agreement or the transactions contemplated hereby and (iii) irrevocably waives any objection which it may now or hereafter have to the laying of the venue of any such proceeding brought in such a court and any claim that any such proceeding brought in such a court has been brought in an inconvenient forum.</w:t>
      </w:r>
    </w:p>
    <w:p>
      <w:pPr>
        <w:spacing w:after="0" w:line="11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paragraph headings contained in this Agreement are for reference purposes only and shall not in any way affect the meaning or interpretation of this Agreement.</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therein.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Amendment; Waiver</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6" w:lineRule="auto"/>
        <w:tabs>
          <w:tab w:leader="none" w:pos="11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may not be modified, amended, altered or supplemented except upon the execution and delivery of a written agreement signed by the Company and the holders of a majority of Registrable Securities then outstanding. Each holder of any Registrable Securities at the time or thereafter outstanding shall be bound by any amendment, modification, waiver or consent authorized by this Section 3.7(a), whether or not such Registrable Securities shall have been marked accordingly.</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waiver by any party hereto of a breach of any provision of this Agreement shall not operate or be construed as a further or continuing waiver of such breach or as a waiver of any other or subsequent breach. Except as otherwise expressly provided herein, no failure on the part of any party to exercise, and no delay in exercising, any right, power or</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80" w:right="239" w:bottom="1440" w:gutter="0" w:footer="0" w:header="0"/>
        </w:sectPr>
      </w:pPr>
    </w:p>
    <w:bookmarkStart w:id="142" w:name="page143"/>
    <w:bookmarkEnd w:id="142"/>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85"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Company acknowledges that the rights granted to the Investors hereunder are unique and that the Investors will not have an adequate remedy at law if the Company breaches any covenant contained herein or fails to perform any of its obligations under this Agreement. Accordingly, the Company agrees that the Investors shall have the right, in addition to any other rights which they may have, to specific performance and equitable injunctive relief if the Company shall fail or threaten to fail to perform any of its obligations under this Agreement.</w:t>
      </w:r>
    </w:p>
    <w:p>
      <w:pPr>
        <w:spacing w:after="0" w:line="113"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an original, but all of which together shall constitute one and the same Agreement.</w:t>
      </w:r>
    </w:p>
    <w:p>
      <w:pPr>
        <w:spacing w:after="0" w:line="13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Company and the Investors with respect to the matters covered herein and supersedes any prior negotiations, understandings or agreements with respect to the matters contemplated hereby.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80" w:right="2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instrument to be duly executed as of the date first written above.</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PENNANTPARK INVESTMENT CORPORATION</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2540</wp:posOffset>
            </wp:positionV>
            <wp:extent cx="25730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PENNANTPARK INVESTMENT ADVISERS, LLC</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2540</wp:posOffset>
            </wp:positionV>
            <wp:extent cx="25730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ADAM K. BERNSTEIN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2540</wp:posOffset>
            </wp:positionV>
            <wp:extent cx="25730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Adam K. Bernstein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MARSHALL BROZOST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2540</wp:posOffset>
            </wp:positionV>
            <wp:extent cx="25730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Marshall Brozost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JEFFREY FLUG</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2540</wp:posOffset>
            </wp:positionV>
            <wp:extent cx="25730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Jeffrey Flug</w:t>
      </w:r>
    </w:p>
    <w:p>
      <w:pPr>
        <w:sectPr>
          <w:pgSz w:w="11900" w:h="16838" w:orient="portrait"/>
          <w:cols w:equalWidth="0" w:num="1">
            <w:col w:w="9700"/>
          </w:cols>
          <w:pgMar w:left="1160" w:top="280" w:right="103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SAMUEL L. KATZ</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wp:posOffset>
            </wp:positionV>
            <wp:extent cx="2693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L. Katz</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AVIV EFRAT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wp:posOffset>
            </wp:positionV>
            <wp:extent cx="26930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Aviv Efrat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GEOFFREY S. CHANG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wp:posOffset>
            </wp:positionV>
            <wp:extent cx="26930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Geoffrey S. Chang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SALVATORE GIANETTI III</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wp:posOffset>
            </wp:positionV>
            <wp:extent cx="26930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Salvatore Gianetti III</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 WHITRIDGE WILLIAMS, JR.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 Whitridge Williams, Jr.</w:t>
      </w:r>
    </w:p>
    <w:p>
      <w:pPr>
        <w:sectPr>
          <w:pgSz w:w="11900" w:h="16838" w:orient="portrait"/>
          <w:cols w:equalWidth="0" w:num="1">
            <w:col w:w="9019"/>
          </w:cols>
          <w:pgMar w:left="1440" w:top="280"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20445" cy="308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0445" cy="30861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ind w:left="2640"/>
              <w:spacing w:after="0"/>
              <w:rPr>
                <w:sz w:val="20"/>
                <w:szCs w:val="20"/>
                <w:color w:val="auto"/>
              </w:rPr>
            </w:pPr>
            <w:r>
              <w:rPr>
                <w:rFonts w:ascii="Arial" w:cs="Arial" w:eastAsia="Arial" w:hAnsi="Arial"/>
                <w:sz w:val="18"/>
                <w:szCs w:val="18"/>
                <w:color w:val="auto"/>
                <w:w w:val="98"/>
              </w:rPr>
              <w:t>Two Hopkins Plaza, Suite 1800</w:t>
            </w:r>
          </w:p>
        </w:tc>
        <w:tc>
          <w:tcPr>
            <w:tcW w:w="2920" w:type="dxa"/>
            <w:vAlign w:val="bottom"/>
          </w:tcPr>
          <w:p>
            <w:pPr>
              <w:ind w:left="500"/>
              <w:spacing w:after="0"/>
              <w:rPr>
                <w:sz w:val="20"/>
                <w:szCs w:val="20"/>
                <w:color w:val="auto"/>
              </w:rPr>
            </w:pPr>
            <w:r>
              <w:rPr>
                <w:rFonts w:ascii="Arial" w:cs="Arial" w:eastAsia="Arial" w:hAnsi="Arial"/>
                <w:sz w:val="18"/>
                <w:szCs w:val="18"/>
                <w:color w:val="auto"/>
              </w:rPr>
              <w:t>Telephone 410-244-7400</w:t>
            </w:r>
          </w:p>
        </w:tc>
        <w:tc>
          <w:tcPr>
            <w:tcW w:w="3380" w:type="dxa"/>
            <w:vAlign w:val="bottom"/>
          </w:tcPr>
          <w:p>
            <w:pPr>
              <w:spacing w:after="0"/>
              <w:rPr>
                <w:sz w:val="18"/>
                <w:szCs w:val="18"/>
                <w:color w:val="auto"/>
              </w:rPr>
            </w:pPr>
          </w:p>
        </w:tc>
      </w:tr>
      <w:tr>
        <w:trPr>
          <w:trHeight w:val="222"/>
        </w:trPr>
        <w:tc>
          <w:tcPr>
            <w:tcW w:w="5120" w:type="dxa"/>
            <w:vAlign w:val="bottom"/>
          </w:tcPr>
          <w:p>
            <w:pPr>
              <w:ind w:left="2640"/>
              <w:spacing w:after="0"/>
              <w:rPr>
                <w:sz w:val="20"/>
                <w:szCs w:val="20"/>
                <w:color w:val="auto"/>
              </w:rPr>
            </w:pPr>
            <w:r>
              <w:rPr>
                <w:rFonts w:ascii="Arial" w:cs="Arial" w:eastAsia="Arial" w:hAnsi="Arial"/>
                <w:sz w:val="18"/>
                <w:szCs w:val="18"/>
                <w:color w:val="auto"/>
                <w:w w:val="94"/>
              </w:rPr>
              <w:t>Baltimore, Maryland 21201-2978</w:t>
            </w:r>
          </w:p>
        </w:tc>
        <w:tc>
          <w:tcPr>
            <w:tcW w:w="2920" w:type="dxa"/>
            <w:vAlign w:val="bottom"/>
          </w:tcPr>
          <w:p>
            <w:pPr>
              <w:ind w:left="500"/>
              <w:spacing w:after="0"/>
              <w:rPr>
                <w:sz w:val="20"/>
                <w:szCs w:val="20"/>
                <w:color w:val="auto"/>
              </w:rPr>
            </w:pPr>
            <w:r>
              <w:rPr>
                <w:rFonts w:ascii="Arial" w:cs="Arial" w:eastAsia="Arial" w:hAnsi="Arial"/>
                <w:sz w:val="18"/>
                <w:szCs w:val="18"/>
                <w:color w:val="auto"/>
              </w:rPr>
              <w:t>Facsimile 410-244-7742</w:t>
            </w:r>
          </w:p>
        </w:tc>
        <w:tc>
          <w:tcPr>
            <w:tcW w:w="3380" w:type="dxa"/>
            <w:vAlign w:val="bottom"/>
          </w:tcPr>
          <w:p>
            <w:pPr>
              <w:ind w:left="660"/>
              <w:spacing w:after="0"/>
              <w:rPr>
                <w:sz w:val="20"/>
                <w:szCs w:val="20"/>
                <w:color w:val="auto"/>
              </w:rPr>
            </w:pPr>
            <w:r>
              <w:rPr>
                <w:rFonts w:ascii="Arial" w:cs="Arial" w:eastAsia="Arial" w:hAnsi="Arial"/>
                <w:sz w:val="18"/>
                <w:szCs w:val="18"/>
                <w:color w:val="auto"/>
              </w:rPr>
              <w:t>www.venable.com</w:t>
            </w:r>
          </w:p>
        </w:tc>
      </w:tr>
      <w:tr>
        <w:trPr>
          <w:trHeight w:val="124"/>
        </w:trPr>
        <w:tc>
          <w:tcPr>
            <w:tcW w:w="512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r>
      <w:tr>
        <w:trPr>
          <w:trHeight w:val="343"/>
        </w:trPr>
        <w:tc>
          <w:tcPr>
            <w:tcW w:w="5120" w:type="dxa"/>
            <w:vAlign w:val="bottom"/>
          </w:tcPr>
          <w:p>
            <w:pPr>
              <w:spacing w:after="0"/>
              <w:rPr>
                <w:sz w:val="24"/>
                <w:szCs w:val="24"/>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April 4, 2007</w:t>
            </w:r>
          </w:p>
        </w:tc>
        <w:tc>
          <w:tcPr>
            <w:tcW w:w="3380" w:type="dxa"/>
            <w:vAlign w:val="bottom"/>
          </w:tcPr>
          <w:p>
            <w:pPr>
              <w:spacing w:after="0"/>
              <w:rPr>
                <w:sz w:val="24"/>
                <w:szCs w:val="24"/>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Corporation 445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Avenue, 10th Floor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10022</w:t>
      </w:r>
    </w:p>
    <w:p>
      <w:pPr>
        <w:spacing w:after="0" w:line="151"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Re:</w:t>
        <w:tab/>
        <w:t>Registration Statement on Form N-2:</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File No. 333-140092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-17780</wp:posOffset>
            </wp:positionV>
            <wp:extent cx="16567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5671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of shares (the “Shares”) of common stock, $.001 par value per share (the “Common Stock”), of the Company to be issued in an underwritten initial public offering, covered by the above-referenced Registration Statement, and all amendments thereto (the “Registration Statement”), filed by the Company with the Securities and Exchange Commission (the “Commission”) under the Securities Act of 1933, as amended (the “1933 Act”). Unless otherwise defined herein, capitalized terms used herein shall have the meanings assigned to them in the Registration Statement.</w:t>
      </w:r>
    </w:p>
    <w:p>
      <w:pPr>
        <w:spacing w:after="0" w:line="9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4"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charter of the Company, as amended and restated (the “Charter”), certified as of a recent date by the State Department of Assessments and Taxation of Maryland (the “SDAT”);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020445" cy="308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020445" cy="308610"/>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8" w:lineRule="exact"/>
        <w:rPr>
          <w:sz w:val="20"/>
          <w:szCs w:val="20"/>
          <w:color w:val="auto"/>
        </w:rPr>
      </w:pPr>
    </w:p>
    <w:p>
      <w:pPr>
        <w:ind w:right="100" w:firstLine="464"/>
        <w:spacing w:after="0" w:line="268" w:lineRule="auto"/>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(the “Resolutions”) relating to the authorization of the sale and issuance of the Shares, certified as of the date hereof by an officer of the Company;</w:t>
      </w:r>
    </w:p>
    <w:p>
      <w:pPr>
        <w:spacing w:after="0" w:line="104" w:lineRule="exact"/>
        <w:rPr>
          <w:rFonts w:ascii="Arial" w:cs="Arial" w:eastAsia="Arial" w:hAnsi="Arial"/>
          <w:sz w:val="18"/>
          <w:szCs w:val="18"/>
          <w:color w:val="auto"/>
        </w:rPr>
      </w:pPr>
    </w:p>
    <w:p>
      <w:pPr>
        <w:ind w:left="640" w:hanging="176"/>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44"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90" w:lineRule="exact"/>
        <w:rPr>
          <w:sz w:val="20"/>
          <w:szCs w:val="20"/>
          <w:color w:val="auto"/>
        </w:rPr>
      </w:pPr>
    </w:p>
    <w:p>
      <w:pPr>
        <w:ind w:left="640" w:hanging="176"/>
        <w:spacing w:after="0"/>
        <w:tabs>
          <w:tab w:leader="none" w:pos="6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67" w:lineRule="exact"/>
        <w:rPr>
          <w:rFonts w:ascii="Arial" w:cs="Arial" w:eastAsia="Arial" w:hAnsi="Arial"/>
          <w:sz w:val="16"/>
          <w:szCs w:val="16"/>
          <w:color w:val="auto"/>
        </w:rPr>
      </w:pPr>
    </w:p>
    <w:p>
      <w:pPr>
        <w:ind w:left="640" w:hanging="17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44" w:lineRule="exact"/>
        <w:rPr>
          <w:rFonts w:ascii="Arial" w:cs="Arial" w:eastAsia="Arial" w:hAnsi="Arial"/>
          <w:sz w:val="18"/>
          <w:szCs w:val="18"/>
          <w:color w:val="auto"/>
        </w:rPr>
      </w:pPr>
    </w:p>
    <w:p>
      <w:pPr>
        <w:ind w:firstLine="464"/>
        <w:spacing w:after="0" w:line="370" w:lineRule="auto"/>
        <w:tabs>
          <w:tab w:leader="none" w:pos="632" w:val="left"/>
        </w:tabs>
        <w:numPr>
          <w:ilvl w:val="0"/>
          <w:numId w:val="145"/>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35" w:lineRule="exact"/>
        <w:rPr>
          <w:rFonts w:ascii="Arial" w:cs="Arial" w:eastAsia="Arial" w:hAnsi="Arial"/>
          <w:sz w:val="15"/>
          <w:szCs w:val="15"/>
          <w:color w:val="auto"/>
        </w:rPr>
      </w:pPr>
    </w:p>
    <w:p>
      <w:pPr>
        <w:ind w:right="40" w:firstLine="464"/>
        <w:spacing w:after="0" w:line="254" w:lineRule="auto"/>
        <w:tabs>
          <w:tab w:leader="none" w:pos="63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17" w:lineRule="exact"/>
        <w:rPr>
          <w:rFonts w:ascii="Arial" w:cs="Arial" w:eastAsia="Arial" w:hAnsi="Arial"/>
          <w:sz w:val="18"/>
          <w:szCs w:val="18"/>
          <w:color w:val="auto"/>
        </w:rPr>
      </w:pPr>
    </w:p>
    <w:p>
      <w:pPr>
        <w:ind w:right="340" w:firstLine="464"/>
        <w:spacing w:after="0" w:line="268" w:lineRule="auto"/>
        <w:tabs>
          <w:tab w:leader="none" w:pos="63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the issuance of the Shares, the Board of Directors, or a duly authorized committee thereof, will determine the number, and certain terms of issuance, of such Shares (the “Corporate Proceedings”).</w:t>
      </w:r>
    </w:p>
    <w:p>
      <w:pPr>
        <w:sectPr>
          <w:pgSz w:w="11900" w:h="16838" w:orient="portrait"/>
          <w:cols w:equalWidth="0" w:num="1">
            <w:col w:w="11280"/>
          </w:cols>
          <w:pgMar w:left="240" w:top="1076"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020445" cy="308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020445" cy="308610"/>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44" w:lineRule="exact"/>
        <w:rPr>
          <w:sz w:val="20"/>
          <w:szCs w:val="20"/>
          <w:color w:val="auto"/>
        </w:rPr>
      </w:pPr>
    </w:p>
    <w:p>
      <w:pPr>
        <w:ind w:left="640" w:hanging="176"/>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37" w:lineRule="exact"/>
        <w:rPr>
          <w:rFonts w:ascii="Arial" w:cs="Arial" w:eastAsia="Arial" w:hAnsi="Arial"/>
          <w:sz w:val="16"/>
          <w:szCs w:val="16"/>
          <w:color w:val="auto"/>
        </w:rPr>
      </w:pPr>
    </w:p>
    <w:p>
      <w:pPr>
        <w:ind w:right="40" w:firstLine="464"/>
        <w:spacing w:after="0" w:line="256" w:lineRule="auto"/>
        <w:tabs>
          <w:tab w:leader="none" w:pos="6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issuance of the Shares has been duly authorized and (assuming that, upon any issuance of the Shares, the total number of shares of Common Stock issued and outstanding will not exceed the total number of shares of Common Stock that the Company is then authorized to issue under the Charter), when and if issued and delivered against payment therefor in accordance with the Resolutions, the Corporate Proceedings and the Registration Statement, the Shares will be validly issued, fully paid and nonassessable.</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foregoing opinion is limited to the substantive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5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11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97155</wp:posOffset>
            </wp:positionV>
            <wp:extent cx="1311910" cy="4800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11910" cy="480060"/>
                    </a:xfrm>
                    <a:prstGeom prst="rect">
                      <a:avLst/>
                    </a:prstGeom>
                    <a:noFill/>
                  </pic:spPr>
                </pic:pic>
              </a:graphicData>
            </a:graphic>
          </wp:anchor>
        </w:drawing>
      </w:r>
    </w:p>
    <w:sectPr>
      <w:pgSz w:w="11900" w:h="16838" w:orient="portrait"/>
      <w:cols w:equalWidth="0" w:num="1">
        <w:col w:w="11380"/>
      </w:cols>
      <w:pgMar w:left="240" w:top="10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1)"/>
      <w:numFmt w:val="decimal"/>
      <w:start w:val="1"/>
    </w:lvl>
  </w:abstractNum>
  <w:abstractNum w:abstractNumId="2">
    <w:nsid w:val="540A471C"/>
    <w:multiLevelType w:val="hybridMultilevel"/>
    <w:lvl w:ilvl="0">
      <w:lvlJc w:val="left"/>
      <w:lvlText w:val="(%1)"/>
      <w:numFmt w:val="decimal"/>
      <w:start w:val="8"/>
    </w:lvl>
  </w:abstractNum>
  <w:abstractNum w:abstractNumId="3">
    <w:nsid w:val="7BD3EE7B"/>
    <w:multiLevelType w:val="hybridMultilevel"/>
    <w:lvl w:ilvl="0">
      <w:lvlJc w:val="left"/>
      <w:lvlText w:val="(%1)"/>
      <w:numFmt w:val="decimal"/>
      <w:start w:val="1"/>
    </w:lvl>
  </w:abstractNum>
  <w:abstractNum w:abstractNumId="4">
    <w:nsid w:val="51D9C564"/>
    <w:multiLevelType w:val="hybridMultilevel"/>
    <w:lvl w:ilvl="0">
      <w:lvlJc w:val="left"/>
      <w:lvlText w:val="(%1)"/>
      <w:numFmt w:val="lowerLetter"/>
      <w:start w:val="1"/>
    </w:lvl>
  </w:abstractNum>
  <w:abstractNum w:abstractNumId="5">
    <w:nsid w:val="613EFDC5"/>
    <w:multiLevelType w:val="hybridMultilevel"/>
    <w:lvl w:ilvl="0">
      <w:lvlJc w:val="left"/>
      <w:lvlText w:val="(%1)"/>
      <w:numFmt w:val="lowerLetter"/>
      <w:start w:val="8"/>
    </w:lvl>
  </w:abstractNum>
  <w:abstractNum w:abstractNumId="6">
    <w:nsid w:val="BF72B14"/>
    <w:multiLevelType w:val="hybridMultilevel"/>
    <w:lvl w:ilvl="0">
      <w:lvlJc w:val="left"/>
      <w:lvlText w:val="(%1)"/>
      <w:numFmt w:val="lowerLetter"/>
      <w:start w:val="12"/>
    </w:lvl>
  </w:abstractNum>
  <w:abstractNum w:abstractNumId="7">
    <w:nsid w:val="11447B73"/>
    <w:multiLevelType w:val="hybridMultilevel"/>
    <w:lvl w:ilvl="0">
      <w:lvlJc w:val="left"/>
      <w:lvlText w:val="(%1)"/>
      <w:numFmt w:val="decimal"/>
      <w:start w:val="1"/>
    </w:lvl>
  </w:abstractNum>
  <w:abstractNum w:abstractNumId="8">
    <w:nsid w:val="42963E5A"/>
    <w:multiLevelType w:val="hybridMultilevel"/>
    <w:lvl w:ilvl="0">
      <w:lvlJc w:val="left"/>
      <w:lvlText w:val="(%1)"/>
      <w:numFmt w:val="lowerLetter"/>
      <w:start w:val="1"/>
    </w:lvl>
    <w:lvl w:ilvl="1">
      <w:lvlJc w:val="left"/>
      <w:lvlText w:val="(%2)"/>
      <w:numFmt w:val="lowerRoman"/>
      <w:start w:val="1"/>
    </w:lvl>
  </w:abstractNum>
  <w:abstractNum w:abstractNumId="9">
    <w:nsid w:val="A0382C5"/>
    <w:multiLevelType w:val="hybridMultilevel"/>
    <w:lvl w:ilvl="0">
      <w:lvlJc w:val="left"/>
      <w:lvlText w:val="(%1)"/>
      <w:numFmt w:val="lowerLetter"/>
      <w:start w:val="2"/>
    </w:lvl>
  </w:abstractNum>
  <w:abstractNum w:abstractNumId="10">
    <w:nsid w:val="8F2B15E"/>
    <w:multiLevelType w:val="hybridMultilevel"/>
    <w:lvl w:ilvl="0">
      <w:lvlJc w:val="left"/>
      <w:lvlText w:val="%1"/>
      <w:numFmt w:val="lowerLetter"/>
      <w:start w:val="1"/>
    </w:lvl>
    <w:lvl w:ilvl="1">
      <w:lvlJc w:val="left"/>
      <w:lvlText w:val="(%2)"/>
      <w:numFmt w:val="lowerLetter"/>
      <w:start w:val="1"/>
    </w:lvl>
  </w:abstractNum>
  <w:abstractNum w:abstractNumId="11">
    <w:nsid w:val="1A32234B"/>
    <w:multiLevelType w:val="hybridMultilevel"/>
    <w:lvl w:ilvl="0">
      <w:lvlJc w:val="left"/>
      <w:lvlText w:val="(%1)"/>
      <w:numFmt w:val="lowerLetter"/>
      <w:start w:val="2"/>
    </w:lvl>
    <w:lvl w:ilvl="1">
      <w:lvlJc w:val="left"/>
      <w:lvlText w:val="(%2)"/>
      <w:numFmt w:val="lowerLetter"/>
      <w:start w:val="2"/>
    </w:lvl>
  </w:abstractNum>
  <w:abstractNum w:abstractNumId="12">
    <w:nsid w:val="3B0FD379"/>
    <w:multiLevelType w:val="hybridMultilevel"/>
    <w:lvl w:ilvl="0">
      <w:lvlJc w:val="left"/>
      <w:lvlText w:val="(%1)"/>
      <w:numFmt w:val="decimal"/>
      <w:start w:val="2"/>
    </w:lvl>
  </w:abstractNum>
  <w:abstractNum w:abstractNumId="13">
    <w:nsid w:val="68EB2F63"/>
    <w:multiLevelType w:val="hybridMultilevel"/>
    <w:lvl w:ilvl="0">
      <w:lvlJc w:val="left"/>
      <w:lvlText w:val="(%1)"/>
      <w:numFmt w:val="decimal"/>
      <w:start w:val="5"/>
    </w:lvl>
  </w:abstractNum>
  <w:abstractNum w:abstractNumId="14">
    <w:nsid w:val="4962813B"/>
    <w:multiLevelType w:val="hybridMultilevel"/>
    <w:lvl w:ilvl="0">
      <w:lvlJc w:val="left"/>
      <w:lvlText w:val="(%1)"/>
      <w:numFmt w:val="decimal"/>
      <w:start w:val="7"/>
    </w:lvl>
  </w:abstractNum>
  <w:abstractNum w:abstractNumId="15">
    <w:nsid w:val="60B6DF70"/>
    <w:multiLevelType w:val="hybridMultilevel"/>
    <w:lvl w:ilvl="0">
      <w:lvlJc w:val="left"/>
      <w:lvlText w:val="(%1)"/>
      <w:numFmt w:val="lowerLetter"/>
      <w:start w:val="1"/>
    </w:lvl>
    <w:lvl w:ilvl="1">
      <w:lvlJc w:val="left"/>
      <w:lvlText w:val="(%2)"/>
      <w:numFmt w:val="decimal"/>
      <w:start w:val="2"/>
    </w:lvl>
  </w:abstractNum>
  <w:abstractNum w:abstractNumId="16">
    <w:nsid w:val="6A5EE64"/>
    <w:multiLevelType w:val="hybridMultilevel"/>
    <w:lvl w:ilvl="0">
      <w:lvlJc w:val="left"/>
      <w:lvlText w:val="%1"/>
      <w:numFmt w:val="lowerLetter"/>
      <w:start w:val="1"/>
    </w:lvl>
    <w:lvl w:ilvl="1">
      <w:lvlJc w:val="left"/>
      <w:lvlText w:val="(%2)"/>
      <w:numFmt w:val="decimal"/>
      <w:start w:val="3"/>
    </w:lvl>
  </w:abstractNum>
  <w:abstractNum w:abstractNumId="17">
    <w:nsid w:val="14330624"/>
    <w:multiLevelType w:val="hybridMultilevel"/>
    <w:lvl w:ilvl="0">
      <w:lvlJc w:val="left"/>
      <w:lvlText w:val="(%1)"/>
      <w:numFmt w:val="lowerLetter"/>
      <w:start w:val="2"/>
    </w:lvl>
    <w:lvl w:ilvl="1">
      <w:lvlJc w:val="left"/>
      <w:lvlText w:val="%2"/>
      <w:numFmt w:val="decimal"/>
      <w:start w:val="1"/>
    </w:lvl>
  </w:abstractNum>
  <w:abstractNum w:abstractNumId="18">
    <w:nsid w:val="7FFFCA11"/>
    <w:multiLevelType w:val="hybridMultilevel"/>
    <w:lvl w:ilvl="0">
      <w:lvlJc w:val="left"/>
      <w:lvlText w:val="(%1)"/>
      <w:numFmt w:val="lowerLetter"/>
      <w:start w:val="3"/>
    </w:lvl>
    <w:lvl w:ilvl="1">
      <w:lvlJc w:val="left"/>
      <w:lvlText w:val="(%2)"/>
      <w:numFmt w:val="decimal"/>
      <w:start w:val="2"/>
    </w:lvl>
  </w:abstractNum>
  <w:abstractNum w:abstractNumId="19">
    <w:nsid w:val="1A27709E"/>
    <w:multiLevelType w:val="hybridMultilevel"/>
    <w:lvl w:ilvl="0">
      <w:lvlJc w:val="left"/>
      <w:lvlText w:val="(%1)"/>
      <w:numFmt w:val="lowerLetter"/>
      <w:start w:val="1"/>
    </w:lvl>
  </w:abstractNum>
  <w:abstractNum w:abstractNumId="20">
    <w:nsid w:val="71EA1109"/>
    <w:multiLevelType w:val="hybridMultilevel"/>
    <w:lvl w:ilvl="0">
      <w:lvlJc w:val="left"/>
      <w:lvlText w:val="%1."/>
      <w:numFmt w:val="decimal"/>
      <w:start w:val="1"/>
    </w:lvl>
  </w:abstractNum>
  <w:abstractNum w:abstractNumId="21">
    <w:nsid w:val="100F59DC"/>
    <w:multiLevelType w:val="hybridMultilevel"/>
    <w:lvl w:ilvl="0">
      <w:lvlJc w:val="left"/>
      <w:lvlText w:val="%1."/>
      <w:numFmt w:val="decimal"/>
      <w:start w:val="2"/>
    </w:lvl>
  </w:abstractNum>
  <w:abstractNum w:abstractNumId="22">
    <w:nsid w:val="7FB7E0AA"/>
    <w:multiLevelType w:val="hybridMultilevel"/>
    <w:lvl w:ilvl="0">
      <w:lvlJc w:val="left"/>
      <w:lvlText w:val="%1."/>
      <w:numFmt w:val="decimal"/>
      <w:start w:val="3"/>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lowerLetter"/>
      <w:start w:val="2"/>
    </w:lvl>
  </w:abstractNum>
  <w:abstractNum w:abstractNumId="25">
    <w:nsid w:val="94211F2"/>
    <w:multiLevelType w:val="hybridMultilevel"/>
    <w:lvl w:ilvl="0">
      <w:lvlJc w:val="left"/>
      <w:lvlText w:val="(%1)"/>
      <w:numFmt w:val="lowerLetter"/>
      <w:start w:val="5"/>
    </w:lvl>
  </w:abstractNum>
  <w:abstractNum w:abstractNumId="26">
    <w:nsid w:val="885E1B"/>
    <w:multiLevelType w:val="hybridMultilevel"/>
    <w:lvl w:ilvl="0">
      <w:lvlJc w:val="left"/>
      <w:lvlText w:val="(%1)"/>
      <w:numFmt w:val="lowerLetter"/>
      <w:start w:val="11"/>
    </w:lvl>
  </w:abstractNum>
  <w:abstractNum w:abstractNumId="27">
    <w:nsid w:val="76272110"/>
    <w:multiLevelType w:val="hybridMultilevel"/>
    <w:lvl w:ilvl="0">
      <w:lvlJc w:val="left"/>
      <w:lvlText w:val="(%1)"/>
      <w:numFmt w:val="lowerLetter"/>
      <w:start w:val="15"/>
    </w:lvl>
  </w:abstractNum>
  <w:abstractNum w:abstractNumId="28">
    <w:nsid w:val="4C04A8AF"/>
    <w:multiLevelType w:val="hybridMultilevel"/>
    <w:lvl w:ilvl="0">
      <w:lvlJc w:val="left"/>
      <w:lvlText w:val="(%1)"/>
      <w:numFmt w:val="lowerLetter"/>
      <w:start w:val="20"/>
    </w:lvl>
  </w:abstractNum>
  <w:abstractNum w:abstractNumId="29">
    <w:nsid w:val="1716703B"/>
    <w:multiLevelType w:val="hybridMultilevel"/>
    <w:lvl w:ilvl="0">
      <w:lvlJc w:val="left"/>
      <w:lvlText w:val="(%1)"/>
      <w:numFmt w:val="lowerLetter"/>
      <w:start w:val="27"/>
    </w:lvl>
  </w:abstractNum>
  <w:abstractNum w:abstractNumId="30">
    <w:nsid w:val="14E17E33"/>
    <w:multiLevelType w:val="hybridMultilevel"/>
    <w:lvl w:ilvl="0">
      <w:lvlJc w:val="left"/>
      <w:lvlText w:val="(%1)"/>
      <w:numFmt w:val="lowerLetter"/>
      <w:start w:val="34"/>
    </w:lvl>
  </w:abstractNum>
  <w:abstractNum w:abstractNumId="31">
    <w:nsid w:val="3222E7CD"/>
    <w:multiLevelType w:val="hybridMultilevel"/>
    <w:lvl w:ilvl="0">
      <w:lvlJc w:val="left"/>
      <w:lvlText w:val="(%1)"/>
      <w:numFmt w:val="lowerLetter"/>
      <w:start w:val="42"/>
    </w:lvl>
  </w:abstractNum>
  <w:abstractNum w:abstractNumId="32">
    <w:nsid w:val="74DE0EE3"/>
    <w:multiLevelType w:val="hybridMultilevel"/>
    <w:lvl w:ilvl="0">
      <w:lvlJc w:val="left"/>
      <w:lvlText w:val="%1."/>
      <w:numFmt w:val="decimal"/>
      <w:start w:val="4"/>
    </w:lvl>
  </w:abstractNum>
  <w:abstractNum w:abstractNumId="33">
    <w:nsid w:val="68EBC550"/>
    <w:multiLevelType w:val="hybridMultilevel"/>
    <w:lvl w:ilvl="0">
      <w:lvlJc w:val="left"/>
      <w:lvlText w:val="(%1)"/>
      <w:numFmt w:val="lowerLetter"/>
      <w:start w:val="1"/>
    </w:lvl>
  </w:abstractNum>
  <w:abstractNum w:abstractNumId="34">
    <w:nsid w:val="2DF6D648"/>
    <w:multiLevelType w:val="hybridMultilevel"/>
    <w:lvl w:ilvl="0">
      <w:lvlJc w:val="left"/>
      <w:lvlText w:val="%1"/>
      <w:numFmt w:val="lowerLetter"/>
      <w:start w:val="1"/>
    </w:lvl>
    <w:lvl w:ilvl="1">
      <w:lvlJc w:val="left"/>
      <w:lvlText w:val="(%2)"/>
      <w:numFmt w:val="lowerLetter"/>
      <w:start w:val="4"/>
    </w:lvl>
  </w:abstractNum>
  <w:abstractNum w:abstractNumId="35">
    <w:nsid w:val="46B7D447"/>
    <w:multiLevelType w:val="hybridMultilevel"/>
    <w:lvl w:ilvl="0">
      <w:lvlJc w:val="left"/>
      <w:lvlText w:val="(%1)"/>
      <w:numFmt w:val="lowerLetter"/>
      <w:start w:val="9"/>
    </w:lvl>
    <w:lvl w:ilvl="1">
      <w:lvlJc w:val="left"/>
      <w:lvlText w:val="(%2)"/>
      <w:numFmt w:val="lowerLetter"/>
      <w:start w:val="5"/>
    </w:lvl>
  </w:abstractNum>
  <w:abstractNum w:abstractNumId="36">
    <w:nsid w:val="4A2AC315"/>
    <w:multiLevelType w:val="hybridMultilevel"/>
    <w:lvl w:ilvl="0">
      <w:lvlJc w:val="left"/>
      <w:lvlText w:val="(%1)"/>
      <w:numFmt w:val="lowerLetter"/>
      <w:start w:val="8"/>
    </w:lvl>
  </w:abstractNum>
  <w:abstractNum w:abstractNumId="37">
    <w:nsid w:val="39EE015C"/>
    <w:multiLevelType w:val="hybridMultilevel"/>
    <w:lvl w:ilvl="0">
      <w:lvlJc w:val="left"/>
      <w:lvlText w:val="%1."/>
      <w:numFmt w:val="decimal"/>
      <w:start w:val="5"/>
    </w:lvl>
  </w:abstractNum>
  <w:abstractNum w:abstractNumId="38">
    <w:nsid w:val="57FC4FBB"/>
    <w:multiLevelType w:val="hybridMultilevel"/>
    <w:lvl w:ilvl="0">
      <w:lvlJc w:val="left"/>
      <w:lvlText w:val="(%1)"/>
      <w:numFmt w:val="lowerLetter"/>
      <w:start w:val="1"/>
    </w:lvl>
  </w:abstractNum>
  <w:abstractNum w:abstractNumId="39">
    <w:nsid w:val="CC1016F"/>
    <w:multiLevelType w:val="hybridMultilevel"/>
    <w:lvl w:ilvl="0">
      <w:lvlJc w:val="left"/>
      <w:lvlText w:val="(%1)"/>
      <w:numFmt w:val="lowerLetter"/>
      <w:start w:val="2"/>
    </w:lvl>
  </w:abstractNum>
  <w:abstractNum w:abstractNumId="40">
    <w:nsid w:val="43F18422"/>
    <w:multiLevelType w:val="hybridMultilevel"/>
    <w:lvl w:ilvl="0">
      <w:lvlJc w:val="left"/>
      <w:lvlText w:val="(%1)"/>
      <w:numFmt w:val="lowerLetter"/>
      <w:start w:val="7"/>
    </w:lvl>
  </w:abstractNum>
  <w:abstractNum w:abstractNumId="41">
    <w:nsid w:val="60EF0119"/>
    <w:multiLevelType w:val="hybridMultilevel"/>
    <w:lvl w:ilvl="0">
      <w:lvlJc w:val="left"/>
      <w:lvlText w:val="(%1)"/>
      <w:numFmt w:val="lowerLetter"/>
      <w:start w:val="15"/>
    </w:lvl>
  </w:abstractNum>
  <w:abstractNum w:abstractNumId="42">
    <w:nsid w:val="26F324BA"/>
    <w:multiLevelType w:val="hybridMultilevel"/>
    <w:lvl w:ilvl="0">
      <w:lvlJc w:val="left"/>
      <w:lvlText w:val="(%1)"/>
      <w:numFmt w:val="lowerLetter"/>
      <w:start w:val="18"/>
    </w:lvl>
  </w:abstractNum>
  <w:abstractNum w:abstractNumId="43">
    <w:nsid w:val="7F01579B"/>
    <w:multiLevelType w:val="hybridMultilevel"/>
    <w:lvl w:ilvl="0">
      <w:lvlJc w:val="left"/>
      <w:lvlText w:val="%1."/>
      <w:numFmt w:val="decimal"/>
      <w:start w:val="6"/>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decimal"/>
      <w:start w:val="2"/>
    </w:lvl>
  </w:abstractNum>
  <w:abstractNum w:abstractNumId="46">
    <w:nsid w:val="5FB8370B"/>
    <w:multiLevelType w:val="hybridMultilevel"/>
    <w:lvl w:ilvl="0">
      <w:lvlJc w:val="left"/>
      <w:lvlText w:val="(%1)"/>
      <w:numFmt w:val="lowerLetter"/>
      <w:start w:val="3"/>
    </w:lvl>
  </w:abstractNum>
  <w:abstractNum w:abstractNumId="47">
    <w:nsid w:val="50801EE1"/>
    <w:multiLevelType w:val="hybridMultilevel"/>
    <w:lvl w:ilvl="0">
      <w:lvlJc w:val="left"/>
      <w:lvlText w:val="(%1)"/>
      <w:numFmt w:val="lowerLetter"/>
      <w:start w:val="10"/>
    </w:lvl>
  </w:abstractNum>
  <w:abstractNum w:abstractNumId="48">
    <w:nsid w:val="488AC1A"/>
    <w:multiLevelType w:val="hybridMultilevel"/>
    <w:lvl w:ilvl="0">
      <w:lvlJc w:val="left"/>
      <w:lvlText w:val="(%1)"/>
      <w:numFmt w:val="lowerLetter"/>
      <w:start w:val="13"/>
    </w:lvl>
  </w:abstractNum>
  <w:abstractNum w:abstractNumId="49">
    <w:nsid w:val="5FB8011C"/>
    <w:multiLevelType w:val="hybridMultilevel"/>
    <w:lvl w:ilvl="0">
      <w:lvlJc w:val="left"/>
      <w:lvlText w:val="%1."/>
      <w:numFmt w:val="decimal"/>
      <w:start w:val="8"/>
    </w:lvl>
  </w:abstractNum>
  <w:abstractNum w:abstractNumId="50">
    <w:nsid w:val="6AA78F7F"/>
    <w:multiLevelType w:val="hybridMultilevel"/>
    <w:lvl w:ilvl="0">
      <w:lvlJc w:val="left"/>
      <w:lvlText w:val="%1."/>
      <w:numFmt w:val="decimal"/>
      <w:start w:val="9"/>
    </w:lvl>
  </w:abstractNum>
  <w:abstractNum w:abstractNumId="51">
    <w:nsid w:val="7672BD23"/>
    <w:multiLevelType w:val="hybridMultilevel"/>
    <w:lvl w:ilvl="0">
      <w:lvlJc w:val="left"/>
      <w:lvlText w:val="%1."/>
      <w:numFmt w:val="decimal"/>
      <w:start w:val="10"/>
    </w:lvl>
  </w:abstractNum>
  <w:abstractNum w:abstractNumId="52">
    <w:nsid w:val="6FC75AF8"/>
    <w:multiLevelType w:val="hybridMultilevel"/>
    <w:lvl w:ilvl="0">
      <w:lvlJc w:val="left"/>
      <w:lvlText w:val="%1"/>
      <w:numFmt w:val="lowerLetter"/>
      <w:start w:val="1"/>
    </w:lvl>
    <w:lvl w:ilvl="1">
      <w:lvlJc w:val="left"/>
      <w:lvlText w:val="(%2)"/>
      <w:numFmt w:val="decimal"/>
      <w:start w:val="2"/>
    </w:lvl>
  </w:abstractNum>
  <w:abstractNum w:abstractNumId="53">
    <w:nsid w:val="6A5F7029"/>
    <w:multiLevelType w:val="hybridMultilevel"/>
    <w:lvl w:ilvl="0">
      <w:lvlJc w:val="left"/>
      <w:lvlText w:val="(%1)"/>
      <w:numFmt w:val="lowerLetter"/>
      <w:start w:val="25"/>
    </w:lvl>
    <w:lvl w:ilvl="1">
      <w:lvlJc w:val="left"/>
      <w:lvlText w:val="(%2)"/>
      <w:numFmt w:val="decimal"/>
      <w:start w:val="3"/>
    </w:lvl>
  </w:abstractNum>
  <w:abstractNum w:abstractNumId="54">
    <w:nsid w:val="7D5E18F8"/>
    <w:multiLevelType w:val="hybridMultilevel"/>
    <w:lvl w:ilvl="0">
      <w:lvlJc w:val="left"/>
      <w:lvlText w:val="(%1)"/>
      <w:numFmt w:val="decimal"/>
      <w:start w:val="4"/>
    </w:lvl>
  </w:abstractNum>
  <w:abstractNum w:abstractNumId="55">
    <w:nsid w:val="5F3534A4"/>
    <w:multiLevelType w:val="hybridMultilevel"/>
    <w:lvl w:ilvl="0">
      <w:lvlJc w:val="left"/>
      <w:lvlText w:val="(%1)"/>
      <w:numFmt w:val="lowerLetter"/>
      <w:start w:val="2"/>
    </w:lvl>
  </w:abstractNum>
  <w:abstractNum w:abstractNumId="56">
    <w:nsid w:val="73A1821B"/>
    <w:multiLevelType w:val="hybridMultilevel"/>
    <w:lvl w:ilvl="0">
      <w:lvlJc w:val="left"/>
      <w:lvlText w:val="(%1)"/>
      <w:numFmt w:val="lowerLetter"/>
      <w:start w:val="61"/>
    </w:lvl>
    <w:lvl w:ilvl="1">
      <w:lvlJc w:val="left"/>
      <w:lvlText w:val="(%2)"/>
      <w:numFmt w:val="lowerLetter"/>
      <w:start w:val="3"/>
    </w:lvl>
  </w:abstractNum>
  <w:abstractNum w:abstractNumId="57">
    <w:nsid w:val="7DE67713"/>
    <w:multiLevelType w:val="hybridMultilevel"/>
    <w:lvl w:ilvl="0">
      <w:lvlJc w:val="left"/>
      <w:lvlText w:val="(%1)"/>
      <w:numFmt w:val="lowerLetter"/>
      <w:start w:val="9"/>
    </w:lvl>
    <w:lvl w:ilvl="1">
      <w:lvlJc w:val="left"/>
      <w:lvlText w:val="%2"/>
      <w:numFmt w:val="lowerLetter"/>
      <w:start w:val="1"/>
    </w:lvl>
  </w:abstractNum>
  <w:abstractNum w:abstractNumId="58">
    <w:nsid w:val="555C55B5"/>
    <w:multiLevelType w:val="hybridMultilevel"/>
    <w:lvl w:ilvl="0">
      <w:lvlJc w:val="left"/>
      <w:lvlText w:val="(%1)"/>
      <w:numFmt w:val="lowerLetter"/>
      <w:start w:val="5"/>
    </w:lvl>
  </w:abstractNum>
  <w:abstractNum w:abstractNumId="59">
    <w:nsid w:val="3FA62ACA"/>
    <w:multiLevelType w:val="hybridMultilevel"/>
    <w:lvl w:ilvl="0">
      <w:lvlJc w:val="left"/>
      <w:lvlText w:val="%1"/>
      <w:numFmt w:val="lowerRoman"/>
      <w:start w:val="1"/>
    </w:lvl>
    <w:lvl w:ilvl="1">
      <w:lvlJc w:val="left"/>
      <w:lvlText w:val="%2."/>
      <w:numFmt w:val="decimal"/>
      <w:start w:val="11"/>
    </w:lvl>
  </w:abstractNum>
  <w:abstractNum w:abstractNumId="60">
    <w:nsid w:val="14FCE74E"/>
    <w:multiLevelType w:val="hybridMultilevel"/>
    <w:lvl w:ilvl="0">
      <w:lvlJc w:val="left"/>
      <w:lvlText w:val="(%1)"/>
      <w:numFmt w:val="lowerRoman"/>
      <w:start w:val="3"/>
    </w:lvl>
    <w:lvl w:ilvl="1">
      <w:lvlJc w:val="left"/>
      <w:lvlText w:val="%2."/>
      <w:numFmt w:val="decimal"/>
      <w:start w:val="12"/>
    </w:lvl>
  </w:abstractNum>
  <w:abstractNum w:abstractNumId="61">
    <w:nsid w:val="6A3DD3E8"/>
    <w:multiLevelType w:val="hybridMultilevel"/>
    <w:lvl w:ilvl="0">
      <w:lvlJc w:val="left"/>
      <w:lvlText w:val="%1."/>
      <w:numFmt w:val="decimal"/>
      <w:start w:val="13"/>
    </w:lvl>
  </w:abstractNum>
  <w:abstractNum w:abstractNumId="62">
    <w:nsid w:val="71C91298"/>
    <w:multiLevelType w:val="hybridMultilevel"/>
    <w:lvl w:ilvl="0">
      <w:lvlJc w:val="left"/>
      <w:lvlText w:val="(%1)"/>
      <w:numFmt w:val="lowerRoman"/>
      <w:start w:val="3"/>
    </w:lvl>
  </w:abstractNum>
  <w:abstractNum w:abstractNumId="63">
    <w:nsid w:val="9DAF632"/>
    <w:multiLevelType w:val="hybridMultilevel"/>
    <w:lvl w:ilvl="0">
      <w:lvlJc w:val="left"/>
      <w:lvlText w:val="(%1)"/>
      <w:numFmt w:val="lowerRoman"/>
      <w:start w:val="3"/>
    </w:lvl>
  </w:abstractNum>
  <w:abstractNum w:abstractNumId="64">
    <w:nsid w:val="53299938"/>
    <w:multiLevelType w:val="hybridMultilevel"/>
    <w:lvl w:ilvl="0">
      <w:lvlJc w:val="left"/>
      <w:lvlText w:val="%1."/>
      <w:numFmt w:val="decimal"/>
      <w:start w:val="1"/>
    </w:lvl>
  </w:abstractNum>
  <w:abstractNum w:abstractNumId="65">
    <w:nsid w:val="1FBFE8E0"/>
    <w:multiLevelType w:val="hybridMultilevel"/>
    <w:lvl w:ilvl="0">
      <w:lvlJc w:val="left"/>
      <w:lvlText w:val="%1."/>
      <w:numFmt w:val="decimal"/>
      <w:start w:val="1"/>
    </w:lvl>
  </w:abstractNum>
  <w:abstractNum w:abstractNumId="66">
    <w:nsid w:val="5092CA79"/>
    <w:multiLevelType w:val="hybridMultilevel"/>
    <w:lvl w:ilvl="0">
      <w:lvlJc w:val="left"/>
      <w:lvlText w:val="%1."/>
      <w:numFmt w:val="decimal"/>
      <w:start w:val="8"/>
    </w:lvl>
  </w:abstractNum>
  <w:abstractNum w:abstractNumId="67">
    <w:nsid w:val="1D545C4D"/>
    <w:multiLevelType w:val="hybridMultilevel"/>
    <w:lvl w:ilvl="0">
      <w:lvlJc w:val="left"/>
      <w:lvlText w:val="%1."/>
      <w:numFmt w:val="decimal"/>
      <w:start w:val="15"/>
    </w:lvl>
  </w:abstractNum>
  <w:abstractNum w:abstractNumId="68">
    <w:nsid w:val="59ADEA3D"/>
    <w:multiLevelType w:val="hybridMultilevel"/>
    <w:lvl w:ilvl="0">
      <w:lvlJc w:val="left"/>
      <w:lvlText w:val="%1."/>
      <w:numFmt w:val="decimal"/>
      <w:start w:val="20"/>
    </w:lvl>
  </w:abstractNum>
  <w:abstractNum w:abstractNumId="69">
    <w:nsid w:val="288F1A34"/>
    <w:multiLevelType w:val="hybridMultilevel"/>
    <w:lvl w:ilvl="0">
      <w:lvlJc w:val="left"/>
      <w:lvlText w:val="%1."/>
      <w:numFmt w:val="decimal"/>
      <w:start w:val="1"/>
    </w:lvl>
  </w:abstractNum>
  <w:abstractNum w:abstractNumId="70">
    <w:nsid w:val="2A155DBC"/>
    <w:multiLevelType w:val="hybridMultilevel"/>
    <w:lvl w:ilvl="0">
      <w:lvlJc w:val="left"/>
      <w:lvlText w:val="%1."/>
      <w:numFmt w:val="decimal"/>
      <w:start w:val="9"/>
    </w:lvl>
  </w:abstractNum>
  <w:abstractNum w:abstractNumId="71">
    <w:nsid w:val="1D9F6E5F"/>
    <w:multiLevelType w:val="hybridMultilevel"/>
    <w:lvl w:ilvl="0">
      <w:lvlJc w:val="left"/>
      <w:lvlText w:val="%1."/>
      <w:numFmt w:val="decimal"/>
      <w:start w:val="1"/>
    </w:lvl>
  </w:abstractNum>
  <w:abstractNum w:abstractNumId="72">
    <w:nsid w:val="97E1B4E"/>
    <w:multiLevelType w:val="hybridMultilevel"/>
    <w:lvl w:ilvl="0">
      <w:lvlJc w:val="left"/>
      <w:lvlText w:val="%1."/>
      <w:numFmt w:val="decimal"/>
      <w:start w:val="1"/>
    </w:lvl>
  </w:abstractNum>
  <w:abstractNum w:abstractNumId="73">
    <w:nsid w:val="51088277"/>
    <w:multiLevelType w:val="hybridMultilevel"/>
    <w:lvl w:ilvl="0">
      <w:lvlJc w:val="left"/>
      <w:lvlText w:val="%1."/>
      <w:numFmt w:val="decimal"/>
      <w:start w:val="1"/>
    </w:lvl>
  </w:abstractNum>
  <w:abstractNum w:abstractNumId="74">
    <w:nsid w:val="1CA0C5FA"/>
    <w:multiLevelType w:val="hybridMultilevel"/>
    <w:lvl w:ilvl="0">
      <w:lvlJc w:val="left"/>
      <w:lvlText w:val="%1."/>
      <w:numFmt w:val="decimal"/>
      <w:start w:val="1"/>
    </w:lvl>
    <w:lvl w:ilvl="1">
      <w:lvlJc w:val="left"/>
      <w:lvlText w:val="(%2)"/>
      <w:numFmt w:val="lowerLetter"/>
      <w:start w:val="1"/>
    </w:lvl>
  </w:abstractNum>
  <w:abstractNum w:abstractNumId="75">
    <w:nsid w:val="53584BCB"/>
    <w:multiLevelType w:val="hybridMultilevel"/>
    <w:lvl w:ilvl="0">
      <w:lvlJc w:val="left"/>
      <w:lvlText w:val="(%1)"/>
      <w:numFmt w:val="lowerLetter"/>
      <w:start w:val="4"/>
    </w:lvl>
    <w:lvl w:ilvl="1">
      <w:lvlJc w:val="left"/>
      <w:lvlText w:val="(%2)"/>
      <w:numFmt w:val="lowerRoman"/>
      <w:start w:val="1"/>
    </w:lvl>
  </w:abstractNum>
  <w:abstractNum w:abstractNumId="76">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7C58FD05"/>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78">
    <w:nsid w:val="23D86A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45E6D486"/>
    <w:multiLevelType w:val="hybridMultilevel"/>
    <w:lvl w:ilvl="0">
      <w:lvlJc w:val="left"/>
      <w:lvlText w:val="%1"/>
      <w:numFmt w:val="decimal"/>
      <w:start w:val="1"/>
    </w:lvl>
    <w:lvl w:ilvl="1">
      <w:lvlJc w:val="left"/>
      <w:lvlText w:val="(%2)"/>
      <w:numFmt w:val="lowerLetter"/>
      <w:start w:val="3"/>
    </w:lvl>
  </w:abstractNum>
  <w:abstractNum w:abstractNumId="80">
    <w:nsid w:val="5C10FE21"/>
    <w:multiLevelType w:val="hybridMultilevel"/>
    <w:lvl w:ilvl="0">
      <w:lvlJc w:val="left"/>
      <w:lvlText w:val="%1."/>
      <w:numFmt w:val="decimal"/>
      <w:start w:val="4"/>
    </w:lvl>
    <w:lvl w:ilvl="1">
      <w:lvlJc w:val="left"/>
      <w:lvlText w:val="(%2)"/>
      <w:numFmt w:val="lowerLetter"/>
      <w:start w:val="1"/>
    </w:lvl>
  </w:abstractNum>
  <w:abstractNum w:abstractNumId="81">
    <w:nsid w:val="E7FFA2B"/>
    <w:multiLevelType w:val="hybridMultilevel"/>
    <w:lvl w:ilvl="0">
      <w:lvlJc w:val="left"/>
      <w:lvlText w:val="%1."/>
      <w:numFmt w:val="decimal"/>
      <w:start w:val="5"/>
    </w:lvl>
  </w:abstractNum>
  <w:abstractNum w:abstractNumId="82">
    <w:nsid w:val="3C5991AA"/>
    <w:multiLevelType w:val="hybridMultilevel"/>
    <w:lvl w:ilvl="0">
      <w:lvlJc w:val="left"/>
      <w:lvlText w:val="%1"/>
      <w:numFmt w:val="decimal"/>
      <w:start w:val="1"/>
    </w:lvl>
    <w:lvl w:ilvl="1">
      <w:lvlJc w:val="left"/>
      <w:lvlText w:val="(%2)"/>
      <w:numFmt w:val="lowerRoman"/>
      <w:start w:val="1"/>
    </w:lvl>
  </w:abstractNum>
  <w:abstractNum w:abstractNumId="83">
    <w:nsid w:val="4BD8591A"/>
    <w:multiLevelType w:val="hybridMultilevel"/>
    <w:lvl w:ilvl="0">
      <w:lvlJc w:val="left"/>
      <w:lvlText w:val="%1."/>
      <w:numFmt w:val="decimal"/>
      <w:start w:val="7"/>
    </w:lvl>
    <w:lvl w:ilvl="1">
      <w:lvlJc w:val="left"/>
      <w:lvlText w:val="%2"/>
      <w:numFmt w:val="lowerRoman"/>
      <w:start w:val="1"/>
    </w:lvl>
  </w:abstractNum>
  <w:abstractNum w:abstractNumId="84">
    <w:nsid w:val="78DF6A55"/>
    <w:multiLevelType w:val="hybridMultilevel"/>
    <w:lvl w:ilvl="0">
      <w:lvlJc w:val="left"/>
      <w:lvlText w:val="%1."/>
      <w:numFmt w:val="decimal"/>
      <w:start w:val="9"/>
    </w:lvl>
    <w:lvl w:ilvl="1">
      <w:lvlJc w:val="left"/>
      <w:lvlText w:val="(%2)"/>
      <w:numFmt w:val="lowerLetter"/>
      <w:start w:val="1"/>
    </w:lvl>
  </w:abstractNum>
  <w:abstractNum w:abstractNumId="85">
    <w:nsid w:val="39B7AAA2"/>
    <w:multiLevelType w:val="hybridMultilevel"/>
    <w:lvl w:ilvl="0">
      <w:lvlJc w:val="left"/>
      <w:lvlText w:val="%1."/>
      <w:numFmt w:val="decimal"/>
      <w:start w:val="11"/>
    </w:lvl>
    <w:lvl w:ilvl="1">
      <w:lvlJc w:val="left"/>
      <w:lvlText w:val="(%2)"/>
      <w:numFmt w:val="lowerLetter"/>
      <w:start w:val="1"/>
    </w:lvl>
  </w:abstractNum>
  <w:abstractNum w:abstractNumId="86">
    <w:nsid w:val="2B0D8DBE"/>
    <w:multiLevelType w:val="hybridMultilevel"/>
    <w:lvl w:ilvl="0">
      <w:lvlJc w:val="left"/>
      <w:lvlText w:val="(%1)"/>
      <w:numFmt w:val="lowerLetter"/>
      <w:start w:val="4"/>
    </w:lvl>
  </w:abstractNum>
  <w:abstractNum w:abstractNumId="87">
    <w:nsid w:val="6C80EC70"/>
    <w:multiLevelType w:val="hybridMultilevel"/>
    <w:lvl w:ilvl="0">
      <w:lvlJc w:val="left"/>
      <w:lvlText w:val="%1."/>
      <w:numFmt w:val="decimal"/>
      <w:start w:val="12"/>
    </w:lvl>
    <w:lvl w:ilvl="1">
      <w:lvlJc w:val="left"/>
      <w:lvlText w:val="(%2)"/>
      <w:numFmt w:val="lowerLetter"/>
      <w:start w:val="1"/>
    </w:lvl>
  </w:abstractNum>
  <w:abstractNum w:abstractNumId="88">
    <w:nsid w:val="379E21B5"/>
    <w:multiLevelType w:val="hybridMultilevel"/>
    <w:lvl w:ilvl="0">
      <w:lvlJc w:val="left"/>
      <w:lvlText w:val="(%1)"/>
      <w:numFmt w:val="lowerRoman"/>
      <w:start w:val="1"/>
    </w:lvl>
  </w:abstractNum>
  <w:abstractNum w:abstractNumId="89">
    <w:nsid w:val="69E373"/>
    <w:multiLevelType w:val="hybridMultilevel"/>
    <w:lvl w:ilvl="0">
      <w:lvlJc w:val="left"/>
      <w:lvlText w:val="(%1)"/>
      <w:numFmt w:val="lowerLetter"/>
      <w:start w:val="3"/>
    </w:lvl>
    <w:lvl w:ilvl="1">
      <w:lvlJc w:val="left"/>
      <w:lvlText w:val="(%2)"/>
      <w:numFmt w:val="lowerRoman"/>
      <w:start w:val="1"/>
    </w:lvl>
  </w:abstractNum>
  <w:abstractNum w:abstractNumId="90">
    <w:nsid w:val="2C27173B"/>
    <w:multiLevelType w:val="hybridMultilevel"/>
    <w:lvl w:ilvl="0">
      <w:lvlJc w:val="left"/>
      <w:lvlText w:val="(%1)"/>
      <w:numFmt w:val="lowerLetter"/>
      <w:start w:val="4"/>
    </w:lvl>
    <w:lvl w:ilvl="1">
      <w:lvlJc w:val="left"/>
      <w:lvlText w:val="(%2)"/>
      <w:numFmt w:val="lowerRoman"/>
      <w:start w:val="1"/>
    </w:lvl>
  </w:abstractNum>
  <w:abstractNum w:abstractNumId="91">
    <w:nsid w:val="4C9B0904"/>
    <w:multiLevelType w:val="hybridMultilevel"/>
    <w:lvl w:ilvl="0">
      <w:lvlJc w:val="left"/>
      <w:lvlText w:val="(%1)"/>
      <w:numFmt w:val="lowerRoman"/>
      <w:start w:val="3"/>
    </w:lvl>
  </w:abstractNum>
  <w:abstractNum w:abstractNumId="92">
    <w:nsid w:val="6AA7B75C"/>
    <w:multiLevelType w:val="hybridMultilevel"/>
    <w:lvl w:ilvl="0">
      <w:lvlJc w:val="left"/>
      <w:lvlText w:val="%1"/>
      <w:numFmt w:val="lowerLetter"/>
      <w:start w:val="1"/>
    </w:lvl>
    <w:lvl w:ilvl="1">
      <w:lvlJc w:val="left"/>
      <w:lvlText w:val="(%2)"/>
      <w:numFmt w:val="lowerRoman"/>
      <w:start w:val="10"/>
    </w:lvl>
  </w:abstractNum>
  <w:abstractNum w:abstractNumId="93">
    <w:nsid w:val="1DF029D3"/>
    <w:multiLevelType w:val="hybridMultilevel"/>
    <w:lvl w:ilvl="0">
      <w:lvlJc w:val="left"/>
      <w:lvlText w:val="(%1)"/>
      <w:numFmt w:val="lowerLetter"/>
      <w:start w:val="5"/>
    </w:lvl>
    <w:lvl w:ilvl="1">
      <w:lvlJc w:val="left"/>
      <w:lvlText w:val="%2"/>
      <w:numFmt w:val="lowerRoman"/>
      <w:start w:val="1"/>
    </w:lvl>
  </w:abstractNum>
  <w:abstractNum w:abstractNumId="94">
    <w:nsid w:val="5675FF36"/>
    <w:multiLevelType w:val="hybridMultilevel"/>
    <w:lvl w:ilvl="0">
      <w:lvlJc w:val="left"/>
      <w:lvlText w:val="(%1)"/>
      <w:numFmt w:val="lowerRoman"/>
      <w:start w:val="1"/>
    </w:lvl>
  </w:abstractNum>
  <w:abstractNum w:abstractNumId="95">
    <w:nsid w:val="3DD15094"/>
    <w:multiLevelType w:val="hybridMultilevel"/>
    <w:lvl w:ilvl="0">
      <w:lvlJc w:val="left"/>
      <w:lvlText w:val="(%1)"/>
      <w:numFmt w:val="lowerLetter"/>
      <w:start w:val="6"/>
    </w:lvl>
  </w:abstractNum>
  <w:abstractNum w:abstractNumId="96">
    <w:nsid w:val="3DB012B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97">
    <w:nsid w:val="2708C9AF"/>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98">
    <w:nsid w:val="5B25ACE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9">
    <w:nsid w:val="175DFCF0"/>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4"/>
    </w:lvl>
  </w:abstractNum>
  <w:abstractNum w:abstractNumId="100">
    <w:nsid w:val="4F97E3E4"/>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101">
    <w:nsid w:val="53B0A9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2">
    <w:nsid w:val="34FD6B4F"/>
    <w:multiLevelType w:val="hybridMultilevel"/>
    <w:lvl w:ilvl="0">
      <w:lvlJc w:val="left"/>
      <w:lvlText w:val="(%1)"/>
      <w:numFmt w:val="lowerLetter"/>
      <w:start w:val="10"/>
    </w:lvl>
    <w:lvl w:ilvl="1">
      <w:lvlJc w:val="left"/>
      <w:lvlText w:val="(%2)"/>
      <w:numFmt w:val="lowerRoman"/>
      <w:start w:val="1"/>
    </w:lvl>
  </w:abstractNum>
  <w:abstractNum w:abstractNumId="103">
    <w:nsid w:val="5915FF32"/>
    <w:multiLevelType w:val="hybridMultilevel"/>
    <w:lvl w:ilvl="0">
      <w:lvlJc w:val="left"/>
      <w:lvlText w:val="(%1)"/>
      <w:numFmt w:val="lowerRoman"/>
      <w:start w:val="1"/>
    </w:lvl>
  </w:abstractNum>
  <w:abstractNum w:abstractNumId="104">
    <w:nsid w:val="56438D15"/>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105">
    <w:nsid w:val="519E3149"/>
    <w:multiLevelType w:val="hybridMultilevel"/>
    <w:lvl w:ilvl="0">
      <w:lvlJc w:val="left"/>
      <w:lvlText w:val="(%1)"/>
      <w:numFmt w:val="lowerLetter"/>
      <w:start w:val="13"/>
    </w:lvl>
  </w:abstractNum>
  <w:abstractNum w:abstractNumId="106">
    <w:nsid w:val="2C6E4AFD"/>
    <w:multiLevelType w:val="hybridMultilevel"/>
    <w:lvl w:ilvl="0">
      <w:lvlJc w:val="left"/>
      <w:lvlText w:val="(%1)"/>
      <w:numFmt w:val="lowerLetter"/>
      <w:start w:val="14"/>
    </w:lvl>
  </w:abstractNum>
  <w:abstractNum w:abstractNumId="107">
    <w:nsid w:val="17A1B582"/>
    <w:multiLevelType w:val="hybridMultilevel"/>
    <w:lvl w:ilvl="0">
      <w:lvlJc w:val="left"/>
      <w:lvlText w:val="(%1)"/>
      <w:numFmt w:val="lowerLetter"/>
      <w:start w:val="16"/>
    </w:lvl>
  </w:abstractNum>
  <w:abstractNum w:abstractNumId="108">
    <w:nsid w:val="4DF72E4E"/>
    <w:multiLevelType w:val="hybridMultilevel"/>
    <w:lvl w:ilvl="0">
      <w:lvlJc w:val="left"/>
      <w:lvlText w:val="%1."/>
      <w:numFmt w:val="decimal"/>
      <w:start w:val="14"/>
    </w:lvl>
  </w:abstractNum>
  <w:abstractNum w:abstractNumId="109">
    <w:nsid w:val="5046B5A9"/>
    <w:multiLevelType w:val="hybridMultilevel"/>
    <w:lvl w:ilvl="0">
      <w:lvlJc w:val="left"/>
      <w:lvlText w:val="%1."/>
      <w:numFmt w:val="decimal"/>
      <w:start w:val="15"/>
    </w:lvl>
  </w:abstractNum>
  <w:abstractNum w:abstractNumId="110">
    <w:nsid w:val="5D888A08"/>
    <w:multiLevelType w:val="hybridMultilevel"/>
    <w:lvl w:ilvl="0">
      <w:lvlJc w:val="left"/>
      <w:lvlText w:val="%1."/>
      <w:numFmt w:val="decimal"/>
      <w:start w:val="17"/>
    </w:lvl>
    <w:lvl w:ilvl="1">
      <w:lvlJc w:val="left"/>
      <w:lvlText w:val="(%2)"/>
      <w:numFmt w:val="lowerLetter"/>
      <w:start w:val="1"/>
    </w:lvl>
  </w:abstractNum>
  <w:abstractNum w:abstractNumId="111">
    <w:nsid w:val="2A082C70"/>
    <w:multiLevelType w:val="hybridMultilevel"/>
    <w:lvl w:ilvl="0">
      <w:lvlJc w:val="left"/>
      <w:lvlText w:val="(%1)"/>
      <w:numFmt w:val="lowerLetter"/>
      <w:start w:val="3"/>
    </w:lvl>
  </w:abstractNum>
  <w:abstractNum w:abstractNumId="112">
    <w:nsid w:val="5EC6AFD4"/>
    <w:multiLevelType w:val="hybridMultilevel"/>
    <w:lvl w:ilvl="0">
      <w:lvlJc w:val="left"/>
      <w:lvlText w:val="(%1)"/>
      <w:numFmt w:val="lowerLetter"/>
      <w:start w:val="5"/>
    </w:lvl>
  </w:abstractNum>
  <w:abstractNum w:abstractNumId="113">
    <w:nsid w:val="19E21BB2"/>
    <w:multiLevelType w:val="hybridMultilevel"/>
    <w:lvl w:ilvl="0">
      <w:lvlJc w:val="left"/>
      <w:lvlText w:val="(%1)"/>
      <w:numFmt w:val="lowerLetter"/>
      <w:start w:val="1"/>
    </w:lvl>
  </w:abstractNum>
  <w:abstractNum w:abstractNumId="114">
    <w:nsid w:val="75E0858A"/>
    <w:multiLevelType w:val="hybridMultilevel"/>
    <w:lvl w:ilvl="0">
      <w:lvlJc w:val="left"/>
      <w:lvlText w:val="(%1)"/>
      <w:numFmt w:val="lowerLetter"/>
      <w:start w:val="1"/>
    </w:lvl>
  </w:abstractNum>
  <w:abstractNum w:abstractNumId="115">
    <w:nsid w:val="57A61A29"/>
    <w:multiLevelType w:val="hybridMultilevel"/>
    <w:lvl w:ilvl="0">
      <w:lvlJc w:val="left"/>
      <w:lvlText w:val="(%1)"/>
      <w:numFmt w:val="lowerLetter"/>
      <w:start w:val="1"/>
    </w:lvl>
  </w:abstractNum>
  <w:abstractNum w:abstractNumId="116">
    <w:nsid w:val="5399C654"/>
    <w:multiLevelType w:val="hybridMultilevel"/>
    <w:lvl w:ilvl="0">
      <w:lvlJc w:val="left"/>
      <w:lvlText w:val="(%1)"/>
      <w:numFmt w:val="lowerLetter"/>
      <w:start w:val="1"/>
    </w:lvl>
    <w:lvl w:ilvl="1">
      <w:lvlJc w:val="left"/>
      <w:lvlText w:val="-"/>
      <w:numFmt w:val="bullet"/>
      <w:start w:val="1"/>
    </w:lvl>
  </w:abstractNum>
  <w:abstractNum w:abstractNumId="117">
    <w:nsid w:val="20EE1348"/>
    <w:multiLevelType w:val="hybridMultilevel"/>
    <w:lvl w:ilvl="0">
      <w:lvlJc w:val="left"/>
      <w:lvlText w:val="(%1)"/>
      <w:numFmt w:val="lowerLetter"/>
      <w:start w:val="4"/>
    </w:lvl>
  </w:abstractNum>
  <w:abstractNum w:abstractNumId="118">
    <w:nsid w:val="4427069A"/>
    <w:multiLevelType w:val="hybridMultilevel"/>
    <w:lvl w:ilvl="0">
      <w:lvlJc w:val="left"/>
      <w:lvlText w:val="(%1)"/>
      <w:numFmt w:val="lowerLetter"/>
      <w:start w:val="1"/>
    </w:lvl>
    <w:lvl w:ilvl="1">
      <w:lvlJc w:val="left"/>
      <w:lvlText w:val="-"/>
      <w:numFmt w:val="bullet"/>
      <w:start w:val="1"/>
    </w:lvl>
  </w:abstractNum>
  <w:abstractNum w:abstractNumId="119">
    <w:nsid w:val="B37E80A"/>
    <w:multiLevelType w:val="hybridMultilevel"/>
    <w:lvl w:ilvl="0">
      <w:lvlJc w:val="left"/>
      <w:lvlText w:val="(%1)"/>
      <w:numFmt w:val="lowerRoman"/>
      <w:start w:val="2"/>
    </w:lvl>
  </w:abstractNum>
  <w:abstractNum w:abstractNumId="120">
    <w:nsid w:val="2157F6BC"/>
    <w:multiLevelType w:val="hybridMultilevel"/>
    <w:lvl w:ilvl="0">
      <w:lvlJc w:val="left"/>
      <w:lvlText w:val="(%1)"/>
      <w:numFmt w:val="lowerLetter"/>
      <w:start w:val="2"/>
    </w:lvl>
    <w:lvl w:ilvl="1">
      <w:lvlJc w:val="left"/>
      <w:lvlText w:val="-"/>
      <w:numFmt w:val="bullet"/>
      <w:start w:val="1"/>
    </w:lvl>
  </w:abstractNum>
  <w:abstractNum w:abstractNumId="121">
    <w:nsid w:val="704E1DD5"/>
    <w:multiLevelType w:val="hybridMultilevel"/>
    <w:lvl w:ilvl="0">
      <w:lvlJc w:val="left"/>
      <w:lvlText w:val="(%1)"/>
      <w:numFmt w:val="lowerLetter"/>
      <w:start w:val="5"/>
    </w:lvl>
    <w:lvl w:ilvl="1">
      <w:lvlJc w:val="left"/>
      <w:lvlText w:val="-"/>
      <w:numFmt w:val="bullet"/>
      <w:start w:val="1"/>
    </w:lvl>
  </w:abstractNum>
  <w:abstractNum w:abstractNumId="122">
    <w:nsid w:val="57D2F10E"/>
    <w:multiLevelType w:val="hybridMultilevel"/>
    <w:lvl w:ilvl="0">
      <w:lvlJc w:val="left"/>
      <w:lvlText w:val="(%1)"/>
      <w:numFmt w:val="lowerLetter"/>
      <w:start w:val="8"/>
    </w:lvl>
  </w:abstractNum>
  <w:abstractNum w:abstractNumId="123">
    <w:nsid w:val="BFFAE18"/>
    <w:multiLevelType w:val="hybridMultilevel"/>
    <w:lvl w:ilvl="0">
      <w:lvlJc w:val="left"/>
      <w:lvlText w:val="(%1)"/>
      <w:numFmt w:val="lowerLetter"/>
      <w:start w:val="1"/>
    </w:lvl>
    <w:lvl w:ilvl="1">
      <w:lvlJc w:val="left"/>
      <w:lvlText w:val="-"/>
      <w:numFmt w:val="bullet"/>
      <w:start w:val="1"/>
    </w:lvl>
  </w:abstractNum>
  <w:abstractNum w:abstractNumId="124">
    <w:nsid w:val="E3E47A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125">
    <w:nsid w:val="2E48F04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26">
    <w:nsid w:val="49D0FEAC"/>
    <w:multiLevelType w:val="hybridMultilevel"/>
    <w:lvl w:ilvl="0">
      <w:lvlJc w:val="left"/>
      <w:lvlText w:val="(%1)"/>
      <w:numFmt w:val="lowerRoman"/>
      <w:start w:val="3"/>
    </w:lvl>
  </w:abstractNum>
  <w:abstractNum w:abstractNumId="127">
    <w:nsid w:val="4BEE5A5B"/>
    <w:multiLevelType w:val="hybridMultilevel"/>
    <w:lvl w:ilvl="0">
      <w:lvlJc w:val="left"/>
      <w:lvlText w:val="(%1)"/>
      <w:numFmt w:val="lowerLetter"/>
      <w:start w:val="1"/>
    </w:lvl>
    <w:lvl w:ilvl="1">
      <w:lvlJc w:val="left"/>
      <w:lvlText w:val="-"/>
      <w:numFmt w:val="bullet"/>
      <w:start w:val="1"/>
    </w:lvl>
  </w:abstractNum>
  <w:abstractNum w:abstractNumId="128">
    <w:nsid w:val="5551B9F3"/>
    <w:multiLevelType w:val="hybridMultilevel"/>
    <w:lvl w:ilvl="0">
      <w:lvlJc w:val="left"/>
      <w:lvlText w:val="(%1)"/>
      <w:numFmt w:val="upperLetter"/>
      <w:start w:val="1"/>
    </w:lvl>
    <w:lvl w:ilvl="1">
      <w:lvlJc w:val="left"/>
      <w:lvlText w:val="(%2)"/>
      <w:numFmt w:val="lowerRoman"/>
      <w:start w:val="2"/>
    </w:lvl>
  </w:abstractNum>
  <w:abstractNum w:abstractNumId="129">
    <w:nsid w:val="24F6AB8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30">
    <w:nsid w:val="634C574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31">
    <w:nsid w:val="24E99DD7"/>
    <w:multiLevelType w:val="hybridMultilevel"/>
    <w:lvl w:ilvl="0">
      <w:lvlJc w:val="left"/>
      <w:lvlText w:val="(%1)"/>
      <w:numFmt w:val="lowerRoman"/>
      <w:start w:val="4"/>
    </w:lvl>
    <w:lvl w:ilvl="1">
      <w:lvlJc w:val="left"/>
      <w:lvlText w:val="-"/>
      <w:numFmt w:val="bullet"/>
      <w:start w:val="1"/>
    </w:lvl>
  </w:abstractNum>
  <w:abstractNum w:abstractNumId="132">
    <w:nsid w:val="2A31B62D"/>
    <w:multiLevelType w:val="hybridMultilevel"/>
    <w:lvl w:ilvl="0">
      <w:lvlJc w:val="left"/>
      <w:lvlText w:val="(%1)"/>
      <w:numFmt w:val="lowerRoman"/>
      <w:start w:val="9"/>
    </w:lvl>
    <w:lvl w:ilvl="1">
      <w:lvlJc w:val="left"/>
      <w:lvlText w:val="-"/>
      <w:numFmt w:val="bullet"/>
      <w:start w:val="1"/>
    </w:lvl>
  </w:abstractNum>
  <w:abstractNum w:abstractNumId="133">
    <w:nsid w:val="1849C29B"/>
    <w:multiLevelType w:val="hybridMultilevel"/>
    <w:lvl w:ilvl="0">
      <w:lvlJc w:val="left"/>
      <w:lvlText w:val="%1"/>
      <w:numFmt w:val="lowerLetter"/>
      <w:start w:val="1"/>
    </w:lvl>
    <w:lvl w:ilvl="1">
      <w:lvlJc w:val="left"/>
      <w:lvlText w:val="(%2)"/>
      <w:numFmt w:val="lowerRoman"/>
      <w:start w:val="16"/>
    </w:lvl>
    <w:lvl w:ilvl="2">
      <w:lvlJc w:val="left"/>
      <w:lvlText w:val="-"/>
      <w:numFmt w:val="bullet"/>
      <w:start w:val="1"/>
    </w:lvl>
  </w:abstractNum>
  <w:abstractNum w:abstractNumId="134">
    <w:nsid w:val="7DFF9D0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5">
    <w:nsid w:val="754342"/>
    <w:multiLevelType w:val="hybridMultilevel"/>
    <w:lvl w:ilvl="0">
      <w:lvlJc w:val="left"/>
      <w:lvlText w:val="(%1)"/>
      <w:numFmt w:val="lowerLetter"/>
      <w:start w:val="1"/>
    </w:lvl>
  </w:abstractNum>
  <w:abstractNum w:abstractNumId="136">
    <w:nsid w:val="69E7F3E5"/>
    <w:multiLevelType w:val="hybridMultilevel"/>
    <w:lvl w:ilvl="0">
      <w:lvlJc w:val="left"/>
      <w:lvlText w:val="(%1)"/>
      <w:numFmt w:val="lowerLetter"/>
      <w:start w:val="1"/>
    </w:lvl>
    <w:lvl w:ilvl="1">
      <w:lvlJc w:val="left"/>
      <w:lvlText w:val="-"/>
      <w:numFmt w:val="bullet"/>
      <w:start w:val="1"/>
    </w:lvl>
  </w:abstractNum>
  <w:abstractNum w:abstractNumId="137">
    <w:nsid w:val="2A6DE806"/>
    <w:multiLevelType w:val="hybridMultilevel"/>
    <w:lvl w:ilvl="0">
      <w:lvlJc w:val="left"/>
      <w:lvlText w:val="(%1)"/>
      <w:numFmt w:val="lowerLetter"/>
      <w:start w:val="2"/>
    </w:lvl>
    <w:lvl w:ilvl="1">
      <w:lvlJc w:val="left"/>
      <w:lvlText w:val="-"/>
      <w:numFmt w:val="bullet"/>
      <w:start w:val="1"/>
    </w:lvl>
  </w:abstractNum>
  <w:abstractNum w:abstractNumId="138">
    <w:nsid w:val="1816F8C4"/>
    <w:multiLevelType w:val="hybridMultilevel"/>
    <w:lvl w:ilvl="0">
      <w:lvlJc w:val="left"/>
      <w:lvlText w:val="(%1)"/>
      <w:numFmt w:val="lowerLetter"/>
      <w:start w:val="4"/>
    </w:lvl>
    <w:lvl w:ilvl="1">
      <w:lvlJc w:val="left"/>
      <w:lvlText w:val="-"/>
      <w:numFmt w:val="bullet"/>
      <w:start w:val="1"/>
    </w:lvl>
  </w:abstractNum>
  <w:abstractNum w:abstractNumId="139">
    <w:nsid w:val="37DF2233"/>
    <w:multiLevelType w:val="hybridMultilevel"/>
    <w:lvl w:ilvl="0">
      <w:lvlJc w:val="left"/>
      <w:lvlText w:val="(%1)"/>
      <w:numFmt w:val="lowerLetter"/>
      <w:start w:val="5"/>
    </w:lvl>
  </w:abstractNum>
  <w:abstractNum w:abstractNumId="140">
    <w:nsid w:val="7AB49DAF"/>
    <w:multiLevelType w:val="hybridMultilevel"/>
    <w:lvl w:ilvl="0">
      <w:lvlJc w:val="left"/>
      <w:lvlText w:val="(%1)"/>
      <w:numFmt w:val="lowerLetter"/>
      <w:start w:val="2"/>
    </w:lvl>
  </w:abstractNum>
  <w:abstractNum w:abstractNumId="141">
    <w:nsid w:val="759F82CD"/>
    <w:multiLevelType w:val="hybridMultilevel"/>
    <w:lvl w:ilvl="0">
      <w:lvlJc w:val="left"/>
      <w:lvlText w:val="(%1)"/>
      <w:numFmt w:val="lowerLetter"/>
      <w:start w:val="1"/>
    </w:lvl>
    <w:lvl w:ilvl="1">
      <w:lvlJc w:val="left"/>
      <w:lvlText w:val="-"/>
      <w:numFmt w:val="bullet"/>
      <w:start w:val="1"/>
    </w:lvl>
  </w:abstractNum>
  <w:abstractNum w:abstractNumId="142">
    <w:nsid w:val="61E74EA3"/>
    <w:multiLevelType w:val="hybridMultilevel"/>
    <w:lvl w:ilvl="0">
      <w:lvlJc w:val="left"/>
      <w:lvlText w:val="%1."/>
      <w:numFmt w:val="decimal"/>
      <w:start w:val="1"/>
    </w:lvl>
  </w:abstractNum>
  <w:abstractNum w:abstractNumId="143">
    <w:nsid w:val="597B4D84"/>
    <w:multiLevelType w:val="hybridMultilevel"/>
    <w:lvl w:ilvl="0">
      <w:lvlJc w:val="left"/>
      <w:lvlText w:val="%1."/>
      <w:numFmt w:val="decimal"/>
      <w:start w:val="5"/>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2019-12-15T13:00:30Z</dcterms:created>
  <dcterms:modified xsi:type="dcterms:W3CDTF">2019-12-15T13:00:30Z</dcterms:modified>
</cp:coreProperties>
</file>