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582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8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PENN ARTHUR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80" w:type="dxa"/>
            <w:vAlign w:val="bottom"/>
            <w:gridSpan w:val="10"/>
            <w:vMerge w:val="restart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PENNANTPARK INVESTMENT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15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PNNT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 xml:space="preserve">Chairman and CEO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6"/>
              </w:rPr>
              <w:t>/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 xml:space="preserve"> Investment Adviser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590 MADISON AVENUE 15TH FLOOR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11/23/2009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6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60" w:type="dxa"/>
            <w:vAlign w:val="bottom"/>
            <w:gridSpan w:val="11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Pennant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274,224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Advisers,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11/23/2009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8,000</w:t>
            </w: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8.4146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158,400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5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0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1"/>
              </w:rPr>
              <w:t>1. Includes 6,151 Shares of Common Stock received pursuant to a dividend reinvestment Plan since last filing.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Arthur H. Penn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11/24/2009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4937" TargetMode="External"/><Relationship Id="rId13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2019-12-17T14:43:28Z</dcterms:created>
  <dcterms:modified xsi:type="dcterms:W3CDTF">2019-12-17T14:43:28Z</dcterms:modified>
</cp:coreProperties>
</file>