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9,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9, 2018, PennantPark Investment Corporation issued a press release announcing its financial results for the second fiscal quarter ended March 31, 2018. A copy of the press release is furnished as Exhibit 99.1 to this report pursuant to Item 2.02 on Form 8-K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of PennantPark Investment Corporation dated May 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9, 2018</w:t>
            </w:r>
          </w:p>
        </w:tc>
        <w:tc>
          <w:tcPr>
            <w:tcW w:w="500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1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March 31, 2018</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NEW YORK, May 09, 2018 (GLOBE NEWSWIRE) -- PennantPark Investment Corporation (NASDAQ:PNNT) announced today financial results for the second fiscal quarter ended March 31, 2018.</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HIGHLIGHTS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March 31, 2018</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100" w:type="dxa"/>
            <w:vAlign w:val="bottom"/>
          </w:tcPr>
          <w:p>
            <w:pPr>
              <w:spacing w:after="0"/>
              <w:rPr>
                <w:sz w:val="20"/>
                <w:szCs w:val="20"/>
                <w:color w:val="auto"/>
              </w:rPr>
            </w:pPr>
            <w:r>
              <w:rPr>
                <w:rFonts w:ascii="Arial" w:cs="Arial" w:eastAsia="Arial" w:hAnsi="Arial"/>
                <w:sz w:val="22"/>
                <w:szCs w:val="22"/>
                <w:color w:val="auto"/>
              </w:rPr>
              <w:t>Assets and Liabilities:</w:t>
            </w:r>
          </w:p>
        </w:tc>
        <w:tc>
          <w:tcPr>
            <w:tcW w:w="3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7100" w:type="dxa"/>
            <w:vAlign w:val="bottom"/>
          </w:tcPr>
          <w:p>
            <w:pPr>
              <w:ind w:left="120"/>
              <w:spacing w:after="0"/>
              <w:rPr>
                <w:sz w:val="20"/>
                <w:szCs w:val="20"/>
                <w:color w:val="auto"/>
              </w:rPr>
            </w:pPr>
            <w:r>
              <w:rPr>
                <w:rFonts w:ascii="Arial" w:cs="Arial" w:eastAsia="Arial" w:hAnsi="Arial"/>
                <w:sz w:val="22"/>
                <w:szCs w:val="22"/>
                <w:color w:val="auto"/>
              </w:rPr>
              <w:t>Investment portfolio</w:t>
            </w:r>
          </w:p>
        </w:tc>
        <w:tc>
          <w:tcPr>
            <w:tcW w:w="32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947.9</w:t>
            </w:r>
          </w:p>
        </w:tc>
      </w:tr>
      <w:tr>
        <w:trPr>
          <w:trHeight w:val="270"/>
        </w:trPr>
        <w:tc>
          <w:tcPr>
            <w:tcW w:w="710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32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639.6</w:t>
            </w:r>
          </w:p>
        </w:tc>
      </w:tr>
      <w:tr>
        <w:trPr>
          <w:trHeight w:val="274"/>
        </w:trPr>
        <w:tc>
          <w:tcPr>
            <w:tcW w:w="7100" w:type="dxa"/>
            <w:vAlign w:val="bottom"/>
          </w:tcPr>
          <w:p>
            <w:pPr>
              <w:ind w:left="120"/>
              <w:spacing w:after="0"/>
              <w:rPr>
                <w:sz w:val="20"/>
                <w:szCs w:val="20"/>
                <w:color w:val="auto"/>
              </w:rPr>
            </w:pPr>
            <w:r>
              <w:rPr>
                <w:rFonts w:ascii="Arial" w:cs="Arial" w:eastAsia="Arial" w:hAnsi="Arial"/>
                <w:sz w:val="22"/>
                <w:szCs w:val="22"/>
                <w:color w:val="auto"/>
              </w:rPr>
              <w:t>Net asset value per share</w:t>
            </w:r>
          </w:p>
        </w:tc>
        <w:tc>
          <w:tcPr>
            <w:tcW w:w="32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9.00</w:t>
            </w:r>
          </w:p>
        </w:tc>
      </w:tr>
      <w:tr>
        <w:trPr>
          <w:trHeight w:val="536"/>
        </w:trPr>
        <w:tc>
          <w:tcPr>
            <w:tcW w:w="7100" w:type="dxa"/>
            <w:vAlign w:val="bottom"/>
          </w:tcPr>
          <w:p>
            <w:pPr>
              <w:ind w:left="120"/>
              <w:spacing w:after="0"/>
              <w:rPr>
                <w:sz w:val="20"/>
                <w:szCs w:val="20"/>
                <w:color w:val="auto"/>
              </w:rPr>
            </w:pPr>
            <w:r>
              <w:rPr>
                <w:rFonts w:ascii="Arial" w:cs="Arial" w:eastAsia="Arial" w:hAnsi="Arial"/>
                <w:sz w:val="22"/>
                <w:szCs w:val="22"/>
                <w:color w:val="auto"/>
              </w:rPr>
              <w:t>Credit Facility</w:t>
            </w:r>
          </w:p>
        </w:tc>
        <w:tc>
          <w:tcPr>
            <w:tcW w:w="32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41.7</w:t>
            </w:r>
          </w:p>
        </w:tc>
      </w:tr>
      <w:tr>
        <w:trPr>
          <w:trHeight w:val="270"/>
        </w:trPr>
        <w:tc>
          <w:tcPr>
            <w:tcW w:w="7100" w:type="dxa"/>
            <w:vAlign w:val="bottom"/>
          </w:tcPr>
          <w:p>
            <w:pPr>
              <w:ind w:left="120"/>
              <w:spacing w:after="0"/>
              <w:rPr>
                <w:sz w:val="20"/>
                <w:szCs w:val="20"/>
                <w:color w:val="auto"/>
              </w:rPr>
            </w:pPr>
            <w:r>
              <w:rPr>
                <w:rFonts w:ascii="Arial" w:cs="Arial" w:eastAsia="Arial" w:hAnsi="Arial"/>
                <w:sz w:val="22"/>
                <w:szCs w:val="22"/>
                <w:color w:val="auto"/>
              </w:rPr>
              <w:t>2019 Notes</w:t>
            </w:r>
          </w:p>
        </w:tc>
        <w:tc>
          <w:tcPr>
            <w:tcW w:w="32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250.6</w:t>
            </w:r>
          </w:p>
        </w:tc>
      </w:tr>
      <w:tr>
        <w:trPr>
          <w:trHeight w:val="274"/>
        </w:trPr>
        <w:tc>
          <w:tcPr>
            <w:tcW w:w="7100" w:type="dxa"/>
            <w:vAlign w:val="bottom"/>
          </w:tcPr>
          <w:p>
            <w:pPr>
              <w:ind w:left="120"/>
              <w:spacing w:after="0"/>
              <w:rPr>
                <w:sz w:val="20"/>
                <w:szCs w:val="20"/>
                <w:color w:val="auto"/>
              </w:rPr>
            </w:pPr>
            <w:r>
              <w:rPr>
                <w:rFonts w:ascii="Arial" w:cs="Arial" w:eastAsia="Arial" w:hAnsi="Arial"/>
                <w:sz w:val="22"/>
                <w:szCs w:val="22"/>
                <w:color w:val="auto"/>
              </w:rPr>
              <w:t>SBA debentures</w:t>
            </w:r>
          </w:p>
        </w:tc>
        <w:tc>
          <w:tcPr>
            <w:tcW w:w="32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194.9</w:t>
            </w:r>
          </w:p>
        </w:tc>
      </w:tr>
      <w:tr>
        <w:trPr>
          <w:trHeight w:val="540"/>
        </w:trPr>
        <w:tc>
          <w:tcPr>
            <w:tcW w:w="710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3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536"/>
        </w:trPr>
        <w:tc>
          <w:tcPr>
            <w:tcW w:w="7100" w:type="dxa"/>
            <w:vAlign w:val="bottom"/>
          </w:tcPr>
          <w:p>
            <w:pPr>
              <w:spacing w:after="0"/>
              <w:rPr>
                <w:sz w:val="20"/>
                <w:szCs w:val="20"/>
                <w:color w:val="auto"/>
              </w:rPr>
            </w:pPr>
            <w:r>
              <w:rPr>
                <w:rFonts w:ascii="Arial" w:cs="Arial" w:eastAsia="Arial" w:hAnsi="Arial"/>
                <w:sz w:val="22"/>
                <w:szCs w:val="22"/>
                <w:color w:val="auto"/>
              </w:rPr>
              <w:t>Operating Results:</w:t>
            </w:r>
          </w:p>
        </w:tc>
        <w:tc>
          <w:tcPr>
            <w:tcW w:w="3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710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32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270"/>
        </w:trPr>
        <w:tc>
          <w:tcPr>
            <w:tcW w:w="7100" w:type="dxa"/>
            <w:vAlign w:val="bottom"/>
          </w:tcPr>
          <w:p>
            <w:pPr>
              <w:ind w:left="120"/>
              <w:spacing w:after="0"/>
              <w:rPr>
                <w:sz w:val="20"/>
                <w:szCs w:val="20"/>
                <w:color w:val="auto"/>
              </w:rPr>
            </w:pPr>
            <w:r>
              <w:rPr>
                <w:rFonts w:ascii="Arial" w:cs="Arial" w:eastAsia="Arial" w:hAnsi="Arial"/>
                <w:sz w:val="22"/>
                <w:szCs w:val="22"/>
                <w:color w:val="auto"/>
              </w:rPr>
              <w:t>Net investment income per share</w:t>
            </w:r>
          </w:p>
        </w:tc>
        <w:tc>
          <w:tcPr>
            <w:tcW w:w="32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0.19</w:t>
            </w:r>
          </w:p>
        </w:tc>
      </w:tr>
      <w:tr>
        <w:trPr>
          <w:trHeight w:val="274"/>
        </w:trPr>
        <w:tc>
          <w:tcPr>
            <w:tcW w:w="710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32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0.18</w:t>
            </w:r>
          </w:p>
        </w:tc>
      </w:tr>
      <w:tr>
        <w:trPr>
          <w:trHeight w:val="536"/>
        </w:trPr>
        <w:tc>
          <w:tcPr>
            <w:tcW w:w="7100" w:type="dxa"/>
            <w:vAlign w:val="bottom"/>
          </w:tcPr>
          <w:p>
            <w:pPr>
              <w:spacing w:after="0"/>
              <w:rPr>
                <w:sz w:val="20"/>
                <w:szCs w:val="20"/>
                <w:color w:val="auto"/>
              </w:rPr>
            </w:pPr>
            <w:r>
              <w:rPr>
                <w:rFonts w:ascii="Arial" w:cs="Arial" w:eastAsia="Arial" w:hAnsi="Arial"/>
                <w:sz w:val="22"/>
                <w:szCs w:val="22"/>
                <w:color w:val="auto"/>
              </w:rPr>
              <w:t>Portfolio Activity:</w:t>
            </w:r>
          </w:p>
        </w:tc>
        <w:tc>
          <w:tcPr>
            <w:tcW w:w="3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710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32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97.0</w:t>
            </w:r>
          </w:p>
        </w:tc>
      </w:tr>
      <w:tr>
        <w:trPr>
          <w:trHeight w:val="274"/>
        </w:trPr>
        <w:tc>
          <w:tcPr>
            <w:tcW w:w="710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32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246.4</w:t>
            </w:r>
          </w:p>
        </w:tc>
      </w:tr>
      <w:tr>
        <w:trPr>
          <w:trHeight w:val="536"/>
        </w:trPr>
        <w:tc>
          <w:tcPr>
            <w:tcW w:w="710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3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710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3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4"/>
        </w:trPr>
        <w:tc>
          <w:tcPr>
            <w:tcW w:w="710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3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10, 2018</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Thursday, May 10, 2018 to discuss its financial results. All interested parties are welcome to participate. You can access the conference call by dialing toll-free (800) 263-0877 approximately 5-10 minutes prior to the call. International callers should dial</w:t>
      </w:r>
    </w:p>
    <w:p>
      <w:pPr>
        <w:spacing w:after="0" w:line="1" w:lineRule="exact"/>
        <w:rPr>
          <w:sz w:val="20"/>
          <w:szCs w:val="20"/>
          <w:color w:val="auto"/>
        </w:rPr>
      </w:pPr>
    </w:p>
    <w:p>
      <w:pPr>
        <w:jc w:val="both"/>
        <w:ind w:firstLine="8"/>
        <w:spacing w:after="0" w:line="234" w:lineRule="auto"/>
        <w:tabs>
          <w:tab w:leader="none" w:pos="572" w:val="left"/>
        </w:tabs>
        <w:numPr>
          <w:ilvl w:val="0"/>
          <w:numId w:val="3"/>
        </w:numPr>
        <w:rPr>
          <w:rFonts w:ascii="Arial" w:cs="Arial" w:eastAsia="Arial" w:hAnsi="Arial"/>
          <w:sz w:val="22"/>
          <w:szCs w:val="22"/>
          <w:color w:val="auto"/>
        </w:rPr>
      </w:pPr>
      <w:r>
        <w:rPr>
          <w:rFonts w:ascii="Arial" w:cs="Arial" w:eastAsia="Arial" w:hAnsi="Arial"/>
          <w:sz w:val="22"/>
          <w:szCs w:val="22"/>
          <w:color w:val="auto"/>
        </w:rPr>
        <w:t>794-2094. All callers should reference PennantPark Investment Corporation. An archived replay of the call will be available through May 24, 2018 by calling toll-free (888) 203-1112. International callers please dial (719) 457-0820. For all phone replays, please reference conference ID #3843269.</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of March 31, 2018, our portfolio totaled $947.9 million and consisted of $382.4 million of first lien secured debt, $368.6 million of second lien secured debt, $32.3 million of subordinated debt and $164.6 million of preferred and common equity. Our debt portfolio consisted of 87% variable-rate investments (including 8% where London Interbank Offered Rate, or LIBOR, was below the floor) and 13% fixed-rate investments. As of March 31, 2018, we had no companies on non-accrual. Overall, the portfolio had net unrealized depreciation of $92.7 million as of March 31, 2018. Our overall portfolio consisted of 49 companies with an average investment size of $19.3 million, had a weighted average yield on interest bearing debt investments of 11.5% and was invested 40% in first lien secured debt, 39% in second lien secured debt, 4% in subordinated debt and 17% in preferred and common equity.</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LIBOR was below the floor) and 18% fixed-rate investments. As of September 30, 2017, we had no companies on non-accrual. Overall, the portfolio had net unrealized depreciation of $56.4 million as of September 30, 2017. Our overall portfolio consisted of 55 companies with an</w:t>
      </w:r>
    </w:p>
    <w:p>
      <w:pPr>
        <w:sectPr>
          <w:pgSz w:w="11900" w:h="16965" w:orient="portrait"/>
          <w:cols w:equalWidth="0" w:num="1">
            <w:col w:w="11240"/>
          </w:cols>
          <w:pgMar w:left="320" w:top="112" w:right="339" w:bottom="0" w:gutter="0" w:footer="0" w:header="0"/>
        </w:sectPr>
      </w:pPr>
    </w:p>
    <w:bookmarkStart w:id="4" w:name="page5"/>
    <w:bookmarkEnd w:id="4"/>
    <w:p>
      <w:pPr>
        <w:jc w:val="both"/>
        <w:spacing w:after="0"/>
        <w:rPr>
          <w:sz w:val="20"/>
          <w:szCs w:val="20"/>
          <w:color w:val="auto"/>
        </w:rPr>
      </w:pPr>
      <w:r>
        <w:rPr>
          <w:rFonts w:ascii="Arial" w:cs="Arial" w:eastAsia="Arial" w:hAnsi="Arial"/>
          <w:sz w:val="22"/>
          <w:szCs w:val="22"/>
          <w:color w:val="auto"/>
        </w:rPr>
        <w:t>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2018, we invested $97.0 million in three new and six existing portfolio companies with a weighted average yield on debt investments of 8.9%. Sales and repayments of investments for the three months ended March 31, 2018 totaled $246.4 million. For the six months ended March 31, 2018, we invested $235.4 million in eight new and 13 existing portfolio companies with a weighted average yield on debt investments of 10.0%. Sales and repayments of investments for the six months ended March 31, 2018 totaled $438.7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2017, we invested $60.5 million in three new and seven existing portfolio companies with a weighted average yield on debt investments of 9.5%. Sales and repayments of investments for the three months ended March 31, 2017 totaled $202.0 million. For the six months ended March 31, 2017, we invested $289.7 million in 12 new and 14 existing portfolio companies with a weighted average yield on debt investments of 10.8%. Sales and repayments of investments for the six months ended March 31, 2017 totaled $266.2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2018 and 2017.</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Investment income for the three and six months ended March 31, 2018 was $27.2 million and $55.9 million, respectively, and was attributable to $12.7 million and $25.4 million from first lien secured debt, $11.3 million and $24.2 million from second lien secured debt and $3.2 million and $6.3 million from subordinated debt, preferred and common equity, respectively. This compares to investment income for the three and six months ended March 31, 2017, which was $33.7 million and $65.6 million, respectively, and was attributable to $15.2 million and $28.3 million from first lien secured debt, $13.0 million and $25.6 million from second lien secured debt and $5.5 million and $11.7 million from subordinated debt, preferred and common equity, respectively. The decrease in investment income compared to the same periods in the prior year was primarily due to a reduction of our portfolio at cost.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Net expenses for the three and six months ended March 31, 2018 totaled $13.8 million and $28.3 million, respectively. Base management fee for the same periods totaled $3.9 million and $8.7 million (after a base management fee waiver of $0.9 million), incentive fee totaled $2.8 million and $5.5 million (after an incentive fee waiver of $0.5 million), debt related interest and expenses totaled $5.9 million and $11.8 million and general and administrative expenses totaled $1.2 million and $2.3 million, respectively. This compares to net expenses for the three and six months ended March 31, 2017, which totaled $17.5 million and $34.4 million, respectively. Base management fee for the same periods totaled $5.3 million (after a base management fee waiver of $1.0 million) and $10.6 million (after a base management fee waiver of $2.0 million), incentive fee totaled $3.1 million (after an incentive fee waiver of $0.6 million) and $5.9 million (after an incentive fee waiver of $1.1 million), debt related interest and expenses totaled $7.2 million and $13.9 million, general and administrative expenses totaled $1.5 million and $3.1 million and provision for taxes totaled $0.4 million and $0.9 million, respectively. The decrease in expenses compared to the same periods in the prior year was primarily due to a reduction of our portfolio at cost, a decrease in debt related interest and expenses and base management fees.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Net investment income totaled $13.4 million and $27.6 million, or $0.19 and $0.39 per share, for the three and six months ended March 31, 2018, respectively. Net investment income totaled $16.2 million and $31.2 million, or $0.23 and $0.44 per share, for the three and six months ended March 31, 2017, respectively. The decrease in net investment income per share compared to the same periods in the prior year was primarily due to a reduction of our portfolio at cost.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six months ended March 31, 2018 totaled $246.4 million and $438.7 million, respectively, and net realized gains totaled $21.8 million and $25.5 million, respectively. Sales and repayments of investments for the three and six months ended March 31, 2017 totaled $202.0 million and $266.2 million, respectively, and net realized losses totaled $18.7 million and $40.9 million, respectively. The change in realized gains/losses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and Notes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and six months ended March 31, 2018, we reported net change in unrealized depreciation on investments of $29.5 million and $36.3 million, respectively. For the three and six months ended March 31, 2017, we reported net change in unrealized appreciation on investments of $20.2 million and $45.5 million, respectively. As of March 31, 2018 and September 30, 2017, our net unrealized depreciation on investments totaled $92.7 million and $56.4 million, respectively. The net change in unrealized depreciation on our investments was driven primarily by changes in the capital market conditions, the financial performance of certain portfolio companies and the reversal of unrealized appreciation/depreciation of investments that were realized.</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9"/>
          <w:szCs w:val="19"/>
          <w:color w:val="auto"/>
        </w:rPr>
        <w:t>For the three and six months ended March 31, 2018, our multi-currency, senior secured revolving credit facility, as amended and restated, or the Credit Facility and our 4.50% notes due 2019, or 2019 Notes had a net change in unrealized depreciation of $0.4 million and $1.5 million, respectively. For the three and six months ended March 31, 2017, our Credit Facility, the 2019 Notes and our 6.25% notes due 2025 had a net change in unrealized appreciation of $6.1 million and $0.3 million, respectively. As of March 31, 2018 and September 30, 2017, our net unrealized appreciation on the Credit Facility and the 2019 Notes totaled $0.8 million and $2.3 million, respectively. The net change in unrealized depreciation compared to the same periods in the prior year was primarily due to changes in the capital markets.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Net change in net assets resulting from operations totaled $6.0 million and $18.3 million, or $0.08 and $0.26 per share, for the three and six months ended March 31, 2018, respectively. This compares to a net change in net assets resulting from operations of $11.5 million and $35.5 million, or $0.16 and $0.50 per share, for the three and six months ended March 31, 2017, respectively. The decrease in the net change in net assets from operations compared to the same periods in the prior year was primarily due to a reduction of our portfolio and depreciation of our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annualized weighted average cost of debt for the six months ended March 31, 2018 and 2017, inclusive of the fee on the undrawn commitment and amendment costs on the Credit Facility, amortized upfront fees on Small Business Administration, or SBA, debentures and debt issuance costs, was 4.58% and 4.38%, respectively.</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March 31, 2018 and September 30, 2017, we had $41.5 million and $79.4 million, respectively, in outstanding borrowings under the Credit Facility. The Credit Facility had a weighted average interest rate of 2.88% and 2.42%, respectively, exclusive of the fee on undrawn commitments of 0.375%, as of March 31, 2018 and September 30, 2017. As of March 31, 2018 and September 30, 2017, we had $403.5 million and $365.6 million of unused borrowing capacity under our Credit Facility, respectively, subject to the regulatory restrictions.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2018 and September 30, 2017, we had $250.0 million in aggregate principal amount of 2019 Notes outstanding, with a fixed interest rate of 4.50% per year. As of March 31, 2018 and September 30, 2017, we had $200.0 million and $199.0 million in SBA debentures outstanding, respectively.</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2018 and September 30, 2017, we had cash and cash equivalents of $170.2 million and $38.2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provided cash of $196.1 million for the six months ended March 31, 2018, and our financing activities used cash of $64.2 million for the same period. Our operating activities provided cash from sales and repayments on our investments and our financing activities used cash primarily to pay distributions to stockholders and for net repayments under the Credit Facility.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operating activities used cash of $18.8 million for the six months ended March 31, 2017, and our financing activities provided cash of $9.5 million for the same period. Our operating activities used cash primarily for our investment activities and our financing activities provided cash primarily for net borrowings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Subsequent to quarter-end, we announced a share repurchase plan which allows us to repurchase up to $30.0 million of our outstanding common stock in the open market at prices below our net asset value as reported in our then most recently published consolidated financial statements. The program will expire on May 8, 2019.</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Subsequent to quarter-end, we repaid $15.0 million of SBA debentures.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During the three and six months ended March 31, 2018, we declared distributions of $0.18 and $0.36 per share, respectively, for total distributions of $12.8 million and $25.6 million, respectively. For the same periods in the prior year, we declared distributions of $0.18 and $0.46 per share, respectively, for total distributions of $12.8 million and $32.7 million, respectively. We monitor available net investment income to determine if a return of capital for taxation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ectPr>
          <w:pgSz w:w="11900" w:h="16838" w:orient="portrait"/>
          <w:cols w:equalWidth="0" w:num="1">
            <w:col w:w="11240"/>
          </w:cols>
          <w:pgMar w:left="320" w:top="118" w:right="339" w:bottom="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AVAILABLE INFORMATION</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94"/>
              </w:rPr>
              <w:t>March 31,</w:t>
            </w:r>
          </w:p>
        </w:tc>
        <w:tc>
          <w:tcPr>
            <w:tcW w:w="1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22"/>
                <w:szCs w:val="22"/>
                <w:b w:val="1"/>
                <w:bCs w:val="1"/>
                <w:color w:val="auto"/>
                <w:w w:val="86"/>
              </w:rPr>
              <w:t>September 30,</w:t>
            </w:r>
          </w:p>
        </w:tc>
      </w:tr>
      <w:tr>
        <w:trPr>
          <w:trHeight w:val="270"/>
        </w:trPr>
        <w:tc>
          <w:tcPr>
            <w:tcW w:w="7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center"/>
              <w:ind w:right="32"/>
              <w:spacing w:after="0"/>
              <w:rPr>
                <w:sz w:val="20"/>
                <w:szCs w:val="20"/>
                <w:color w:val="auto"/>
              </w:rPr>
            </w:pPr>
            <w:r>
              <w:rPr>
                <w:rFonts w:ascii="Arial" w:cs="Arial" w:eastAsia="Arial" w:hAnsi="Arial"/>
                <w:sz w:val="22"/>
                <w:szCs w:val="22"/>
                <w:b w:val="1"/>
                <w:bCs w:val="1"/>
                <w:color w:val="auto"/>
                <w:w w:val="89"/>
              </w:rPr>
              <w:t>2018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47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r>
      <w:tr>
        <w:trPr>
          <w:trHeight w:val="280"/>
        </w:trPr>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90"/>
              </w:rPr>
              <w:t>(unaudited)</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794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7940" w:type="dxa"/>
            <w:vAlign w:val="bottom"/>
          </w:tcPr>
          <w:p>
            <w:pPr>
              <w:ind w:left="260"/>
              <w:spacing w:after="0" w:line="243" w:lineRule="exact"/>
              <w:rPr>
                <w:sz w:val="20"/>
                <w:szCs w:val="20"/>
                <w:color w:val="auto"/>
              </w:rPr>
            </w:pPr>
            <w:r>
              <w:rPr>
                <w:rFonts w:ascii="Arial" w:cs="Arial" w:eastAsia="Arial" w:hAnsi="Arial"/>
                <w:sz w:val="22"/>
                <w:szCs w:val="22"/>
                <w:color w:val="auto"/>
                <w:w w:val="95"/>
              </w:rPr>
              <w:t>Non-controlled, non-affiliated investments (cost—$705,364,389 and $824,106,322,</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4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728,195,206</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849,351,548</w:t>
            </w:r>
          </w:p>
        </w:tc>
        <w:tc>
          <w:tcPr>
            <w:tcW w:w="80" w:type="dxa"/>
            <w:vAlign w:val="bottom"/>
          </w:tcPr>
          <w:p>
            <w:pPr>
              <w:spacing w:after="0"/>
              <w:rPr>
                <w:sz w:val="23"/>
                <w:szCs w:val="23"/>
                <w:color w:val="auto"/>
              </w:rPr>
            </w:pPr>
          </w:p>
        </w:tc>
      </w:tr>
      <w:tr>
        <w:trPr>
          <w:trHeight w:val="243"/>
        </w:trPr>
        <w:tc>
          <w:tcPr>
            <w:tcW w:w="794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(cost—$91,601,721 and $185,799,943,</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4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74,902,002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189,674,977</w:t>
            </w:r>
          </w:p>
        </w:tc>
        <w:tc>
          <w:tcPr>
            <w:tcW w:w="80" w:type="dxa"/>
            <w:vAlign w:val="bottom"/>
          </w:tcPr>
          <w:p>
            <w:pPr>
              <w:spacing w:after="0"/>
              <w:rPr>
                <w:sz w:val="23"/>
                <w:szCs w:val="23"/>
                <w:color w:val="auto"/>
              </w:rPr>
            </w:pPr>
          </w:p>
        </w:tc>
      </w:tr>
      <w:tr>
        <w:trPr>
          <w:trHeight w:val="243"/>
        </w:trPr>
        <w:tc>
          <w:tcPr>
            <w:tcW w:w="7940" w:type="dxa"/>
            <w:vAlign w:val="bottom"/>
          </w:tcPr>
          <w:p>
            <w:pPr>
              <w:ind w:left="260"/>
              <w:spacing w:after="0" w:line="243" w:lineRule="exact"/>
              <w:rPr>
                <w:sz w:val="20"/>
                <w:szCs w:val="20"/>
                <w:color w:val="auto"/>
              </w:rPr>
            </w:pPr>
            <w:r>
              <w:rPr>
                <w:rFonts w:ascii="Arial" w:cs="Arial" w:eastAsia="Arial" w:hAnsi="Arial"/>
                <w:sz w:val="22"/>
                <w:szCs w:val="22"/>
                <w:color w:val="auto"/>
              </w:rPr>
              <w:t>Controlled, affiliated investments (cost—$243,662,176 and $200,120,407,</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4"/>
        </w:trPr>
        <w:tc>
          <w:tcPr>
            <w:tcW w:w="794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144,842,821</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114,550,983</w:t>
            </w:r>
          </w:p>
        </w:tc>
        <w:tc>
          <w:tcPr>
            <w:tcW w:w="80" w:type="dxa"/>
            <w:vAlign w:val="bottom"/>
          </w:tcPr>
          <w:p>
            <w:pPr>
              <w:spacing w:after="0"/>
              <w:rPr>
                <w:sz w:val="23"/>
                <w:szCs w:val="23"/>
                <w:color w:val="auto"/>
              </w:rPr>
            </w:pPr>
          </w:p>
        </w:tc>
      </w:tr>
      <w:tr>
        <w:trPr>
          <w:trHeight w:val="259"/>
        </w:trPr>
        <w:tc>
          <w:tcPr>
            <w:tcW w:w="7940" w:type="dxa"/>
            <w:vAlign w:val="bottom"/>
          </w:tcPr>
          <w:p>
            <w:pPr>
              <w:ind w:left="260"/>
              <w:spacing w:after="0"/>
              <w:rPr>
                <w:sz w:val="20"/>
                <w:szCs w:val="20"/>
                <w:color w:val="auto"/>
              </w:rPr>
            </w:pPr>
            <w:r>
              <w:rPr>
                <w:rFonts w:ascii="Arial" w:cs="Arial" w:eastAsia="Arial" w:hAnsi="Arial"/>
                <w:sz w:val="22"/>
                <w:szCs w:val="22"/>
                <w:color w:val="auto"/>
              </w:rPr>
              <w:t>Total of investments (cost—$1,040,628,286 and $1,210,026,672, respectively)</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947,940,029</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1,153,577,508</w:t>
            </w:r>
          </w:p>
        </w:tc>
        <w:tc>
          <w:tcPr>
            <w:tcW w:w="80" w:type="dxa"/>
            <w:vAlign w:val="bottom"/>
          </w:tcPr>
          <w:p>
            <w:pPr>
              <w:spacing w:after="0"/>
              <w:rPr>
                <w:sz w:val="22"/>
                <w:szCs w:val="22"/>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Cash and cash equivalents (cost—$170,265,666 and $38,182,373,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170,219,549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38,202,068</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6,118,899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5,906,976</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26,983,525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794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2,285,185</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4,509,289</w:t>
            </w:r>
          </w:p>
        </w:tc>
        <w:tc>
          <w:tcPr>
            <w:tcW w:w="80" w:type="dxa"/>
            <w:vAlign w:val="bottom"/>
          </w:tcPr>
          <w:p>
            <w:pPr>
              <w:spacing w:after="0"/>
              <w:rPr>
                <w:sz w:val="23"/>
                <w:szCs w:val="23"/>
                <w:color w:val="auto"/>
              </w:rPr>
            </w:pPr>
          </w:p>
        </w:tc>
      </w:tr>
      <w:tr>
        <w:trPr>
          <w:trHeight w:val="267"/>
        </w:trPr>
        <w:tc>
          <w:tcPr>
            <w:tcW w:w="794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1,153,547,187</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1,202,195,841</w:t>
            </w:r>
          </w:p>
        </w:tc>
        <w:tc>
          <w:tcPr>
            <w:tcW w:w="80" w:type="dxa"/>
            <w:vAlign w:val="bottom"/>
          </w:tcPr>
          <w:p>
            <w:pPr>
              <w:spacing w:after="0"/>
              <w:rPr>
                <w:sz w:val="23"/>
                <w:szCs w:val="23"/>
                <w:color w:val="auto"/>
              </w:rPr>
            </w:pPr>
          </w:p>
        </w:tc>
      </w:tr>
      <w:tr>
        <w:trPr>
          <w:trHeight w:val="256"/>
        </w:trPr>
        <w:tc>
          <w:tcPr>
            <w:tcW w:w="794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12,790,950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12,790,950</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1,014,000</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Credit Facility payable (cost—$41,520,000 and $79,392,900,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41,685,939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76,037,341</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2019 Notes payable (par—$250,000,000)</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250,617,500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255,665,000</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w w:val="98"/>
              </w:rPr>
              <w:t>SBA debentures payable, net (par—$200,000,000 and $199,000,000,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194,866,410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194,364,653</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3,873,738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4,845,237</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2,845,616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2,270,008</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6,444,374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6,876,756</w:t>
            </w:r>
          </w:p>
        </w:tc>
        <w:tc>
          <w:tcPr>
            <w:tcW w:w="80" w:type="dxa"/>
            <w:vAlign w:val="bottom"/>
          </w:tcPr>
          <w:p>
            <w:pPr>
              <w:spacing w:after="0"/>
              <w:rPr>
                <w:sz w:val="23"/>
                <w:szCs w:val="23"/>
                <w:color w:val="auto"/>
              </w:rPr>
            </w:pPr>
          </w:p>
        </w:tc>
      </w:tr>
      <w:tr>
        <w:trPr>
          <w:trHeight w:val="274"/>
        </w:trPr>
        <w:tc>
          <w:tcPr>
            <w:tcW w:w="794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865,683</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1,523,425</w:t>
            </w:r>
          </w:p>
        </w:tc>
        <w:tc>
          <w:tcPr>
            <w:tcW w:w="80" w:type="dxa"/>
            <w:vAlign w:val="bottom"/>
          </w:tcPr>
          <w:p>
            <w:pPr>
              <w:spacing w:after="0"/>
              <w:rPr>
                <w:sz w:val="23"/>
                <w:szCs w:val="23"/>
                <w:color w:val="auto"/>
              </w:rPr>
            </w:pPr>
          </w:p>
        </w:tc>
      </w:tr>
      <w:tr>
        <w:trPr>
          <w:trHeight w:val="267"/>
        </w:trPr>
        <w:tc>
          <w:tcPr>
            <w:tcW w:w="794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513,990,210</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555,387,370</w:t>
            </w:r>
          </w:p>
        </w:tc>
        <w:tc>
          <w:tcPr>
            <w:tcW w:w="80" w:type="dxa"/>
            <w:vAlign w:val="bottom"/>
          </w:tcPr>
          <w:p>
            <w:pPr>
              <w:spacing w:after="0"/>
              <w:rPr>
                <w:sz w:val="23"/>
                <w:szCs w:val="23"/>
                <w:color w:val="auto"/>
              </w:rPr>
            </w:pPr>
          </w:p>
        </w:tc>
      </w:tr>
      <w:tr>
        <w:trPr>
          <w:trHeight w:val="250"/>
        </w:trPr>
        <w:tc>
          <w:tcPr>
            <w:tcW w:w="794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26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94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940" w:type="dxa"/>
            <w:vAlign w:val="bottom"/>
          </w:tcPr>
          <w:p>
            <w:pPr>
              <w:spacing w:after="0" w:line="243" w:lineRule="exact"/>
              <w:rPr>
                <w:sz w:val="20"/>
                <w:szCs w:val="20"/>
                <w:color w:val="auto"/>
              </w:rPr>
            </w:pPr>
            <w:r>
              <w:rPr>
                <w:rFonts w:ascii="Arial" w:cs="Arial" w:eastAsia="Arial" w:hAnsi="Arial"/>
                <w:sz w:val="22"/>
                <w:szCs w:val="22"/>
                <w:color w:val="auto"/>
              </w:rPr>
              <w:t>Common stock, 71,060,836 shares issued and outstanding</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4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71,061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71,061</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818,737,784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818,737,784</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Undistributed net investment income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5,334,784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3,333,195</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Accumulated net realized loss on investments</w:t>
            </w:r>
          </w:p>
        </w:tc>
        <w:tc>
          <w:tcPr>
            <w:tcW w:w="14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2"/>
                <w:szCs w:val="22"/>
                <w:color w:val="auto"/>
              </w:rPr>
              <w:t>(91,071,422)</w:t>
            </w:r>
          </w:p>
        </w:tc>
        <w:tc>
          <w:tcPr>
            <w:tcW w:w="12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(116,598,355)</w:t>
            </w: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Net unrealized depreciation on investments</w:t>
            </w:r>
          </w:p>
        </w:tc>
        <w:tc>
          <w:tcPr>
            <w:tcW w:w="14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2"/>
                <w:szCs w:val="22"/>
                <w:color w:val="auto"/>
              </w:rPr>
              <w:t>(92,731,791)</w:t>
            </w:r>
          </w:p>
        </w:tc>
        <w:tc>
          <w:tcPr>
            <w:tcW w:w="12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(56,425,773)</w:t>
            </w:r>
          </w:p>
        </w:tc>
      </w:tr>
      <w:tr>
        <w:trPr>
          <w:trHeight w:val="274"/>
        </w:trPr>
        <w:tc>
          <w:tcPr>
            <w:tcW w:w="7940" w:type="dxa"/>
            <w:vAlign w:val="bottom"/>
          </w:tcPr>
          <w:p>
            <w:pPr>
              <w:spacing w:after="0"/>
              <w:rPr>
                <w:sz w:val="20"/>
                <w:szCs w:val="20"/>
                <w:color w:val="auto"/>
              </w:rPr>
            </w:pPr>
            <w:r>
              <w:rPr>
                <w:rFonts w:ascii="Arial" w:cs="Arial" w:eastAsia="Arial" w:hAnsi="Arial"/>
                <w:sz w:val="22"/>
                <w:szCs w:val="22"/>
                <w:color w:val="auto"/>
              </w:rPr>
              <w:t>Net unrealized appreciation on debt</w:t>
            </w:r>
          </w:p>
        </w:tc>
        <w:tc>
          <w:tcPr>
            <w:tcW w:w="14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2"/>
                <w:szCs w:val="22"/>
                <w:color w:val="auto"/>
              </w:rPr>
              <w:t>(783,439)</w:t>
            </w:r>
          </w:p>
        </w:tc>
        <w:tc>
          <w:tcPr>
            <w:tcW w:w="12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(2,309,441)</w:t>
            </w:r>
          </w:p>
        </w:tc>
      </w:tr>
      <w:tr>
        <w:trPr>
          <w:trHeight w:val="267"/>
        </w:trPr>
        <w:tc>
          <w:tcPr>
            <w:tcW w:w="794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639,556,977</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646,808,471</w:t>
            </w:r>
          </w:p>
        </w:tc>
        <w:tc>
          <w:tcPr>
            <w:tcW w:w="80" w:type="dxa"/>
            <w:vAlign w:val="bottom"/>
          </w:tcPr>
          <w:p>
            <w:pPr>
              <w:spacing w:after="0"/>
              <w:rPr>
                <w:sz w:val="23"/>
                <w:szCs w:val="23"/>
                <w:color w:val="auto"/>
              </w:rPr>
            </w:pPr>
          </w:p>
        </w:tc>
      </w:tr>
      <w:tr>
        <w:trPr>
          <w:trHeight w:val="263"/>
        </w:trPr>
        <w:tc>
          <w:tcPr>
            <w:tcW w:w="794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1,153,547,187</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1,202,195,841</w:t>
            </w:r>
          </w:p>
        </w:tc>
        <w:tc>
          <w:tcPr>
            <w:tcW w:w="80" w:type="dxa"/>
            <w:vAlign w:val="bottom"/>
          </w:tcPr>
          <w:p>
            <w:pPr>
              <w:spacing w:after="0"/>
              <w:rPr>
                <w:sz w:val="22"/>
                <w:szCs w:val="22"/>
                <w:color w:val="auto"/>
              </w:rPr>
            </w:pPr>
          </w:p>
        </w:tc>
      </w:tr>
      <w:tr>
        <w:trPr>
          <w:trHeight w:val="21"/>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94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9.00</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9.10</w:t>
            </w:r>
          </w:p>
        </w:tc>
        <w:tc>
          <w:tcPr>
            <w:tcW w:w="80" w:type="dxa"/>
            <w:vAlign w:val="bottom"/>
          </w:tcPr>
          <w:p>
            <w:pPr>
              <w:spacing w:after="0"/>
              <w:rPr>
                <w:sz w:val="22"/>
                <w:szCs w:val="22"/>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PENNANTPARK INVESTMENT CORPORATION AND SUBSIDIARIES CONSOLIDATED STATEMENTS OF OPERATIONS (Unaudited)</w:t>
      </w:r>
    </w:p>
    <w:p>
      <w:pPr>
        <w:spacing w:after="0" w:line="219" w:lineRule="exact"/>
        <w:rPr>
          <w:sz w:val="20"/>
          <w:szCs w:val="20"/>
          <w:color w:val="auto"/>
        </w:rPr>
      </w:pPr>
    </w:p>
    <w:tbl>
      <w:tblPr>
        <w:tblLayout w:type="fixed"/>
        <w:tblInd w:w="5700" w:type="dxa"/>
        <w:tblCellMar>
          <w:top w:w="0" w:type="dxa"/>
          <w:left w:w="0" w:type="dxa"/>
          <w:bottom w:w="0" w:type="dxa"/>
          <w:right w:w="0" w:type="dxa"/>
        </w:tblCellMar>
      </w:tblPr>
      <w:tr>
        <w:trPr>
          <w:trHeight w:val="253"/>
        </w:trPr>
        <w:tc>
          <w:tcPr>
            <w:tcW w:w="2820" w:type="dxa"/>
            <w:vAlign w:val="bottom"/>
            <w:gridSpan w:val="5"/>
          </w:tcPr>
          <w:p>
            <w:pPr>
              <w:jc w:val="center"/>
              <w:ind w:right="180"/>
              <w:spacing w:after="0"/>
              <w:rPr>
                <w:sz w:val="20"/>
                <w:szCs w:val="20"/>
                <w:color w:val="auto"/>
              </w:rPr>
            </w:pPr>
            <w:r>
              <w:rPr>
                <w:rFonts w:ascii="Arial" w:cs="Arial" w:eastAsia="Arial" w:hAnsi="Arial"/>
                <w:sz w:val="22"/>
                <w:szCs w:val="22"/>
                <w:b w:val="1"/>
                <w:bCs w:val="1"/>
                <w:color w:val="auto"/>
                <w:w w:val="90"/>
              </w:rPr>
              <w:t>Three Months Ended</w:t>
            </w:r>
          </w:p>
        </w:tc>
        <w:tc>
          <w:tcPr>
            <w:tcW w:w="262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Six Months Ended</w:t>
            </w:r>
          </w:p>
        </w:tc>
      </w:tr>
      <w:tr>
        <w:trPr>
          <w:trHeight w:val="282"/>
        </w:trPr>
        <w:tc>
          <w:tcPr>
            <w:tcW w:w="840" w:type="dxa"/>
            <w:vAlign w:val="bottom"/>
          </w:tcPr>
          <w:p>
            <w:pPr>
              <w:spacing w:after="0"/>
              <w:rPr>
                <w:sz w:val="24"/>
                <w:szCs w:val="24"/>
                <w:color w:val="auto"/>
              </w:rPr>
            </w:pPr>
          </w:p>
        </w:tc>
        <w:tc>
          <w:tcPr>
            <w:tcW w:w="1980" w:type="dxa"/>
            <w:vAlign w:val="bottom"/>
            <w:gridSpan w:val="4"/>
          </w:tcPr>
          <w:p>
            <w:pPr>
              <w:jc w:val="center"/>
              <w:ind w:right="1040"/>
              <w:spacing w:after="0"/>
              <w:rPr>
                <w:sz w:val="20"/>
                <w:szCs w:val="20"/>
                <w:color w:val="auto"/>
              </w:rPr>
            </w:pPr>
            <w:r>
              <w:rPr>
                <w:rFonts w:ascii="Arial" w:cs="Arial" w:eastAsia="Arial" w:hAnsi="Arial"/>
                <w:sz w:val="22"/>
                <w:szCs w:val="22"/>
                <w:b w:val="1"/>
                <w:bCs w:val="1"/>
                <w:color w:val="auto"/>
                <w:w w:val="92"/>
              </w:rPr>
              <w:t>March 31,</w:t>
            </w:r>
          </w:p>
        </w:tc>
        <w:tc>
          <w:tcPr>
            <w:tcW w:w="820" w:type="dxa"/>
            <w:vAlign w:val="bottom"/>
          </w:tcPr>
          <w:p>
            <w:pPr>
              <w:spacing w:after="0"/>
              <w:rPr>
                <w:sz w:val="24"/>
                <w:szCs w:val="24"/>
                <w:color w:val="auto"/>
              </w:rPr>
            </w:pPr>
          </w:p>
        </w:tc>
        <w:tc>
          <w:tcPr>
            <w:tcW w:w="1800" w:type="dxa"/>
            <w:vAlign w:val="bottom"/>
            <w:gridSpan w:val="3"/>
          </w:tcPr>
          <w:p>
            <w:pPr>
              <w:jc w:val="center"/>
              <w:ind w:right="712"/>
              <w:spacing w:after="0"/>
              <w:rPr>
                <w:sz w:val="20"/>
                <w:szCs w:val="20"/>
                <w:color w:val="auto"/>
              </w:rPr>
            </w:pPr>
            <w:r>
              <w:rPr>
                <w:rFonts w:ascii="Arial" w:cs="Arial" w:eastAsia="Arial" w:hAnsi="Arial"/>
                <w:sz w:val="22"/>
                <w:szCs w:val="22"/>
                <w:b w:val="1"/>
                <w:bCs w:val="1"/>
                <w:color w:val="auto"/>
                <w:w w:val="92"/>
              </w:rPr>
              <w:t>March 31,</w:t>
            </w:r>
          </w:p>
        </w:tc>
      </w:tr>
      <w:tr>
        <w:trPr>
          <w:trHeight w:val="265"/>
        </w:trPr>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2018</w:t>
            </w:r>
          </w:p>
        </w:tc>
        <w:tc>
          <w:tcPr>
            <w:tcW w:w="380" w:type="dxa"/>
            <w:vAlign w:val="bottom"/>
            <w:tcBorders>
              <w:top w:val="single" w:sz="8" w:color="auto"/>
              <w:bottom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2017</w:t>
            </w:r>
          </w:p>
        </w:tc>
        <w:tc>
          <w:tcPr>
            <w:tcW w:w="200" w:type="dxa"/>
            <w:vAlign w:val="bottom"/>
          </w:tcPr>
          <w:p>
            <w:pPr>
              <w:spacing w:after="0"/>
              <w:rPr>
                <w:sz w:val="23"/>
                <w:szCs w:val="2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2018</w:t>
            </w:r>
          </w:p>
        </w:tc>
        <w:tc>
          <w:tcPr>
            <w:tcW w:w="38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r>
    </w:tbl>
    <w:p>
      <w:pPr>
        <w:sectPr>
          <w:pgSz w:w="11900" w:h="16838" w:orient="portrait"/>
          <w:cols w:equalWidth="0" w:num="1">
            <w:col w:w="11240"/>
          </w:cols>
          <w:pgMar w:left="320" w:top="111" w:right="33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568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19,734,120</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22,881,267</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41,117,339</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44,532,692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1,675,075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1,209,049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2,959,984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1,429,753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2,486,424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1,565,617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4,073,066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3,668,153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1,376,065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2,990,507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2,591,899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5,781,439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234,349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1,449,879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1,807,655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2,884,628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22,500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970,264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210,809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1,450,694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390,544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Payment in kind</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749,312</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3,407,865</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1,893,397</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6,874,194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27,225,609</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33,714,993</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55,894,034</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65,583,903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3,873,739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6,332,507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9,608,876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12,607,289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2,845,616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3,643,189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6,030,820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7,017,399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5,940,893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7,179,057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11,798,271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13,914,631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521,625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894,000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1,043,250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1,788,000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628,290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668,483</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1,256,580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1,336,990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0"/>
              </w:rPr>
              <w:t>Expenses before Management Fees waiver and provision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for taxes</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13,810,163</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18,717,236</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29,737,797</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36,664,309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680" w:type="dxa"/>
            <w:vAlign w:val="bottom"/>
          </w:tcPr>
          <w:p>
            <w:pPr>
              <w:ind w:left="260"/>
              <w:spacing w:after="0"/>
              <w:rPr>
                <w:sz w:val="20"/>
                <w:szCs w:val="20"/>
                <w:color w:val="auto"/>
              </w:rPr>
            </w:pPr>
            <w:r>
              <w:rPr>
                <w:rFonts w:ascii="Arial" w:cs="Arial" w:eastAsia="Arial" w:hAnsi="Arial"/>
                <w:sz w:val="22"/>
                <w:szCs w:val="22"/>
                <w:color w:val="auto"/>
              </w:rPr>
              <w:t>Management Fees waiver</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(1,596,111)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2"/>
              </w:rPr>
              <w:t>(1,427,253)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(3,139,950)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4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425,000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850,000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Net expenses</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13,810,163</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17,546,125</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28,310,544</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34,374,359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13,415,446</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16,168,868</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27,583,490</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31,209,544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0"/>
                <w:szCs w:val="20"/>
                <w:color w:val="auto"/>
              </w:rPr>
            </w:pPr>
            <w:r>
              <w:rPr>
                <w:rFonts w:ascii="Arial" w:cs="Arial" w:eastAsia="Arial" w:hAnsi="Arial"/>
                <w:sz w:val="22"/>
                <w:szCs w:val="22"/>
                <w:b w:val="1"/>
                <w:bCs w:val="1"/>
                <w:color w:val="auto"/>
                <w:w w:val="88"/>
              </w:rPr>
              <w:t>Realized and unrealized (loss) gain on investments and debt:</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Net realized gain (loss) on investments on:</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12,876,286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13,248,244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14,669,329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(8,947,090)</w:t>
            </w:r>
          </w:p>
        </w:tc>
        <w:tc>
          <w:tcPr>
            <w:tcW w:w="0" w:type="dxa"/>
            <w:vAlign w:val="bottom"/>
          </w:tcPr>
          <w:p>
            <w:pPr>
              <w:spacing w:after="0"/>
              <w:rPr>
                <w:sz w:val="1"/>
                <w:szCs w:val="1"/>
                <w:color w:val="auto"/>
              </w:rPr>
            </w:pP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8,877,164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22"/>
                <w:szCs w:val="22"/>
                <w:color w:val="auto"/>
                <w:w w:val="87"/>
              </w:rPr>
              <w:t>(31,990,981 )</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10,857,604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87"/>
              </w:rPr>
              <w:t>(31,990,981 )</w:t>
            </w:r>
          </w:p>
        </w:tc>
        <w:tc>
          <w:tcPr>
            <w:tcW w:w="0" w:type="dxa"/>
            <w:vAlign w:val="bottom"/>
          </w:tcPr>
          <w:p>
            <w:pPr>
              <w:spacing w:after="0"/>
              <w:rPr>
                <w:sz w:val="1"/>
                <w:szCs w:val="1"/>
                <w:color w:val="auto"/>
              </w:rPr>
            </w:pPr>
          </w:p>
        </w:tc>
      </w:tr>
      <w:tr>
        <w:trPr>
          <w:trHeight w:val="267"/>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Net realized gain (loss) on investments</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21,753,450</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0"/>
              </w:rPr>
              <w:t>(18,742,737</w:t>
            </w:r>
          </w:p>
        </w:tc>
        <w:tc>
          <w:tcPr>
            <w:tcW w:w="20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25,526,933</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(40,938,071</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rPr>
              <w:t>(4,219,398)</w:t>
            </w:r>
          </w:p>
        </w:tc>
        <w:tc>
          <w:tcPr>
            <w:tcW w:w="140" w:type="dxa"/>
            <w:vAlign w:val="bottom"/>
          </w:tcPr>
          <w:p>
            <w:pPr>
              <w:spacing w:after="0"/>
              <w:rPr>
                <w:sz w:val="23"/>
                <w:szCs w:val="23"/>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22"/>
                <w:szCs w:val="22"/>
                <w:color w:val="auto"/>
              </w:rPr>
              <w:t>(6,279,870)</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rPr>
              <w:t>(2,481,333)</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13,356,331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91"/>
              </w:rPr>
              <w:t>(25,313,724)</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26,429,957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91"/>
              </w:rPr>
              <w:t>(33,824,685)</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32,166,856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Debt depreciation (appreciation)</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399,236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22"/>
                <w:szCs w:val="22"/>
                <w:color w:val="auto"/>
                <w:w w:val="96"/>
              </w:rPr>
              <w:t>(6,116,548 )</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1,526,002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(285,864 )</w:t>
            </w: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2"/>
              </w:rPr>
              <w:t>Net change in unrealized (depreciation) appreciation on</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80" w:type="dxa"/>
            <w:vAlign w:val="bottom"/>
          </w:tcPr>
          <w:p>
            <w:pPr>
              <w:ind w:left="260"/>
              <w:spacing w:after="0"/>
              <w:rPr>
                <w:sz w:val="20"/>
                <w:szCs w:val="20"/>
                <w:color w:val="auto"/>
              </w:rPr>
            </w:pPr>
            <w:r>
              <w:rPr>
                <w:rFonts w:ascii="Arial" w:cs="Arial" w:eastAsia="Arial" w:hAnsi="Arial"/>
                <w:sz w:val="22"/>
                <w:szCs w:val="22"/>
                <w:b w:val="1"/>
                <w:bCs w:val="1"/>
                <w:color w:val="auto"/>
              </w:rPr>
              <w:t>investments and debt</w:t>
            </w:r>
          </w:p>
        </w:tc>
        <w:tc>
          <w:tcPr>
            <w:tcW w:w="14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87"/>
              </w:rPr>
              <w:t>(29,133,886 )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14,033,539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87"/>
              </w:rPr>
              <w:t>(34,780,016 )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45,237,323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680" w:type="dxa"/>
            <w:vAlign w:val="bottom"/>
          </w:tcPr>
          <w:p>
            <w:pPr>
              <w:spacing w:after="0" w:line="212" w:lineRule="exact"/>
              <w:rPr>
                <w:sz w:val="20"/>
                <w:szCs w:val="20"/>
                <w:color w:val="auto"/>
              </w:rPr>
            </w:pPr>
            <w:r>
              <w:rPr>
                <w:rFonts w:ascii="Arial" w:cs="Arial" w:eastAsia="Arial" w:hAnsi="Arial"/>
                <w:sz w:val="22"/>
                <w:szCs w:val="22"/>
                <w:b w:val="1"/>
                <w:bCs w:val="1"/>
                <w:color w:val="auto"/>
                <w:w w:val="89"/>
              </w:rPr>
              <w:t>Net realized and unrealized (loss) gain from investments and</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68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rPr>
              <w:t>(7,380,436)</w:t>
            </w:r>
          </w:p>
        </w:tc>
        <w:tc>
          <w:tcPr>
            <w:tcW w:w="140" w:type="dxa"/>
            <w:vAlign w:val="bottom"/>
          </w:tcPr>
          <w:p>
            <w:pPr>
              <w:spacing w:after="0"/>
              <w:rPr>
                <w:sz w:val="24"/>
                <w:szCs w:val="24"/>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22"/>
                <w:szCs w:val="22"/>
                <w:color w:val="auto"/>
                <w:w w:val="96"/>
              </w:rPr>
              <w:t>(4,709,198 )</w:t>
            </w:r>
          </w:p>
        </w:tc>
        <w:tc>
          <w:tcPr>
            <w:tcW w:w="14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96"/>
              </w:rPr>
              <w:t>(9,253,083 )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4,299,252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68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6,035,010</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11,459,670</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18,330,407</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35,508,796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line="242" w:lineRule="exact"/>
              <w:rPr>
                <w:sz w:val="20"/>
                <w:szCs w:val="20"/>
                <w:color w:val="auto"/>
              </w:rPr>
            </w:pPr>
            <w:r>
              <w:rPr>
                <w:rFonts w:ascii="Arial" w:cs="Arial" w:eastAsia="Arial" w:hAnsi="Arial"/>
                <w:sz w:val="22"/>
                <w:szCs w:val="22"/>
                <w:color w:val="auto"/>
                <w:w w:val="89"/>
              </w:rPr>
              <w:t>Net increase in net assets resulting from operations per common</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68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0.08</w:t>
            </w:r>
          </w:p>
        </w:tc>
        <w:tc>
          <w:tcPr>
            <w:tcW w:w="1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0.16</w:t>
            </w:r>
          </w:p>
        </w:tc>
        <w:tc>
          <w:tcPr>
            <w:tcW w:w="2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rPr>
              <w:t>0.26</w:t>
            </w:r>
          </w:p>
        </w:tc>
        <w:tc>
          <w:tcPr>
            <w:tcW w:w="2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80" w:type="dxa"/>
            <w:vAlign w:val="bottom"/>
          </w:tcPr>
          <w:p>
            <w:pPr>
              <w:spacing w:after="0" w:line="251" w:lineRule="exact"/>
              <w:rPr>
                <w:sz w:val="20"/>
                <w:szCs w:val="20"/>
                <w:color w:val="auto"/>
              </w:rPr>
            </w:pPr>
            <w:r>
              <w:rPr>
                <w:rFonts w:ascii="Arial" w:cs="Arial" w:eastAsia="Arial" w:hAnsi="Arial"/>
                <w:sz w:val="22"/>
                <w:szCs w:val="22"/>
                <w:color w:val="auto"/>
              </w:rPr>
              <w:t>share</w:t>
            </w:r>
          </w:p>
        </w:tc>
        <w:tc>
          <w:tcPr>
            <w:tcW w:w="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68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0.19</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0.23</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0.39</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40"/>
          </w:cols>
          <w:pgMar w:left="320" w:top="111" w:right="339" w:bottom="0" w:gutter="0" w:footer="0" w:header="0"/>
        </w:sectPr>
      </w:pPr>
    </w:p>
    <w:bookmarkStart w:id="8" w:name="page9"/>
    <w:bookmarkEnd w:id="8"/>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Aviv Efrat</w:t>
      </w:r>
    </w:p>
    <w:p>
      <w:pPr>
        <w:spacing w:after="0" w:line="238" w:lineRule="auto"/>
        <w:rPr>
          <w:sz w:val="20"/>
          <w:szCs w:val="20"/>
          <w:color w:val="auto"/>
        </w:rPr>
      </w:pPr>
      <w:r>
        <w:rPr>
          <w:rFonts w:ascii="Arial" w:cs="Arial" w:eastAsia="Arial" w:hAnsi="Arial"/>
          <w:sz w:val="22"/>
          <w:szCs w:val="22"/>
          <w:color w:val="auto"/>
        </w:rPr>
        <w:t>PennantPark Investment Corporation</w:t>
      </w:r>
    </w:p>
    <w:p>
      <w:pPr>
        <w:spacing w:after="0" w:line="230" w:lineRule="auto"/>
        <w:rPr>
          <w:sz w:val="20"/>
          <w:szCs w:val="20"/>
          <w:color w:val="auto"/>
        </w:rPr>
      </w:pPr>
      <w:r>
        <w:rPr>
          <w:rFonts w:ascii="Arial" w:cs="Arial" w:eastAsia="Arial" w:hAnsi="Arial"/>
          <w:sz w:val="22"/>
          <w:szCs w:val="22"/>
          <w:color w:val="auto"/>
        </w:rPr>
        <w:t>Reception: (212) 905-1000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32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2020-05-05T15:07:40Z</dcterms:created>
  <dcterms:modified xsi:type="dcterms:W3CDTF">2020-05-05T15:07:40Z</dcterms:modified>
</cp:coreProperties>
</file>