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1225.htm"/>
      <w:bookmarkStart w:id="1" w:name="ksf8k_0512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12,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r>
        <w:rPr>
          <w:sz w:val="20"/>
        </w:rPr>
        <w:t>On May 12, 2025, PennantPark Investment Corporation (the "Company") issued a press release announcing its financial results for the second quarter ended March 31, 2025. A copy of the press release is furnished as Exhibit 99.1 to this report pursuant to Item 2.02 on Form 8-K and Regulation FD.</w:t>
      </w:r>
    </w:p>
    <w:p>
      <w:pPr>
        <w:pStyle w:val="TextBody"/>
        <w:bidi w:val="0"/>
        <w:spacing w:before="0" w:after="283"/>
        <w:jc w:val="left"/>
        <w:rPr/>
      </w:pPr>
      <w:r>
        <w:rPr/>
        <w:t>       </w:t>
      </w: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 xml:space="preserve">Forward-Looking Statements </w:t>
      </w:r>
    </w:p>
    <w:p>
      <w:pPr>
        <w:pStyle w:val="TextBody"/>
        <w:bidi w:val="0"/>
        <w:spacing w:before="0" w:after="283"/>
        <w:jc w:val="left"/>
        <w:rPr/>
      </w:pPr>
      <w:r>
        <w:rPr/>
        <w:t>       </w:t>
      </w: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w:t>
      </w:r>
    </w:p>
    <w:p>
      <w:pPr>
        <w:pStyle w:val="TextBody"/>
        <w:bidi w:val="0"/>
        <w:spacing w:before="0" w:after="283"/>
        <w:jc w:val="left"/>
        <w:rPr/>
      </w:pPr>
      <w:r>
        <w:rPr/>
        <w:t>       </w:t>
      </w:r>
      <w:r>
        <w:rPr>
          <w:sz w:val="20"/>
        </w:rPr>
        <w:t>PennantPark Investment Corporation undertakes no duty to update any forward-looking statement made herein. You should not place undue influence on such forward-looking statements as such statements speak only as of the date on which they are made. 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 xml:space="preserve">(a) Financial statements: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(b) Pro forma financial information: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(c) Shell company transactions: </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May 12,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875" w:type="dxa"/>
        <w:jc w:val="left"/>
        <w:tblInd w:w="0" w:type="dxa"/>
        <w:tblLayout w:type="fixed"/>
        <w:tblCellMar>
          <w:top w:w="0" w:type="dxa"/>
          <w:left w:w="0" w:type="dxa"/>
          <w:bottom w:w="0" w:type="dxa"/>
          <w:right w:w="0" w:type="dxa"/>
        </w:tblCellMar>
      </w:tblPr>
      <w:tblGrid>
        <w:gridCol w:w="1640"/>
        <w:gridCol w:w="365"/>
        <w:gridCol w:w="2870"/>
      </w:tblGrid>
      <w:tr>
        <w:trPr/>
        <w:tc>
          <w:tcPr>
            <w:tcW w:w="164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sz w:val="20"/>
              </w:rPr>
            </w:pPr>
            <w:r>
              <w:rPr>
                <w:sz w:val="20"/>
              </w:rPr>
              <w:t>Date: May 12,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Financial Results for the Quarter Ended March 31, 2025</w:t>
      </w:r>
    </w:p>
    <w:p>
      <w:pPr>
        <w:pStyle w:val="TextBody"/>
        <w:bidi w:val="0"/>
        <w:jc w:val="both"/>
        <w:rPr/>
      </w:pPr>
      <w:r>
        <w:rPr/>
        <w:t>MIAMI, May 12, 2025 (GLOBE NEWSWIRE) -- PennantPark Investment Corporation (NYSE: PNNT) announced today its financial results for the second quarter ended March 31, 2025.</w:t>
      </w:r>
    </w:p>
    <w:p>
      <w:pPr>
        <w:pStyle w:val="TextBody"/>
        <w:bidi w:val="0"/>
        <w:jc w:val="left"/>
        <w:rPr/>
      </w:pPr>
      <w:r>
        <w:rPr>
          <w:rStyle w:val="StrongEmphasis"/>
        </w:rPr>
        <w:t>HIGHLIGHTS</w:t>
      </w:r>
      <w:r>
        <w:rPr/>
        <w:t xml:space="preserve">        </w:t>
        <w:br/>
        <w:t>Quarter ended March 31, 2025 (unaudited)</w:t>
        <w:br/>
        <w:t>($ in millions, except per share amounts)                           </w:t>
      </w:r>
    </w:p>
    <w:tbl>
      <w:tblPr>
        <w:tblW w:w="6934" w:type="dxa"/>
        <w:jc w:val="center"/>
        <w:tblInd w:w="0" w:type="dxa"/>
        <w:tblLayout w:type="fixed"/>
        <w:tblCellMar>
          <w:top w:w="28" w:type="dxa"/>
          <w:left w:w="28" w:type="dxa"/>
          <w:bottom w:w="28" w:type="dxa"/>
          <w:right w:w="28" w:type="dxa"/>
        </w:tblCellMar>
      </w:tblPr>
      <w:tblGrid>
        <w:gridCol w:w="5461"/>
        <w:gridCol w:w="226"/>
        <w:gridCol w:w="826"/>
        <w:gridCol w:w="421"/>
      </w:tblGrid>
      <w:tr>
        <w:trPr/>
        <w:tc>
          <w:tcPr>
            <w:tcW w:w="5461" w:type="dxa"/>
            <w:tcBorders/>
            <w:vAlign w:val="center"/>
          </w:tcPr>
          <w:p>
            <w:pPr>
              <w:pStyle w:val="TableContents"/>
              <w:bidi w:val="0"/>
              <w:spacing w:before="0" w:after="283"/>
              <w:jc w:val="left"/>
              <w:rPr/>
            </w:pPr>
            <w:r>
              <w:rPr/>
              <w:t>Assets and Liabilities: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Investment portfolio </w:t>
            </w:r>
            <w:r>
              <w:rPr>
                <w:position w:val="8"/>
                <w:sz w:val="19"/>
              </w:rPr>
              <w:t>(1)</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1,213.6</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488.1</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GAAP net asset value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7.48</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Quarterly change in GAAP net asset value per share</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w:t>
            </w:r>
          </w:p>
        </w:tc>
        <w:tc>
          <w:tcPr>
            <w:tcW w:w="421" w:type="dxa"/>
            <w:tcBorders/>
            <w:vAlign w:val="center"/>
          </w:tcPr>
          <w:p>
            <w:pPr>
              <w:pStyle w:val="TableContents"/>
              <w:bidi w:val="0"/>
              <w:spacing w:before="0" w:after="283"/>
              <w:jc w:val="left"/>
              <w:rPr/>
            </w:pPr>
            <w:r>
              <w:rPr/>
              <w:t>)%</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Adjusted net asset value per share </w:t>
            </w:r>
            <w:r>
              <w:rPr>
                <w:position w:val="8"/>
                <w:sz w:val="19"/>
              </w:rPr>
              <w:t>(2)</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7.48</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Quarterly change in adjusted net asset value per share </w:t>
            </w:r>
            <w:r>
              <w:rPr>
                <w:position w:val="8"/>
                <w:sz w:val="19"/>
              </w:rPr>
              <w:t>(2)</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w:t>
            </w:r>
          </w:p>
        </w:tc>
        <w:tc>
          <w:tcPr>
            <w:tcW w:w="421" w:type="dxa"/>
            <w:tcBorders/>
            <w:vAlign w:val="center"/>
          </w:tcPr>
          <w:p>
            <w:pPr>
              <w:pStyle w:val="TableContents"/>
              <w:bidi w:val="0"/>
              <w:spacing w:before="0" w:after="283"/>
              <w:jc w:val="left"/>
              <w:rPr/>
            </w:pPr>
            <w:r>
              <w:rPr/>
              <w:t>)%</w:t>
            </w:r>
          </w:p>
        </w:tc>
      </w:tr>
      <w:tr>
        <w:trPr/>
        <w:tc>
          <w:tcPr>
            <w:tcW w:w="546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vAlign w:val="center"/>
          </w:tcPr>
          <w:p>
            <w:pPr>
              <w:pStyle w:val="TableContents"/>
              <w:bidi w:val="0"/>
              <w:spacing w:before="0" w:after="283"/>
              <w:jc w:val="left"/>
              <w:rPr/>
            </w:pPr>
            <w:r>
              <w:rPr/>
              <w:t>Credit Facility</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311.4</w:t>
            </w:r>
          </w:p>
        </w:tc>
        <w:tc>
          <w:tcPr>
            <w:tcW w:w="421" w:type="dxa"/>
            <w:tcBorders/>
            <w:vAlign w:val="center"/>
          </w:tcPr>
          <w:p>
            <w:pPr>
              <w:pStyle w:val="TableContents"/>
              <w:bidi w:val="0"/>
              <w:spacing w:before="0" w:after="283"/>
              <w:jc w:val="left"/>
              <w:rPr/>
            </w:pPr>
            <w:r>
              <w:rPr/>
              <w:t> </w:t>
            </w:r>
          </w:p>
        </w:tc>
      </w:tr>
      <w:tr>
        <w:trPr/>
        <w:tc>
          <w:tcPr>
            <w:tcW w:w="5461" w:type="dxa"/>
            <w:tcBorders/>
            <w:vAlign w:val="center"/>
          </w:tcPr>
          <w:p>
            <w:pPr>
              <w:pStyle w:val="TableContents"/>
              <w:bidi w:val="0"/>
              <w:spacing w:before="0" w:after="283"/>
              <w:jc w:val="left"/>
              <w:rPr/>
            </w:pPr>
            <w:r>
              <w:rPr/>
              <w:t>2026 Notes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149.0</w:t>
            </w:r>
          </w:p>
        </w:tc>
        <w:tc>
          <w:tcPr>
            <w:tcW w:w="421" w:type="dxa"/>
            <w:tcBorders/>
            <w:vAlign w:val="center"/>
          </w:tcPr>
          <w:p>
            <w:pPr>
              <w:pStyle w:val="TableContents"/>
              <w:bidi w:val="0"/>
              <w:spacing w:before="0" w:after="283"/>
              <w:jc w:val="left"/>
              <w:rPr/>
            </w:pPr>
            <w:r>
              <w:rPr/>
              <w:t> </w:t>
            </w:r>
          </w:p>
        </w:tc>
      </w:tr>
      <w:tr>
        <w:trPr/>
        <w:tc>
          <w:tcPr>
            <w:tcW w:w="5461" w:type="dxa"/>
            <w:tcBorders/>
            <w:vAlign w:val="center"/>
          </w:tcPr>
          <w:p>
            <w:pPr>
              <w:pStyle w:val="TableContents"/>
              <w:bidi w:val="0"/>
              <w:spacing w:before="0" w:after="283"/>
              <w:jc w:val="left"/>
              <w:rPr/>
            </w:pPr>
            <w:r>
              <w:rPr/>
              <w:t>2026-2 Notes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163.5</w:t>
            </w:r>
          </w:p>
        </w:tc>
        <w:tc>
          <w:tcPr>
            <w:tcW w:w="421" w:type="dxa"/>
            <w:tcBorders/>
            <w:vAlign w:val="center"/>
          </w:tcPr>
          <w:p>
            <w:pPr>
              <w:pStyle w:val="TableContents"/>
              <w:bidi w:val="0"/>
              <w:spacing w:before="0" w:after="283"/>
              <w:jc w:val="left"/>
              <w:rPr/>
            </w:pPr>
            <w:r>
              <w:rPr/>
              <w:t> </w:t>
            </w:r>
          </w:p>
        </w:tc>
      </w:tr>
      <w:tr>
        <w:trPr/>
        <w:tc>
          <w:tcPr>
            <w:tcW w:w="5461" w:type="dxa"/>
            <w:tcBorders/>
            <w:vAlign w:val="center"/>
          </w:tcPr>
          <w:p>
            <w:pPr>
              <w:pStyle w:val="TableContents"/>
              <w:bidi w:val="0"/>
              <w:spacing w:before="0" w:after="283"/>
              <w:jc w:val="left"/>
              <w:rPr/>
            </w:pPr>
            <w:r>
              <w:rPr/>
              <w:t>Regulatory debt to equity</w:t>
            </w:r>
          </w:p>
        </w:tc>
        <w:tc>
          <w:tcPr>
            <w:tcW w:w="1052" w:type="dxa"/>
            <w:gridSpan w:val="2"/>
            <w:tcBorders/>
            <w:vAlign w:val="center"/>
          </w:tcPr>
          <w:p>
            <w:pPr>
              <w:pStyle w:val="TableContents"/>
              <w:bidi w:val="0"/>
              <w:spacing w:before="0" w:after="283"/>
              <w:jc w:val="right"/>
              <w:rPr/>
            </w:pPr>
            <w:r>
              <w:rPr/>
              <w:t>1.29x</w:t>
            </w:r>
          </w:p>
        </w:tc>
        <w:tc>
          <w:tcPr>
            <w:tcW w:w="421" w:type="dxa"/>
            <w:tcBorders/>
            <w:vAlign w:val="center"/>
          </w:tcPr>
          <w:p>
            <w:pPr>
              <w:pStyle w:val="TableContents"/>
              <w:bidi w:val="0"/>
              <w:spacing w:before="0" w:after="283"/>
              <w:jc w:val="right"/>
              <w:rPr/>
            </w:pPr>
            <w:r>
              <w:rPr/>
              <w:t> </w:t>
            </w:r>
          </w:p>
        </w:tc>
      </w:tr>
      <w:tr>
        <w:trPr/>
        <w:tc>
          <w:tcPr>
            <w:tcW w:w="5461" w:type="dxa"/>
            <w:tcBorders/>
            <w:vAlign w:val="center"/>
          </w:tcPr>
          <w:p>
            <w:pPr>
              <w:pStyle w:val="TableContents"/>
              <w:bidi w:val="0"/>
              <w:spacing w:before="0" w:after="283"/>
              <w:jc w:val="left"/>
              <w:rPr/>
            </w:pPr>
            <w:r>
              <w:rPr/>
              <w:t>Weighted average yield on debt investments</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12.0</w:t>
            </w:r>
          </w:p>
        </w:tc>
        <w:tc>
          <w:tcPr>
            <w:tcW w:w="421" w:type="dxa"/>
            <w:tcBorders/>
            <w:vAlign w:val="center"/>
          </w:tcPr>
          <w:p>
            <w:pPr>
              <w:pStyle w:val="TableContents"/>
              <w:bidi w:val="0"/>
              <w:spacing w:before="0" w:after="283"/>
              <w:jc w:val="left"/>
              <w:rPr/>
            </w:pPr>
            <w:r>
              <w:rPr/>
              <w:t>%</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vAlign w:val="center"/>
          </w:tcPr>
          <w:p>
            <w:pPr>
              <w:pStyle w:val="TableContents"/>
              <w:bidi w:val="0"/>
              <w:spacing w:before="0" w:after="283"/>
              <w:jc w:val="left"/>
              <w:rPr/>
            </w:pPr>
            <w:r>
              <w:rPr/>
              <w:t>Operating Results: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11.4</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0.18</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Core net investment income per share </w:t>
            </w:r>
            <w:r>
              <w:rPr>
                <w:position w:val="8"/>
                <w:sz w:val="19"/>
              </w:rPr>
              <w:t>(3)</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0.18</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0.24</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vAlign w:val="center"/>
          </w:tcPr>
          <w:p>
            <w:pPr>
              <w:pStyle w:val="TableContents"/>
              <w:bidi w:val="0"/>
              <w:spacing w:before="0" w:after="283"/>
              <w:jc w:val="left"/>
              <w:rPr/>
            </w:pPr>
            <w:r>
              <w:rPr/>
              <w:t>Portfolio Activity:</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Purchases of investments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176.8</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263.1</w:t>
            </w:r>
          </w:p>
        </w:tc>
        <w:tc>
          <w:tcPr>
            <w:tcW w:w="421" w:type="dxa"/>
            <w:tcBorders/>
            <w:vAlign w:val="center"/>
          </w:tcPr>
          <w:p>
            <w:pPr>
              <w:pStyle w:val="TableContents"/>
              <w:bidi w:val="0"/>
              <w:spacing w:before="0" w:after="283"/>
              <w:jc w:val="left"/>
              <w:rPr/>
            </w:pPr>
            <w:r>
              <w:rPr/>
              <w:t> </w:t>
            </w:r>
          </w:p>
        </w:tc>
      </w:tr>
      <w:tr>
        <w:trPr/>
        <w:tc>
          <w:tcPr>
            <w:tcW w:w="546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vAlign w:val="center"/>
          </w:tcPr>
          <w:p>
            <w:pPr>
              <w:pStyle w:val="TableContents"/>
              <w:bidi w:val="0"/>
              <w:spacing w:before="0" w:after="283"/>
              <w:jc w:val="left"/>
              <w:rPr/>
            </w:pPr>
            <w:r>
              <w:rPr/>
              <w:t>PSLF Portfolio data:</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PSLF investment portfolio</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1,392.9</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169.9</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48.3</w:t>
            </w:r>
          </w:p>
        </w:tc>
        <w:tc>
          <w:tcPr>
            <w:tcW w:w="421" w:type="dxa"/>
            <w:tcBorders/>
            <w:vAlign w:val="center"/>
          </w:tcPr>
          <w:p>
            <w:pPr>
              <w:pStyle w:val="TableContents"/>
              <w:bidi w:val="0"/>
              <w:spacing w:before="0" w:after="283"/>
              <w:jc w:val="left"/>
              <w:rPr/>
            </w:pPr>
            <w:r>
              <w:rPr/>
              <w:t> </w:t>
            </w:r>
          </w:p>
        </w:tc>
      </w:tr>
      <w:tr>
        <w:trPr/>
        <w:tc>
          <w:tcPr>
            <w:tcW w:w="54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bl>
    <w:p>
      <w:pPr>
        <w:pStyle w:val="TextBody"/>
        <w:bidi w:val="0"/>
        <w:jc w:val="both"/>
        <w:rPr/>
      </w:pPr>
      <w:r>
        <w:rPr/>
        <w:t>* excludes U.S. Government Securities</w:t>
      </w:r>
    </w:p>
    <w:p>
      <w:pPr>
        <w:pStyle w:val="TextBody"/>
        <w:numPr>
          <w:ilvl w:val="0"/>
          <w:numId w:val="2"/>
        </w:numPr>
        <w:tabs>
          <w:tab w:val="clear" w:pos="1134"/>
          <w:tab w:val="left" w:pos="709" w:leader="none"/>
        </w:tabs>
        <w:bidi w:val="0"/>
        <w:spacing w:before="120" w:after="283"/>
        <w:ind w:left="709" w:hanging="283"/>
        <w:jc w:val="both"/>
        <w:rPr/>
      </w:pPr>
      <w:r>
        <w:rPr/>
        <w:t>Includes investments in PennantPark Senior Loan Fund, LLC ("PSLF"), an unconsolidated joint venture, totaling $217.7 million, at fair value.</w:t>
      </w:r>
    </w:p>
    <w:p>
      <w:pPr>
        <w:pStyle w:val="TextBody"/>
        <w:numPr>
          <w:ilvl w:val="0"/>
          <w:numId w:val="2"/>
        </w:numPr>
        <w:tabs>
          <w:tab w:val="clear" w:pos="1134"/>
          <w:tab w:val="left" w:pos="709" w:leader="none"/>
        </w:tabs>
        <w:bidi w:val="0"/>
        <w:spacing w:before="120" w:after="283"/>
        <w:ind w:left="709" w:hanging="283"/>
        <w:jc w:val="both"/>
        <w:rPr/>
      </w:pPr>
      <w:r>
        <w:rPr/>
        <w:t>This is a non-GAAP financial measure. The Company believes that this number provides useful information to investors and management because it reflects the Company’s financial performance excluding the impact of unrealized gain on the Company's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pStyle w:val="TextBody"/>
        <w:numPr>
          <w:ilvl w:val="0"/>
          <w:numId w:val="2"/>
        </w:numPr>
        <w:tabs>
          <w:tab w:val="clear" w:pos="1134"/>
          <w:tab w:val="left" w:pos="709" w:leader="none"/>
        </w:tabs>
        <w:bidi w:val="0"/>
        <w:spacing w:before="120" w:after="283"/>
        <w:ind w:left="709" w:hanging="283"/>
        <w:jc w:val="both"/>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2025, Core NII excluded: i) $0.3 million of credit facility amendment cost, and ii) $0.1 million of incentive fee expense offset.</w:t>
      </w:r>
    </w:p>
    <w:p>
      <w:pPr>
        <w:pStyle w:val="TextBody"/>
        <w:bidi w:val="0"/>
        <w:jc w:val="both"/>
        <w:rPr/>
      </w:pPr>
      <w:r>
        <w:rPr>
          <w:rStyle w:val="StrongEmphasis"/>
        </w:rPr>
        <w:t>CONFERENCE CALL AT 12:00 P.M. EST ON MAY 13, 2025</w:t>
      </w:r>
    </w:p>
    <w:p>
      <w:pPr>
        <w:pStyle w:val="TextBody"/>
        <w:bidi w:val="0"/>
        <w:jc w:val="both"/>
        <w:rPr/>
      </w:pPr>
      <w:r>
        <w:rPr/>
        <w:t>PennantPark Investment Corporation (“we,” “our,” “us” or the “Company”) will also host a conference call at 12:00 p.m. (Eastern Time) on Tuesday, May 13, 2025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#1509093 or PennantPark Investment Corporation.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 </w:t>
      </w:r>
    </w:p>
    <w:p>
      <w:pPr>
        <w:pStyle w:val="TextBody"/>
        <w:bidi w:val="0"/>
        <w:jc w:val="both"/>
        <w:rPr/>
      </w:pPr>
      <w:r>
        <w:rPr/>
        <w:t>“</w:t>
      </w:r>
      <w:r>
        <w:rPr/>
        <w:t>We are pleased that our secured loan portfolio, with among the lowest portfolio company leverage and most meaningful covenants in the industry, is positioned defensively and continues to perform well,” said Art Penn, Chairman and CEO. “Additionally, our dividend stream is supported by substantial spillover income as we look to rotate equity investments over time.”</w:t>
      </w:r>
    </w:p>
    <w:p>
      <w:pPr>
        <w:pStyle w:val="TextBody"/>
        <w:bidi w:val="0"/>
        <w:jc w:val="both"/>
        <w:rPr/>
      </w:pPr>
      <w:r>
        <w:rPr/>
        <w:t>As of March 31, 2025, our portfolio totaled $1,213.6 million and consisted of $503.0 million or 41% of first lien secured debt, $124.6 million or 10% of U.S. Government Securities, $17.9 million or 2% of second lien secured debt, $216.8 million or 18% of subordinated debt (including $140.3 million or 12% in PSLF) and $351.3 million or 29% of preferred and common equity (including $77.4 million or 6% in PSLF). Our interest bearing debt portfolio consisted of 91% variable-rate investments and 9% fixed-rate investments. As of March 31, 2025, we had three portfolio companies on non-accrual, representing 1.6% and 0.4% percent of our overall portfolio on a cost and fair value basis, respectively. Overall, the portfolio had net unrealized appreciation of $40.7 million as of March 31, 2025. Our overall portfolio consisted of 158 companies with an average investment size of $6.9 million (excluding U.S. Government Securities), had a weighted average yield on interest bearing debt investments of 12.0%.</w:t>
      </w:r>
    </w:p>
    <w:p>
      <w:pPr>
        <w:pStyle w:val="TextBody"/>
        <w:bidi w:val="0"/>
        <w:jc w:val="left"/>
        <w:rPr/>
      </w:pPr>
      <w:r>
        <w:rPr/>
        <w:t>As of September 30, 2024, our portfolio totaled $1,328.1 million and consisted of $667.9 million or 50% of first lien secured debt, $99.6 million or 8%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pStyle w:val="TextBody"/>
        <w:bidi w:val="0"/>
        <w:jc w:val="both"/>
        <w:rPr/>
      </w:pPr>
      <w:r>
        <w:rPr/>
        <w:t>For the three months ended March 31, 2025, we invested $176.8 million in three new and 52 existing portfolio companies with a weighted average yield on debt investments of 10.7% (excluding U.S. Government Securities). For the three months ended March 31, 2025, sales and repayments of investments totaled $263.1 million (including $154.4 million was sold to PSLF) which excludes U.S. Government Securities. For the six months ended March 31, 2025, we invested $472.5 million in 15 new and 96 existing portfolio companies with a weighted average yield on debt investments of 10.6% (excluding U.S. Government Securities). For the six months ended March 31, 2025, sales and repayments of investments totaled $616.8 million (including $441.0 million was sold to PSLF) which excludes U.S. Government Securities.</w:t>
      </w:r>
    </w:p>
    <w:p>
      <w:pPr>
        <w:pStyle w:val="TextBody"/>
        <w:bidi w:val="0"/>
        <w:jc w:val="left"/>
        <w:rPr/>
      </w:pPr>
      <w:r>
        <w:rPr/>
        <w:t>For the three months ended March 31, 2024, we invested $188.5 million in six new and 43 existing portfolio companies with a weighted average yield on debt investments of 11.7% (excluding U.S. Government Securities). For the three months ended March 31, 2024, sales and repayments of investments totaled $176.2 million (including $103.1 million was sold to PSLF) which excludes U.S. Government Securities. For the six months ended March 31, 2024, we invested $419.6 million in 18 new and 60 existing portfolio companies with a weighted average yield on debt investments of 11.8% (excluding U.S. Government Securities). For the six months ended March 31, 2024, sales and repayments of investments totaled $247.2 million (including $154.0 million was sold to PSLF) which excludes U.S. Government Securities.</w:t>
        <w:br/>
        <w:t>  </w:t>
        <w:br/>
      </w:r>
      <w:r>
        <w:rPr>
          <w:rStyle w:val="StrongEmphasis"/>
        </w:rPr>
        <w:t>PennantPark Senior Loan Fund, LLC</w:t>
      </w:r>
    </w:p>
    <w:p>
      <w:pPr>
        <w:pStyle w:val="TextBody"/>
        <w:bidi w:val="0"/>
        <w:jc w:val="both"/>
        <w:rPr/>
      </w:pPr>
      <w:r>
        <w:rPr/>
        <w:t>As of March 31, 2025, PSLF’s portfolio totaled $1,392.9 million, consisted of 119 companies with an average investment size of $11.7 million and had a weighted average yield interest bearing debt investments of 10.4%.</w:t>
      </w:r>
    </w:p>
    <w:p>
      <w:pPr>
        <w:pStyle w:val="TextBody"/>
        <w:bidi w:val="0"/>
        <w:jc w:val="both"/>
        <w:rPr/>
      </w:pPr>
      <w:r>
        <w:rPr/>
        <w:t>As of September 30, 2024, PSLF’s portfolio totaled $1,031.2 million, consisted of 102 companies with an average investment size of $10.1 million and had a weighted average yield interest bearing debt investments of 11.3%.</w:t>
      </w:r>
    </w:p>
    <w:p>
      <w:pPr>
        <w:pStyle w:val="TextBody"/>
        <w:bidi w:val="0"/>
        <w:jc w:val="both"/>
        <w:rPr/>
      </w:pPr>
      <w:r>
        <w:rPr/>
        <w:t>For the three months ended March 31, 2025, PSLF invested $169.9 million (including $154.4 million were purchased from the Company) in eight new and 14 existing portfolio companies at weighted average yield interest bearing debt investments of 10.1%. PSLF’s sales and repayments of investments for the same period totaled $48.3 million. For the six months ended March 31, 2025, PSLF invested $523.7 million (including $441.0 million were purchased from the Company) in 23 new and 57 existing portfolio companies at weighted average yield interest bearing debt investments of 10.4%. PSLF’s sales and repayments of investments for the same period totaled $157.4 million.</w:t>
      </w:r>
    </w:p>
    <w:p>
      <w:pPr>
        <w:pStyle w:val="TextBody"/>
        <w:bidi w:val="0"/>
        <w:jc w:val="both"/>
        <w:rPr/>
      </w:pPr>
      <w:r>
        <w:rPr/>
        <w:t>For the three months ended March 31, 2024, PSLF invested $113.2 million (including $103.1 million were purchased from the Company) in 11 new and five existing portfolio companies at weighted average yield on interest bearing debt investments of 11.8%. PSLF’s sales and repayments of investments for the same period totaled $49.7 million. For the six months ended March 31, 2024, PSLF invested $194.2 million (including $154.0 million were purchased from the Company) in 16 new and 11 existing portfolio companies at weighted average yield on interest bearing debt investments of 12.2%. PSLF’s sales and repayments of investments for the same period totaled $78.9 million.</w:t>
      </w:r>
    </w:p>
    <w:p>
      <w:pPr>
        <w:pStyle w:val="TextBody"/>
        <w:bidi w:val="0"/>
        <w:jc w:val="both"/>
        <w:rPr/>
      </w:pPr>
      <w:r>
        <w:rPr>
          <w:rStyle w:val="StrongEmphasis"/>
        </w:rPr>
        <w:t>RESULTS OF OPERATIONS</w:t>
      </w:r>
    </w:p>
    <w:p>
      <w:pPr>
        <w:pStyle w:val="TextBody"/>
        <w:bidi w:val="0"/>
        <w:jc w:val="both"/>
        <w:rPr/>
      </w:pPr>
      <w:r>
        <w:rPr/>
        <w:t>Set forth below are the results of operations for the three and six months ended March 31, 2025 and 2024.</w:t>
      </w:r>
    </w:p>
    <w:p>
      <w:pPr>
        <w:pStyle w:val="TextBody"/>
        <w:bidi w:val="0"/>
        <w:jc w:val="both"/>
        <w:rPr/>
      </w:pPr>
      <w:r>
        <w:rPr>
          <w:rStyle w:val="StrongEmphasis"/>
        </w:rPr>
        <w:t>Investment Income</w:t>
      </w:r>
    </w:p>
    <w:p>
      <w:pPr>
        <w:pStyle w:val="TextBody"/>
        <w:bidi w:val="0"/>
        <w:jc w:val="both"/>
        <w:rPr/>
      </w:pPr>
      <w:r>
        <w:rPr/>
        <w:t>For the three and six months ended March 31, 2025, investment income was $30.7 million and $64.9 million, respectively, which was attributable to $22.1 million and $47.3 million from first lien secured debt, $1.0 million and $3.0 million from second lien secured debt, $1.1 million and $2.2 million from subordinated debt and $6.5 million and $12.4 million from other investments, respectively. For the three and six months ended March 31, 2024, investment income was $36.0 million and $70.3 million, respectively, which was attributable to $27.8 million and $52.9 million from first lien secured debt, $2.8 million and $5.4 million from second lien secured debt, $0.1 million and $1.4 million from subordinated debt and $5.3 million and $10.6 million from preferred and common equity, respectively. The decrease in investment income for three and six months ended March 31, 2025, was primarily due to a decrease in our total portfolio size and a decrease in our weighted average yield on debt investments.</w:t>
      </w:r>
    </w:p>
    <w:p>
      <w:pPr>
        <w:pStyle w:val="TextBody"/>
        <w:bidi w:val="0"/>
        <w:jc w:val="both"/>
        <w:rPr/>
      </w:pPr>
      <w:r>
        <w:rPr>
          <w:rStyle w:val="StrongEmphasis"/>
        </w:rPr>
        <w:t>Expenses</w:t>
      </w:r>
    </w:p>
    <w:p>
      <w:pPr>
        <w:pStyle w:val="TextBody"/>
        <w:bidi w:val="0"/>
        <w:jc w:val="both"/>
        <w:rPr/>
      </w:pPr>
      <w:r>
        <w:rPr/>
        <w:t>For the three and six months ended March 31, 2025, expenses totaled $19.2 million and $40.4 million, respectively, and were comprised of $10.6 million and $22.4 million of debt related interest and expenses, $4.0 million and $8.3 million of base management fees, $2.4 million and $5.2 million of incentive fees, $1.6 million and $3.3 million of general and administrative expenses and $0.6 million and $1.3 million of provision for excise taxes, respectively. For the three and six months ended March 31, 2024, expenses totaled $21.7 million and $40.4 million, respectively, and were comprised of; $11.9 million and $21.4 million of debt-related interest and expenses, $4.1 million and $8.1 million of base management fees, $3.0 million and $6.3 million of incentive fees, $1.9 million and $3.3 million of general and administrative expenses and $0.8 million and $1.2 million of provision for excise taxes, respectively. The decrease in expenses for the three months ended March 31, 2025, was primarily due to decreases in interest and expenses on debt and incentive fees. Total expenses were flat for the six months ended March 31, 2025.</w:t>
      </w:r>
    </w:p>
    <w:p>
      <w:pPr>
        <w:pStyle w:val="TextBody"/>
        <w:bidi w:val="0"/>
        <w:jc w:val="both"/>
        <w:rPr/>
      </w:pPr>
      <w:r>
        <w:rPr>
          <w:rStyle w:val="StrongEmphasis"/>
        </w:rPr>
        <w:t>Net Investment Income</w:t>
      </w:r>
    </w:p>
    <w:p>
      <w:pPr>
        <w:pStyle w:val="TextBody"/>
        <w:bidi w:val="0"/>
        <w:jc w:val="both"/>
        <w:rPr/>
      </w:pPr>
      <w:r>
        <w:rPr/>
        <w:t>For the three and six months ended March 31, 2025, net investment income totaled $11.4 million and $24.4 million, or $0.18 per share and $0.37 per share, respectively. For the three and six months ended March 31, 2024, net investment income totaled $14.3 million and $29.9 million, or $0.22 per share and $0.46 per share, respectively. The decrease in net investment income was primarily due to a decrease in investment income and partially offset by a decrease in expenses.</w:t>
      </w:r>
    </w:p>
    <w:p>
      <w:pPr>
        <w:pStyle w:val="TextBody"/>
        <w:bidi w:val="0"/>
        <w:jc w:val="both"/>
        <w:rPr/>
      </w:pPr>
      <w:r>
        <w:rPr>
          <w:rStyle w:val="StrongEmphasis"/>
        </w:rPr>
        <w:t>Net Realized Gains or Losses</w:t>
      </w:r>
    </w:p>
    <w:p>
      <w:pPr>
        <w:pStyle w:val="TextBody"/>
        <w:bidi w:val="0"/>
        <w:jc w:val="both"/>
        <w:rPr/>
      </w:pPr>
      <w:r>
        <w:rPr/>
        <w:t>For the three and six months ended March 31, 2025, net realized gains (losses) totaled $(27.7) million and $(30.3) million, respectively. For the three and six months ended March 31, 2024, net realized gains (losses) totaled $(31.0) million and $(29.2) million, respectively. The change in realized gains (losses) was primarily due to changes in the market conditions of our investments and the values at which they were realized.</w:t>
      </w:r>
    </w:p>
    <w:p>
      <w:pPr>
        <w:pStyle w:val="TextBody"/>
        <w:bidi w:val="0"/>
        <w:jc w:val="both"/>
        <w:rPr/>
      </w:pPr>
      <w:r>
        <w:rPr>
          <w:rStyle w:val="StrongEmphasis"/>
        </w:rPr>
        <w:t>Unrealized Appreciation or Depreciation on Investments and Debt</w:t>
      </w:r>
    </w:p>
    <w:p>
      <w:pPr>
        <w:pStyle w:val="TextBody"/>
        <w:bidi w:val="0"/>
        <w:jc w:val="both"/>
        <w:rPr/>
      </w:pPr>
      <w:r>
        <w:rPr/>
        <w:t>For the three and six months ended March 31, 2025, we reported net change in unrealized appreciation (depreciation) on investments of $27.1 million and $29.5 million, respectively. For the three and six months ended March 31, 2024, we reported net change in unrealized appreciation (depreciation) on investments of $33.2 million and $28.3 million, respectively. As of March 31, 2025 and September 30, 2024, our net unrealized appreciation (depreciation) on investments totaled $40.7 million and $11.2 million, respectively. The net change in unrealized depreciation on our investments was primarily due to changes in the capital market conditions of our investments and the values at which they were realized.</w:t>
      </w:r>
    </w:p>
    <w:p>
      <w:pPr>
        <w:pStyle w:val="TextBody"/>
        <w:bidi w:val="0"/>
        <w:jc w:val="both"/>
        <w:rPr/>
      </w:pPr>
      <w:r>
        <w:rPr/>
        <w:t>For the three and six months ended March 31, 2025, the Truist Credit Facility had a net change in unrealized appreciation (depreciation) of $(1.4) million and $1.9 million, respectively. For the three and six months ended March 31, 2024, the Truist Credit Facility had a net change in unrealized appreciation (depreciation) of $0.5 million and $(1.6) million, respectively. As of March 31, 2025 and September 30, 2024, the net unrealized appreciation (depreciation) on the Truist Credit Facility totaled $3.0 million and $1.1 million, respectively. The net change in unrealized depreciation compared to the same periods in the prior period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six months ended March 31, 2025, net increase (decrease) in net assets resulting from operations totaled $9.5 million and $25.5 million or $0.14 per share and $0.39 per share, respectively. For the three and six months ended March 31, 2024, net increase (decrease) in net assets resulting from operations totaled $16.1 million and $26.7 million or $0.25 per share and $0.41 per share, respectively. The change in net assets from operations for the six months ended March 31, 2025 was primarily due to a change in the net realized and unrealized depreciation in the portfolio primarily driven by changes in market conditions and decrease in net investment income.</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w:t>
      </w:r>
    </w:p>
    <w:p>
      <w:pPr>
        <w:pStyle w:val="TextBody"/>
        <w:bidi w:val="0"/>
        <w:jc w:val="both"/>
        <w:rPr/>
      </w:pPr>
      <w:r>
        <w:rPr/>
        <w:t>As of March 31, 2025 and September 30, 2024, we had $314.5 million and $461.5 million, respectively, in outstanding borrowings under the Truist Credit Facility. The Truist Credit Facility had a weighted average interest rate of 6.7% and 7.2%, respectively, exclusive of the fee on undrawn commitment.  As of March 31, 2025 and September 30, 2024, we had $185.5 million and $13.5 million of unused borrowing capacity under the Truist Credit Facility, respectively, subject to leverage and borrowing base restrictions.</w:t>
      </w:r>
    </w:p>
    <w:p>
      <w:pPr>
        <w:pStyle w:val="TextBody"/>
        <w:bidi w:val="0"/>
        <w:jc w:val="both"/>
        <w:rPr/>
      </w:pPr>
      <w:r>
        <w:rPr/>
        <w:t>As of March 31, 2025 and September 30, 2024, we had cash and cash equivalents of $32.6 million and $49.9 million, respectively, available for investing and general corporate purposes. We believe our liquidity and capital resources are sufficient to allows us to effectively operate our business.</w:t>
      </w:r>
    </w:p>
    <w:p>
      <w:pPr>
        <w:pStyle w:val="TextBody"/>
        <w:bidi w:val="0"/>
        <w:jc w:val="both"/>
        <w:rPr/>
      </w:pPr>
      <w:r>
        <w:rPr/>
        <w:t>For the six months ended March 31, 2025, our operating activities provided cash of $161.1 million and our financing activities used cash of $178.3 million. Our operating activities provided cash primarily due to our investment activities and our financing activities used cash primarily for repayments of our credit facility and distributions paid to stockholders.</w:t>
      </w:r>
    </w:p>
    <w:p>
      <w:pPr>
        <w:pStyle w:val="TextBody"/>
        <w:bidi w:val="0"/>
        <w:jc w:val="both"/>
        <w:rPr/>
      </w:pPr>
      <w:r>
        <w:rPr/>
        <w:t>For the six months ended March 31, 2024, our operating activities used cash of $150.9 million and our financing activities provided cash of $147.5 million. Our operating activities used cash primarily due to our investment activities and our financing activities provided cash primarily from borrowings under the Truist Credit Facility.</w:t>
      </w:r>
    </w:p>
    <w:p>
      <w:pPr>
        <w:pStyle w:val="TextBody"/>
        <w:bidi w:val="0"/>
        <w:jc w:val="both"/>
        <w:rPr/>
      </w:pPr>
      <w:r>
        <w:rPr>
          <w:rStyle w:val="StrongEmphasis"/>
        </w:rPr>
        <w:t>DISTRIBUTIONS</w:t>
      </w:r>
    </w:p>
    <w:p>
      <w:pPr>
        <w:pStyle w:val="TextBody"/>
        <w:bidi w:val="0"/>
        <w:jc w:val="both"/>
        <w:rPr/>
      </w:pPr>
      <w:r>
        <w:rPr/>
        <w:t>During the three and six months ended March 31, 2025, we declared distributions of $0.24 and $0.48 per share, for total distributions of $15.7 million and $31.3 million, respectively. During the three and six months ended March 31, 2024, we declared distributions of $0.21 and $0.42 per share, for total distributions of $13.7 million and $27.4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AVAILABLE INFORMATION</w:t>
      </w:r>
    </w:p>
    <w:p>
      <w:pPr>
        <w:pStyle w:val="TextBody"/>
        <w:bidi w:val="0"/>
        <w:jc w:val="both"/>
        <w:rPr/>
      </w:pPr>
      <w:r>
        <w:rPr/>
        <w:t xml:space="preserve">The Company makes available on its website its Quarterly Report on Form 10-Q filed with the SEC and stockholders may find the report on our website at </w:t>
      </w:r>
      <w:r>
        <w:rPr>
          <w:u w:val="single"/>
        </w:rPr>
        <w:t>www.pennantpark.com</w:t>
      </w:r>
      <w:r>
        <w:rPr/>
        <w:t>.</w:t>
      </w:r>
    </w:p>
    <w:tbl>
      <w:tblPr>
        <w:tblW w:w="10205" w:type="dxa"/>
        <w:jc w:val="center"/>
        <w:tblInd w:w="0" w:type="dxa"/>
        <w:tblLayout w:type="fixed"/>
        <w:tblCellMar>
          <w:top w:w="28" w:type="dxa"/>
          <w:left w:w="28" w:type="dxa"/>
          <w:bottom w:w="28" w:type="dxa"/>
          <w:right w:w="28" w:type="dxa"/>
        </w:tblCellMar>
      </w:tblPr>
      <w:tblGrid>
        <w:gridCol w:w="6337"/>
        <w:gridCol w:w="268"/>
        <w:gridCol w:w="1266"/>
        <w:gridCol w:w="181"/>
        <w:gridCol w:w="146"/>
        <w:gridCol w:w="311"/>
        <w:gridCol w:w="1468"/>
        <w:gridCol w:w="228"/>
      </w:tblGrid>
      <w:tr>
        <w:trPr/>
        <w:tc>
          <w:tcPr>
            <w:tcW w:w="10205" w:type="dxa"/>
            <w:gridSpan w:val="8"/>
            <w:tcBorders/>
            <w:vAlign w:val="center"/>
          </w:tcPr>
          <w:p>
            <w:pPr>
              <w:pStyle w:val="TableContents"/>
              <w:bidi w:val="0"/>
              <w:spacing w:before="0" w:after="283"/>
              <w:jc w:val="center"/>
              <w:rPr/>
            </w:pPr>
            <w:r>
              <w:rPr>
                <w:rStyle w:val="StrongEmphasis"/>
              </w:rPr>
              <w:t>PENNANTPARK INVESTMENT CORPORATION AND SUBSIDIARIES</w:t>
            </w:r>
          </w:p>
        </w:tc>
      </w:tr>
      <w:tr>
        <w:trPr/>
        <w:tc>
          <w:tcPr>
            <w:tcW w:w="10205" w:type="dxa"/>
            <w:gridSpan w:val="8"/>
            <w:tcBorders/>
            <w:vAlign w:val="center"/>
          </w:tcPr>
          <w:p>
            <w:pPr>
              <w:pStyle w:val="TableContents"/>
              <w:bidi w:val="0"/>
              <w:spacing w:before="0" w:after="283"/>
              <w:jc w:val="center"/>
              <w:rPr/>
            </w:pPr>
            <w:r>
              <w:rPr>
                <w:rStyle w:val="StrongEmphasis"/>
              </w:rPr>
              <w:t>CONSOLIDATED STATEMENTS OF ASSETS AND LIABILITIES</w:t>
            </w:r>
          </w:p>
        </w:tc>
      </w:tr>
      <w:tr>
        <w:trPr/>
        <w:tc>
          <w:tcPr>
            <w:tcW w:w="10205" w:type="dxa"/>
            <w:gridSpan w:val="8"/>
            <w:tcBorders/>
            <w:vAlign w:val="center"/>
          </w:tcPr>
          <w:p>
            <w:pPr>
              <w:pStyle w:val="TableContents"/>
              <w:bidi w:val="0"/>
              <w:spacing w:before="0" w:after="283"/>
              <w:jc w:val="center"/>
              <w:rPr/>
            </w:pPr>
            <w:r>
              <w:rPr/>
              <w:t>(In thousands, except share data)</w:t>
            </w:r>
          </w:p>
        </w:tc>
      </w:tr>
      <w:tr>
        <w:trPr/>
        <w:tc>
          <w:tcPr>
            <w:tcW w:w="10205" w:type="dxa"/>
            <w:gridSpan w:val="8"/>
            <w:tcBorders/>
            <w:vAlign w:val="center"/>
          </w:tcPr>
          <w:p>
            <w:pPr>
              <w:pStyle w:val="TableContents"/>
              <w:bidi w:val="0"/>
              <w:spacing w:before="0" w:after="283"/>
              <w:jc w:val="center"/>
              <w:rPr/>
            </w:pPr>
            <w:r>
              <w:rPr/>
              <w:t> </w:t>
            </w:r>
          </w:p>
        </w:tc>
      </w:tr>
      <w:tr>
        <w:trPr/>
        <w:tc>
          <w:tcPr>
            <w:tcW w:w="6337" w:type="dxa"/>
            <w:tcBorders/>
            <w:vAlign w:val="center"/>
          </w:tcPr>
          <w:p>
            <w:pPr>
              <w:pStyle w:val="TableContents"/>
              <w:bidi w:val="0"/>
              <w:spacing w:before="0" w:after="283"/>
              <w:jc w:val="center"/>
              <w:rPr/>
            </w:pPr>
            <w:r>
              <w:rPr/>
              <w:t> </w:t>
            </w:r>
          </w:p>
        </w:tc>
        <w:tc>
          <w:tcPr>
            <w:tcW w:w="1534" w:type="dxa"/>
            <w:gridSpan w:val="2"/>
            <w:tcBorders/>
            <w:vAlign w:val="center"/>
          </w:tcPr>
          <w:p>
            <w:pPr>
              <w:pStyle w:val="TableContents"/>
              <w:bidi w:val="0"/>
              <w:spacing w:before="0" w:after="283"/>
              <w:jc w:val="center"/>
              <w:rPr/>
            </w:pPr>
            <w:r>
              <w:rPr>
                <w:rStyle w:val="StrongEmphasis"/>
              </w:rPr>
              <w:t>March 31, 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79" w:type="dxa"/>
            <w:gridSpan w:val="2"/>
            <w:tcBorders/>
            <w:vAlign w:val="center"/>
          </w:tcPr>
          <w:p>
            <w:pPr>
              <w:pStyle w:val="TableContents"/>
              <w:bidi w:val="0"/>
              <w:spacing w:before="0" w:after="283"/>
              <w:jc w:val="center"/>
              <w:rPr/>
            </w:pPr>
            <w:r>
              <w:rPr>
                <w:rStyle w:val="StrongEmphasis"/>
              </w:rPr>
              <w:t>September 30, 2024</w:t>
            </w:r>
          </w:p>
        </w:tc>
        <w:tc>
          <w:tcPr>
            <w:tcW w:w="228" w:type="dxa"/>
            <w:tcBorders/>
            <w:vAlign w:val="center"/>
          </w:tcPr>
          <w:p>
            <w:pPr>
              <w:pStyle w:val="TableContents"/>
              <w:bidi w:val="0"/>
              <w:spacing w:before="0" w:after="283"/>
              <w:jc w:val="center"/>
              <w:rPr/>
            </w:pPr>
            <w:r>
              <w:rPr/>
              <w:t> </w:t>
            </w:r>
          </w:p>
        </w:tc>
      </w:tr>
      <w:tr>
        <w:trPr/>
        <w:tc>
          <w:tcPr>
            <w:tcW w:w="6337" w:type="dxa"/>
            <w:tcBorders/>
            <w:vAlign w:val="center"/>
          </w:tcPr>
          <w:p>
            <w:pPr>
              <w:pStyle w:val="TableContents"/>
              <w:bidi w:val="0"/>
              <w:spacing w:before="0" w:after="283"/>
              <w:jc w:val="center"/>
              <w:rPr/>
            </w:pPr>
            <w:r>
              <w:rPr/>
              <w:t> </w:t>
            </w:r>
          </w:p>
        </w:tc>
        <w:tc>
          <w:tcPr>
            <w:tcW w:w="153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7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8" w:type="dxa"/>
            <w:tcBorders/>
            <w:vAlign w:val="center"/>
          </w:tcPr>
          <w:p>
            <w:pPr>
              <w:pStyle w:val="TableContents"/>
              <w:bidi w:val="0"/>
              <w:spacing w:before="0" w:after="283"/>
              <w:jc w:val="center"/>
              <w:rPr/>
            </w:pPr>
            <w:r>
              <w:rPr/>
              <w:t> </w:t>
            </w:r>
          </w:p>
        </w:tc>
      </w:tr>
      <w:tr>
        <w:trPr/>
        <w:tc>
          <w:tcPr>
            <w:tcW w:w="6337" w:type="dxa"/>
            <w:tcBorders/>
            <w:vAlign w:val="center"/>
          </w:tcPr>
          <w:p>
            <w:pPr>
              <w:pStyle w:val="TableContents"/>
              <w:bidi w:val="0"/>
              <w:spacing w:before="0" w:after="283"/>
              <w:jc w:val="left"/>
              <w:rPr/>
            </w:pPr>
            <w:r>
              <w:rPr>
                <w:rStyle w:val="StrongEmphasis"/>
              </w:rPr>
              <w:t>Assets</w:t>
            </w:r>
          </w:p>
        </w:tc>
        <w:tc>
          <w:tcPr>
            <w:tcW w:w="153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7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37" w:type="dxa"/>
            <w:tcBorders/>
            <w:vAlign w:val="center"/>
          </w:tcPr>
          <w:p>
            <w:pPr>
              <w:pStyle w:val="TableContents"/>
              <w:bidi w:val="0"/>
              <w:spacing w:before="0" w:after="283"/>
              <w:jc w:val="left"/>
              <w:rPr/>
            </w:pPr>
            <w:r>
              <w:rPr/>
              <w:t>Investments at fair value</w:t>
            </w:r>
          </w:p>
        </w:tc>
        <w:tc>
          <w:tcPr>
            <w:tcW w:w="153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79"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cost—$716,505 and $916,168, respectively)</w:t>
            </w:r>
          </w:p>
        </w:tc>
        <w:tc>
          <w:tcPr>
            <w:tcW w:w="268"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723,808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1468" w:type="dxa"/>
            <w:tcBorders/>
            <w:vAlign w:val="center"/>
          </w:tcPr>
          <w:p>
            <w:pPr>
              <w:pStyle w:val="TableContents"/>
              <w:bidi w:val="0"/>
              <w:spacing w:before="0" w:after="283"/>
              <w:jc w:val="right"/>
              <w:rPr/>
            </w:pPr>
            <w:r>
              <w:rPr/>
              <w:t>910,323</w:t>
            </w:r>
          </w:p>
        </w:tc>
        <w:tc>
          <w:tcPr>
            <w:tcW w:w="228" w:type="dxa"/>
            <w:tcBorders/>
            <w:vAlign w:val="center"/>
          </w:tcPr>
          <w:p>
            <w:pPr>
              <w:pStyle w:val="TableContents"/>
              <w:bidi w:val="0"/>
              <w:spacing w:before="0" w:after="283"/>
              <w:jc w:val="lef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t>Non-controlled, affiliated investments (amortized cost—$58,068 and $56,734, respectively)</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11,050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33,423</w:t>
            </w:r>
          </w:p>
        </w:tc>
        <w:tc>
          <w:tcPr>
            <w:tcW w:w="228" w:type="dxa"/>
            <w:tcBorders/>
            <w:vAlign w:val="center"/>
          </w:tcPr>
          <w:p>
            <w:pPr>
              <w:pStyle w:val="TableContents"/>
              <w:bidi w:val="0"/>
              <w:spacing w:before="0" w:after="283"/>
              <w:jc w:val="lef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cost—$398,359 and $343,970, respectively)</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478,752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384,304</w:t>
            </w:r>
          </w:p>
        </w:tc>
        <w:tc>
          <w:tcPr>
            <w:tcW w:w="228" w:type="dxa"/>
            <w:tcBorders/>
            <w:vAlign w:val="center"/>
          </w:tcPr>
          <w:p>
            <w:pPr>
              <w:pStyle w:val="TableContents"/>
              <w:bidi w:val="0"/>
              <w:spacing w:before="0" w:after="283"/>
              <w:jc w:val="lef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t>Total investments (amortized cost—$1,172,932 and $1,316,872, respectively)</w:t>
            </w:r>
          </w:p>
        </w:tc>
        <w:tc>
          <w:tcPr>
            <w:tcW w:w="26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1,213,610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1,328,050</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Cash and cash equivalents (cost—$32,568 and $49,833, respectively)</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32,587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49,861</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Interest receivable</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5,322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5,261</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Distribution receivable</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6,040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5,417</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Due from affiliates</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228</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Prepaid expenses and other assets</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269</w:t>
            </w:r>
          </w:p>
        </w:tc>
        <w:tc>
          <w:tcPr>
            <w:tcW w:w="228" w:type="dxa"/>
            <w:tcBorders/>
            <w:vAlign w:val="center"/>
          </w:tcPr>
          <w:p>
            <w:pPr>
              <w:pStyle w:val="TableContents"/>
              <w:bidi w:val="0"/>
              <w:spacing w:before="0" w:after="283"/>
              <w:jc w:val="lef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2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2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1,257,779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1,389,086</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rStyle w:val="StrongEmphasis"/>
              </w:rPr>
              <w:t>Liabilities</w:t>
            </w:r>
          </w:p>
        </w:tc>
        <w:tc>
          <w:tcPr>
            <w:tcW w:w="153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7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37" w:type="dxa"/>
            <w:tcBorders/>
            <w:vAlign w:val="center"/>
          </w:tcPr>
          <w:p>
            <w:pPr>
              <w:pStyle w:val="TableContents"/>
              <w:bidi w:val="0"/>
              <w:spacing w:before="0" w:after="283"/>
              <w:jc w:val="left"/>
              <w:rPr/>
            </w:pPr>
            <w:r>
              <w:rPr/>
              <w:t>Truist Credit Facility payable, at fair value (cost—$314,456 and $461,456, respectively)</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311,412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460,361</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2026 Notes payable, net (par— $150,000)</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149,022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148,571</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2026 Notes-2 payable, net (par— $165,000)</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163,506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163,080</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Payable for investment purchased</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124,609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100,096</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Interest payable on debt</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6,349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6,406</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Distributions payable</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5,224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5,224</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Base management fee payable</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4,017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4,297</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Accounts payable and accrued expenses</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3,108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4,053</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Incentive fee payable</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2,425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3,057</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Due to affiliate</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w:t>
            </w:r>
          </w:p>
        </w:tc>
        <w:tc>
          <w:tcPr>
            <w:tcW w:w="228" w:type="dxa"/>
            <w:tcBorders/>
            <w:vAlign w:val="center"/>
          </w:tcPr>
          <w:p>
            <w:pPr>
              <w:pStyle w:val="TableContents"/>
              <w:bidi w:val="0"/>
              <w:spacing w:before="0" w:after="283"/>
              <w:jc w:val="lef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2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2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769,673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895,178</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Commitments and contingencies</w:t>
            </w:r>
          </w:p>
        </w:tc>
        <w:tc>
          <w:tcPr>
            <w:tcW w:w="153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7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37" w:type="dxa"/>
            <w:tcBorders/>
            <w:vAlign w:val="center"/>
          </w:tcPr>
          <w:p>
            <w:pPr>
              <w:pStyle w:val="TableContents"/>
              <w:bidi w:val="0"/>
              <w:spacing w:before="0" w:after="283"/>
              <w:jc w:val="left"/>
              <w:rPr/>
            </w:pPr>
            <w:r>
              <w:rPr>
                <w:rStyle w:val="StrongEmphasis"/>
              </w:rPr>
              <w:t>Net assets</w:t>
            </w:r>
          </w:p>
        </w:tc>
        <w:tc>
          <w:tcPr>
            <w:tcW w:w="1534"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79"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337" w:type="dxa"/>
            <w:tcBorders/>
            <w:vAlign w:val="center"/>
          </w:tcPr>
          <w:p>
            <w:pPr>
              <w:pStyle w:val="TableContents"/>
              <w:bidi w:val="0"/>
              <w:spacing w:before="0" w:after="283"/>
              <w:jc w:val="left"/>
              <w:rPr/>
            </w:pPr>
            <w:r>
              <w:rPr/>
              <w:t>Common stock, 65,296,094 and 65,296,094 shares issued and outstanding, respectively</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t>Par value $0.001 per share and 200,000,000 shares authorized</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65</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Paid-in capital in excess of par value</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743,968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743,968</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Accumulated deficit</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(255,927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(250,125</w:t>
            </w:r>
          </w:p>
        </w:tc>
        <w:tc>
          <w:tcPr>
            <w:tcW w:w="228" w:type="dxa"/>
            <w:tcBorders/>
            <w:vAlign w:val="center"/>
          </w:tcPr>
          <w:p>
            <w:pPr>
              <w:pStyle w:val="TableContents"/>
              <w:bidi w:val="0"/>
              <w:spacing w:before="0" w:after="283"/>
              <w:jc w:val="left"/>
              <w:rPr/>
            </w:pPr>
            <w:r>
              <w:rPr/>
              <w:t>)</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2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2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488,106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493,908</w:t>
            </w:r>
          </w:p>
        </w:tc>
        <w:tc>
          <w:tcPr>
            <w:tcW w:w="228" w:type="dxa"/>
            <w:tcBorders/>
            <w:vAlign w:val="center"/>
          </w:tcPr>
          <w:p>
            <w:pPr>
              <w:pStyle w:val="TableContents"/>
              <w:bidi w:val="0"/>
              <w:spacing w:before="0" w:after="283"/>
              <w:jc w:val="left"/>
              <w:rPr/>
            </w:pPr>
            <w:r>
              <w:rPr/>
              <w:t> </w:t>
            </w:r>
          </w:p>
        </w:tc>
      </w:tr>
      <w:tr>
        <w:trPr/>
        <w:tc>
          <w:tcPr>
            <w:tcW w:w="633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2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2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1,257,779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1,389,086</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rStyle w:val="StrongEmphasis"/>
              </w:rPr>
              <w:t>Net asset value per share</w:t>
            </w:r>
          </w:p>
        </w:tc>
        <w:tc>
          <w:tcPr>
            <w:tcW w:w="26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2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7.48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8"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7.56</w:t>
            </w:r>
          </w:p>
        </w:tc>
        <w:tc>
          <w:tcPr>
            <w:tcW w:w="228" w:type="dxa"/>
            <w:tcBorders/>
            <w:vAlign w:val="center"/>
          </w:tcPr>
          <w:p>
            <w:pPr>
              <w:pStyle w:val="TableContents"/>
              <w:bidi w:val="0"/>
              <w:spacing w:before="0" w:after="283"/>
              <w:jc w:val="left"/>
              <w:rPr/>
            </w:pPr>
            <w:r>
              <w:rPr/>
              <w:t> </w:t>
            </w:r>
          </w:p>
        </w:tc>
      </w:tr>
      <w:tr>
        <w:trPr/>
        <w:tc>
          <w:tcPr>
            <w:tcW w:w="6337"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141"/>
        <w:gridCol w:w="257"/>
        <w:gridCol w:w="960"/>
        <w:gridCol w:w="206"/>
        <w:gridCol w:w="166"/>
        <w:gridCol w:w="257"/>
        <w:gridCol w:w="960"/>
        <w:gridCol w:w="181"/>
        <w:gridCol w:w="146"/>
        <w:gridCol w:w="247"/>
        <w:gridCol w:w="922"/>
        <w:gridCol w:w="198"/>
        <w:gridCol w:w="160"/>
        <w:gridCol w:w="247"/>
        <w:gridCol w:w="922"/>
        <w:gridCol w:w="235"/>
      </w:tblGrid>
      <w:tr>
        <w:trPr/>
        <w:tc>
          <w:tcPr>
            <w:tcW w:w="10205" w:type="dxa"/>
            <w:gridSpan w:val="16"/>
            <w:tcBorders/>
            <w:vAlign w:val="center"/>
          </w:tcPr>
          <w:p>
            <w:pPr>
              <w:pStyle w:val="TableContents"/>
              <w:bidi w:val="0"/>
              <w:spacing w:before="0" w:after="283"/>
              <w:jc w:val="center"/>
              <w:rPr/>
            </w:pPr>
            <w:r>
              <w:rPr>
                <w:rStyle w:val="StrongEmphasis"/>
              </w:rPr>
              <w:t>PENNANTPARK INVESTMENT CORPORATION AND SUBSIDIARIES</w:t>
            </w:r>
          </w:p>
        </w:tc>
      </w:tr>
      <w:tr>
        <w:trPr/>
        <w:tc>
          <w:tcPr>
            <w:tcW w:w="10205" w:type="dxa"/>
            <w:gridSpan w:val="16"/>
            <w:tcBorders/>
            <w:vAlign w:val="center"/>
          </w:tcPr>
          <w:p>
            <w:pPr>
              <w:pStyle w:val="TableContents"/>
              <w:bidi w:val="0"/>
              <w:spacing w:before="0" w:after="283"/>
              <w:jc w:val="center"/>
              <w:rPr/>
            </w:pPr>
            <w:r>
              <w:rPr>
                <w:rStyle w:val="StrongEmphasis"/>
              </w:rPr>
              <w:t>CONSOLIDATED STATEMENTS OF OPERATIONS</w:t>
            </w:r>
          </w:p>
        </w:tc>
      </w:tr>
      <w:tr>
        <w:trPr/>
        <w:tc>
          <w:tcPr>
            <w:tcW w:w="10205" w:type="dxa"/>
            <w:gridSpan w:val="16"/>
            <w:tcBorders/>
            <w:vAlign w:val="center"/>
          </w:tcPr>
          <w:p>
            <w:pPr>
              <w:pStyle w:val="TableContents"/>
              <w:bidi w:val="0"/>
              <w:spacing w:before="0" w:after="283"/>
              <w:jc w:val="center"/>
              <w:rPr/>
            </w:pPr>
            <w:r>
              <w:rPr/>
              <w:t>(In thousands, except share data)</w:t>
            </w:r>
          </w:p>
        </w:tc>
      </w:tr>
      <w:tr>
        <w:trPr/>
        <w:tc>
          <w:tcPr>
            <w:tcW w:w="10205" w:type="dxa"/>
            <w:gridSpan w:val="16"/>
            <w:tcBorders/>
            <w:vAlign w:val="center"/>
          </w:tcPr>
          <w:p>
            <w:pPr>
              <w:pStyle w:val="TableContents"/>
              <w:bidi w:val="0"/>
              <w:spacing w:before="0" w:after="283"/>
              <w:jc w:val="center"/>
              <w:rPr/>
            </w:pPr>
            <w:r>
              <w:rPr/>
              <w:t>(Unaudited)</w:t>
            </w:r>
          </w:p>
        </w:tc>
      </w:tr>
      <w:tr>
        <w:trPr/>
        <w:tc>
          <w:tcPr>
            <w:tcW w:w="10205" w:type="dxa"/>
            <w:gridSpan w:val="16"/>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 </w:t>
            </w:r>
          </w:p>
        </w:tc>
        <w:tc>
          <w:tcPr>
            <w:tcW w:w="280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March 31,</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69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March 31,</w:t>
            </w:r>
          </w:p>
        </w:tc>
        <w:tc>
          <w:tcPr>
            <w:tcW w:w="235" w:type="dxa"/>
            <w:tcBorders/>
            <w:vAlign w:val="center"/>
          </w:tcPr>
          <w:p>
            <w:pPr>
              <w:pStyle w:val="TableContents"/>
              <w:bidi w:val="0"/>
              <w:spacing w:before="0" w:after="283"/>
              <w:jc w:val="center"/>
              <w:rPr/>
            </w:pPr>
            <w:r>
              <w:rPr/>
              <w:t> </w:t>
            </w:r>
          </w:p>
        </w:tc>
      </w:tr>
      <w:tr>
        <w:trPr/>
        <w:tc>
          <w:tcPr>
            <w:tcW w:w="4141" w:type="dxa"/>
            <w:tcBorders/>
            <w:vAlign w:val="center"/>
          </w:tcPr>
          <w:p>
            <w:pPr>
              <w:pStyle w:val="TableContents"/>
              <w:bidi w:val="0"/>
              <w:spacing w:before="0" w:after="283"/>
              <w:jc w:val="left"/>
              <w:rPr/>
            </w:pPr>
            <w:r>
              <w:rPr/>
              <w:t> </w:t>
            </w:r>
          </w:p>
        </w:tc>
        <w:tc>
          <w:tcPr>
            <w:tcW w:w="121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06" w:type="dxa"/>
            <w:tcBorders/>
            <w:vAlign w:val="center"/>
          </w:tcPr>
          <w:p>
            <w:pPr>
              <w:pStyle w:val="TableContents"/>
              <w:bidi w:val="0"/>
              <w:spacing w:before="0" w:after="283"/>
              <w:jc w:val="center"/>
              <w:rPr/>
            </w:pPr>
            <w:r>
              <w:rPr/>
              <w:t> </w:t>
            </w:r>
          </w:p>
        </w:tc>
        <w:tc>
          <w:tcPr>
            <w:tcW w:w="16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1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8" w:type="dxa"/>
            <w:tcBorders/>
            <w:vAlign w:val="center"/>
          </w:tcPr>
          <w:p>
            <w:pPr>
              <w:pStyle w:val="TableContents"/>
              <w:bidi w:val="0"/>
              <w:spacing w:before="0" w:after="283"/>
              <w:jc w:val="center"/>
              <w:rPr/>
            </w:pPr>
            <w:r>
              <w:rPr/>
              <w:t> </w:t>
            </w:r>
          </w:p>
        </w:tc>
        <w:tc>
          <w:tcPr>
            <w:tcW w:w="16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9"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235" w:type="dxa"/>
            <w:tcBorders/>
            <w:vAlign w:val="center"/>
          </w:tcPr>
          <w:p>
            <w:pPr>
              <w:pStyle w:val="TableContents"/>
              <w:bidi w:val="0"/>
              <w:spacing w:before="0" w:after="283"/>
              <w:jc w:val="center"/>
              <w:rPr/>
            </w:pPr>
            <w:r>
              <w:rPr/>
              <w:t> </w:t>
            </w:r>
          </w:p>
        </w:tc>
      </w:tr>
      <w:tr>
        <w:trPr/>
        <w:tc>
          <w:tcPr>
            <w:tcW w:w="4141" w:type="dxa"/>
            <w:tcBorders/>
            <w:vAlign w:val="center"/>
          </w:tcPr>
          <w:p>
            <w:pPr>
              <w:pStyle w:val="TableContents"/>
              <w:bidi w:val="0"/>
              <w:spacing w:before="0" w:after="283"/>
              <w:jc w:val="left"/>
              <w:rPr/>
            </w:pPr>
            <w:r>
              <w:rPr>
                <w:rStyle w:val="StrongEmphasis"/>
              </w:rPr>
              <w:t>Investment income:</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vAlign w:val="center"/>
          </w:tcPr>
          <w:p>
            <w:pPr>
              <w:pStyle w:val="TableContents"/>
              <w:bidi w:val="0"/>
              <w:spacing w:before="0" w:after="283"/>
              <w:jc w:val="left"/>
              <w:rPr/>
            </w:pPr>
            <w:r>
              <w:rPr/>
              <w:t>From non-controlled, non-affiliated investments:</w:t>
            </w:r>
          </w:p>
        </w:tc>
        <w:tc>
          <w:tcPr>
            <w:tcW w:w="1217" w:type="dxa"/>
            <w:gridSpan w:val="2"/>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57"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14,987</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22,904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33,753</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43,972</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1,564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2,985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189</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499</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1,006</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1,315</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120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778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702</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2,203</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From non-controlled, affiliated investments:</w:t>
            </w:r>
          </w:p>
        </w:tc>
        <w:tc>
          <w:tcPr>
            <w:tcW w:w="1217" w:type="dxa"/>
            <w:gridSpan w:val="2"/>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347</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From controlled, affiliated investments:</w:t>
            </w:r>
          </w:p>
        </w:tc>
        <w:tc>
          <w:tcPr>
            <w:tcW w:w="1217" w:type="dxa"/>
            <w:gridSpan w:val="2"/>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7,887</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5,941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15,142</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11,422</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823</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1,489</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5,579</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4,689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10,430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9,378</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30,663</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35,979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64,868</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70,315</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Expenses:</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10,318</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11,868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22,058</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21,424</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4,017</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4,137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8,285</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8,141</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Incentive fee</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2,425</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3,018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5,180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6,339</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1,150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1,379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2,400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2,593</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950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739</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amendment costs, debt issuance costs and provision for taxes</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18,360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20,952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38,873</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39,236</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2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550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1,250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1,168</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Credit facility amendment and debt issuance costs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expenses</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19,234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21,727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40,447</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40,404</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11,429</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14,252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24,421</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29,911</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Realized and unrealized gain (loss) on investments and debt:</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vAlign w:val="center"/>
          </w:tcPr>
          <w:p>
            <w:pPr>
              <w:pStyle w:val="TableContents"/>
              <w:bidi w:val="0"/>
              <w:spacing w:before="0" w:after="283"/>
              <w:jc w:val="left"/>
              <w:rPr/>
            </w:pPr>
            <w:r>
              <w:rPr/>
              <w:t>Net realized gain (loss) on investments and debt:</w:t>
            </w:r>
          </w:p>
        </w:tc>
        <w:tc>
          <w:tcPr>
            <w:tcW w:w="1217" w:type="dxa"/>
            <w:gridSpan w:val="2"/>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(27,714</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(1,434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(30,274</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1,146</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(29,419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(30,169</w:t>
            </w:r>
          </w:p>
        </w:tc>
        <w:tc>
          <w:tcPr>
            <w:tcW w:w="235" w:type="dxa"/>
            <w:tcBorders/>
            <w:vAlign w:val="center"/>
          </w:tcPr>
          <w:p>
            <w:pPr>
              <w:pStyle w:val="TableContents"/>
              <w:bidi w:val="0"/>
              <w:spacing w:before="0" w:after="283"/>
              <w:jc w:val="left"/>
              <w:rPr/>
            </w:pPr>
            <w:r>
              <w:rPr/>
              <w:t>)</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w:t>
            </w:r>
          </w:p>
        </w:tc>
        <w:tc>
          <w:tcPr>
            <w:tcW w:w="235" w:type="dxa"/>
            <w:tcBorders/>
            <w:vAlign w:val="center"/>
          </w:tcPr>
          <w:p>
            <w:pPr>
              <w:pStyle w:val="TableContents"/>
              <w:bidi w:val="0"/>
              <w:spacing w:before="0" w:after="283"/>
              <w:jc w:val="left"/>
              <w:rPr/>
            </w:pPr>
            <w:r>
              <w:rPr/>
              <w:t>)</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(27,763</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(31,030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(30,323</w:t>
            </w:r>
          </w:p>
        </w:tc>
        <w:tc>
          <w:tcPr>
            <w:tcW w:w="198"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(29,200</w:t>
            </w:r>
          </w:p>
        </w:tc>
        <w:tc>
          <w:tcPr>
            <w:tcW w:w="235" w:type="dxa"/>
            <w:tcBorders/>
            <w:vAlign w:val="center"/>
          </w:tcPr>
          <w:p>
            <w:pPr>
              <w:pStyle w:val="TableContents"/>
              <w:bidi w:val="0"/>
              <w:spacing w:before="0" w:after="283"/>
              <w:jc w:val="left"/>
              <w:rPr/>
            </w:pPr>
            <w:r>
              <w:rPr/>
              <w:t>)</w:t>
            </w:r>
          </w:p>
        </w:tc>
      </w:tr>
      <w:tr>
        <w:trPr/>
        <w:tc>
          <w:tcPr>
            <w:tcW w:w="4141" w:type="dxa"/>
            <w:tcBorders/>
            <w:vAlign w:val="center"/>
          </w:tcPr>
          <w:p>
            <w:pPr>
              <w:pStyle w:val="TableContents"/>
              <w:bidi w:val="0"/>
              <w:spacing w:before="0" w:after="283"/>
              <w:jc w:val="left"/>
              <w:rPr/>
            </w:pPr>
            <w:r>
              <w:rPr/>
              <w:t>Net change in unrealized appreciation (depreciation) on:</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21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8"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116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17,918</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(1,528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13,141</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(13,798</w:t>
            </w:r>
          </w:p>
        </w:tc>
        <w:tc>
          <w:tcPr>
            <w:tcW w:w="235" w:type="dxa"/>
            <w:tcBorders/>
            <w:vAlign w:val="center"/>
          </w:tcPr>
          <w:p>
            <w:pPr>
              <w:pStyle w:val="TableContents"/>
              <w:bidi w:val="0"/>
              <w:spacing w:before="0" w:after="283"/>
              <w:jc w:val="left"/>
              <w:rPr/>
            </w:pPr>
            <w:r>
              <w:rPr/>
              <w:t>)</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9,214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34,751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16,352</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42,075</w:t>
            </w:r>
          </w:p>
        </w:tc>
        <w:tc>
          <w:tcPr>
            <w:tcW w:w="235" w:type="dxa"/>
            <w:tcBorders/>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37</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(680</w:t>
            </w:r>
          </w:p>
        </w:tc>
        <w:tc>
          <w:tcPr>
            <w:tcW w:w="235" w:type="dxa"/>
            <w:tcBorders/>
            <w:vAlign w:val="center"/>
          </w:tcPr>
          <w:p>
            <w:pPr>
              <w:pStyle w:val="TableContents"/>
              <w:bidi w:val="0"/>
              <w:spacing w:before="0" w:after="283"/>
              <w:jc w:val="left"/>
              <w:rPr/>
            </w:pPr>
            <w:r>
              <w:rPr/>
              <w:t>)</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(1,379</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1,949</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(1,570</w:t>
            </w:r>
          </w:p>
        </w:tc>
        <w:tc>
          <w:tcPr>
            <w:tcW w:w="235" w:type="dxa"/>
            <w:tcBorders/>
            <w:vAlign w:val="center"/>
          </w:tcPr>
          <w:p>
            <w:pPr>
              <w:pStyle w:val="TableContents"/>
              <w:bidi w:val="0"/>
              <w:spacing w:before="0" w:after="283"/>
              <w:jc w:val="left"/>
              <w:rPr/>
            </w:pPr>
            <w:r>
              <w:rPr/>
              <w:t>)</w:t>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25,790</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32,863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31,442</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26,027</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Net realized and unrealized gain (loss) from investments and debt</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(1,973</w:t>
            </w:r>
          </w:p>
        </w:tc>
        <w:tc>
          <w:tcPr>
            <w:tcW w:w="20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1,119</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(3,173</w:t>
            </w:r>
          </w:p>
        </w:tc>
        <w:tc>
          <w:tcPr>
            <w:tcW w:w="235" w:type="dxa"/>
            <w:tcBorders/>
            <w:vAlign w:val="center"/>
          </w:tcPr>
          <w:p>
            <w:pPr>
              <w:pStyle w:val="TableContents"/>
              <w:bidi w:val="0"/>
              <w:spacing w:before="0" w:after="283"/>
              <w:jc w:val="left"/>
              <w:rPr/>
            </w:pPr>
            <w:r>
              <w:rPr/>
              <w:t>)</w:t>
            </w:r>
          </w:p>
        </w:tc>
      </w:tr>
      <w:tr>
        <w:trPr/>
        <w:tc>
          <w:tcPr>
            <w:tcW w:w="4141" w:type="dxa"/>
            <w:tcBorders/>
            <w:vAlign w:val="center"/>
          </w:tcPr>
          <w:p>
            <w:pPr>
              <w:pStyle w:val="TableContents"/>
              <w:bidi w:val="0"/>
              <w:spacing w:before="0" w:after="283"/>
              <w:jc w:val="left"/>
              <w:rPr/>
            </w:pPr>
            <w:r>
              <w:rPr>
                <w:rStyle w:val="StrongEmphasis"/>
              </w:rPr>
              <w:t>Net increase (decrease) in net assets resulting from operations</w:t>
            </w:r>
          </w:p>
        </w:tc>
        <w:tc>
          <w:tcPr>
            <w:tcW w:w="2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9,456</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16,085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25,540</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26,738</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0.14</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0.39</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0.41</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Net investment income per common share</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0.18</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6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0.37</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2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0.46</w:t>
            </w:r>
          </w:p>
        </w:tc>
        <w:tc>
          <w:tcPr>
            <w:tcW w:w="235"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INVESTMENT CORPORATION</w:t>
      </w:r>
    </w:p>
    <w:p>
      <w:pPr>
        <w:pStyle w:val="TextBody"/>
        <w:bidi w:val="0"/>
        <w:jc w:val="both"/>
        <w:rPr/>
      </w:pPr>
      <w:r>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rStyle w:val="StrongEmphasis"/>
        </w:rPr>
        <w:t xml:space="preserve">ABOUT PENNANTPARK INVESTMENT ADVISERS, LLC </w:t>
      </w:r>
    </w:p>
    <w:p>
      <w:pPr>
        <w:pStyle w:val="TextBody"/>
        <w:bidi w:val="0"/>
        <w:jc w:val="both"/>
        <w:rPr/>
      </w:pPr>
      <w:r>
        <w:rP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rStyle w:val="StrongEmphasis"/>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4562" w:type="dxa"/>
        <w:jc w:val="center"/>
        <w:tblInd w:w="0" w:type="dxa"/>
        <w:tblLayout w:type="fixed"/>
        <w:tblCellMar>
          <w:top w:w="28" w:type="dxa"/>
          <w:left w:w="28" w:type="dxa"/>
          <w:bottom w:w="28" w:type="dxa"/>
          <w:right w:w="28" w:type="dxa"/>
        </w:tblCellMar>
      </w:tblPr>
      <w:tblGrid>
        <w:gridCol w:w="916"/>
        <w:gridCol w:w="3646"/>
      </w:tblGrid>
      <w:tr>
        <w:trPr/>
        <w:tc>
          <w:tcPr>
            <w:tcW w:w="916" w:type="dxa"/>
            <w:tcBorders/>
            <w:vAlign w:val="center"/>
          </w:tcPr>
          <w:p>
            <w:pPr>
              <w:pStyle w:val="TableContents"/>
              <w:bidi w:val="0"/>
              <w:spacing w:before="0" w:after="283"/>
              <w:jc w:val="left"/>
              <w:rPr/>
            </w:pPr>
            <w:r>
              <w:rPr/>
              <w:t>Contact:</w:t>
            </w:r>
          </w:p>
        </w:tc>
        <w:tc>
          <w:tcPr>
            <w:tcW w:w="3646" w:type="dxa"/>
            <w:tcBorders/>
            <w:vAlign w:val="center"/>
          </w:tcPr>
          <w:p>
            <w:pPr>
              <w:pStyle w:val="TableContents"/>
              <w:bidi w:val="0"/>
              <w:spacing w:before="0" w:after="283"/>
              <w:jc w:val="left"/>
              <w:rPr/>
            </w:pPr>
            <w:r>
              <w:rPr/>
              <w:t>Richard T. Allorto, Jr.</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PennantPark Investment Corporation</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(212) 905-1000</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u w:val="single"/>
              </w:rPr>
            </w:pPr>
            <w:r>
              <w:rPr>
                <w:u w:val="single"/>
              </w:rPr>
              <w:t>www.pennantpark.com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4659</Words>
  <Characters>26295</Characters>
  <CharactersWithSpaces>31212</CharactersWithSpaces>
  <Paragraphs>1205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