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59"/>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254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328930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8" w:lineRule="exact"/>
        <w:rPr>
          <w:sz w:val="24"/>
          <w:szCs w:val="24"/>
          <w:color w:val="auto"/>
        </w:rPr>
      </w:pPr>
    </w:p>
    <w:p>
      <w:pPr>
        <w:jc w:val="center"/>
        <w:ind w:right="-159"/>
        <w:spacing w:after="0"/>
        <w:rPr>
          <w:sz w:val="20"/>
          <w:szCs w:val="20"/>
          <w:color w:val="auto"/>
        </w:rPr>
      </w:pPr>
      <w:r>
        <w:rPr>
          <w:rFonts w:ascii="Arial" w:cs="Arial" w:eastAsia="Arial" w:hAnsi="Arial"/>
          <w:sz w:val="25"/>
          <w:szCs w:val="25"/>
          <w:b w:val="1"/>
          <w:bCs w:val="1"/>
          <w:color w:val="auto"/>
        </w:rPr>
        <w:t>SECURITIES AND EXCHANGE COMMISSION</w:t>
      </w:r>
    </w:p>
    <w:p>
      <w:pPr>
        <w:spacing w:after="0" w:line="10" w:lineRule="exact"/>
        <w:rPr>
          <w:sz w:val="24"/>
          <w:szCs w:val="24"/>
          <w:color w:val="auto"/>
        </w:rPr>
      </w:pPr>
    </w:p>
    <w:p>
      <w:pPr>
        <w:jc w:val="center"/>
        <w:ind w:right="-159"/>
        <w:spacing w:after="0"/>
        <w:rPr>
          <w:sz w:val="20"/>
          <w:szCs w:val="20"/>
          <w:color w:val="auto"/>
        </w:rPr>
      </w:pPr>
      <w:r>
        <w:rPr>
          <w:rFonts w:ascii="Arial" w:cs="Arial" w:eastAsia="Arial" w:hAnsi="Arial"/>
          <w:sz w:val="25"/>
          <w:szCs w:val="25"/>
          <w:b w:val="1"/>
          <w:bCs w:val="1"/>
          <w:color w:val="auto"/>
        </w:rPr>
        <w:t>Washington, D.C. 20549</w:t>
      </w:r>
    </w:p>
    <w:p>
      <w:pPr>
        <w:spacing w:after="0" w:line="10" w:lineRule="exact"/>
        <w:rPr>
          <w:sz w:val="24"/>
          <w:szCs w:val="24"/>
          <w:color w:val="auto"/>
        </w:rPr>
      </w:pPr>
    </w:p>
    <w:p>
      <w:pPr>
        <w:ind w:left="4300"/>
        <w:spacing w:after="0"/>
        <w:rPr>
          <w:sz w:val="20"/>
          <w:szCs w:val="20"/>
          <w:color w:val="auto"/>
        </w:rPr>
      </w:pPr>
      <w:r>
        <w:rPr>
          <w:rFonts w:ascii="Arial" w:cs="Arial" w:eastAsia="Arial" w:hAnsi="Arial"/>
          <w:sz w:val="25"/>
          <w:szCs w:val="25"/>
          <w:color w:val="auto"/>
        </w:rPr>
        <w:t>_____________________</w:t>
      </w:r>
    </w:p>
    <w:p>
      <w:pPr>
        <w:spacing w:after="0" w:line="198" w:lineRule="exact"/>
        <w:rPr>
          <w:sz w:val="24"/>
          <w:szCs w:val="24"/>
          <w:color w:val="auto"/>
        </w:rPr>
      </w:pPr>
    </w:p>
    <w:p>
      <w:pPr>
        <w:jc w:val="center"/>
        <w:ind w:right="-159"/>
        <w:spacing w:after="0"/>
        <w:rPr>
          <w:sz w:val="20"/>
          <w:szCs w:val="20"/>
          <w:color w:val="auto"/>
        </w:rPr>
      </w:pPr>
      <w:r>
        <w:rPr>
          <w:rFonts w:ascii="Arial" w:cs="Arial" w:eastAsia="Arial" w:hAnsi="Arial"/>
          <w:sz w:val="25"/>
          <w:szCs w:val="25"/>
          <w:b w:val="1"/>
          <w:bCs w:val="1"/>
          <w:color w:val="auto"/>
        </w:rPr>
        <w:t>FORM 8-K</w:t>
      </w:r>
    </w:p>
    <w:p>
      <w:pPr>
        <w:spacing w:after="0" w:line="38" w:lineRule="exact"/>
        <w:rPr>
          <w:sz w:val="24"/>
          <w:szCs w:val="24"/>
          <w:color w:val="auto"/>
        </w:rPr>
      </w:pPr>
    </w:p>
    <w:p>
      <w:pPr>
        <w:ind w:left="4300"/>
        <w:spacing w:after="0"/>
        <w:rPr>
          <w:sz w:val="20"/>
          <w:szCs w:val="20"/>
          <w:color w:val="auto"/>
        </w:rPr>
      </w:pPr>
      <w:r>
        <w:rPr>
          <w:rFonts w:ascii="Arial" w:cs="Arial" w:eastAsia="Arial" w:hAnsi="Arial"/>
          <w:sz w:val="25"/>
          <w:szCs w:val="25"/>
          <w:color w:val="auto"/>
        </w:rPr>
        <w:t>_____________________</w:t>
      </w:r>
    </w:p>
    <w:p>
      <w:pPr>
        <w:spacing w:after="0" w:line="193" w:lineRule="exact"/>
        <w:rPr>
          <w:sz w:val="24"/>
          <w:szCs w:val="24"/>
          <w:color w:val="auto"/>
        </w:rPr>
      </w:pPr>
    </w:p>
    <w:p>
      <w:pPr>
        <w:jc w:val="center"/>
        <w:ind w:right="-159"/>
        <w:spacing w:after="0"/>
        <w:rPr>
          <w:sz w:val="20"/>
          <w:szCs w:val="20"/>
          <w:color w:val="auto"/>
        </w:rPr>
      </w:pPr>
      <w:r>
        <w:rPr>
          <w:rFonts w:ascii="Arial" w:cs="Arial" w:eastAsia="Arial" w:hAnsi="Arial"/>
          <w:sz w:val="22"/>
          <w:szCs w:val="22"/>
          <w:b w:val="1"/>
          <w:bCs w:val="1"/>
          <w:color w:val="auto"/>
        </w:rPr>
        <w:t>CURRENT REPORT</w:t>
      </w:r>
    </w:p>
    <w:p>
      <w:pPr>
        <w:spacing w:after="0" w:line="206" w:lineRule="exact"/>
        <w:rPr>
          <w:sz w:val="24"/>
          <w:szCs w:val="24"/>
          <w:color w:val="auto"/>
        </w:rPr>
      </w:pPr>
    </w:p>
    <w:p>
      <w:pPr>
        <w:jc w:val="center"/>
        <w:ind w:right="-159"/>
        <w:spacing w:after="0"/>
        <w:rPr>
          <w:sz w:val="20"/>
          <w:szCs w:val="20"/>
          <w:color w:val="auto"/>
        </w:rPr>
      </w:pPr>
      <w:r>
        <w:rPr>
          <w:rFonts w:ascii="Arial" w:cs="Arial" w:eastAsia="Arial" w:hAnsi="Arial"/>
          <w:sz w:val="19"/>
          <w:szCs w:val="19"/>
          <w:b w:val="1"/>
          <w:bCs w:val="1"/>
          <w:color w:val="auto"/>
        </w:rPr>
        <w:t>Pursuant to Section 13 or 15(d) of the Securities Exchange Act of 1934</w:t>
      </w:r>
    </w:p>
    <w:p>
      <w:pPr>
        <w:spacing w:after="0" w:line="254"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Date of Report (Date of earliest event Reported): September 7, 2018</w:t>
      </w:r>
    </w:p>
    <w:p>
      <w:pPr>
        <w:spacing w:after="0" w:line="212" w:lineRule="exact"/>
        <w:rPr>
          <w:sz w:val="24"/>
          <w:szCs w:val="24"/>
          <w:color w:val="auto"/>
        </w:rPr>
      </w:pPr>
    </w:p>
    <w:p>
      <w:pPr>
        <w:jc w:val="center"/>
        <w:ind w:right="-159"/>
        <w:spacing w:after="0"/>
        <w:rPr>
          <w:sz w:val="20"/>
          <w:szCs w:val="20"/>
          <w:color w:val="auto"/>
        </w:rPr>
      </w:pPr>
      <w:r>
        <w:rPr>
          <w:rFonts w:ascii="Arial" w:cs="Arial" w:eastAsia="Arial" w:hAnsi="Arial"/>
          <w:sz w:val="22"/>
          <w:szCs w:val="22"/>
          <w:b w:val="1"/>
          <w:bCs w:val="1"/>
          <w:color w:val="auto"/>
        </w:rPr>
        <w:t>PennantPark Investment Corporation</w:t>
      </w:r>
    </w:p>
    <w:p>
      <w:pPr>
        <w:spacing w:after="0" w:line="19" w:lineRule="exact"/>
        <w:rPr>
          <w:sz w:val="24"/>
          <w:szCs w:val="24"/>
          <w:color w:val="auto"/>
        </w:rPr>
      </w:pPr>
    </w:p>
    <w:p>
      <w:pPr>
        <w:jc w:val="center"/>
        <w:ind w:right="-159"/>
        <w:spacing w:after="0"/>
        <w:rPr>
          <w:sz w:val="20"/>
          <w:szCs w:val="20"/>
          <w:color w:val="auto"/>
        </w:rPr>
      </w:pPr>
      <w:r>
        <w:rPr>
          <w:rFonts w:ascii="Arial" w:cs="Arial" w:eastAsia="Arial" w:hAnsi="Arial"/>
          <w:sz w:val="18"/>
          <w:szCs w:val="18"/>
          <w:color w:val="auto"/>
        </w:rPr>
        <w:t>(Exact Name of Registrant as Specified in Charter)</w:t>
      </w:r>
    </w:p>
    <w:p>
      <w:pPr>
        <w:sectPr>
          <w:pgSz w:w="11900" w:h="16838" w:orient="portrait"/>
          <w:cols w:equalWidth="0" w:num="1">
            <w:col w:w="11100"/>
          </w:cols>
          <w:pgMar w:left="320" w:top="724" w:right="479" w:bottom="1440" w:gutter="0" w:footer="0" w:header="0"/>
        </w:sectPr>
      </w:pPr>
    </w:p>
    <w:p>
      <w:pPr>
        <w:spacing w:after="0" w:line="205" w:lineRule="exact"/>
        <w:rPr>
          <w:sz w:val="24"/>
          <w:szCs w:val="24"/>
          <w:color w:val="auto"/>
        </w:rPr>
      </w:pPr>
    </w:p>
    <w:p>
      <w:pPr>
        <w:jc w:val="center"/>
        <w:ind w:right="200"/>
        <w:spacing w:after="0"/>
        <w:rPr>
          <w:sz w:val="20"/>
          <w:szCs w:val="20"/>
          <w:color w:val="auto"/>
        </w:rPr>
      </w:pPr>
      <w:r>
        <w:rPr>
          <w:rFonts w:ascii="Arial" w:cs="Arial" w:eastAsia="Arial" w:hAnsi="Arial"/>
          <w:sz w:val="18"/>
          <w:szCs w:val="18"/>
          <w:b w:val="1"/>
          <w:bCs w:val="1"/>
          <w:color w:val="auto"/>
        </w:rPr>
        <w:t>Maryland</w:t>
      </w:r>
    </w:p>
    <w:p>
      <w:pPr>
        <w:spacing w:after="0" w:line="27" w:lineRule="exact"/>
        <w:rPr>
          <w:sz w:val="24"/>
          <w:szCs w:val="24"/>
          <w:color w:val="auto"/>
        </w:rPr>
      </w:pPr>
    </w:p>
    <w:p>
      <w:pPr>
        <w:jc w:val="center"/>
        <w:ind w:right="200"/>
        <w:spacing w:after="0"/>
        <w:rPr>
          <w:sz w:val="20"/>
          <w:szCs w:val="20"/>
          <w:color w:val="auto"/>
        </w:rPr>
      </w:pPr>
      <w:r>
        <w:rPr>
          <w:rFonts w:ascii="Arial" w:cs="Arial" w:eastAsia="Arial" w:hAnsi="Arial"/>
          <w:sz w:val="16"/>
          <w:szCs w:val="16"/>
          <w:color w:val="auto"/>
        </w:rPr>
        <w:t>(State or Other Jurisdiction of Incorporation)</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580"/>
        <w:spacing w:after="0"/>
        <w:rPr>
          <w:sz w:val="20"/>
          <w:szCs w:val="20"/>
          <w:color w:val="auto"/>
        </w:rPr>
      </w:pPr>
      <w:r>
        <w:rPr>
          <w:rFonts w:ascii="Arial" w:cs="Arial" w:eastAsia="Arial" w:hAnsi="Arial"/>
          <w:sz w:val="18"/>
          <w:szCs w:val="18"/>
          <w:b w:val="1"/>
          <w:bCs w:val="1"/>
          <w:color w:val="auto"/>
        </w:rPr>
        <w:t>814-00736</w:t>
      </w:r>
    </w:p>
    <w:p>
      <w:pPr>
        <w:spacing w:after="0" w:line="27" w:lineRule="exact"/>
        <w:rPr>
          <w:sz w:val="24"/>
          <w:szCs w:val="24"/>
          <w:color w:val="auto"/>
        </w:rPr>
      </w:pPr>
    </w:p>
    <w:p>
      <w:pPr>
        <w:jc w:val="center"/>
        <w:ind w:right="580"/>
        <w:spacing w:after="0"/>
        <w:rPr>
          <w:sz w:val="20"/>
          <w:szCs w:val="20"/>
          <w:color w:val="auto"/>
        </w:rPr>
      </w:pPr>
      <w:r>
        <w:rPr>
          <w:rFonts w:ascii="Arial" w:cs="Arial" w:eastAsia="Arial" w:hAnsi="Arial"/>
          <w:sz w:val="16"/>
          <w:szCs w:val="16"/>
          <w:color w:val="auto"/>
        </w:rPr>
        <w:t>(Commission File Number)</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240"/>
        <w:spacing w:after="0"/>
        <w:rPr>
          <w:sz w:val="20"/>
          <w:szCs w:val="20"/>
          <w:color w:val="auto"/>
        </w:rPr>
      </w:pPr>
      <w:r>
        <w:rPr>
          <w:rFonts w:ascii="Arial" w:cs="Arial" w:eastAsia="Arial" w:hAnsi="Arial"/>
          <w:sz w:val="18"/>
          <w:szCs w:val="18"/>
          <w:b w:val="1"/>
          <w:bCs w:val="1"/>
          <w:color w:val="auto"/>
        </w:rPr>
        <w:t>20-8250744</w:t>
      </w:r>
    </w:p>
    <w:p>
      <w:pPr>
        <w:spacing w:after="0" w:line="27" w:lineRule="exact"/>
        <w:rPr>
          <w:sz w:val="24"/>
          <w:szCs w:val="24"/>
          <w:color w:val="auto"/>
        </w:rPr>
      </w:pPr>
    </w:p>
    <w:p>
      <w:pPr>
        <w:jc w:val="center"/>
        <w:ind w:right="240"/>
        <w:spacing w:after="0"/>
        <w:rPr>
          <w:sz w:val="20"/>
          <w:szCs w:val="20"/>
          <w:color w:val="auto"/>
        </w:rPr>
      </w:pPr>
      <w:r>
        <w:rPr>
          <w:rFonts w:ascii="Arial" w:cs="Arial" w:eastAsia="Arial" w:hAnsi="Arial"/>
          <w:sz w:val="16"/>
          <w:szCs w:val="16"/>
          <w:color w:val="auto"/>
        </w:rPr>
        <w:t>(I.R.S. Employer Identification Number)</w:t>
      </w:r>
    </w:p>
    <w:p>
      <w:pPr>
        <w:spacing w:after="0" w:line="200" w:lineRule="exact"/>
        <w:rPr>
          <w:sz w:val="24"/>
          <w:szCs w:val="24"/>
          <w:color w:val="auto"/>
        </w:rPr>
      </w:pPr>
    </w:p>
    <w:p>
      <w:pPr>
        <w:sectPr>
          <w:pgSz w:w="11900" w:h="16838" w:orient="portrait"/>
          <w:cols w:equalWidth="0" w:num="3">
            <w:col w:w="3920" w:space="720"/>
            <w:col w:w="2560" w:space="720"/>
            <w:col w:w="3180"/>
          </w:cols>
          <w:pgMar w:left="320" w:top="724" w:right="479" w:bottom="1440" w:gutter="0" w:footer="0" w:header="0"/>
          <w:type w:val="continuous"/>
        </w:sectPr>
      </w:pPr>
    </w:p>
    <w:p>
      <w:pPr>
        <w:spacing w:after="0" w:line="200" w:lineRule="exact"/>
        <w:rPr>
          <w:sz w:val="24"/>
          <w:szCs w:val="24"/>
          <w:color w:val="auto"/>
        </w:rPr>
      </w:pPr>
    </w:p>
    <w:p>
      <w:pPr>
        <w:spacing w:after="0" w:line="289" w:lineRule="exact"/>
        <w:rPr>
          <w:sz w:val="24"/>
          <w:szCs w:val="24"/>
          <w:color w:val="auto"/>
        </w:rPr>
      </w:pPr>
    </w:p>
    <w:p>
      <w:pPr>
        <w:jc w:val="center"/>
        <w:ind w:right="-159"/>
        <w:spacing w:after="0"/>
        <w:rPr>
          <w:sz w:val="20"/>
          <w:szCs w:val="20"/>
          <w:color w:val="auto"/>
        </w:rPr>
      </w:pPr>
      <w:r>
        <w:rPr>
          <w:rFonts w:ascii="Arial" w:cs="Arial" w:eastAsia="Arial" w:hAnsi="Arial"/>
          <w:sz w:val="18"/>
          <w:szCs w:val="18"/>
          <w:b w:val="1"/>
          <w:bCs w:val="1"/>
          <w:color w:val="auto"/>
        </w:rPr>
        <w:t>590 Madison Avenue, 15th Floor, New York, NY 10022</w:t>
      </w:r>
    </w:p>
    <w:p>
      <w:pPr>
        <w:spacing w:after="0" w:line="27" w:lineRule="exact"/>
        <w:rPr>
          <w:sz w:val="24"/>
          <w:szCs w:val="24"/>
          <w:color w:val="auto"/>
        </w:rPr>
      </w:pPr>
    </w:p>
    <w:p>
      <w:pPr>
        <w:jc w:val="center"/>
        <w:ind w:right="-159"/>
        <w:spacing w:after="0"/>
        <w:rPr>
          <w:sz w:val="20"/>
          <w:szCs w:val="20"/>
          <w:color w:val="auto"/>
        </w:rPr>
      </w:pPr>
      <w:r>
        <w:rPr>
          <w:rFonts w:ascii="Arial" w:cs="Arial" w:eastAsia="Arial" w:hAnsi="Arial"/>
          <w:sz w:val="18"/>
          <w:szCs w:val="18"/>
          <w:color w:val="auto"/>
        </w:rPr>
        <w:t>(Address of Principal Executive Offices) (Zip Code)</w:t>
      </w:r>
    </w:p>
    <w:p>
      <w:pPr>
        <w:spacing w:after="0" w:line="200" w:lineRule="exact"/>
        <w:rPr>
          <w:sz w:val="24"/>
          <w:szCs w:val="24"/>
          <w:color w:val="auto"/>
        </w:rPr>
      </w:pPr>
    </w:p>
    <w:p>
      <w:pPr>
        <w:spacing w:after="0" w:line="223" w:lineRule="exact"/>
        <w:rPr>
          <w:sz w:val="24"/>
          <w:szCs w:val="24"/>
          <w:color w:val="auto"/>
        </w:rPr>
      </w:pPr>
    </w:p>
    <w:p>
      <w:pPr>
        <w:jc w:val="center"/>
        <w:ind w:right="-159"/>
        <w:spacing w:after="0"/>
        <w:rPr>
          <w:sz w:val="20"/>
          <w:szCs w:val="20"/>
          <w:color w:val="auto"/>
        </w:rPr>
      </w:pPr>
      <w:r>
        <w:rPr>
          <w:rFonts w:ascii="Arial" w:cs="Arial" w:eastAsia="Arial" w:hAnsi="Arial"/>
          <w:sz w:val="18"/>
          <w:szCs w:val="18"/>
          <w:b w:val="1"/>
          <w:bCs w:val="1"/>
          <w:color w:val="auto"/>
        </w:rPr>
        <w:t>212-905-1000</w:t>
      </w:r>
    </w:p>
    <w:p>
      <w:pPr>
        <w:spacing w:after="0" w:line="27" w:lineRule="exact"/>
        <w:rPr>
          <w:sz w:val="24"/>
          <w:szCs w:val="24"/>
          <w:color w:val="auto"/>
        </w:rPr>
      </w:pPr>
    </w:p>
    <w:p>
      <w:pPr>
        <w:jc w:val="center"/>
        <w:ind w:right="-159"/>
        <w:spacing w:after="0"/>
        <w:rPr>
          <w:sz w:val="20"/>
          <w:szCs w:val="20"/>
          <w:color w:val="auto"/>
        </w:rPr>
      </w:pPr>
      <w:r>
        <w:rPr>
          <w:rFonts w:ascii="Arial" w:cs="Arial" w:eastAsia="Arial" w:hAnsi="Arial"/>
          <w:sz w:val="18"/>
          <w:szCs w:val="18"/>
          <w:color w:val="auto"/>
        </w:rPr>
        <w:t>(Registrant's telephone number, including area code)</w:t>
      </w:r>
    </w:p>
    <w:p>
      <w:pPr>
        <w:spacing w:after="0" w:line="207" w:lineRule="exact"/>
        <w:rPr>
          <w:sz w:val="24"/>
          <w:szCs w:val="24"/>
          <w:color w:val="auto"/>
        </w:rPr>
      </w:pPr>
    </w:p>
    <w:p>
      <w:pPr>
        <w:jc w:val="center"/>
        <w:ind w:right="-159"/>
        <w:spacing w:after="0"/>
        <w:rPr>
          <w:sz w:val="20"/>
          <w:szCs w:val="20"/>
          <w:color w:val="auto"/>
        </w:rPr>
      </w:pPr>
      <w:r>
        <w:rPr>
          <w:rFonts w:ascii="Arial" w:cs="Arial" w:eastAsia="Arial" w:hAnsi="Arial"/>
          <w:sz w:val="18"/>
          <w:szCs w:val="18"/>
          <w:b w:val="1"/>
          <w:bCs w:val="1"/>
          <w:color w:val="auto"/>
        </w:rPr>
        <w:t>Not Applicable</w:t>
      </w:r>
    </w:p>
    <w:p>
      <w:pPr>
        <w:spacing w:after="0" w:line="27" w:lineRule="exact"/>
        <w:rPr>
          <w:sz w:val="24"/>
          <w:szCs w:val="24"/>
          <w:color w:val="auto"/>
        </w:rPr>
      </w:pPr>
    </w:p>
    <w:p>
      <w:pPr>
        <w:jc w:val="center"/>
        <w:ind w:right="-159"/>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11" w:lineRule="exact"/>
        <w:rPr>
          <w:sz w:val="24"/>
          <w:szCs w:val="24"/>
          <w:color w:val="auto"/>
        </w:rPr>
      </w:pPr>
    </w:p>
    <w:p>
      <w:pPr>
        <w:ind w:right="54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ind w:left="400" w:hanging="109"/>
        <w:spacing w:after="0"/>
        <w:tabs>
          <w:tab w:leader="none" w:pos="400" w:val="left"/>
        </w:tabs>
        <w:numPr>
          <w:ilvl w:val="0"/>
          <w:numId w:val="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6"/>
          <w:szCs w:val="16"/>
          <w:color w:val="auto"/>
        </w:rPr>
        <w:t>Written communications pursuant to Rule 425 under the Securities Act (17 CFR 230.425)</w:t>
      </w:r>
    </w:p>
    <w:p>
      <w:pPr>
        <w:spacing w:after="0" w:line="23" w:lineRule="exact"/>
        <w:rPr>
          <w:rFonts w:ascii="Arial" w:cs="Arial" w:eastAsia="Arial" w:hAnsi="Arial"/>
          <w:sz w:val="18"/>
          <w:szCs w:val="18"/>
          <w:color w:val="auto"/>
        </w:rPr>
      </w:pPr>
    </w:p>
    <w:p>
      <w:pPr>
        <w:ind w:left="400" w:hanging="109"/>
        <w:spacing w:after="0"/>
        <w:tabs>
          <w:tab w:leader="none" w:pos="400" w:val="left"/>
        </w:tabs>
        <w:numPr>
          <w:ilvl w:val="0"/>
          <w:numId w:val="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6"/>
          <w:szCs w:val="16"/>
          <w:color w:val="auto"/>
        </w:rPr>
        <w:t>Soliciting material pursuant to Rule 14a-12 under the Exchange Act (17 CFR 240.14a-12)</w:t>
      </w:r>
    </w:p>
    <w:p>
      <w:pPr>
        <w:spacing w:after="0" w:line="9" w:lineRule="exact"/>
        <w:rPr>
          <w:rFonts w:ascii="Arial" w:cs="Arial" w:eastAsia="Arial" w:hAnsi="Arial"/>
          <w:sz w:val="18"/>
          <w:szCs w:val="18"/>
          <w:color w:val="auto"/>
        </w:rPr>
      </w:pPr>
    </w:p>
    <w:p>
      <w:pPr>
        <w:ind w:left="400" w:hanging="109"/>
        <w:spacing w:after="0"/>
        <w:tabs>
          <w:tab w:leader="none" w:pos="400" w:val="left"/>
        </w:tabs>
        <w:numPr>
          <w:ilvl w:val="0"/>
          <w:numId w:val="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6"/>
          <w:szCs w:val="16"/>
          <w:color w:val="auto"/>
        </w:rPr>
        <w:t>Pre-commencement communications pursuant to Rule 14d-2(b) under the Exchange Act (17 CFR 240.14d-2(b))</w:t>
      </w:r>
    </w:p>
    <w:p>
      <w:pPr>
        <w:spacing w:after="0" w:line="9" w:lineRule="exact"/>
        <w:rPr>
          <w:rFonts w:ascii="Arial" w:cs="Arial" w:eastAsia="Arial" w:hAnsi="Arial"/>
          <w:sz w:val="18"/>
          <w:szCs w:val="18"/>
          <w:color w:val="auto"/>
        </w:rPr>
      </w:pPr>
    </w:p>
    <w:p>
      <w:pPr>
        <w:ind w:left="400" w:hanging="109"/>
        <w:spacing w:after="0"/>
        <w:tabs>
          <w:tab w:leader="none" w:pos="400" w:val="left"/>
        </w:tabs>
        <w:numPr>
          <w:ilvl w:val="0"/>
          <w:numId w:val="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6"/>
          <w:szCs w:val="16"/>
          <w:color w:val="auto"/>
        </w:rPr>
        <w:t>Pre-commencement communications pursuant to Rule 13e-4(c) under the Exchange Act (17 CFR 240.13e-4(c))</w:t>
      </w:r>
    </w:p>
    <w:p>
      <w:pPr>
        <w:spacing w:after="0" w:line="200" w:lineRule="exact"/>
        <w:rPr>
          <w:sz w:val="24"/>
          <w:szCs w:val="24"/>
          <w:color w:val="auto"/>
        </w:rPr>
      </w:pPr>
    </w:p>
    <w:p>
      <w:pPr>
        <w:spacing w:after="0" w:line="227"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(17 CFR §230.405) or Rule 12b-2 of the Securities Exchange Act of 1934 (17 CFR §240.12b-2). Emerging growth company [ ]</w:t>
      </w:r>
    </w:p>
    <w:p>
      <w:pPr>
        <w:spacing w:after="0" w:line="170" w:lineRule="exact"/>
        <w:rPr>
          <w:sz w:val="24"/>
          <w:szCs w:val="24"/>
          <w:color w:val="auto"/>
        </w:rPr>
      </w:pPr>
    </w:p>
    <w:p>
      <w:pPr>
        <w:ind w:right="20"/>
        <w:spacing w:after="0" w:line="277" w:lineRule="auto"/>
        <w:rPr>
          <w:sz w:val="20"/>
          <w:szCs w:val="20"/>
          <w:color w:val="auto"/>
        </w:rPr>
      </w:pPr>
      <w:r>
        <w:rPr>
          <w:rFonts w:ascii="Arial" w:cs="Arial" w:eastAsia="Arial" w:hAnsi="Arial"/>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 [ ]</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117475</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271780</wp:posOffset>
            </wp:positionV>
            <wp:extent cx="7132320" cy="254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518160</wp:posOffset>
            </wp:positionV>
            <wp:extent cx="7136130" cy="209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100"/>
          </w:cols>
          <w:pgMar w:left="320" w:top="724" w:right="47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7.01. Regulation FD Disclosure.</w:t>
      </w:r>
    </w:p>
    <w:p>
      <w:pPr>
        <w:spacing w:after="0" w:line="229"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On September 7, 2018, PennantPark Investment Corporation issued a press release announcing fourth fiscal quarter 2018 distribution. A copy of the press release is furnished as Exhibit 99.1 to this Form 8-K.</w:t>
      </w:r>
    </w:p>
    <w:p>
      <w:pPr>
        <w:spacing w:after="0" w:line="170"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The information in this report on Form 8-K, including Exhibit 99.1 furnished herewith, is being furnished and shall not be deemed “filed” for purposes of Section 18 of the Securities Exchange Act of 1934, as amended, or the Exchange Act, or otherwise subject to the liabilities of such section. The information in this report on Form 8-K shall not be deemed incorporated by reference in any filing under the Securities Act of 1933, as amended, or the Securities Act, or under the Exchange Act, except as shall be expressly set forth by specific reference in such filing.</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202"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This report on Form 8-K, including Exhibit 99.1 furnished herewith, may contain “forward-looking statements” within the meaning of the Private Securities Litigation Reform Act of 1995. You should understand that under Section 27A(b)(2)(B) of the Securities Act and Section 21E(b)(2)(B) of the Exchange Act the “safe harbor” provisions of the Private Securities Litigation Reform Act of 1995 do not apply to forward-looking statements made in periodic reports PennantPark Investment Corporation files under the Exchange Act. All statements other than statements of historical facts included in this press release are forward-looking statements and are not guarantees of future performance or results and involve a number of risks and uncertainties. Actual results may differ materially from those in the forward-looking statements as a result of a number of factors, including those described from time to time in filings with the Securities and Exchange Commission. PennantPark Investment Corporation undertakes no duty to update any forward-looking statement made herein. You should not place undue influence on such forward-looking statements as such statements speak only as of the date on which they are made.</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225" w:lineRule="exact"/>
        <w:rPr>
          <w:sz w:val="20"/>
          <w:szCs w:val="20"/>
          <w:color w:val="auto"/>
        </w:rPr>
      </w:pPr>
    </w:p>
    <w:p>
      <w:pPr>
        <w:ind w:left="600" w:right="9280" w:hanging="547"/>
        <w:spacing w:after="0" w:line="293" w:lineRule="auto"/>
        <w:tabs>
          <w:tab w:leader="none" w:pos="315" w:val="left"/>
        </w:tabs>
        <w:numPr>
          <w:ilvl w:val="0"/>
          <w:numId w:val="2"/>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Financial statements: </w:t>
      </w:r>
      <w:r>
        <w:rPr>
          <w:rFonts w:ascii="Arial" w:cs="Arial" w:eastAsia="Arial" w:hAnsi="Arial"/>
          <w:sz w:val="16"/>
          <w:szCs w:val="16"/>
          <w:color w:val="auto"/>
        </w:rPr>
        <w:t>None</w:t>
      </w:r>
    </w:p>
    <w:p>
      <w:pPr>
        <w:spacing w:after="0" w:line="1" w:lineRule="exact"/>
        <w:rPr>
          <w:rFonts w:ascii="Arial" w:cs="Arial" w:eastAsia="Arial" w:hAnsi="Arial"/>
          <w:sz w:val="16"/>
          <w:szCs w:val="16"/>
          <w:b w:val="1"/>
          <w:bCs w:val="1"/>
          <w:color w:val="auto"/>
        </w:rPr>
      </w:pPr>
    </w:p>
    <w:p>
      <w:pPr>
        <w:ind w:left="600" w:right="8400" w:hanging="547"/>
        <w:spacing w:after="0" w:line="250" w:lineRule="auto"/>
        <w:tabs>
          <w:tab w:leader="none" w:pos="325"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Pro forma financial information: </w:t>
      </w:r>
      <w:r>
        <w:rPr>
          <w:rFonts w:ascii="Arial" w:cs="Arial" w:eastAsia="Arial" w:hAnsi="Arial"/>
          <w:sz w:val="18"/>
          <w:szCs w:val="18"/>
          <w:color w:val="auto"/>
        </w:rPr>
        <w:t>None</w:t>
      </w:r>
    </w:p>
    <w:p>
      <w:pPr>
        <w:ind w:left="600" w:right="8780" w:hanging="547"/>
        <w:spacing w:after="0" w:line="250" w:lineRule="auto"/>
        <w:tabs>
          <w:tab w:leader="none" w:pos="305"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Shell company transactions: </w:t>
      </w:r>
      <w:r>
        <w:rPr>
          <w:rFonts w:ascii="Arial" w:cs="Arial" w:eastAsia="Arial" w:hAnsi="Arial"/>
          <w:sz w:val="18"/>
          <w:szCs w:val="18"/>
          <w:color w:val="auto"/>
        </w:rPr>
        <w:t>None</w:t>
      </w:r>
    </w:p>
    <w:p>
      <w:pPr>
        <w:ind w:left="320" w:hanging="267"/>
        <w:spacing w:after="0"/>
        <w:tabs>
          <w:tab w:leader="none" w:pos="320"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Exhibits</w:t>
      </w:r>
    </w:p>
    <w:p>
      <w:pPr>
        <w:spacing w:after="0" w:line="9" w:lineRule="exact"/>
        <w:rPr>
          <w:sz w:val="20"/>
          <w:szCs w:val="20"/>
          <w:color w:val="auto"/>
        </w:rPr>
      </w:pPr>
    </w:p>
    <w:p>
      <w:pPr>
        <w:ind w:left="600"/>
        <w:spacing w:after="0"/>
        <w:tabs>
          <w:tab w:leader="none" w:pos="1160" w:val="left"/>
        </w:tabs>
        <w:rPr>
          <w:rFonts w:ascii="Arial" w:cs="Arial" w:eastAsia="Arial" w:hAnsi="Arial"/>
          <w:sz w:val="15"/>
          <w:szCs w:val="15"/>
          <w:u w:val="single" w:color="auto"/>
          <w:color w:val="0000EE"/>
        </w:rPr>
      </w:pPr>
      <w:r>
        <w:rPr>
          <w:rFonts w:ascii="Arial" w:cs="Arial" w:eastAsia="Arial" w:hAnsi="Arial"/>
          <w:sz w:val="18"/>
          <w:szCs w:val="18"/>
          <w:color w:val="auto"/>
        </w:rPr>
        <w:t>99.1</w:t>
      </w:r>
      <w:r>
        <w:rPr>
          <w:sz w:val="20"/>
          <w:szCs w:val="20"/>
          <w:color w:val="auto"/>
        </w:rPr>
        <w:tab/>
      </w:r>
      <w:hyperlink w:anchor="page4">
        <w:r>
          <w:rPr>
            <w:rFonts w:ascii="Arial" w:cs="Arial" w:eastAsia="Arial" w:hAnsi="Arial"/>
            <w:sz w:val="15"/>
            <w:szCs w:val="15"/>
            <w:u w:val="single" w:color="auto"/>
            <w:color w:val="0000EE"/>
          </w:rPr>
          <w:t>Press Release of PennantPark Investment Corporation dated September 7, 2018</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140970</wp:posOffset>
            </wp:positionV>
            <wp:extent cx="7136130" cy="209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 w:name="page3"/>
    <w:bookmarkEnd w:id="2"/>
    <w:p>
      <w:pPr>
        <w:jc w:val="center"/>
        <w:ind w:right="-359"/>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Exchange Act, the registrant has duly caused this report to be signed on its behalf by the undersigned hereunto duly authorized.</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620" w:type="dxa"/>
            <w:vAlign w:val="bottom"/>
          </w:tcPr>
          <w:p>
            <w:pPr>
              <w:spacing w:after="0"/>
              <w:rPr>
                <w:sz w:val="20"/>
                <w:szCs w:val="20"/>
                <w:color w:val="auto"/>
              </w:rPr>
            </w:pPr>
          </w:p>
        </w:tc>
        <w:tc>
          <w:tcPr>
            <w:tcW w:w="4780" w:type="dxa"/>
            <w:vAlign w:val="bottom"/>
            <w:gridSpan w:val="3"/>
          </w:tcPr>
          <w:p>
            <w:pPr>
              <w:ind w:left="1840"/>
              <w:spacing w:after="0"/>
              <w:rPr>
                <w:sz w:val="20"/>
                <w:szCs w:val="20"/>
                <w:color w:val="auto"/>
              </w:rPr>
            </w:pPr>
            <w:r>
              <w:rPr>
                <w:rFonts w:ascii="Arial" w:cs="Arial" w:eastAsia="Arial" w:hAnsi="Arial"/>
                <w:sz w:val="18"/>
                <w:szCs w:val="18"/>
                <w:b w:val="1"/>
                <w:bCs w:val="1"/>
                <w:color w:val="auto"/>
                <w:w w:val="91"/>
              </w:rPr>
              <w:t>PennantPark Investment Corporation</w:t>
            </w:r>
          </w:p>
        </w:tc>
      </w:tr>
      <w:tr>
        <w:trPr>
          <w:trHeight w:val="608"/>
        </w:trPr>
        <w:tc>
          <w:tcPr>
            <w:tcW w:w="3620" w:type="dxa"/>
            <w:vAlign w:val="bottom"/>
          </w:tcPr>
          <w:p>
            <w:pPr>
              <w:spacing w:after="0"/>
              <w:rPr>
                <w:sz w:val="20"/>
                <w:szCs w:val="20"/>
                <w:color w:val="auto"/>
              </w:rPr>
            </w:pPr>
            <w:r>
              <w:rPr>
                <w:rFonts w:ascii="Arial" w:cs="Arial" w:eastAsia="Arial" w:hAnsi="Arial"/>
                <w:sz w:val="18"/>
                <w:szCs w:val="18"/>
                <w:color w:val="auto"/>
              </w:rPr>
              <w:t>Date: September 7, 2018</w:t>
            </w:r>
          </w:p>
        </w:tc>
        <w:tc>
          <w:tcPr>
            <w:tcW w:w="4780" w:type="dxa"/>
            <w:vAlign w:val="bottom"/>
            <w:gridSpan w:val="3"/>
          </w:tcPr>
          <w:p>
            <w:pPr>
              <w:ind w:left="1840"/>
              <w:spacing w:after="0"/>
              <w:rPr>
                <w:sz w:val="20"/>
                <w:szCs w:val="20"/>
                <w:color w:val="auto"/>
              </w:rPr>
            </w:pPr>
            <w:r>
              <w:rPr>
                <w:rFonts w:ascii="Arial" w:cs="Arial" w:eastAsia="Arial" w:hAnsi="Arial"/>
                <w:sz w:val="18"/>
                <w:szCs w:val="18"/>
                <w:color w:val="auto"/>
              </w:rPr>
              <w:t>By: /s/ Aviv Efrat</w:t>
            </w:r>
          </w:p>
        </w:tc>
      </w:tr>
      <w:tr>
        <w:trPr>
          <w:trHeight w:val="222"/>
        </w:trPr>
        <w:tc>
          <w:tcPr>
            <w:tcW w:w="3620" w:type="dxa"/>
            <w:vAlign w:val="bottom"/>
          </w:tcPr>
          <w:p>
            <w:pPr>
              <w:spacing w:after="0"/>
              <w:rPr>
                <w:sz w:val="19"/>
                <w:szCs w:val="19"/>
                <w:color w:val="auto"/>
              </w:rPr>
            </w:pPr>
          </w:p>
        </w:tc>
        <w:tc>
          <w:tcPr>
            <w:tcW w:w="2160" w:type="dxa"/>
            <w:vAlign w:val="bottom"/>
          </w:tcPr>
          <w:p>
            <w:pPr>
              <w:spacing w:after="0"/>
              <w:rPr>
                <w:sz w:val="19"/>
                <w:szCs w:val="19"/>
                <w:color w:val="auto"/>
              </w:rPr>
            </w:pPr>
          </w:p>
        </w:tc>
        <w:tc>
          <w:tcPr>
            <w:tcW w:w="132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Aviv Efrat</w:t>
            </w:r>
          </w:p>
        </w:tc>
        <w:tc>
          <w:tcPr>
            <w:tcW w:w="1300" w:type="dxa"/>
            <w:vAlign w:val="bottom"/>
          </w:tcPr>
          <w:p>
            <w:pPr>
              <w:spacing w:after="0"/>
              <w:rPr>
                <w:sz w:val="19"/>
                <w:szCs w:val="19"/>
                <w:color w:val="auto"/>
              </w:rPr>
            </w:pPr>
          </w:p>
        </w:tc>
      </w:tr>
      <w:tr>
        <w:trPr>
          <w:trHeight w:val="230"/>
        </w:trPr>
        <w:tc>
          <w:tcPr>
            <w:tcW w:w="3620" w:type="dxa"/>
            <w:vAlign w:val="bottom"/>
          </w:tcPr>
          <w:p>
            <w:pPr>
              <w:spacing w:after="0"/>
              <w:rPr>
                <w:sz w:val="20"/>
                <w:szCs w:val="20"/>
                <w:color w:val="auto"/>
              </w:rPr>
            </w:pPr>
          </w:p>
        </w:tc>
        <w:tc>
          <w:tcPr>
            <w:tcW w:w="2160" w:type="dxa"/>
            <w:vAlign w:val="bottom"/>
          </w:tcPr>
          <w:p>
            <w:pPr>
              <w:spacing w:after="0"/>
              <w:rPr>
                <w:sz w:val="20"/>
                <w:szCs w:val="20"/>
                <w:color w:val="auto"/>
              </w:rPr>
            </w:pPr>
          </w:p>
        </w:tc>
        <w:tc>
          <w:tcPr>
            <w:tcW w:w="2620" w:type="dxa"/>
            <w:vAlign w:val="bottom"/>
            <w:gridSpan w:val="2"/>
          </w:tcPr>
          <w:p>
            <w:pPr>
              <w:spacing w:after="0"/>
              <w:rPr>
                <w:sz w:val="20"/>
                <w:szCs w:val="20"/>
                <w:color w:val="auto"/>
              </w:rPr>
            </w:pPr>
            <w:r>
              <w:rPr>
                <w:rFonts w:ascii="Arial" w:cs="Arial" w:eastAsia="Arial" w:hAnsi="Arial"/>
                <w:sz w:val="18"/>
                <w:szCs w:val="18"/>
                <w:color w:val="auto"/>
                <w:w w:val="93"/>
              </w:rPr>
              <w:t>Chief Financial Officer &amp; Treasurer</w:t>
            </w:r>
          </w:p>
        </w:tc>
      </w:tr>
    </w:tbl>
    <w:p>
      <w:pPr>
        <w:sectPr>
          <w:pgSz w:w="11900" w:h="16838" w:orient="portrait"/>
          <w:cols w:equalWidth="0" w:num="1">
            <w:col w:w="10900"/>
          </w:cols>
          <w:pgMar w:left="320" w:top="337" w:right="679" w:bottom="1440" w:gutter="0" w:footer="0" w:header="0"/>
        </w:sectPr>
      </w:pPr>
    </w:p>
    <w:bookmarkStart w:id="3" w:name="page4"/>
    <w:bookmarkEnd w:id="3"/>
    <w:p>
      <w:pPr>
        <w:jc w:val="right"/>
        <w:spacing w:after="0"/>
        <w:rPr>
          <w:sz w:val="20"/>
          <w:szCs w:val="20"/>
          <w:color w:val="auto"/>
        </w:rPr>
      </w:pPr>
      <w:r>
        <w:rPr>
          <w:rFonts w:ascii="Arial" w:cs="Arial" w:eastAsia="Arial" w:hAnsi="Arial"/>
          <w:sz w:val="22"/>
          <w:szCs w:val="22"/>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148590</wp:posOffset>
            </wp:positionV>
            <wp:extent cx="1285875" cy="29146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5875" cy="2914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PennantPark Investment Corporation Announces Quarterly Distribution of $0.18 per Share</w:t>
      </w:r>
    </w:p>
    <w:p>
      <w:pPr>
        <w:spacing w:after="0" w:line="212" w:lineRule="exact"/>
        <w:rPr>
          <w:sz w:val="20"/>
          <w:szCs w:val="20"/>
          <w:color w:val="auto"/>
        </w:rPr>
      </w:pPr>
    </w:p>
    <w:p>
      <w:pPr>
        <w:ind w:right="200"/>
        <w:spacing w:after="0" w:line="282" w:lineRule="auto"/>
        <w:rPr>
          <w:sz w:val="20"/>
          <w:szCs w:val="20"/>
          <w:color w:val="auto"/>
        </w:rPr>
      </w:pPr>
      <w:r>
        <w:rPr>
          <w:rFonts w:ascii="Arial" w:cs="Arial" w:eastAsia="Arial" w:hAnsi="Arial"/>
          <w:sz w:val="19"/>
          <w:szCs w:val="19"/>
          <w:color w:val="auto"/>
        </w:rPr>
        <w:t>NEW YORK, Sept. 07, 2018 (GLOBE NEWSWIRE) -- PennantPark Investment Corporation (the "Company") (NASDAQ: PNNT) declares fourth fiscal quarter 2018 distribution of $0.18 per share, payable on October 2, 2018 to stockholders of record as of September 17, 2018. Distributions are paid from taxable earnings and may include a return of capital and/or capital gains. The specific tax characteristics of the distribution will be reported to stockholders on Form 1099 after the end of the calendar year and in the Company's periodic report filed with the Securities and Exchange Commission.</w:t>
      </w:r>
    </w:p>
    <w:p>
      <w:pPr>
        <w:spacing w:after="0" w:line="147" w:lineRule="exact"/>
        <w:rPr>
          <w:sz w:val="20"/>
          <w:szCs w:val="20"/>
          <w:color w:val="auto"/>
        </w:rPr>
      </w:pPr>
    </w:p>
    <w:p>
      <w:pPr>
        <w:spacing w:after="0"/>
        <w:rPr>
          <w:sz w:val="20"/>
          <w:szCs w:val="20"/>
          <w:color w:val="auto"/>
        </w:rPr>
      </w:pPr>
      <w:r>
        <w:rPr>
          <w:rFonts w:ascii="Arial" w:cs="Arial" w:eastAsia="Arial" w:hAnsi="Arial"/>
          <w:sz w:val="22"/>
          <w:szCs w:val="22"/>
          <w:color w:val="auto"/>
        </w:rPr>
        <w:t>ABOUT PENNANTPARK INVESTMENT CORPORATION</w:t>
      </w:r>
    </w:p>
    <w:p>
      <w:pPr>
        <w:spacing w:after="0" w:line="206" w:lineRule="exact"/>
        <w:rPr>
          <w:sz w:val="20"/>
          <w:szCs w:val="20"/>
          <w:color w:val="auto"/>
        </w:rPr>
      </w:pPr>
    </w:p>
    <w:p>
      <w:pPr>
        <w:jc w:val="both"/>
        <w:ind w:right="20"/>
        <w:spacing w:after="0"/>
        <w:rPr>
          <w:sz w:val="20"/>
          <w:szCs w:val="20"/>
          <w:color w:val="auto"/>
        </w:rPr>
      </w:pPr>
      <w:r>
        <w:rPr>
          <w:rFonts w:ascii="Arial" w:cs="Arial" w:eastAsia="Arial" w:hAnsi="Arial"/>
          <w:sz w:val="22"/>
          <w:szCs w:val="22"/>
          <w:color w:val="auto"/>
        </w:rPr>
        <w:t>PennantPark Investment Corporation is a business development company which principally invests in U.S. middle-market private companies in the form of first lien secured debt, second lien secured debt, subordinated debt and equity investments. PennantPark Investment Corporation is managed by PennantPark Investment Advisers, LLC.</w:t>
      </w:r>
    </w:p>
    <w:p>
      <w:pPr>
        <w:spacing w:after="0" w:line="186" w:lineRule="exact"/>
        <w:rPr>
          <w:sz w:val="20"/>
          <w:szCs w:val="20"/>
          <w:color w:val="auto"/>
        </w:rPr>
      </w:pPr>
    </w:p>
    <w:p>
      <w:pPr>
        <w:spacing w:after="0"/>
        <w:rPr>
          <w:sz w:val="20"/>
          <w:szCs w:val="20"/>
          <w:color w:val="auto"/>
        </w:rPr>
      </w:pPr>
      <w:r>
        <w:rPr>
          <w:rFonts w:ascii="Arial" w:cs="Arial" w:eastAsia="Arial" w:hAnsi="Arial"/>
          <w:sz w:val="22"/>
          <w:szCs w:val="22"/>
          <w:color w:val="auto"/>
        </w:rPr>
        <w:t>FORWARD-LOOKING STATEMENTS</w:t>
      </w:r>
    </w:p>
    <w:p>
      <w:pPr>
        <w:spacing w:after="0" w:line="206" w:lineRule="exact"/>
        <w:rPr>
          <w:sz w:val="20"/>
          <w:szCs w:val="20"/>
          <w:color w:val="auto"/>
        </w:rPr>
      </w:pPr>
    </w:p>
    <w:p>
      <w:pPr>
        <w:spacing w:after="0" w:line="273" w:lineRule="auto"/>
        <w:rPr>
          <w:sz w:val="20"/>
          <w:szCs w:val="20"/>
          <w:color w:val="auto"/>
        </w:rPr>
      </w:pPr>
      <w:r>
        <w:rPr>
          <w:rFonts w:ascii="Arial" w:cs="Arial" w:eastAsia="Arial" w:hAnsi="Arial"/>
          <w:sz w:val="19"/>
          <w:szCs w:val="19"/>
          <w:color w:val="auto"/>
        </w:rPr>
        <w:t>This report on Form 8-K, including Exhibit 99.1 furnished herewith, may contain “forward-looking statements” within the meaning of the Private Securities Litigation Reform Act of 1995. You should understand that under Section 27A(b)(2)(B) of the Securities Act and Section 21E(b)(2)(B) of the Exchange Act the “safe harbor” provisions of the Private Securities Litigation Reform Act of 1995 do not apply to forward-looking statements made in periodic reports PennantPark Investment Corporation files under the Exchange Act. All statements other than statements of historical facts included in this press release are forward-looking statements and are not guarantees of future performance or results and involve a number of risks and uncertainties. Actual results may differ materially from those in the forward-looking statements as a result of a number of factors, including those described from time to time in filings with the Securities and Exchange Commission. PennantPark Investment Corporation undertakes no duty to update any forward-looking statement made herein. You should not place undue influence on such forward-looking statements as such statements speak only as of the date on which they are made.</w:t>
      </w:r>
    </w:p>
    <w:p>
      <w:pPr>
        <w:spacing w:after="0" w:line="161" w:lineRule="exact"/>
        <w:rPr>
          <w:sz w:val="20"/>
          <w:szCs w:val="20"/>
          <w:color w:val="auto"/>
        </w:rPr>
      </w:pPr>
    </w:p>
    <w:p>
      <w:pPr>
        <w:spacing w:after="0"/>
        <w:rPr>
          <w:sz w:val="20"/>
          <w:szCs w:val="20"/>
          <w:color w:val="auto"/>
        </w:rPr>
      </w:pPr>
      <w:r>
        <w:rPr>
          <w:rFonts w:ascii="Arial" w:cs="Arial" w:eastAsia="Arial" w:hAnsi="Arial"/>
          <w:sz w:val="22"/>
          <w:szCs w:val="22"/>
          <w:color w:val="auto"/>
        </w:rPr>
        <w:t>CONTACT:</w:t>
      </w:r>
    </w:p>
    <w:p>
      <w:pPr>
        <w:spacing w:after="0" w:line="238" w:lineRule="auto"/>
        <w:rPr>
          <w:sz w:val="20"/>
          <w:szCs w:val="20"/>
          <w:color w:val="auto"/>
        </w:rPr>
      </w:pPr>
      <w:r>
        <w:rPr>
          <w:rFonts w:ascii="Arial" w:cs="Arial" w:eastAsia="Arial" w:hAnsi="Arial"/>
          <w:sz w:val="22"/>
          <w:szCs w:val="22"/>
          <w:color w:val="auto"/>
        </w:rPr>
        <w:t>Aviv Efrat</w:t>
      </w:r>
    </w:p>
    <w:p>
      <w:pPr>
        <w:spacing w:after="0" w:line="230" w:lineRule="auto"/>
        <w:rPr>
          <w:sz w:val="20"/>
          <w:szCs w:val="20"/>
          <w:color w:val="auto"/>
        </w:rPr>
      </w:pPr>
      <w:r>
        <w:rPr>
          <w:rFonts w:ascii="Arial" w:cs="Arial" w:eastAsia="Arial" w:hAnsi="Arial"/>
          <w:sz w:val="22"/>
          <w:szCs w:val="22"/>
          <w:color w:val="auto"/>
        </w:rPr>
        <w:t>PennantPark Investment Corporation</w:t>
      </w:r>
    </w:p>
    <w:p>
      <w:pPr>
        <w:spacing w:after="0" w:line="1" w:lineRule="exact"/>
        <w:rPr>
          <w:sz w:val="20"/>
          <w:szCs w:val="20"/>
          <w:color w:val="auto"/>
        </w:rPr>
      </w:pPr>
    </w:p>
    <w:p>
      <w:pPr>
        <w:ind w:right="9240" w:firstLine="8"/>
        <w:spacing w:after="0" w:line="308" w:lineRule="auto"/>
        <w:tabs>
          <w:tab w:leader="none" w:pos="522" w:val="left"/>
        </w:tabs>
        <w:numPr>
          <w:ilvl w:val="0"/>
          <w:numId w:val="3"/>
        </w:numPr>
        <w:rPr>
          <w:rFonts w:ascii="Arial" w:cs="Arial" w:eastAsia="Arial" w:hAnsi="Arial"/>
          <w:sz w:val="19"/>
          <w:szCs w:val="19"/>
          <w:color w:val="auto"/>
        </w:rPr>
      </w:pPr>
      <w:r>
        <w:rPr>
          <w:rFonts w:ascii="Arial" w:cs="Arial" w:eastAsia="Arial" w:hAnsi="Arial"/>
          <w:sz w:val="19"/>
          <w:szCs w:val="19"/>
          <w:color w:val="auto"/>
        </w:rPr>
        <w:t>905-1000 www.pennantpark.com</w:t>
      </w:r>
    </w:p>
    <w:sectPr>
      <w:pgSz w:w="11900" w:h="16838" w:orient="portrait"/>
      <w:cols w:equalWidth="0" w:num="1">
        <w:col w:w="11240"/>
      </w:cols>
      <w:pgMar w:left="320" w:top="112"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1)"/>
      <w:numFmt w:val="lowerLetter"/>
      <w:start w:val="1"/>
    </w:lvl>
  </w:abstractNum>
  <w:abstractNum w:abstractNumId="2">
    <w:nsid w:val="19495CFF"/>
    <w:multiLevelType w:val="hybridMultilevel"/>
    <w:lvl w:ilvl="0">
      <w:lvlJc w:val="left"/>
      <w:lvlText w:val="(%1)"/>
      <w:numFmt w:val="decimal"/>
      <w:start w:val="212"/>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2020-05-05T15:07:28Z</dcterms:created>
  <dcterms:modified xsi:type="dcterms:W3CDTF">2020-05-05T15:07:28Z</dcterms:modified>
</cp:coreProperties>
</file>