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8, 2012</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RE</w:t>
      </w:r>
      <w:r>
        <w:rPr>
          <w:rFonts w:ascii="Arial" w:cs="Arial" w:eastAsia="Arial" w:hAnsi="Arial"/>
          <w:sz w:val="18"/>
          <w:szCs w:val="18"/>
          <w:b w:val="1"/>
          <w:bCs w:val="1"/>
          <w:color w:val="auto"/>
        </w:rPr>
        <w:t>: PENNANTPARK INVESTMENT CORPORATION</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814-00736</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51"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Fidelity Bond and any riders thereto for the Corporation and other joint insureds (attached as Exhibit A); and</w:t>
      </w:r>
    </w:p>
    <w:p>
      <w:pPr>
        <w:spacing w:after="0" w:line="90" w:lineRule="exact"/>
        <w:rPr>
          <w:rFonts w:ascii="Arial" w:cs="Arial" w:eastAsia="Arial" w:hAnsi="Arial"/>
          <w:sz w:val="18"/>
          <w:szCs w:val="18"/>
          <w:color w:val="auto"/>
        </w:rPr>
      </w:pPr>
    </w:p>
    <w:p>
      <w:pPr>
        <w:ind w:left="900" w:right="200" w:hanging="446"/>
        <w:spacing w:after="0" w:line="25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1, 2012 Meeting of the Board of Directors of the Corporation in which a majority of the Directors who are not “interested persons” of the Corporation as defined by Section 2(a)(19) of the 1940 Act approved the amount, type, form and coverage of the Fidelity Bond, the portion of the premium paid by the Corporation and the Joint Fidelity Bond Agreement (attached as Exhibit B); and</w:t>
      </w:r>
    </w:p>
    <w:p>
      <w:pPr>
        <w:spacing w:after="0" w:line="62"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32"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$1,000,000 as required under paragraph (d) of Rule 17g-1. A premium of $14,789 was paid for the period May 31, 2012 through May 31, 2013.</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1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Aviv Efrat</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PennantPark Investment Corporation</w:t>
      </w:r>
    </w:p>
    <w:p>
      <w:pPr>
        <w:sectPr>
          <w:pgSz w:w="11900" w:h="16838" w:orient="portrait"/>
          <w:cols w:equalWidth="0" w:num="1">
            <w:col w:w="11380"/>
          </w:cols>
          <w:pgMar w:left="240" w:top="239" w:right="2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undersigned, Thomas J. Friedmann, Secretary of PennantPark Investment Corporation, a Maryland corporation (the “Corporation”), does hereby certify that:</w:t>
      </w:r>
    </w:p>
    <w:p>
      <w:pPr>
        <w:spacing w:after="0" w:line="125" w:lineRule="exact"/>
        <w:rPr>
          <w:sz w:val="20"/>
          <w:szCs w:val="20"/>
          <w:color w:val="auto"/>
        </w:rPr>
      </w:pPr>
    </w:p>
    <w:p>
      <w:pPr>
        <w:jc w:val="both"/>
        <w:ind w:left="9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fidelity bond (the “Bond”) pursuant to Rule 17g-1 of the Investment Company Act of 1940, as amended, and the SEC is entitled to rely on this certificate for purposes of the filing.</w:t>
      </w:r>
    </w:p>
    <w:p>
      <w:pPr>
        <w:spacing w:after="0" w:line="59"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2012 to May 31,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8</w:t>
      </w:r>
      <w:r>
        <w:rPr>
          <w:rFonts w:ascii="Arial" w:cs="Arial" w:eastAsia="Arial" w:hAnsi="Arial"/>
          <w:sz w:val="11"/>
          <w:szCs w:val="11"/>
          <w:color w:val="auto"/>
        </w:rPr>
        <w:t>th</w:t>
      </w:r>
      <w:r>
        <w:rPr>
          <w:rFonts w:ascii="Arial" w:cs="Arial" w:eastAsia="Arial" w:hAnsi="Arial"/>
          <w:sz w:val="18"/>
          <w:szCs w:val="18"/>
          <w:color w:val="auto"/>
        </w:rPr>
        <w:t xml:space="preserve"> day of June,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37665"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37665" cy="471805"/>
                    </a:xfrm>
                    <a:prstGeom prst="rect">
                      <a:avLst/>
                    </a:prstGeom>
                    <a:noFill/>
                  </pic:spPr>
                </pic:pic>
              </a:graphicData>
            </a:graphic>
          </wp:anchor>
        </w:drawing>
        <w:t>National Union Fire Insurance Company of Pittsburgh, Pa.</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capital stock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POLICY NUMBER: 01-899-95-18</w:t>
      </w:r>
      <w:r>
        <w:rPr>
          <w:sz w:val="20"/>
          <w:szCs w:val="20"/>
          <w:color w:val="auto"/>
        </w:rPr>
        <w:tab/>
      </w:r>
      <w:r>
        <w:rPr>
          <w:rFonts w:ascii="Arial" w:cs="Arial" w:eastAsia="Arial" w:hAnsi="Arial"/>
          <w:sz w:val="16"/>
          <w:szCs w:val="16"/>
          <w:color w:val="auto"/>
        </w:rPr>
        <w:t>REPLACEMENT OF POLICY NUMBER: 01-878-27-99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COMPANY BLANKET BOND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 xml:space="preserve">Name of Insured (herein called Insured): </w:t>
      </w:r>
      <w:r>
        <w:rPr>
          <w:rFonts w:ascii="Arial" w:cs="Arial" w:eastAsia="Arial" w:hAnsi="Arial"/>
          <w:sz w:val="16"/>
          <w:szCs w:val="16"/>
          <w:b w:val="1"/>
          <w:bCs w:val="1"/>
          <w:color w:val="auto"/>
        </w:rPr>
        <w:t>PENNANTPARK INVESTMENT CORPORATION</w:t>
      </w:r>
    </w:p>
    <w:p>
      <w:pPr>
        <w:sectPr>
          <w:pgSz w:w="11900" w:h="16838" w:orient="portrait"/>
          <w:cols w:equalWidth="0" w:num="1">
            <w:col w:w="11420"/>
          </w:cols>
          <w:pgMar w:left="240" w:top="1179" w:right="239" w:bottom="1440" w:gutter="0" w:footer="0" w:header="0"/>
        </w:sectPr>
      </w:pPr>
    </w:p>
    <w:p>
      <w:pPr>
        <w:spacing w:after="0" w:line="21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Principal Address: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590 MADISON AVENUE, 15</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144145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20" w:space="720"/>
            <w:col w:w="6980"/>
          </w:cols>
          <w:pgMar w:left="240" w:top="1179" w:right="239" w:bottom="1440" w:gutter="0" w:footer="0" w:header="0"/>
          <w:type w:val="continuous"/>
        </w:sectPr>
      </w:pPr>
    </w:p>
    <w:p>
      <w:pPr>
        <w:spacing w:after="0" w:line="262" w:lineRule="exact"/>
        <w:rPr>
          <w:sz w:val="20"/>
          <w:szCs w:val="20"/>
          <w:color w:val="auto"/>
        </w:rPr>
      </w:pPr>
    </w:p>
    <w:p>
      <w:pPr>
        <w:ind w:left="1040" w:right="60" w:hanging="1025"/>
        <w:spacing w:after="0" w:line="268" w:lineRule="auto"/>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Bond Period: from May 31, 2012 12:01 a.m. to May 31, 2013 the effective date of the termination or cancellation of this bond, standard time at the Principal Address as to each of said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Limit of Liability - Subject to Sections 9, 10 and 12 hereof,</w:t>
            </w:r>
          </w:p>
        </w:tc>
        <w:tc>
          <w:tcPr>
            <w:tcW w:w="1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42"/>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jc w:val="right"/>
              <w:ind w:right="354"/>
              <w:spacing w:after="0"/>
              <w:rPr>
                <w:sz w:val="20"/>
                <w:szCs w:val="20"/>
                <w:color w:val="auto"/>
              </w:rPr>
            </w:pPr>
            <w:r>
              <w:rPr>
                <w:rFonts w:ascii="Arial" w:cs="Arial" w:eastAsia="Arial" w:hAnsi="Arial"/>
                <w:sz w:val="14"/>
                <w:szCs w:val="14"/>
                <w:color w:val="auto"/>
                <w:w w:val="88"/>
              </w:rPr>
              <w:t>Single Loss</w:t>
            </w:r>
          </w:p>
        </w:tc>
        <w:tc>
          <w:tcPr>
            <w:tcW w:w="1040" w:type="dxa"/>
            <w:vAlign w:val="bottom"/>
            <w:gridSpan w:val="2"/>
          </w:tcPr>
          <w:p>
            <w:pPr>
              <w:ind w:left="300"/>
              <w:spacing w:after="0"/>
              <w:rPr>
                <w:sz w:val="20"/>
                <w:szCs w:val="20"/>
                <w:color w:val="auto"/>
              </w:rPr>
            </w:pPr>
            <w:r>
              <w:rPr>
                <w:rFonts w:ascii="Arial" w:cs="Arial" w:eastAsia="Arial" w:hAnsi="Arial"/>
                <w:sz w:val="14"/>
                <w:szCs w:val="14"/>
                <w:color w:val="auto"/>
                <w:w w:val="99"/>
              </w:rPr>
              <w:t>Single Loss</w:t>
            </w:r>
          </w:p>
        </w:tc>
      </w:tr>
      <w:tr>
        <w:trPr>
          <w:trHeight w:val="159"/>
        </w:trPr>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520" w:type="dxa"/>
            <w:vAlign w:val="bottom"/>
            <w:gridSpan w:val="2"/>
          </w:tcPr>
          <w:p>
            <w:pPr>
              <w:ind w:left="1300"/>
              <w:spacing w:after="0" w:line="159" w:lineRule="exact"/>
              <w:rPr>
                <w:sz w:val="20"/>
                <w:szCs w:val="20"/>
                <w:color w:val="auto"/>
              </w:rPr>
            </w:pPr>
            <w:r>
              <w:rPr>
                <w:rFonts w:ascii="Arial" w:cs="Arial" w:eastAsia="Arial" w:hAnsi="Arial"/>
                <w:sz w:val="14"/>
                <w:szCs w:val="14"/>
                <w:color w:val="auto"/>
              </w:rPr>
              <w:t>Limit of Liability</w:t>
            </w:r>
          </w:p>
        </w:tc>
        <w:tc>
          <w:tcPr>
            <w:tcW w:w="104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Deductible</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A (Fidelity)</w:t>
            </w:r>
          </w:p>
        </w:tc>
        <w:tc>
          <w:tcPr>
            <w:tcW w:w="14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NIL</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Insuring Agreement B (Audit Expense)</w:t>
            </w:r>
          </w:p>
        </w:tc>
        <w:tc>
          <w:tcPr>
            <w:tcW w:w="1420" w:type="dxa"/>
            <w:vAlign w:val="bottom"/>
          </w:tcPr>
          <w:p>
            <w:pPr>
              <w:ind w:left="13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4"/>
              <w:spacing w:after="0"/>
              <w:rPr>
                <w:sz w:val="20"/>
                <w:szCs w:val="20"/>
                <w:color w:val="auto"/>
              </w:rPr>
            </w:pPr>
            <w:r>
              <w:rPr>
                <w:rFonts w:ascii="Arial" w:cs="Arial" w:eastAsia="Arial" w:hAnsi="Arial"/>
                <w:sz w:val="18"/>
                <w:szCs w:val="18"/>
                <w:color w:val="auto"/>
              </w:rPr>
              <w:t>50,000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NIL</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C (On Premises)</w:t>
            </w:r>
          </w:p>
        </w:tc>
        <w:tc>
          <w:tcPr>
            <w:tcW w:w="14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Insuring Agreement D (In Transit)</w:t>
            </w:r>
          </w:p>
        </w:tc>
        <w:tc>
          <w:tcPr>
            <w:tcW w:w="1420" w:type="dxa"/>
            <w:vAlign w:val="bottom"/>
          </w:tcPr>
          <w:p>
            <w:pPr>
              <w:ind w:left="13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E (Forgery or Alteration)</w:t>
            </w:r>
          </w:p>
        </w:tc>
        <w:tc>
          <w:tcPr>
            <w:tcW w:w="14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Insuring Agreement F (Securities)</w:t>
            </w:r>
          </w:p>
        </w:tc>
        <w:tc>
          <w:tcPr>
            <w:tcW w:w="1420" w:type="dxa"/>
            <w:vAlign w:val="bottom"/>
          </w:tcPr>
          <w:p>
            <w:pPr>
              <w:ind w:left="13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G (Counterfeit Currency)</w:t>
            </w:r>
          </w:p>
        </w:tc>
        <w:tc>
          <w:tcPr>
            <w:tcW w:w="14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Insuring Agreement H (Stop Payment)</w:t>
            </w:r>
          </w:p>
        </w:tc>
        <w:tc>
          <w:tcPr>
            <w:tcW w:w="1420" w:type="dxa"/>
            <w:vAlign w:val="bottom"/>
          </w:tcPr>
          <w:p>
            <w:pPr>
              <w:ind w:left="13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4"/>
              <w:spacing w:after="0"/>
              <w:rPr>
                <w:sz w:val="20"/>
                <w:szCs w:val="20"/>
                <w:color w:val="auto"/>
              </w:rPr>
            </w:pPr>
            <w:r>
              <w:rPr>
                <w:rFonts w:ascii="Arial" w:cs="Arial" w:eastAsia="Arial" w:hAnsi="Arial"/>
                <w:sz w:val="18"/>
                <w:szCs w:val="18"/>
                <w:color w:val="auto"/>
              </w:rPr>
              <w:t>50,000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I (Uncollectible Items of Deposit)</w:t>
            </w:r>
          </w:p>
        </w:tc>
        <w:tc>
          <w:tcPr>
            <w:tcW w:w="14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Additional Coverages:</w:t>
            </w: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J (Computer Systems)</w:t>
            </w:r>
          </w:p>
        </w:tc>
        <w:tc>
          <w:tcPr>
            <w:tcW w:w="14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Insuring Agreement K (Unauthorized: Signatures)</w:t>
            </w:r>
          </w:p>
        </w:tc>
        <w:tc>
          <w:tcPr>
            <w:tcW w:w="1420" w:type="dxa"/>
            <w:vAlign w:val="bottom"/>
          </w:tcPr>
          <w:p>
            <w:pPr>
              <w:ind w:left="13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4"/>
              <w:spacing w:after="0"/>
              <w:rPr>
                <w:sz w:val="20"/>
                <w:szCs w:val="20"/>
                <w:color w:val="auto"/>
              </w:rPr>
            </w:pPr>
            <w:r>
              <w:rPr>
                <w:rFonts w:ascii="Arial" w:cs="Arial" w:eastAsia="Arial" w:hAnsi="Arial"/>
                <w:sz w:val="18"/>
                <w:szCs w:val="18"/>
                <w:color w:val="auto"/>
              </w:rPr>
              <w:t>50,000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5,000</w:t>
            </w:r>
          </w:p>
        </w:tc>
      </w:tr>
      <w:tr>
        <w:trPr>
          <w:trHeight w:val="216"/>
        </w:trPr>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L (Voice Initiated Transfer)</w:t>
            </w:r>
          </w:p>
        </w:tc>
        <w:tc>
          <w:tcPr>
            <w:tcW w:w="14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22"/>
        </w:trPr>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Insuring Agreement M Telefacsimile Transfers</w:t>
            </w:r>
          </w:p>
        </w:tc>
        <w:tc>
          <w:tcPr>
            <w:tcW w:w="1420" w:type="dxa"/>
            <w:vAlign w:val="bottom"/>
          </w:tcPr>
          <w:p>
            <w:pPr>
              <w:ind w:left="13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r>
    </w:tbl>
    <w:p>
      <w:pPr>
        <w:spacing w:after="0" w:line="6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ectPr>
          <w:pgSz w:w="11900" w:h="16838" w:orient="portrait"/>
          <w:cols w:equalWidth="0" w:num="1">
            <w:col w:w="11420"/>
          </w:cols>
          <w:pgMar w:left="240" w:top="1179" w:right="239" w:bottom="1440" w:gutter="0" w:footer="0" w:header="0"/>
          <w:type w:val="continuous"/>
        </w:sectPr>
      </w:pPr>
    </w:p>
    <w:bookmarkStart w:id="3" w:name="page4"/>
    <w:bookmarkEnd w:id="3"/>
    <w:p>
      <w:pPr>
        <w:ind w:left="10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81" w:lineRule="exact"/>
        <w:rPr>
          <w:sz w:val="20"/>
          <w:szCs w:val="20"/>
          <w:color w:val="auto"/>
        </w:rPr>
      </w:pPr>
    </w:p>
    <w:p>
      <w:pPr>
        <w:ind w:left="1040" w:right="40" w:hanging="1025"/>
        <w:spacing w:after="0" w:line="259" w:lineRule="auto"/>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color w:val="auto"/>
        </w:rPr>
        <w:t xml:space="preserve">Offices or Premises Covered-Offices acquired or established subsequent to the effective date of this bond are covered according to the terms of General Agreement A. All the Insured’s offices or premises in existence at the time this bond becomes effective are covered under this bond except the offices or premises located as follows: </w:t>
      </w:r>
      <w:r>
        <w:rPr>
          <w:rFonts w:ascii="Arial" w:cs="Arial" w:eastAsia="Arial" w:hAnsi="Arial"/>
          <w:sz w:val="18"/>
          <w:szCs w:val="18"/>
          <w:b w:val="1"/>
          <w:bCs w:val="1"/>
          <w:color w:val="auto"/>
        </w:rPr>
        <w:t>No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040" w:right="80" w:hanging="1025"/>
        <w:spacing w:after="0" w:line="268" w:lineRule="auto"/>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The liability of the Underwriter is subject to the terms of the following riders attached thereto: Endorsement #1, #2, #3, #4, #5, #6, #7, #8, #9, #10, #11,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040" w:right="40" w:hanging="1025"/>
        <w:spacing w:after="0" w:line="268" w:lineRule="auto"/>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color w:val="auto"/>
        </w:rPr>
        <w:t>The Insured by the acceptance of this bond gives to the Underwriter terminating or canceling prior bond(s) or policy(ies) No.(s) 01-878-27-99 such termination or cancellation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PREMIUM: $14,489</w:t>
      </w:r>
    </w:p>
    <w:p>
      <w:pPr>
        <w:spacing w:after="0" w:line="165"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Insurer has caused this policy to be signed on the Declarations Page by its President, a Secretary and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111125</wp:posOffset>
            </wp:positionV>
            <wp:extent cx="4150995"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509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480"/>
        <w:spacing w:after="0"/>
        <w:tabs>
          <w:tab w:leader="none" w:pos="5440" w:val="left"/>
        </w:tabs>
        <w:rPr>
          <w:sz w:val="20"/>
          <w:szCs w:val="20"/>
          <w:color w:val="auto"/>
        </w:rPr>
      </w:pPr>
      <w:r>
        <w:rPr>
          <w:rFonts w:ascii="Arial" w:cs="Arial" w:eastAsia="Arial" w:hAnsi="Arial"/>
          <w:sz w:val="18"/>
          <w:szCs w:val="18"/>
          <w:b w:val="1"/>
          <w:bCs w:val="1"/>
          <w:color w:val="auto"/>
        </w:rPr>
        <w:t>SECRETARY</w:t>
      </w:r>
      <w:r>
        <w:rPr>
          <w:sz w:val="20"/>
          <w:szCs w:val="20"/>
          <w:color w:val="auto"/>
        </w:rPr>
        <w:tab/>
      </w:r>
      <w:r>
        <w:rPr>
          <w:rFonts w:ascii="Arial" w:cs="Arial" w:eastAsia="Arial" w:hAnsi="Arial"/>
          <w:sz w:val="18"/>
          <w:szCs w:val="18"/>
          <w:b w:val="1"/>
          <w:bCs w:val="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143510</wp:posOffset>
            </wp:positionV>
            <wp:extent cx="2392680" cy="506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9268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276860</wp:posOffset>
            </wp:positionV>
            <wp:extent cx="36963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200"/>
        <w:spacing w:after="0"/>
        <w:tabs>
          <w:tab w:leader="none" w:pos="6440" w:val="left"/>
        </w:tabs>
        <w:rPr>
          <w:sz w:val="20"/>
          <w:szCs w:val="20"/>
          <w:color w:val="auto"/>
        </w:rPr>
      </w:pPr>
      <w:r>
        <w:rPr>
          <w:rFonts w:ascii="Arial" w:cs="Arial" w:eastAsia="Arial" w:hAnsi="Arial"/>
          <w:sz w:val="18"/>
          <w:szCs w:val="18"/>
          <w:color w:val="auto"/>
        </w:rPr>
        <w:t>COUNTERSIGNATURE DATE</w:t>
      </w:r>
      <w:r>
        <w:rPr>
          <w:sz w:val="20"/>
          <w:szCs w:val="20"/>
          <w:color w:val="auto"/>
        </w:rPr>
        <w:tab/>
      </w:r>
      <w:r>
        <w:rPr>
          <w:rFonts w:ascii="Arial" w:cs="Arial" w:eastAsia="Arial" w:hAnsi="Arial"/>
          <w:sz w:val="16"/>
          <w:szCs w:val="16"/>
          <w:color w:val="auto"/>
        </w:rPr>
        <w:t>COUNTERSIGNED AT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88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6288405"/>
                    </a:xfrm>
                    <a:prstGeom prst="rect">
                      <a:avLst/>
                    </a:prstGeom>
                    <a:noFill/>
                  </pic:spPr>
                </pic:pic>
              </a:graphicData>
            </a:graphic>
          </wp:anchor>
        </w:drawing>
        <w:t>Exhibit A</w:t>
      </w:r>
    </w:p>
    <w:p>
      <w:pPr>
        <w:spacing w:after="0" w:line="152"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INVESTMENT COMPANY BLANKET BOND</w:t>
      </w:r>
    </w:p>
    <w:p>
      <w:pPr>
        <w:spacing w:after="0" w:line="177" w:lineRule="exact"/>
        <w:rPr>
          <w:sz w:val="20"/>
          <w:szCs w:val="20"/>
          <w:color w:val="auto"/>
        </w:rPr>
      </w:pPr>
    </w:p>
    <w:p>
      <w:pPr>
        <w:ind w:left="3" w:right="220"/>
        <w:spacing w:after="0" w:line="256" w:lineRule="auto"/>
        <w:rPr>
          <w:sz w:val="20"/>
          <w:szCs w:val="20"/>
          <w:color w:val="auto"/>
        </w:rPr>
      </w:pPr>
      <w:r>
        <w:rPr>
          <w:rFonts w:ascii="Arial" w:cs="Arial" w:eastAsia="Arial" w:hAnsi="Arial"/>
          <w:sz w:val="18"/>
          <w:szCs w:val="18"/>
          <w:color w:val="auto"/>
        </w:rPr>
        <w:t>The Underwriter, in consideration of an agreed premium, and subject to the Declarations made a part hereof, the General Agreements, Conditions and Limitations and other terms of this bond, agrees with the Insured, in accordance with the Insuring Agreements hereof to which an amount of insurance is applicable as set forth in Item 3 of the Declarations and with respect to loss sustained by the Insured at any time but discovered during the Bond Period, to indemnify and hold harmless the Insured for:</w:t>
      </w:r>
    </w:p>
    <w:p>
      <w:pPr>
        <w:spacing w:after="0" w:line="299"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INSURING AGREEMENTS</w:t>
      </w:r>
    </w:p>
    <w:p>
      <w:pPr>
        <w:sectPr>
          <w:pgSz w:w="11900" w:h="16838" w:orient="portrait"/>
          <w:cols w:equalWidth="0" w:num="1">
            <w:col w:w="11063"/>
          </w:cols>
          <w:pgMar w:left="437" w:top="469" w:right="399" w:bottom="1440" w:gutter="0" w:footer="0" w:header="0"/>
        </w:sectPr>
      </w:pPr>
    </w:p>
    <w:p>
      <w:pPr>
        <w:spacing w:after="0" w:line="258" w:lineRule="exact"/>
        <w:rPr>
          <w:sz w:val="20"/>
          <w:szCs w:val="20"/>
          <w:color w:val="auto"/>
        </w:rPr>
      </w:pPr>
    </w:p>
    <w:p>
      <w:pPr>
        <w:ind w:left="3"/>
        <w:spacing w:after="0"/>
        <w:rPr>
          <w:sz w:val="20"/>
          <w:szCs w:val="20"/>
          <w:color w:val="auto"/>
        </w:rPr>
      </w:pPr>
      <w:r>
        <w:rPr>
          <w:rFonts w:ascii="Arial" w:cs="Arial" w:eastAsia="Arial" w:hAnsi="Arial"/>
          <w:sz w:val="18"/>
          <w:szCs w:val="18"/>
          <w:color w:val="auto"/>
        </w:rPr>
        <w:t>(A)  FIDELITY</w:t>
      </w:r>
    </w:p>
    <w:p>
      <w:pPr>
        <w:spacing w:after="0" w:line="90" w:lineRule="exact"/>
        <w:rPr>
          <w:sz w:val="20"/>
          <w:szCs w:val="20"/>
          <w:color w:val="auto"/>
        </w:rPr>
      </w:pPr>
    </w:p>
    <w:p>
      <w:pPr>
        <w:ind w:left="3" w:right="40" w:firstLine="365"/>
        <w:spacing w:after="0" w:line="253" w:lineRule="auto"/>
        <w:rPr>
          <w:sz w:val="20"/>
          <w:szCs w:val="20"/>
          <w:color w:val="auto"/>
        </w:rPr>
      </w:pPr>
      <w:r>
        <w:rPr>
          <w:rFonts w:ascii="Arial" w:cs="Arial" w:eastAsia="Arial" w:hAnsi="Arial"/>
          <w:sz w:val="18"/>
          <w:szCs w:val="18"/>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147" w:lineRule="exact"/>
        <w:rPr>
          <w:sz w:val="20"/>
          <w:szCs w:val="20"/>
          <w:color w:val="auto"/>
        </w:rPr>
      </w:pPr>
    </w:p>
    <w:p>
      <w:pPr>
        <w:ind w:left="3" w:right="340" w:firstLine="365"/>
        <w:spacing w:after="0" w:line="259" w:lineRule="auto"/>
        <w:rPr>
          <w:sz w:val="20"/>
          <w:szCs w:val="20"/>
          <w:color w:val="auto"/>
        </w:rPr>
      </w:pPr>
      <w:r>
        <w:rPr>
          <w:rFonts w:ascii="Arial" w:cs="Arial" w:eastAsia="Arial" w:hAnsi="Arial"/>
          <w:sz w:val="18"/>
          <w:szCs w:val="18"/>
          <w:color w:val="auto"/>
        </w:rPr>
        <w:t>Dishonest or fraudulent act(s) as used in this Insuring Agreement shall mean only dishonest or fraudulent act(s) committed by such Employee with the manifest intent:</w:t>
      </w:r>
    </w:p>
    <w:p>
      <w:pPr>
        <w:spacing w:after="0" w:line="59" w:lineRule="exact"/>
        <w:rPr>
          <w:sz w:val="20"/>
          <w:szCs w:val="20"/>
          <w:color w:val="auto"/>
        </w:rPr>
      </w:pPr>
    </w:p>
    <w:p>
      <w:pPr>
        <w:ind w:left="723" w:hanging="358"/>
        <w:spacing w:after="0"/>
        <w:tabs>
          <w:tab w:leader="none" w:pos="723"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90" w:lineRule="exact"/>
        <w:rPr>
          <w:rFonts w:ascii="Arial" w:cs="Arial" w:eastAsia="Arial" w:hAnsi="Arial"/>
          <w:sz w:val="18"/>
          <w:szCs w:val="18"/>
          <w:color w:val="auto"/>
        </w:rPr>
      </w:pPr>
    </w:p>
    <w:p>
      <w:pPr>
        <w:ind w:left="723" w:hanging="358"/>
        <w:spacing w:after="0" w:line="294" w:lineRule="auto"/>
        <w:tabs>
          <w:tab w:leader="none" w:pos="723"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obtain financial benefit for the Employee, or for any other person or organization intended by the Employee to receive such benefit, other than salaries, commissions, fees, bonuses, promotions, awards, profit sharing, pensions or other employee benefits earned in the normal course of employment.</w:t>
      </w:r>
    </w:p>
    <w:p>
      <w:pPr>
        <w:spacing w:after="0" w:line="237" w:lineRule="exact"/>
        <w:rPr>
          <w:rFonts w:ascii="Arial" w:cs="Arial" w:eastAsia="Arial" w:hAnsi="Arial"/>
          <w:sz w:val="16"/>
          <w:szCs w:val="16"/>
          <w:color w:val="auto"/>
        </w:rPr>
      </w:pPr>
    </w:p>
    <w:p>
      <w:pPr>
        <w:ind w:left="363" w:hanging="363"/>
        <w:spacing w:after="0"/>
        <w:tabs>
          <w:tab w:leader="none" w:pos="363"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 EXPENSE</w:t>
      </w:r>
    </w:p>
    <w:p>
      <w:pPr>
        <w:spacing w:after="0" w:line="90" w:lineRule="exact"/>
        <w:rPr>
          <w:rFonts w:ascii="Arial" w:cs="Arial" w:eastAsia="Arial" w:hAnsi="Arial"/>
          <w:sz w:val="18"/>
          <w:szCs w:val="18"/>
          <w:color w:val="auto"/>
        </w:rPr>
      </w:pPr>
    </w:p>
    <w:p>
      <w:pPr>
        <w:ind w:left="363"/>
        <w:spacing w:after="0"/>
        <w:rPr>
          <w:rFonts w:ascii="Arial" w:cs="Arial" w:eastAsia="Arial" w:hAnsi="Arial"/>
          <w:sz w:val="18"/>
          <w:szCs w:val="18"/>
          <w:color w:val="auto"/>
        </w:rPr>
      </w:pPr>
      <w:r>
        <w:rPr>
          <w:rFonts w:ascii="Arial" w:cs="Arial" w:eastAsia="Arial" w:hAnsi="Arial"/>
          <w:sz w:val="16"/>
          <w:szCs w:val="16"/>
          <w:color w:val="auto"/>
        </w:rPr>
        <w:t>Expense incurred by the Insured for that part of the costs of audits or</w:t>
      </w:r>
    </w:p>
    <w:p>
      <w:pPr>
        <w:spacing w:after="0" w:line="38" w:lineRule="exact"/>
        <w:rPr>
          <w:sz w:val="20"/>
          <w:szCs w:val="20"/>
          <w:color w:val="auto"/>
        </w:rPr>
      </w:pPr>
    </w:p>
    <w:p>
      <w:pPr>
        <w:ind w:left="3" w:right="100"/>
        <w:spacing w:after="0" w:line="288" w:lineRule="auto"/>
        <w:rPr>
          <w:sz w:val="20"/>
          <w:szCs w:val="20"/>
          <w:color w:val="auto"/>
        </w:rPr>
      </w:pPr>
      <w:r>
        <w:rPr>
          <w:rFonts w:ascii="Arial" w:cs="Arial" w:eastAsia="Arial" w:hAnsi="Arial"/>
          <w:sz w:val="16"/>
          <w:szCs w:val="16"/>
          <w:color w:val="auto"/>
        </w:rPr>
        <w:t>examinations required by any governmental regulatory authority to be conducted either by such authority or by an independent accountant by reason of the discovery of loss sustained by the Insured through any dishonest or fraudulent act(s), including Larceny or Embezzlement of any of the Employees. The total liability of the Underwriter for such expense by reason of such acts of any Employee or in which such Employee is concerned or implicated or with</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respect to any one audit or examination is limited to the amount stated opposite Audit Expense in Item 3 of the Declarations; it being understood, however, that such expense shall be deemed to be a loss sustained by the Insured through any dishonest or fraudulent act(s), including Larceny or Embezzlement of one or more of the Employees and the liability under this paragraph shall be in addition to the Limit of liability stated in Insuring Agreement (A) in Item 3 of the Declarations.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  ON PREMISES</w:t>
      </w:r>
    </w:p>
    <w:p>
      <w:pPr>
        <w:spacing w:after="0" w:line="90" w:lineRule="exact"/>
        <w:rPr>
          <w:sz w:val="20"/>
          <w:szCs w:val="20"/>
          <w:color w:val="auto"/>
        </w:rPr>
      </w:pPr>
    </w:p>
    <w:p>
      <w:pPr>
        <w:ind w:right="120" w:firstLine="365"/>
        <w:spacing w:after="0" w:line="286" w:lineRule="auto"/>
        <w:rPr>
          <w:sz w:val="20"/>
          <w:szCs w:val="20"/>
          <w:color w:val="auto"/>
        </w:rPr>
      </w:pPr>
      <w:r>
        <w:rPr>
          <w:rFonts w:ascii="Arial" w:cs="Arial" w:eastAsia="Arial" w:hAnsi="Arial"/>
          <w:sz w:val="16"/>
          <w:szCs w:val="16"/>
          <w:color w:val="auto"/>
        </w:rPr>
        <w:t>Loss of Property (occurring with or without negligence or violence) through robbery, burglary, Larceny, theft, holdup, or other fraudulent means, misplacement, mysterious unexplainable disappearance, damage thereto or destruction thereof, abstraction or removal from the possession, custody or control of the Insured, and loss of subscription, conversion, redemption or deposit privileges through the misplacement or loss of Property, while the Property is (or is supposed or believed by the Insured to be) lodged or deposited within any offices or premises located anywhere, except in an office listed in Item 4 of the Declarations or amendment thereof or in the mail or with a carrier for hire other than an armored motor vehicle company, for the purpose of transportation.</w:t>
      </w:r>
    </w:p>
    <w:p>
      <w:pPr>
        <w:spacing w:after="0" w:line="28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Offices and Equipment</w:t>
      </w:r>
    </w:p>
    <w:p>
      <w:pPr>
        <w:spacing w:after="0" w:line="212" w:lineRule="exact"/>
        <w:rPr>
          <w:sz w:val="20"/>
          <w:szCs w:val="20"/>
          <w:color w:val="auto"/>
        </w:rPr>
      </w:pPr>
    </w:p>
    <w:p>
      <w:pPr>
        <w:jc w:val="both"/>
        <w:ind w:left="720" w:right="240" w:hanging="364"/>
        <w:spacing w:after="0" w:line="294"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Loss of or damage to, furnishings, fixtures, stationery, supplies or equipment, within any of the Insured’s offices covered under this bond caused by Larceny or theft in, or by burglary, robbery or holdup of such office, or attempt thereat, or by vandalism or malicious mischief; or</w:t>
      </w:r>
    </w:p>
    <w:p>
      <w:pPr>
        <w:spacing w:after="0" w:line="287" w:lineRule="exact"/>
        <w:rPr>
          <w:sz w:val="20"/>
          <w:szCs w:val="20"/>
          <w:color w:val="auto"/>
        </w:rPr>
      </w:pPr>
    </w:p>
    <w:p>
      <w:pPr>
        <w:sectPr>
          <w:pgSz w:w="11900" w:h="16838" w:orient="portrait"/>
          <w:cols w:equalWidth="0" w:num="2">
            <w:col w:w="5283" w:space="360"/>
            <w:col w:w="5420"/>
          </w:cols>
          <w:pgMar w:left="437" w:top="469" w:right="399" w:bottom="1440" w:gutter="0" w:footer="0" w:header="0"/>
          <w:type w:val="continuous"/>
        </w:sectPr>
      </w:pPr>
    </w:p>
    <w:p>
      <w:pPr>
        <w:spacing w:after="0" w:line="11" w:lineRule="exact"/>
        <w:rPr>
          <w:sz w:val="20"/>
          <w:szCs w:val="20"/>
          <w:color w:val="auto"/>
        </w:rPr>
      </w:pPr>
    </w:p>
    <w:p>
      <w:pPr>
        <w:ind w:left="3"/>
        <w:spacing w:after="0"/>
        <w:tabs>
          <w:tab w:leader="none" w:pos="5582" w:val="left"/>
          <w:tab w:leader="none" w:pos="9022"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3"/>
          </w:cols>
          <w:pgMar w:left="437" w:top="469" w:right="399" w:bottom="1440" w:gutter="0" w:footer="0" w:header="0"/>
          <w:type w:val="continuous"/>
        </w:sectPr>
      </w:pPr>
    </w:p>
    <w:bookmarkStart w:id="5" w:name="page6"/>
    <w:bookmarkEnd w:id="5"/>
    <w:p>
      <w:pPr>
        <w:spacing w:after="0" w:line="200" w:lineRule="exact"/>
        <w:rPr>
          <w:sz w:val="20"/>
          <w:szCs w:val="20"/>
          <w:color w:val="auto"/>
        </w:rPr>
      </w:pPr>
    </w:p>
    <w:p>
      <w:pPr>
        <w:spacing w:after="0" w:line="205" w:lineRule="exact"/>
        <w:rPr>
          <w:sz w:val="20"/>
          <w:szCs w:val="20"/>
          <w:color w:val="auto"/>
        </w:rPr>
      </w:pPr>
    </w:p>
    <w:p>
      <w:pPr>
        <w:ind w:left="723" w:right="20" w:hanging="358"/>
        <w:spacing w:after="0" w:line="290" w:lineRule="auto"/>
        <w:tabs>
          <w:tab w:leader="none" w:pos="723" w:val="left"/>
        </w:tabs>
        <w:numPr>
          <w:ilvl w:val="1"/>
          <w:numId w:val="6"/>
        </w:numPr>
        <w:rPr>
          <w:rFonts w:ascii="Arial" w:cs="Arial" w:eastAsia="Arial" w:hAnsi="Arial"/>
          <w:sz w:val="16"/>
          <w:szCs w:val="16"/>
          <w:color w:val="auto"/>
        </w:rPr>
      </w:pPr>
      <w:r>
        <w:rPr>
          <w:rFonts w:ascii="Arial" w:cs="Arial" w:eastAsia="Arial" w:hAnsi="Arial"/>
          <w:sz w:val="16"/>
          <w:szCs w:val="16"/>
          <w:color w:val="auto"/>
        </w:rPr>
        <w:t>loss through damage to any such office by Larceny or theft in, or by burglary, robbery or holdup of such office or attempt thereat, or to the interior of any such office by vandalism or malicious mischief provided, in any event, that the Insured is the owner of such offices, furnishings, fixtures, stationery, supplies or equipment or is legally liable for such loss or damage, always excepting, however, all loss or damage through fire.</w:t>
      </w:r>
    </w:p>
    <w:p>
      <w:pPr>
        <w:spacing w:after="0" w:line="239" w:lineRule="exact"/>
        <w:rPr>
          <w:rFonts w:ascii="Arial" w:cs="Arial" w:eastAsia="Arial" w:hAnsi="Arial"/>
          <w:sz w:val="16"/>
          <w:szCs w:val="16"/>
          <w:color w:val="auto"/>
        </w:rPr>
      </w:pPr>
    </w:p>
    <w:p>
      <w:pPr>
        <w:ind w:left="363" w:hanging="363"/>
        <w:spacing w:after="0"/>
        <w:tabs>
          <w:tab w:leader="none" w:pos="36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TRANSIT</w:t>
      </w:r>
    </w:p>
    <w:p>
      <w:pPr>
        <w:spacing w:after="0" w:line="90" w:lineRule="exact"/>
        <w:rPr>
          <w:rFonts w:ascii="Arial" w:cs="Arial" w:eastAsia="Arial" w:hAnsi="Arial"/>
          <w:sz w:val="18"/>
          <w:szCs w:val="18"/>
          <w:color w:val="auto"/>
        </w:rPr>
      </w:pPr>
    </w:p>
    <w:p>
      <w:pPr>
        <w:ind w:left="363"/>
        <w:spacing w:after="0"/>
        <w:rPr>
          <w:rFonts w:ascii="Arial" w:cs="Arial" w:eastAsia="Arial" w:hAnsi="Arial"/>
          <w:sz w:val="18"/>
          <w:szCs w:val="18"/>
          <w:color w:val="auto"/>
        </w:rPr>
      </w:pPr>
      <w:r>
        <w:rPr>
          <w:rFonts w:ascii="Arial" w:cs="Arial" w:eastAsia="Arial" w:hAnsi="Arial"/>
          <w:sz w:val="16"/>
          <w:szCs w:val="16"/>
          <w:color w:val="auto"/>
        </w:rPr>
        <w:t>Loss of Property (occurring with or without negligence or violence)</w:t>
      </w:r>
    </w:p>
    <w:p>
      <w:pPr>
        <w:spacing w:after="0" w:line="38" w:lineRule="exact"/>
        <w:rPr>
          <w:sz w:val="20"/>
          <w:szCs w:val="20"/>
          <w:color w:val="auto"/>
        </w:rPr>
      </w:pPr>
    </w:p>
    <w:p>
      <w:pPr>
        <w:ind w:left="3"/>
        <w:spacing w:after="0" w:line="286" w:lineRule="auto"/>
        <w:rPr>
          <w:sz w:val="20"/>
          <w:szCs w:val="20"/>
          <w:color w:val="auto"/>
        </w:rPr>
      </w:pPr>
      <w:r>
        <w:rPr>
          <w:rFonts w:ascii="Arial" w:cs="Arial" w:eastAsia="Arial" w:hAnsi="Arial"/>
          <w:sz w:val="16"/>
          <w:szCs w:val="16"/>
          <w:color w:val="auto"/>
        </w:rPr>
        <w:t>through robbery, Larceny, theft, holdup, misplacement, mysterious unexplainable disappearance, being lost or otherwise made away with, damage thereto or destruction thereof, and loss of subscription, conversion, redemption or deposit privileges through the misplacement or loss of Property, while the Property is in transit anywhere in the custody of any person or persons acting as messenger, except while in the mail or with a carrier for hire, other than an armored motor vehicle company, for the purpose of transportation, such transit to begin immediately upon receipt of such Property by the transporting person or persons, and to end immediately upon delivery thereof at destination.</w:t>
      </w:r>
    </w:p>
    <w:p>
      <w:pPr>
        <w:spacing w:after="0" w:line="246" w:lineRule="exact"/>
        <w:rPr>
          <w:sz w:val="20"/>
          <w:szCs w:val="20"/>
          <w:color w:val="auto"/>
        </w:rPr>
      </w:pPr>
    </w:p>
    <w:p>
      <w:pPr>
        <w:ind w:left="3"/>
        <w:spacing w:after="0"/>
        <w:tabs>
          <w:tab w:leader="none" w:pos="342"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FORGERY OR ALTERATION</w:t>
      </w:r>
    </w:p>
    <w:p>
      <w:pPr>
        <w:spacing w:after="0" w:line="90" w:lineRule="exact"/>
        <w:rPr>
          <w:sz w:val="20"/>
          <w:szCs w:val="20"/>
          <w:color w:val="auto"/>
        </w:rPr>
      </w:pPr>
    </w:p>
    <w:p>
      <w:pPr>
        <w:ind w:left="3" w:right="40" w:firstLine="365"/>
        <w:spacing w:after="0" w:line="289" w:lineRule="auto"/>
        <w:rPr>
          <w:sz w:val="20"/>
          <w:szCs w:val="20"/>
          <w:color w:val="auto"/>
        </w:rPr>
      </w:pPr>
      <w:r>
        <w:rPr>
          <w:rFonts w:ascii="Arial" w:cs="Arial" w:eastAsia="Arial" w:hAnsi="Arial"/>
          <w:sz w:val="16"/>
          <w:szCs w:val="16"/>
          <w:color w:val="auto"/>
        </w:rPr>
        <w:t>Loss through FORGERY or ALTERATION of, on or in any bills of exchange, checks, drafts, acceptances, certificates of deposit. promissory notes, or other written promises, orders or directions to pay sums certain in money, due bills, money orders, warrants, orders upon public treasuries, letters of credit, written instructions, advices or applications directed to the Insured, authorizing or acknowledging the transfer, payment, delivery or receipt of funds or Property, which instructions or advices or applications purport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-339725</wp:posOffset>
            </wp:positionV>
            <wp:extent cx="7289165" cy="5850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5850890"/>
                    </a:xfrm>
                    <a:prstGeom prst="rect">
                      <a:avLst/>
                    </a:prstGeom>
                    <a:noFill/>
                  </pic:spPr>
                </pic:pic>
              </a:graphicData>
            </a:graphic>
          </wp:anchor>
        </w:drawing>
      </w:r>
    </w:p>
    <w:p>
      <w:pPr>
        <w:spacing w:after="0" w:line="178"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to have been signed or endorsed by any customer of the Insured, shareholder or subscriber to shares, whether certificated or uncertificated, of any Investment Company or by any financial or banking institution or stockbroker but which instructions, advices or applications either bear the forged signature or endorsement or have been altered without the knowledge and consent of such customer, shareholder or subscriber to shares, whether certificated or uncertificated, of an Investment Company, financial or banking institution or stockbroker, withdrawal orders or receipts for the withdrawal of funds or Property, or receipts or certificates of deposit for Property and bearing the name of the Insured as issuer, or of another Investment Company for which the Insured acts as agent, excluding, however, any loss covered under Insuring Agreement (F) hereof whether or not coverage for Insuring Agreement (F) is provided for in the Declarations of this bond.</w:t>
      </w:r>
    </w:p>
    <w:p>
      <w:pPr>
        <w:spacing w:after="0" w:line="128" w:lineRule="exact"/>
        <w:rPr>
          <w:sz w:val="20"/>
          <w:szCs w:val="20"/>
          <w:color w:val="auto"/>
        </w:rPr>
      </w:pPr>
    </w:p>
    <w:p>
      <w:pPr>
        <w:ind w:right="160" w:firstLine="365"/>
        <w:spacing w:after="0" w:line="253" w:lineRule="auto"/>
        <w:rPr>
          <w:sz w:val="20"/>
          <w:szCs w:val="20"/>
          <w:color w:val="auto"/>
        </w:rPr>
      </w:pPr>
      <w:r>
        <w:rPr>
          <w:rFonts w:ascii="Arial" w:cs="Arial" w:eastAsia="Arial" w:hAnsi="Arial"/>
          <w:sz w:val="18"/>
          <w:szCs w:val="18"/>
          <w:color w:val="auto"/>
        </w:rPr>
        <w:t>Any check or draft (a) made payable to a fictitious payee and endorsed in the name of such fictitious payee or (b) procured in a transaction with the maker or drawer thereof or with one acting as an agent of such maker or drawer or anyone impersonating another and made or drawn payable to the one so impersonated and endorsed by anyone other than the one impersonated, shall be deemed to be forged as to such endorsement.</w:t>
      </w:r>
    </w:p>
    <w:p>
      <w:pPr>
        <w:spacing w:after="0" w:line="147" w:lineRule="exact"/>
        <w:rPr>
          <w:sz w:val="20"/>
          <w:szCs w:val="20"/>
          <w:color w:val="auto"/>
        </w:rPr>
      </w:pPr>
    </w:p>
    <w:p>
      <w:pPr>
        <w:ind w:right="200" w:firstLine="365"/>
        <w:spacing w:after="0" w:line="268" w:lineRule="auto"/>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25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SECURITIES</w:t>
      </w:r>
    </w:p>
    <w:p>
      <w:pPr>
        <w:spacing w:after="0" w:line="90" w:lineRule="exact"/>
        <w:rPr>
          <w:sz w:val="20"/>
          <w:szCs w:val="20"/>
          <w:color w:val="auto"/>
        </w:rPr>
      </w:pPr>
    </w:p>
    <w:p>
      <w:pPr>
        <w:ind w:right="160" w:firstLine="365"/>
        <w:spacing w:after="0" w:line="291" w:lineRule="auto"/>
        <w:rPr>
          <w:sz w:val="20"/>
          <w:szCs w:val="20"/>
          <w:color w:val="auto"/>
        </w:rPr>
      </w:pPr>
      <w:r>
        <w:rPr>
          <w:rFonts w:ascii="Arial" w:cs="Arial" w:eastAsia="Arial" w:hAnsi="Arial"/>
          <w:sz w:val="16"/>
          <w:szCs w:val="16"/>
          <w:color w:val="auto"/>
        </w:rPr>
        <w:t>Loss sustained by the Insured, including loss sustained by reason of a violation of the constitution, by-laws, rules or regulations of any Self Regulatory Organization of which the Insured is a member or which would have been imposed upon the Insured by the constitution, by-laws, rules or regulations of any Self Regulatory Organization if the Insured had been a member thereof,</w:t>
      </w:r>
    </w:p>
    <w:p>
      <w:pPr>
        <w:spacing w:after="0" w:line="39" w:lineRule="exact"/>
        <w:rPr>
          <w:sz w:val="20"/>
          <w:szCs w:val="20"/>
          <w:color w:val="auto"/>
        </w:rPr>
      </w:pPr>
    </w:p>
    <w:p>
      <w:pPr>
        <w:ind w:left="720" w:right="280" w:hanging="364"/>
        <w:spacing w:after="0" w:line="332"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through the Insured’s having, in good faith and in the course of business, whether for its own account or for the</w:t>
      </w:r>
    </w:p>
    <w:p>
      <w:pPr>
        <w:spacing w:after="0" w:line="174" w:lineRule="exact"/>
        <w:rPr>
          <w:sz w:val="20"/>
          <w:szCs w:val="20"/>
          <w:color w:val="auto"/>
        </w:rPr>
      </w:pPr>
    </w:p>
    <w:p>
      <w:pPr>
        <w:sectPr>
          <w:pgSz w:w="11900" w:h="16838" w:orient="portrait"/>
          <w:cols w:equalWidth="0" w:num="2">
            <w:col w:w="5303" w:space="340"/>
            <w:col w:w="5420"/>
          </w:cols>
          <w:pgMar w:left="437" w:top="469" w:right="399" w:bottom="1440" w:gutter="0" w:footer="0" w:header="0"/>
        </w:sectPr>
      </w:pPr>
    </w:p>
    <w:p>
      <w:pPr>
        <w:ind w:left="3"/>
        <w:spacing w:after="0"/>
        <w:tabs>
          <w:tab w:leader="none" w:pos="5582" w:val="left"/>
          <w:tab w:leader="none" w:pos="9022"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3"/>
          </w:cols>
          <w:pgMar w:left="437" w:top="469" w:right="399" w:bottom="1440" w:gutter="0" w:footer="0" w:header="0"/>
          <w:type w:val="continuous"/>
        </w:sectPr>
      </w:pPr>
    </w:p>
    <w:bookmarkStart w:id="6" w:name="page7"/>
    <w:bookmarkEnd w:id="6"/>
    <w:p>
      <w:pPr>
        <w:spacing w:after="0" w:line="200" w:lineRule="exact"/>
        <w:rPr>
          <w:sz w:val="20"/>
          <w:szCs w:val="20"/>
          <w:color w:val="auto"/>
        </w:rPr>
      </w:pPr>
    </w:p>
    <w:p>
      <w:pPr>
        <w:spacing w:after="0" w:line="205" w:lineRule="exact"/>
        <w:rPr>
          <w:sz w:val="20"/>
          <w:szCs w:val="20"/>
          <w:color w:val="auto"/>
        </w:rPr>
      </w:pPr>
    </w:p>
    <w:p>
      <w:pPr>
        <w:ind w:left="720"/>
        <w:spacing w:after="0" w:line="314" w:lineRule="auto"/>
        <w:rPr>
          <w:sz w:val="20"/>
          <w:szCs w:val="20"/>
          <w:color w:val="auto"/>
        </w:rPr>
      </w:pPr>
      <w:r>
        <w:rPr>
          <w:rFonts w:ascii="Arial" w:cs="Arial" w:eastAsia="Arial" w:hAnsi="Arial"/>
          <w:sz w:val="15"/>
          <w:szCs w:val="15"/>
          <w:color w:val="auto"/>
        </w:rPr>
        <w:t>account of others, in any representative, fiduciary, agency or any other capacity, either gratuitously or otherwise, purchased or otherwise acquired, accepted or received, or sold or delivered, or given any value, extended any credit or assumed any liability, on the faith of, or otherwise acted upon, any securities, documents or other written instruments which prove to have been</w:t>
      </w:r>
    </w:p>
    <w:p>
      <w:pPr>
        <w:spacing w:after="0" w:line="24" w:lineRule="exact"/>
        <w:rPr>
          <w:sz w:val="20"/>
          <w:szCs w:val="20"/>
          <w:color w:val="auto"/>
        </w:rPr>
      </w:pPr>
    </w:p>
    <w:p>
      <w:pPr>
        <w:ind w:left="1100" w:hanging="374"/>
        <w:spacing w:after="0"/>
        <w:tabs>
          <w:tab w:leader="none" w:pos="1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counterfeited, or</w:t>
      </w:r>
    </w:p>
    <w:p>
      <w:pPr>
        <w:spacing w:after="0" w:line="90" w:lineRule="exact"/>
        <w:rPr>
          <w:rFonts w:ascii="Arial" w:cs="Arial" w:eastAsia="Arial" w:hAnsi="Arial"/>
          <w:sz w:val="18"/>
          <w:szCs w:val="18"/>
          <w:color w:val="auto"/>
        </w:rPr>
      </w:pPr>
    </w:p>
    <w:p>
      <w:pPr>
        <w:ind w:left="1100" w:right="180" w:hanging="374"/>
        <w:spacing w:after="0" w:line="298" w:lineRule="auto"/>
        <w:tabs>
          <w:tab w:leader="none" w:pos="1100" w:val="left"/>
        </w:tabs>
        <w:numPr>
          <w:ilvl w:val="1"/>
          <w:numId w:val="9"/>
        </w:numPr>
        <w:rPr>
          <w:rFonts w:ascii="Arial" w:cs="Arial" w:eastAsia="Arial" w:hAnsi="Arial"/>
          <w:sz w:val="16"/>
          <w:szCs w:val="16"/>
          <w:color w:val="auto"/>
        </w:rPr>
      </w:pPr>
      <w:r>
        <w:rPr>
          <w:rFonts w:ascii="Arial" w:cs="Arial" w:eastAsia="Arial" w:hAnsi="Arial"/>
          <w:sz w:val="16"/>
          <w:szCs w:val="16"/>
          <w:color w:val="auto"/>
        </w:rPr>
        <w:t>forged as to the signature of any maker, drawer, issuer, endorser, assignor, lessee, transfer agent or registrar, acceptor, surety or guarantor or as to the signature of any person signing in any other capacity, or</w:t>
      </w:r>
    </w:p>
    <w:p>
      <w:pPr>
        <w:spacing w:after="0" w:line="31" w:lineRule="exact"/>
        <w:rPr>
          <w:rFonts w:ascii="Arial" w:cs="Arial" w:eastAsia="Arial" w:hAnsi="Arial"/>
          <w:sz w:val="16"/>
          <w:szCs w:val="16"/>
          <w:color w:val="auto"/>
        </w:rPr>
      </w:pPr>
    </w:p>
    <w:p>
      <w:pPr>
        <w:ind w:left="1100" w:hanging="374"/>
        <w:spacing w:after="0"/>
        <w:tabs>
          <w:tab w:leader="none" w:pos="1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raised or otherwise altered, or lost, or stolen, or</w:t>
      </w:r>
    </w:p>
    <w:p>
      <w:pPr>
        <w:spacing w:after="0" w:line="90" w:lineRule="exact"/>
        <w:rPr>
          <w:rFonts w:ascii="Arial" w:cs="Arial" w:eastAsia="Arial" w:hAnsi="Arial"/>
          <w:sz w:val="18"/>
          <w:szCs w:val="18"/>
          <w:color w:val="auto"/>
        </w:rPr>
      </w:pPr>
    </w:p>
    <w:p>
      <w:pPr>
        <w:ind w:left="720" w:hanging="358"/>
        <w:spacing w:after="0" w:line="282"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through the Insured’s having, in good faith and in the course of business, guaranteed in writing or witnessed any signatures whether for valuable consideration or not and whether or not such guaranteeing or witnessing is ultra vires the Insured, upon any transfers, assignments, bills of sale, powers of attorney, guarantees, endorsements or other obligations upon or in connection with any securities, documents or other written instruments and which pass or purport to pass title to such securities, documents or other written instruments; EXCLUDING, losses caused by FORGERY or ALTERATION of, on or in those instruments covered under Insuring Agreement</w:t>
      </w:r>
    </w:p>
    <w:p>
      <w:pPr>
        <w:spacing w:after="0" w:line="5"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(E) hereof.</w:t>
      </w:r>
    </w:p>
    <w:p>
      <w:pPr>
        <w:spacing w:after="0" w:line="83" w:lineRule="exact"/>
        <w:rPr>
          <w:rFonts w:ascii="Arial" w:cs="Arial" w:eastAsia="Arial" w:hAnsi="Arial"/>
          <w:sz w:val="16"/>
          <w:szCs w:val="16"/>
          <w:color w:val="auto"/>
        </w:rPr>
      </w:pPr>
    </w:p>
    <w:p>
      <w:pPr>
        <w:ind w:left="720" w:right="180"/>
        <w:spacing w:after="0" w:line="291" w:lineRule="auto"/>
        <w:rPr>
          <w:rFonts w:ascii="Arial" w:cs="Arial" w:eastAsia="Arial" w:hAnsi="Arial"/>
          <w:sz w:val="16"/>
          <w:szCs w:val="16"/>
          <w:color w:val="auto"/>
        </w:rPr>
      </w:pPr>
      <w:r>
        <w:rPr>
          <w:rFonts w:ascii="Arial" w:cs="Arial" w:eastAsia="Arial" w:hAnsi="Arial"/>
          <w:sz w:val="16"/>
          <w:szCs w:val="16"/>
          <w:color w:val="auto"/>
        </w:rPr>
        <w:t>Securities, documents or other written instruments shall be deemed to mean original (including original counterparts) negotiable or non-negotiable agreements which in and of themselves represent an equitable interest, ownership, or debt, including an assignment thereof which instruments are in the ordinary course of business, transferable by delivery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-339725</wp:posOffset>
            </wp:positionV>
            <wp:extent cx="7289165" cy="53447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5344795"/>
                    </a:xfrm>
                    <a:prstGeom prst="rect">
                      <a:avLst/>
                    </a:prstGeom>
                    <a:noFill/>
                  </pic:spPr>
                </pic:pic>
              </a:graphicData>
            </a:graphic>
          </wp:anchor>
        </w:drawing>
      </w:r>
    </w:p>
    <w:p>
      <w:pPr>
        <w:spacing w:after="0" w:line="178" w:lineRule="exact"/>
        <w:rPr>
          <w:sz w:val="20"/>
          <w:szCs w:val="20"/>
          <w:color w:val="auto"/>
        </w:rPr>
      </w:pPr>
    </w:p>
    <w:p>
      <w:pPr>
        <w:ind w:left="760" w:right="840"/>
        <w:spacing w:after="0" w:line="268" w:lineRule="auto"/>
        <w:rPr>
          <w:sz w:val="20"/>
          <w:szCs w:val="20"/>
          <w:color w:val="auto"/>
        </w:rPr>
      </w:pPr>
      <w:r>
        <w:rPr>
          <w:rFonts w:ascii="Arial" w:cs="Arial" w:eastAsia="Arial" w:hAnsi="Arial"/>
          <w:sz w:val="18"/>
          <w:szCs w:val="18"/>
          <w:color w:val="auto"/>
        </w:rPr>
        <w:t>of such agreements with any necessary endorsement or assignment.</w:t>
      </w:r>
    </w:p>
    <w:p>
      <w:pPr>
        <w:spacing w:after="0" w:line="51" w:lineRule="exact"/>
        <w:rPr>
          <w:sz w:val="20"/>
          <w:szCs w:val="20"/>
          <w:color w:val="auto"/>
        </w:rPr>
      </w:pPr>
    </w:p>
    <w:p>
      <w:pPr>
        <w:ind w:left="760" w:right="160"/>
        <w:spacing w:after="0" w:line="256" w:lineRule="auto"/>
        <w:rPr>
          <w:sz w:val="20"/>
          <w:szCs w:val="20"/>
          <w:color w:val="auto"/>
        </w:rPr>
      </w:pPr>
      <w:r>
        <w:rPr>
          <w:rFonts w:ascii="Arial" w:cs="Arial" w:eastAsia="Arial" w:hAnsi="Arial"/>
          <w:sz w:val="18"/>
          <w:szCs w:val="18"/>
          <w:color w:val="auto"/>
        </w:rPr>
        <w:t>The word “counterfeited” as used in this Insuring Agreement shall be deemed to mean any security, document or other written instrument which is intended to deceive and to be taken for an original.</w:t>
      </w:r>
    </w:p>
    <w:p>
      <w:pPr>
        <w:spacing w:after="0" w:line="62" w:lineRule="exact"/>
        <w:rPr>
          <w:sz w:val="20"/>
          <w:szCs w:val="20"/>
          <w:color w:val="auto"/>
        </w:rPr>
      </w:pPr>
    </w:p>
    <w:p>
      <w:pPr>
        <w:ind w:left="760" w:right="160"/>
        <w:spacing w:after="0" w:line="268" w:lineRule="auto"/>
        <w:rPr>
          <w:sz w:val="20"/>
          <w:szCs w:val="20"/>
          <w:color w:val="auto"/>
        </w:rPr>
      </w:pPr>
      <w:r>
        <w:rPr>
          <w:rFonts w:ascii="Arial" w:cs="Arial" w:eastAsia="Arial" w:hAnsi="Arial"/>
          <w:sz w:val="18"/>
          <w:szCs w:val="18"/>
          <w:color w:val="auto"/>
        </w:rPr>
        <w:t>Mechanically produced facsimile signatures are treated the same as handwritten signatures.</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(G)  COUNTERFEIT CURRENCY</w:t>
      </w:r>
    </w:p>
    <w:p>
      <w:pPr>
        <w:spacing w:after="0" w:line="90" w:lineRule="exact"/>
        <w:rPr>
          <w:sz w:val="20"/>
          <w:szCs w:val="20"/>
          <w:color w:val="auto"/>
        </w:rPr>
      </w:pPr>
    </w:p>
    <w:p>
      <w:pPr>
        <w:ind w:left="40" w:right="300" w:firstLine="365"/>
        <w:spacing w:after="0" w:line="294" w:lineRule="auto"/>
        <w:rPr>
          <w:sz w:val="20"/>
          <w:szCs w:val="20"/>
          <w:color w:val="auto"/>
        </w:rPr>
      </w:pPr>
      <w:r>
        <w:rPr>
          <w:rFonts w:ascii="Arial" w:cs="Arial" w:eastAsia="Arial" w:hAnsi="Arial"/>
          <w:sz w:val="16"/>
          <w:szCs w:val="16"/>
          <w:color w:val="auto"/>
        </w:rPr>
        <w:t>Loss through the receipt by the Insured, in good faith, of any counterfeited money orders or altered paper currencies or coin of the United States of America or Canada issued or purporting to have been issued by the United States of America or Canada or issued pursuant to a United States of America or Canadian statute for use as currency.</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  STOP PAYMENT</w:t>
      </w:r>
    </w:p>
    <w:p>
      <w:pPr>
        <w:spacing w:after="0" w:line="90" w:lineRule="exact"/>
        <w:rPr>
          <w:sz w:val="20"/>
          <w:szCs w:val="20"/>
          <w:color w:val="auto"/>
        </w:rPr>
      </w:pPr>
    </w:p>
    <w:p>
      <w:pPr>
        <w:ind w:left="40" w:right="400" w:firstLine="365"/>
        <w:spacing w:after="0" w:line="259" w:lineRule="auto"/>
        <w:rPr>
          <w:sz w:val="20"/>
          <w:szCs w:val="20"/>
          <w:color w:val="auto"/>
        </w:rPr>
      </w:pPr>
      <w:r>
        <w:rPr>
          <w:rFonts w:ascii="Arial" w:cs="Arial" w:eastAsia="Arial" w:hAnsi="Arial"/>
          <w:sz w:val="18"/>
          <w:szCs w:val="18"/>
          <w:color w:val="auto"/>
        </w:rPr>
        <w:t>Loss against any and all sums which the Insured shall become obligated to pay by reason of the Liability imposed upon the Insured by law for damages:</w:t>
      </w:r>
    </w:p>
    <w:p>
      <w:pPr>
        <w:spacing w:after="0" w:line="59" w:lineRule="exact"/>
        <w:rPr>
          <w:sz w:val="20"/>
          <w:szCs w:val="20"/>
          <w:color w:val="auto"/>
        </w:rPr>
      </w:pPr>
    </w:p>
    <w:p>
      <w:pPr>
        <w:ind w:left="400" w:right="220"/>
        <w:spacing w:after="0" w:line="291" w:lineRule="auto"/>
        <w:rPr>
          <w:sz w:val="20"/>
          <w:szCs w:val="20"/>
          <w:color w:val="auto"/>
        </w:rPr>
      </w:pPr>
      <w:r>
        <w:rPr>
          <w:rFonts w:ascii="Arial" w:cs="Arial" w:eastAsia="Arial" w:hAnsi="Arial"/>
          <w:sz w:val="16"/>
          <w:szCs w:val="16"/>
          <w:color w:val="auto"/>
        </w:rPr>
        <w:t>For having either complied with or failed to comply with any written notice of any customer, shareholder or subscriber of the Insured or any Authorized Representative of such customer, shareholder or subscriber to stop payment of any check or draft made or drawn by such customer, shareholder or subscriber or any Authorized Representative of such customer, shareholder or subscriber, or</w:t>
      </w:r>
    </w:p>
    <w:p>
      <w:pPr>
        <w:spacing w:after="0" w:line="39" w:lineRule="exact"/>
        <w:rPr>
          <w:sz w:val="20"/>
          <w:szCs w:val="20"/>
          <w:color w:val="auto"/>
        </w:rPr>
      </w:pPr>
    </w:p>
    <w:p>
      <w:pPr>
        <w:ind w:left="400" w:right="220"/>
        <w:spacing w:after="0" w:line="335" w:lineRule="auto"/>
        <w:rPr>
          <w:sz w:val="20"/>
          <w:szCs w:val="20"/>
          <w:color w:val="auto"/>
        </w:rPr>
      </w:pPr>
      <w:r>
        <w:rPr>
          <w:rFonts w:ascii="Arial" w:cs="Arial" w:eastAsia="Arial" w:hAnsi="Arial"/>
          <w:sz w:val="15"/>
          <w:szCs w:val="15"/>
          <w:color w:val="auto"/>
        </w:rPr>
        <w:t>For having refused to pay any check or draft made or drawn by any customer, shareholder or subscriber of the Insured or any Authorized Representative of such customer, shareholder or subscriber.</w:t>
      </w:r>
    </w:p>
    <w:p>
      <w:pPr>
        <w:spacing w:after="0" w:line="177"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280" w:space="320"/>
            <w:col w:w="5460"/>
          </w:cols>
          <w:pgMar w:left="440" w:top="469" w:right="399" w:bottom="1440" w:gutter="0" w:footer="0" w:header="0"/>
        </w:sectPr>
      </w:pPr>
    </w:p>
    <w:bookmarkStart w:id="7" w:name="page8"/>
    <w:bookmarkEnd w:id="7"/>
    <w:p>
      <w:pPr>
        <w:spacing w:after="0" w:line="200" w:lineRule="exact"/>
        <w:rPr>
          <w:sz w:val="20"/>
          <w:szCs w:val="20"/>
          <w:color w:val="auto"/>
        </w:rPr>
      </w:pPr>
    </w:p>
    <w:p>
      <w:pPr>
        <w:spacing w:after="0" w:line="205" w:lineRule="exact"/>
        <w:rPr>
          <w:sz w:val="20"/>
          <w:szCs w:val="20"/>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UNCOLLECTIBLE ITEMS OF DEPOSIT</w:t>
      </w:r>
    </w:p>
    <w:p>
      <w:pPr>
        <w:spacing w:after="0" w:line="90" w:lineRule="exact"/>
        <w:rPr>
          <w:sz w:val="20"/>
          <w:szCs w:val="20"/>
          <w:color w:val="auto"/>
        </w:rPr>
      </w:pPr>
    </w:p>
    <w:p>
      <w:pPr>
        <w:ind w:left="3" w:right="80" w:firstLine="365"/>
        <w:spacing w:after="0" w:line="318" w:lineRule="auto"/>
        <w:rPr>
          <w:sz w:val="20"/>
          <w:szCs w:val="20"/>
          <w:color w:val="auto"/>
        </w:rPr>
      </w:pPr>
      <w:r>
        <w:rPr>
          <w:rFonts w:ascii="Arial" w:cs="Arial" w:eastAsia="Arial" w:hAnsi="Arial"/>
          <w:sz w:val="15"/>
          <w:szCs w:val="15"/>
          <w:color w:val="auto"/>
        </w:rPr>
        <w:t>Loss resulting from payments of dividends or fund shares, or withdrawals permitted from any customer’s, shareholder’s or subscriber’s account based upon Uncollectible Items of Deposit of a customer, shareholder or subscriber credited by the Insured or the Insured’s agent to such customer’s, shareholder’s or subscriber’s Mutual Fund Account; or</w:t>
      </w:r>
    </w:p>
    <w:p>
      <w:pPr>
        <w:spacing w:after="0" w:line="100" w:lineRule="exact"/>
        <w:rPr>
          <w:sz w:val="20"/>
          <w:szCs w:val="20"/>
          <w:color w:val="auto"/>
        </w:rPr>
      </w:pPr>
    </w:p>
    <w:p>
      <w:pPr>
        <w:ind w:left="3" w:firstLine="365"/>
        <w:spacing w:after="0" w:line="306" w:lineRule="auto"/>
        <w:rPr>
          <w:sz w:val="20"/>
          <w:szCs w:val="20"/>
          <w:color w:val="auto"/>
        </w:rPr>
      </w:pPr>
      <w:r>
        <w:rPr>
          <w:rFonts w:ascii="Arial" w:cs="Arial" w:eastAsia="Arial" w:hAnsi="Arial"/>
          <w:sz w:val="16"/>
          <w:szCs w:val="16"/>
          <w:color w:val="auto"/>
        </w:rPr>
        <w:t>loss resulting from any Item of Deposit processed through an Automated Clearing House which is reversed by the customer, shareholder or subscriber and deemed uncollectible by the Insured.</w:t>
      </w:r>
    </w:p>
    <w:p>
      <w:pPr>
        <w:spacing w:after="0" w:line="107" w:lineRule="exact"/>
        <w:rPr>
          <w:sz w:val="20"/>
          <w:szCs w:val="20"/>
          <w:color w:val="auto"/>
        </w:rPr>
      </w:pPr>
    </w:p>
    <w:p>
      <w:pPr>
        <w:ind w:left="363"/>
        <w:spacing w:after="0"/>
        <w:rPr>
          <w:sz w:val="20"/>
          <w:szCs w:val="20"/>
          <w:color w:val="auto"/>
        </w:rPr>
      </w:pPr>
      <w:r>
        <w:rPr>
          <w:rFonts w:ascii="Arial" w:cs="Arial" w:eastAsia="Arial" w:hAnsi="Arial"/>
          <w:sz w:val="18"/>
          <w:szCs w:val="18"/>
          <w:color w:val="auto"/>
        </w:rPr>
        <w:t>Loss includes dividends and interest</w:t>
      </w:r>
    </w:p>
    <w:p>
      <w:pPr>
        <w:spacing w:after="0" w:line="20" w:lineRule="exact"/>
        <w:rPr>
          <w:sz w:val="20"/>
          <w:szCs w:val="20"/>
          <w:color w:val="auto"/>
        </w:rPr>
      </w:pPr>
      <w:r>
        <w:rPr>
          <w:sz w:val="20"/>
          <w:szCs w:val="20"/>
          <w:color w:val="auto"/>
        </w:rPr>
        <w:br w:type="column"/>
      </w:r>
    </w:p>
    <w:p>
      <w:pPr>
        <w:ind w:left="474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-325120</wp:posOffset>
            </wp:positionV>
            <wp:extent cx="7289165" cy="64598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64598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accrued not to exceed 15% of the Uncollectible Items which are deposited.</w:t>
      </w:r>
    </w:p>
    <w:p>
      <w:pPr>
        <w:spacing w:after="0" w:line="194" w:lineRule="exact"/>
        <w:rPr>
          <w:sz w:val="20"/>
          <w:szCs w:val="20"/>
          <w:color w:val="auto"/>
        </w:rPr>
      </w:pPr>
    </w:p>
    <w:p>
      <w:pPr>
        <w:ind w:right="200" w:firstLine="365"/>
        <w:spacing w:after="0" w:line="290" w:lineRule="auto"/>
        <w:rPr>
          <w:sz w:val="20"/>
          <w:szCs w:val="20"/>
          <w:color w:val="auto"/>
        </w:rPr>
      </w:pPr>
      <w:r>
        <w:rPr>
          <w:rFonts w:ascii="Arial" w:cs="Arial" w:eastAsia="Arial" w:hAnsi="Arial"/>
          <w:sz w:val="16"/>
          <w:szCs w:val="16"/>
          <w:color w:val="auto"/>
        </w:rPr>
        <w:t>This Insuring Agreement applies to all Mutual Funds with “exchange privileges” if all Fund(s) in the exchange program are insured by a National Union Fire Insurance Company of Pittsburgh, PA for Uncollectible Items of Deposit. Regardless of the number of transactions between Fund(s), the minimum number of days of deposit within the Fund(s) before withdrawal as declared in the Fund(s) prospectus shall begin from the date a deposit was first credited to any Insured Fund(s).</w:t>
      </w:r>
    </w:p>
    <w:p>
      <w:pPr>
        <w:spacing w:after="0" w:line="822" w:lineRule="exact"/>
        <w:rPr>
          <w:sz w:val="20"/>
          <w:szCs w:val="20"/>
          <w:color w:val="auto"/>
        </w:rPr>
      </w:pPr>
    </w:p>
    <w:p>
      <w:pPr>
        <w:sectPr>
          <w:pgSz w:w="11900" w:h="16838" w:orient="portrait"/>
          <w:cols w:equalWidth="0" w:num="2">
            <w:col w:w="5263" w:space="380"/>
            <w:col w:w="5420"/>
          </w:cols>
          <w:pgMar w:left="437" w:top="469" w:right="399" w:bottom="1440" w:gutter="0" w:footer="0" w:header="0"/>
        </w:sectPr>
      </w:pPr>
    </w:p>
    <w:p>
      <w:pPr>
        <w:spacing w:after="0" w:line="276"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GENERAL AGREEMENTS</w:t>
      </w:r>
    </w:p>
    <w:p>
      <w:pPr>
        <w:sectPr>
          <w:pgSz w:w="11900" w:h="16838" w:orient="portrait"/>
          <w:cols w:equalWidth="0" w:num="1">
            <w:col w:w="11063"/>
          </w:cols>
          <w:pgMar w:left="437" w:top="469" w:right="399" w:bottom="1440" w:gutter="0" w:footer="0" w:header="0"/>
          <w:type w:val="continuous"/>
        </w:sectPr>
      </w:pPr>
    </w:p>
    <w:p>
      <w:pPr>
        <w:spacing w:after="0" w:line="281" w:lineRule="exact"/>
        <w:rPr>
          <w:sz w:val="20"/>
          <w:szCs w:val="20"/>
          <w:color w:val="auto"/>
        </w:rPr>
      </w:pPr>
    </w:p>
    <w:p>
      <w:pPr>
        <w:ind w:left="363" w:right="240" w:hanging="363"/>
        <w:spacing w:after="0" w:line="268" w:lineRule="auto"/>
        <w:tabs>
          <w:tab w:leader="none" w:pos="3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OFFICES OR EMPLOYEES-CONSOLIDATION OR MERGER-NOTICE</w:t>
      </w:r>
    </w:p>
    <w:p>
      <w:pPr>
        <w:spacing w:after="0" w:line="50" w:lineRule="exact"/>
        <w:rPr>
          <w:rFonts w:ascii="Arial" w:cs="Arial" w:eastAsia="Arial" w:hAnsi="Arial"/>
          <w:sz w:val="18"/>
          <w:szCs w:val="18"/>
          <w:color w:val="auto"/>
        </w:rPr>
      </w:pPr>
    </w:p>
    <w:p>
      <w:pPr>
        <w:ind w:left="723" w:right="100" w:hanging="358"/>
        <w:spacing w:after="0" w:line="289" w:lineRule="auto"/>
        <w:tabs>
          <w:tab w:leader="none" w:pos="723" w:val="left"/>
        </w:tabs>
        <w:numPr>
          <w:ilvl w:val="1"/>
          <w:numId w:val="12"/>
        </w:numPr>
        <w:rPr>
          <w:rFonts w:ascii="Arial" w:cs="Arial" w:eastAsia="Arial" w:hAnsi="Arial"/>
          <w:sz w:val="16"/>
          <w:szCs w:val="16"/>
          <w:color w:val="auto"/>
        </w:rPr>
      </w:pPr>
      <w:r>
        <w:rPr>
          <w:rFonts w:ascii="Arial" w:cs="Arial" w:eastAsia="Arial" w:hAnsi="Arial"/>
          <w:sz w:val="16"/>
          <w:szCs w:val="16"/>
          <w:color w:val="auto"/>
        </w:rPr>
        <w:t>If the Insured shall, while this bond is in force, establish any additional office or offices, such office or offices shall be automatically covered hereunder from the dates of their establishment, respectively. No notice to the Underwriter of an increase during any premium period in the number of offices or in the number of Employees at any of the offices covered hereunder need be given and no additional premium need be paid for the remainder of such premium period.</w:t>
      </w:r>
    </w:p>
    <w:p>
      <w:pPr>
        <w:spacing w:after="0" w:line="37" w:lineRule="exact"/>
        <w:rPr>
          <w:rFonts w:ascii="Arial" w:cs="Arial" w:eastAsia="Arial" w:hAnsi="Arial"/>
          <w:sz w:val="16"/>
          <w:szCs w:val="16"/>
          <w:color w:val="auto"/>
        </w:rPr>
      </w:pPr>
    </w:p>
    <w:p>
      <w:pPr>
        <w:ind w:left="723" w:hanging="358"/>
        <w:spacing w:after="0" w:line="312" w:lineRule="auto"/>
        <w:tabs>
          <w:tab w:leader="none" w:pos="723" w:val="left"/>
        </w:tabs>
        <w:numPr>
          <w:ilvl w:val="1"/>
          <w:numId w:val="12"/>
        </w:numPr>
        <w:rPr>
          <w:rFonts w:ascii="Arial" w:cs="Arial" w:eastAsia="Arial" w:hAnsi="Arial"/>
          <w:sz w:val="15"/>
          <w:szCs w:val="15"/>
          <w:color w:val="auto"/>
        </w:rPr>
      </w:pPr>
      <w:r>
        <w:rPr>
          <w:rFonts w:ascii="Arial" w:cs="Arial" w:eastAsia="Arial" w:hAnsi="Arial"/>
          <w:sz w:val="15"/>
          <w:szCs w:val="15"/>
          <w:color w:val="auto"/>
        </w:rPr>
        <w:t>If an Investment Company, named as Insured herein, shall, while this bond is in force, merge or consolidate with, or purchase the assets of another institution, coverage for such acquisition shall apply automatically from the date of acquisition. The Insured shall notify the Underwriter of such acquisition within 60 days of said date, and an additional premium shall be computed only if such acquisition involves additional offices or employees.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left="368" w:hanging="368"/>
        <w:spacing w:after="0"/>
        <w:tabs>
          <w:tab w:leader="none" w:pos="3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WARRANTY</w:t>
      </w:r>
    </w:p>
    <w:p>
      <w:pPr>
        <w:spacing w:after="0" w:line="90" w:lineRule="exact"/>
        <w:rPr>
          <w:sz w:val="20"/>
          <w:szCs w:val="20"/>
          <w:color w:val="auto"/>
        </w:rPr>
      </w:pPr>
    </w:p>
    <w:p>
      <w:pPr>
        <w:ind w:left="8" w:right="160" w:firstLine="365"/>
        <w:spacing w:after="0" w:line="256" w:lineRule="auto"/>
        <w:rPr>
          <w:sz w:val="20"/>
          <w:szCs w:val="20"/>
          <w:color w:val="auto"/>
        </w:rPr>
      </w:pPr>
      <w:r>
        <w:rPr>
          <w:rFonts w:ascii="Arial" w:cs="Arial" w:eastAsia="Arial" w:hAnsi="Arial"/>
          <w:sz w:val="18"/>
          <w:szCs w:val="18"/>
          <w:color w:val="auto"/>
        </w:rPr>
        <w:t>No statement made by or on behalf of the Insured, whether contained in the application or otherwise, shall be deemed to be a warranty of anything except that it is true to the best of the knowledge and belief of the person making the statement.</w:t>
      </w:r>
    </w:p>
    <w:p>
      <w:pPr>
        <w:spacing w:after="0" w:line="265" w:lineRule="exact"/>
        <w:rPr>
          <w:sz w:val="20"/>
          <w:szCs w:val="20"/>
          <w:color w:val="auto"/>
        </w:rPr>
      </w:pPr>
    </w:p>
    <w:p>
      <w:pPr>
        <w:ind w:left="368" w:right="300" w:hanging="368"/>
        <w:spacing w:after="0" w:line="259" w:lineRule="auto"/>
        <w:tabs>
          <w:tab w:leader="none" w:pos="3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COURT COSTS AND ATTORNEYS’ FEES (Applicable to all Insuring Agreements or Coverages now or hereafter forming part of this bond)</w:t>
      </w:r>
    </w:p>
    <w:p>
      <w:pPr>
        <w:spacing w:after="0" w:line="59" w:lineRule="exact"/>
        <w:rPr>
          <w:sz w:val="20"/>
          <w:szCs w:val="20"/>
          <w:color w:val="auto"/>
        </w:rPr>
      </w:pPr>
    </w:p>
    <w:p>
      <w:pPr>
        <w:ind w:left="8" w:right="220" w:firstLine="365"/>
        <w:spacing w:after="0" w:line="288" w:lineRule="auto"/>
        <w:rPr>
          <w:sz w:val="20"/>
          <w:szCs w:val="20"/>
          <w:color w:val="auto"/>
        </w:rPr>
      </w:pPr>
      <w:r>
        <w:rPr>
          <w:rFonts w:ascii="Arial" w:cs="Arial" w:eastAsia="Arial" w:hAnsi="Arial"/>
          <w:sz w:val="16"/>
          <w:szCs w:val="16"/>
          <w:color w:val="auto"/>
        </w:rPr>
        <w:t>The Underwriter will indemnify the Insured against court costs and reasonable attorneys’ fees incurred and paid by the Insured in defense, whether or not successful, whether or not fully litigated on the merits and whether or not settled of any suit or legal proceeding brought against the Insured to enforce the Insured’s liability or alleged liability on account of any loss, claim or damage which, if established against the Insured, would constitute a loss sustained by the Insured covered under the terms of this bond provided, however, that with respect to Insuring Agreement (A) this indemnity shall apply only in the event that</w:t>
      </w:r>
    </w:p>
    <w:p>
      <w:pPr>
        <w:spacing w:after="0" w:line="39" w:lineRule="exact"/>
        <w:rPr>
          <w:sz w:val="20"/>
          <w:szCs w:val="20"/>
          <w:color w:val="auto"/>
        </w:rPr>
      </w:pPr>
    </w:p>
    <w:p>
      <w:pPr>
        <w:ind w:left="728" w:right="660" w:hanging="364"/>
        <w:spacing w:after="0" w:line="332" w:lineRule="auto"/>
        <w:tabs>
          <w:tab w:leader="none" w:pos="728"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Employee admits to being guilty of any dishonest or fraudulent act(s), including Larceny or Embezzlement; or</w:t>
      </w:r>
    </w:p>
    <w:p>
      <w:pPr>
        <w:spacing w:after="0" w:line="4" w:lineRule="exact"/>
        <w:rPr>
          <w:rFonts w:ascii="Arial" w:cs="Arial" w:eastAsia="Arial" w:hAnsi="Arial"/>
          <w:sz w:val="16"/>
          <w:szCs w:val="16"/>
          <w:color w:val="auto"/>
        </w:rPr>
      </w:pPr>
    </w:p>
    <w:p>
      <w:pPr>
        <w:ind w:left="728" w:right="540" w:hanging="364"/>
        <w:spacing w:after="0" w:line="332" w:lineRule="auto"/>
        <w:tabs>
          <w:tab w:leader="none" w:pos="728"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Employee is adjudicated to be guilty of any dishonest or fraudulent act(s), including Larceny or Embezzlement;</w:t>
      </w:r>
    </w:p>
    <w:p>
      <w:pPr>
        <w:spacing w:after="0" w:line="174" w:lineRule="exact"/>
        <w:rPr>
          <w:sz w:val="20"/>
          <w:szCs w:val="20"/>
          <w:color w:val="auto"/>
        </w:rPr>
      </w:pPr>
    </w:p>
    <w:p>
      <w:pPr>
        <w:sectPr>
          <w:pgSz w:w="11900" w:h="16838" w:orient="portrait"/>
          <w:cols w:equalWidth="0" w:num="2">
            <w:col w:w="5283" w:space="352"/>
            <w:col w:w="5428"/>
          </w:cols>
          <w:pgMar w:left="437" w:top="469" w:right="399" w:bottom="1440" w:gutter="0" w:footer="0" w:header="0"/>
          <w:type w:val="continuous"/>
        </w:sectPr>
      </w:pPr>
    </w:p>
    <w:p>
      <w:pPr>
        <w:ind w:left="3"/>
        <w:spacing w:after="0"/>
        <w:tabs>
          <w:tab w:leader="none" w:pos="5582" w:val="left"/>
          <w:tab w:leader="none" w:pos="9022"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3"/>
          </w:cols>
          <w:pgMar w:left="437" w:top="469" w:right="399" w:bottom="1440" w:gutter="0" w:footer="0" w:header="0"/>
          <w:type w:val="continuous"/>
        </w:sectPr>
      </w:pPr>
    </w:p>
    <w:bookmarkStart w:id="8" w:name="page9"/>
    <w:bookmarkEnd w:id="8"/>
    <w:p>
      <w:pPr>
        <w:spacing w:after="0" w:line="200" w:lineRule="exact"/>
        <w:rPr>
          <w:sz w:val="20"/>
          <w:szCs w:val="20"/>
          <w:color w:val="auto"/>
        </w:rPr>
      </w:pPr>
    </w:p>
    <w:p>
      <w:pPr>
        <w:spacing w:after="0" w:line="205" w:lineRule="exact"/>
        <w:rPr>
          <w:sz w:val="20"/>
          <w:szCs w:val="20"/>
          <w:color w:val="auto"/>
        </w:rPr>
      </w:pPr>
    </w:p>
    <w:p>
      <w:pPr>
        <w:ind w:left="720" w:right="80" w:hanging="358"/>
        <w:spacing w:after="0" w:line="256"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absence of (1) or (2) above an arbitration panel agrees, after a review of an agreed statement of facts, that an Employee would be found guilty of dishonesty if such Employee were prosecuted.</w:t>
      </w:r>
    </w:p>
    <w:p>
      <w:pPr>
        <w:spacing w:after="0" w:line="143" w:lineRule="exact"/>
        <w:rPr>
          <w:sz w:val="20"/>
          <w:szCs w:val="20"/>
          <w:color w:val="auto"/>
        </w:rPr>
      </w:pPr>
    </w:p>
    <w:p>
      <w:pPr>
        <w:ind w:firstLine="365"/>
        <w:spacing w:after="0" w:line="310" w:lineRule="auto"/>
        <w:rPr>
          <w:sz w:val="20"/>
          <w:szCs w:val="20"/>
          <w:color w:val="auto"/>
        </w:rPr>
      </w:pPr>
      <w:r>
        <w:rPr>
          <w:rFonts w:ascii="Arial" w:cs="Arial" w:eastAsia="Arial" w:hAnsi="Arial"/>
          <w:sz w:val="15"/>
          <w:szCs w:val="15"/>
          <w:color w:val="auto"/>
        </w:rPr>
        <w:t>The Insured shall promptly give notice to the Underwriter of any such suit or legal proceeding and at the request of the Underwriter shall furnish it with copies of all pleadings and other papers therein. At the Underwriter’s election the Insured shall permit the Underwriter to conduct the defense of such suit or legal proceeding, in the Insured’s name, through attorneys of the Underwriter’s selection. In such event, the Insured shall give all reasonable information and assistance which the Underwriter shall deem necessary to the proper defense of such suit or legal proceeding.</w:t>
      </w:r>
    </w:p>
    <w:p>
      <w:pPr>
        <w:spacing w:after="0" w:line="108" w:lineRule="exact"/>
        <w:rPr>
          <w:sz w:val="20"/>
          <w:szCs w:val="20"/>
          <w:color w:val="auto"/>
        </w:rPr>
      </w:pPr>
    </w:p>
    <w:p>
      <w:pPr>
        <w:ind w:right="60" w:firstLine="365"/>
        <w:spacing w:after="0" w:line="259" w:lineRule="auto"/>
        <w:rPr>
          <w:sz w:val="20"/>
          <w:szCs w:val="20"/>
          <w:color w:val="auto"/>
        </w:rPr>
      </w:pPr>
      <w:r>
        <w:rPr>
          <w:rFonts w:ascii="Arial" w:cs="Arial" w:eastAsia="Arial" w:hAnsi="Arial"/>
          <w:sz w:val="18"/>
          <w:szCs w:val="18"/>
          <w:color w:val="auto"/>
        </w:rPr>
        <w:t>If the amount of the Insured’s liability or alleged liability is greater than the amount recoverable under this bond, or if a Deductible Amount is applicable, or both, the liability of</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ind w:left="478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-325120</wp:posOffset>
            </wp:positionV>
            <wp:extent cx="7289165" cy="3235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235325"/>
                    </a:xfrm>
                    <a:prstGeom prst="rect">
                      <a:avLst/>
                    </a:prstGeom>
                    <a:noFill/>
                  </pic:spPr>
                </pic:pic>
              </a:graphicData>
            </a:graphic>
          </wp:anchor>
        </w:drawing>
      </w:r>
    </w:p>
    <w:p>
      <w:pPr>
        <w:spacing w:after="0" w:line="201" w:lineRule="exact"/>
        <w:rPr>
          <w:sz w:val="20"/>
          <w:szCs w:val="20"/>
          <w:color w:val="auto"/>
        </w:rPr>
      </w:pPr>
    </w:p>
    <w:p>
      <w:pPr>
        <w:ind w:left="40" w:right="120"/>
        <w:spacing w:after="0" w:line="291" w:lineRule="auto"/>
        <w:rPr>
          <w:sz w:val="20"/>
          <w:szCs w:val="20"/>
          <w:color w:val="auto"/>
        </w:rPr>
      </w:pPr>
      <w:r>
        <w:rPr>
          <w:rFonts w:ascii="Arial" w:cs="Arial" w:eastAsia="Arial" w:hAnsi="Arial"/>
          <w:sz w:val="16"/>
          <w:szCs w:val="16"/>
          <w:color w:val="auto"/>
        </w:rPr>
        <w:t>the Underwriter under this General Agreement is limited to the proportion of court costs and attorneys’ fees incurred and paid by the Insured or by the Underwriter that the amount recoverable under this bond bears to the total of such amount plus the amount which is not so recoverable. Such indemnity shall be in addition to the Limit of Liability for the applicable Insuring Agreement or Coverage.</w:t>
      </w:r>
    </w:p>
    <w:p>
      <w:pPr>
        <w:spacing w:after="0" w:line="242" w:lineRule="exact"/>
        <w:rPr>
          <w:sz w:val="20"/>
          <w:szCs w:val="20"/>
          <w:color w:val="auto"/>
        </w:rPr>
      </w:pPr>
    </w:p>
    <w:p>
      <w:pPr>
        <w:ind w:left="400" w:hanging="368"/>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FORMER EMPLOYEE</w:t>
      </w:r>
    </w:p>
    <w:p>
      <w:pPr>
        <w:spacing w:after="0" w:line="90" w:lineRule="exact"/>
        <w:rPr>
          <w:sz w:val="20"/>
          <w:szCs w:val="20"/>
          <w:color w:val="auto"/>
        </w:rPr>
      </w:pPr>
    </w:p>
    <w:p>
      <w:pPr>
        <w:ind w:left="40" w:right="240" w:firstLine="365"/>
        <w:spacing w:after="0" w:line="290" w:lineRule="auto"/>
        <w:rPr>
          <w:sz w:val="20"/>
          <w:szCs w:val="20"/>
          <w:color w:val="auto"/>
        </w:rPr>
      </w:pPr>
      <w:r>
        <w:rPr>
          <w:rFonts w:ascii="Arial" w:cs="Arial" w:eastAsia="Arial" w:hAnsi="Arial"/>
          <w:sz w:val="16"/>
          <w:szCs w:val="16"/>
          <w:color w:val="auto"/>
        </w:rPr>
        <w:t>Acts of an Employee, as defined in this bond, are covered under Insuring Agreement (A) only while the Employee is in the Insured’s employ. Should loss involving a former Employee of the Insured be discovered subsequent to the termination of employment, coverage would still apply under Insuring Agreement (A) if the direct proximate cause of the loss occurred while the former Employee performed duties within the scope of his/her employment.</w:t>
      </w:r>
    </w:p>
    <w:p>
      <w:pPr>
        <w:spacing w:after="0" w:line="383"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280" w:space="320"/>
            <w:col w:w="5460"/>
          </w:cols>
          <w:pgMar w:left="440" w:top="469" w:right="399" w:bottom="1440" w:gutter="0" w:footer="0" w:header="0"/>
        </w:sectPr>
      </w:pPr>
    </w:p>
    <w:bookmarkStart w:id="9" w:name="page10"/>
    <w:bookmarkEnd w:id="9"/>
    <w:p>
      <w:pPr>
        <w:spacing w:after="0" w:line="3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7734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5773420"/>
                    </a:xfrm>
                    <a:prstGeom prst="rect">
                      <a:avLst/>
                    </a:prstGeom>
                    <a:noFill/>
                  </pic:spPr>
                </pic:pic>
              </a:graphicData>
            </a:graphic>
          </wp:anchor>
        </w:drawing>
      </w:r>
    </w:p>
    <w:p>
      <w:pPr>
        <w:jc w:val="center"/>
        <w:ind w:right="341"/>
        <w:spacing w:after="0" w:line="258" w:lineRule="auto"/>
        <w:rPr>
          <w:sz w:val="20"/>
          <w:szCs w:val="20"/>
          <w:color w:val="auto"/>
        </w:rPr>
      </w:pPr>
      <w:r>
        <w:rPr>
          <w:rFonts w:ascii="Arial" w:cs="Arial" w:eastAsia="Arial" w:hAnsi="Arial"/>
          <w:sz w:val="18"/>
          <w:szCs w:val="18"/>
          <w:b w:val="1"/>
          <w:bCs w:val="1"/>
          <w:color w:val="auto"/>
        </w:rPr>
        <w:t>THE FOREGOING INSURING AGREEMENTS AND GENERAL AGREEMENTS ARE SUBJECT TO THE FOLLOWING CONDITIONS AND LIMITATIONS: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SECTION 1. DEFINITIONS</w:t>
      </w:r>
    </w:p>
    <w:p>
      <w:pPr>
        <w:spacing w:after="0" w:line="90" w:lineRule="exact"/>
        <w:rPr>
          <w:sz w:val="20"/>
          <w:szCs w:val="20"/>
          <w:color w:val="auto"/>
        </w:rPr>
      </w:pPr>
    </w:p>
    <w:p>
      <w:pPr>
        <w:ind w:right="561" w:firstLine="365"/>
        <w:spacing w:after="0" w:line="268" w:lineRule="auto"/>
        <w:rPr>
          <w:sz w:val="20"/>
          <w:szCs w:val="20"/>
          <w:color w:val="auto"/>
        </w:rPr>
      </w:pPr>
      <w:r>
        <w:rPr>
          <w:rFonts w:ascii="Arial" w:cs="Arial" w:eastAsia="Arial" w:hAnsi="Arial"/>
          <w:sz w:val="18"/>
          <w:szCs w:val="18"/>
          <w:color w:val="auto"/>
        </w:rPr>
        <w:t>The following terms, as used in this bond, shall have the respective meanings stated in this Section:</w:t>
      </w:r>
    </w:p>
    <w:p>
      <w:pPr>
        <w:spacing w:after="0" w:line="51" w:lineRule="exact"/>
        <w:rPr>
          <w:sz w:val="20"/>
          <w:szCs w:val="20"/>
          <w:color w:val="auto"/>
        </w:rPr>
      </w:pPr>
    </w:p>
    <w:p>
      <w:pPr>
        <w:ind w:left="720" w:hanging="35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90" w:lineRule="exact"/>
        <w:rPr>
          <w:rFonts w:ascii="Arial" w:cs="Arial" w:eastAsia="Arial" w:hAnsi="Arial"/>
          <w:sz w:val="18"/>
          <w:szCs w:val="18"/>
          <w:color w:val="auto"/>
        </w:rPr>
      </w:pPr>
    </w:p>
    <w:p>
      <w:pPr>
        <w:ind w:left="1100" w:hanging="374"/>
        <w:spacing w:after="0"/>
        <w:tabs>
          <w:tab w:leader="none" w:pos="11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of the Insured’s officers, partners, or employees, and</w:t>
      </w:r>
    </w:p>
    <w:p>
      <w:pPr>
        <w:spacing w:after="0" w:line="113" w:lineRule="exact"/>
        <w:rPr>
          <w:rFonts w:ascii="Arial" w:cs="Arial" w:eastAsia="Arial" w:hAnsi="Arial"/>
          <w:sz w:val="16"/>
          <w:szCs w:val="16"/>
          <w:color w:val="auto"/>
        </w:rPr>
      </w:pPr>
    </w:p>
    <w:p>
      <w:pPr>
        <w:ind w:left="1100" w:right="461" w:hanging="374"/>
        <w:spacing w:after="0" w:line="298" w:lineRule="auto"/>
        <w:tabs>
          <w:tab w:leader="none" w:pos="11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of the officers or employees of any predecessor of the Insured whose principal assets are acquired by the Insured by consolidation or merger with, or purchase of assets or capital stock of such predecessor. and</w:t>
      </w:r>
    </w:p>
    <w:p>
      <w:pPr>
        <w:spacing w:after="0" w:line="31" w:lineRule="exact"/>
        <w:rPr>
          <w:rFonts w:ascii="Arial" w:cs="Arial" w:eastAsia="Arial" w:hAnsi="Arial"/>
          <w:sz w:val="16"/>
          <w:szCs w:val="16"/>
          <w:color w:val="auto"/>
        </w:rPr>
      </w:pPr>
    </w:p>
    <w:p>
      <w:pPr>
        <w:ind w:left="1100" w:right="461" w:hanging="374"/>
        <w:spacing w:after="0" w:line="323" w:lineRule="auto"/>
        <w:tabs>
          <w:tab w:leader="none" w:pos="1100" w:val="left"/>
        </w:tabs>
        <w:numPr>
          <w:ilvl w:val="1"/>
          <w:numId w:val="18"/>
        </w:numPr>
        <w:rPr>
          <w:rFonts w:ascii="Arial" w:cs="Arial" w:eastAsia="Arial" w:hAnsi="Arial"/>
          <w:sz w:val="15"/>
          <w:szCs w:val="15"/>
          <w:color w:val="auto"/>
        </w:rPr>
      </w:pPr>
      <w:r>
        <w:rPr>
          <w:rFonts w:ascii="Arial" w:cs="Arial" w:eastAsia="Arial" w:hAnsi="Arial"/>
          <w:sz w:val="15"/>
          <w:szCs w:val="15"/>
          <w:color w:val="auto"/>
        </w:rPr>
        <w:t>attorneys retained by the Insured to perform legal services for the Insured and the employees of such attorneys while such attorneys or the employees of such attorneys are performing such services for the Insured, and</w:t>
      </w:r>
    </w:p>
    <w:p>
      <w:pPr>
        <w:spacing w:after="0" w:line="16" w:lineRule="exact"/>
        <w:rPr>
          <w:rFonts w:ascii="Arial" w:cs="Arial" w:eastAsia="Arial" w:hAnsi="Arial"/>
          <w:sz w:val="15"/>
          <w:szCs w:val="15"/>
          <w:color w:val="auto"/>
        </w:rPr>
      </w:pPr>
    </w:p>
    <w:p>
      <w:pPr>
        <w:ind w:left="1100" w:right="421" w:hanging="374"/>
        <w:spacing w:after="0" w:line="268" w:lineRule="auto"/>
        <w:tabs>
          <w:tab w:leader="none" w:pos="11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50" w:lineRule="exact"/>
        <w:rPr>
          <w:rFonts w:ascii="Arial" w:cs="Arial" w:eastAsia="Arial" w:hAnsi="Arial"/>
          <w:sz w:val="18"/>
          <w:szCs w:val="18"/>
          <w:color w:val="auto"/>
        </w:rPr>
      </w:pPr>
    </w:p>
    <w:p>
      <w:pPr>
        <w:ind w:left="1100" w:right="381" w:hanging="374"/>
        <w:spacing w:after="0" w:line="288" w:lineRule="auto"/>
        <w:tabs>
          <w:tab w:leader="none" w:pos="11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directors or trustees of the Insured, the investment advisor, underwriter (distributor), transfer agent, or shareholder accounting record 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38" w:lineRule="exact"/>
        <w:rPr>
          <w:rFonts w:ascii="Arial" w:cs="Arial" w:eastAsia="Arial" w:hAnsi="Arial"/>
          <w:sz w:val="16"/>
          <w:szCs w:val="16"/>
          <w:color w:val="auto"/>
        </w:rPr>
      </w:pPr>
    </w:p>
    <w:p>
      <w:pPr>
        <w:ind w:left="1100" w:right="421" w:hanging="374"/>
        <w:spacing w:after="0" w:line="306" w:lineRule="auto"/>
        <w:tabs>
          <w:tab w:leader="none" w:pos="11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individual or individuals assigned to perform the usual duties of an employee within the premises of the Insured, by contract, or by any agency</w:t>
      </w:r>
    </w:p>
    <w:p>
      <w:pPr>
        <w:spacing w:after="0" w:line="20" w:lineRule="exact"/>
        <w:rPr>
          <w:sz w:val="20"/>
          <w:szCs w:val="20"/>
          <w:color w:val="auto"/>
        </w:rPr>
      </w:pPr>
      <w:r>
        <w:rPr>
          <w:sz w:val="20"/>
          <w:szCs w:val="20"/>
          <w:color w:val="auto"/>
        </w:rPr>
        <w:br w:type="column"/>
      </w:r>
    </w:p>
    <w:p>
      <w:pPr>
        <w:ind w:left="4019"/>
        <w:spacing w:after="0"/>
        <w:rPr>
          <w:sz w:val="20"/>
          <w:szCs w:val="20"/>
          <w:color w:val="auto"/>
        </w:rPr>
      </w:pPr>
      <w:r>
        <w:rPr>
          <w:rFonts w:ascii="Arial" w:cs="Arial" w:eastAsia="Arial" w:hAnsi="Arial"/>
          <w:sz w:val="16"/>
          <w:szCs w:val="16"/>
          <w:color w:val="auto"/>
        </w:rPr>
        <w:t>Exhibit A</w:t>
      </w:r>
    </w:p>
    <w:p>
      <w:pPr>
        <w:spacing w:after="0" w:line="221" w:lineRule="exact"/>
        <w:rPr>
          <w:sz w:val="20"/>
          <w:szCs w:val="20"/>
          <w:color w:val="auto"/>
        </w:rPr>
      </w:pPr>
    </w:p>
    <w:p>
      <w:pPr>
        <w:ind w:left="359" w:right="420"/>
        <w:spacing w:after="0" w:line="268" w:lineRule="auto"/>
        <w:rPr>
          <w:sz w:val="20"/>
          <w:szCs w:val="20"/>
          <w:color w:val="auto"/>
        </w:rPr>
      </w:pPr>
      <w:r>
        <w:rPr>
          <w:rFonts w:ascii="Arial" w:cs="Arial" w:eastAsia="Arial" w:hAnsi="Arial"/>
          <w:sz w:val="18"/>
          <w:szCs w:val="18"/>
          <w:color w:val="auto"/>
        </w:rPr>
        <w:t>furnishing temporary personnel on a contingent or part-time basis, and</w:t>
      </w:r>
    </w:p>
    <w:p>
      <w:pPr>
        <w:spacing w:after="0" w:line="51" w:lineRule="exact"/>
        <w:rPr>
          <w:sz w:val="20"/>
          <w:szCs w:val="20"/>
          <w:color w:val="auto"/>
        </w:rPr>
      </w:pPr>
    </w:p>
    <w:p>
      <w:pPr>
        <w:ind w:left="359" w:right="140" w:hanging="359"/>
        <w:spacing w:after="0" w:line="290" w:lineRule="auto"/>
        <w:tabs>
          <w:tab w:leader="none" w:pos="359" w:val="left"/>
        </w:tabs>
        <w:numPr>
          <w:ilvl w:val="0"/>
          <w:numId w:val="19"/>
        </w:numPr>
        <w:rPr>
          <w:rFonts w:ascii="Arial" w:cs="Arial" w:eastAsia="Arial" w:hAnsi="Arial"/>
          <w:sz w:val="16"/>
          <w:szCs w:val="16"/>
          <w:color w:val="auto"/>
        </w:rPr>
      </w:pPr>
      <w:r>
        <w:rPr>
          <w:rFonts w:ascii="Arial" w:cs="Arial" w:eastAsia="Arial" w:hAnsi="Arial"/>
          <w:sz w:val="16"/>
          <w:szCs w:val="16"/>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Sub-section (9) hereof, and</w:t>
      </w:r>
    </w:p>
    <w:p>
      <w:pPr>
        <w:spacing w:after="0" w:line="37" w:lineRule="exact"/>
        <w:rPr>
          <w:rFonts w:ascii="Arial" w:cs="Arial" w:eastAsia="Arial" w:hAnsi="Arial"/>
          <w:sz w:val="16"/>
          <w:szCs w:val="16"/>
          <w:color w:val="auto"/>
        </w:rPr>
      </w:pPr>
    </w:p>
    <w:p>
      <w:pPr>
        <w:ind w:left="359" w:right="820" w:hanging="359"/>
        <w:spacing w:after="0" w:line="268" w:lineRule="auto"/>
        <w:tabs>
          <w:tab w:leader="none" w:pos="3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those persons so designated in Section 15, Central Handling of Securities, and</w:t>
      </w:r>
    </w:p>
    <w:p>
      <w:pPr>
        <w:spacing w:after="0" w:line="50" w:lineRule="exact"/>
        <w:rPr>
          <w:rFonts w:ascii="Arial" w:cs="Arial" w:eastAsia="Arial" w:hAnsi="Arial"/>
          <w:sz w:val="18"/>
          <w:szCs w:val="18"/>
          <w:color w:val="auto"/>
        </w:rPr>
      </w:pPr>
    </w:p>
    <w:p>
      <w:pPr>
        <w:ind w:left="359" w:hanging="359"/>
        <w:spacing w:after="0"/>
        <w:tabs>
          <w:tab w:leader="none" w:pos="3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90" w:lineRule="exact"/>
        <w:rPr>
          <w:rFonts w:ascii="Arial" w:cs="Arial" w:eastAsia="Arial" w:hAnsi="Arial"/>
          <w:sz w:val="18"/>
          <w:szCs w:val="18"/>
          <w:color w:val="auto"/>
        </w:rPr>
      </w:pPr>
    </w:p>
    <w:p>
      <w:pPr>
        <w:ind w:left="739" w:hanging="374"/>
        <w:spacing w:after="0"/>
        <w:tabs>
          <w:tab w:leader="none" w:pos="7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90" w:lineRule="exact"/>
        <w:rPr>
          <w:rFonts w:ascii="Arial" w:cs="Arial" w:eastAsia="Arial" w:hAnsi="Arial"/>
          <w:sz w:val="18"/>
          <w:szCs w:val="18"/>
          <w:color w:val="auto"/>
        </w:rPr>
      </w:pPr>
    </w:p>
    <w:p>
      <w:pPr>
        <w:ind w:left="739" w:hanging="374"/>
        <w:spacing w:after="0"/>
        <w:tabs>
          <w:tab w:leader="none" w:pos="7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90" w:lineRule="exact"/>
        <w:rPr>
          <w:rFonts w:ascii="Arial" w:cs="Arial" w:eastAsia="Arial" w:hAnsi="Arial"/>
          <w:sz w:val="18"/>
          <w:szCs w:val="18"/>
          <w:color w:val="auto"/>
        </w:rPr>
      </w:pPr>
    </w:p>
    <w:p>
      <w:pPr>
        <w:ind w:left="739" w:right="460" w:hanging="374"/>
        <w:spacing w:after="0" w:line="268" w:lineRule="auto"/>
        <w:tabs>
          <w:tab w:leader="none" w:pos="7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50" w:lineRule="exact"/>
        <w:rPr>
          <w:rFonts w:ascii="Arial" w:cs="Arial" w:eastAsia="Arial" w:hAnsi="Arial"/>
          <w:sz w:val="18"/>
          <w:szCs w:val="18"/>
          <w:color w:val="auto"/>
        </w:rPr>
      </w:pPr>
    </w:p>
    <w:p>
      <w:pPr>
        <w:ind w:left="739" w:right="320" w:hanging="374"/>
        <w:spacing w:after="0" w:line="332" w:lineRule="auto"/>
        <w:tabs>
          <w:tab w:leader="none" w:pos="739"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 administrator authorized by written agreement to keep financial and/or other required records,</w:t>
      </w:r>
    </w:p>
    <w:p>
      <w:pPr>
        <w:spacing w:after="0" w:line="4" w:lineRule="exact"/>
        <w:rPr>
          <w:sz w:val="20"/>
          <w:szCs w:val="20"/>
          <w:color w:val="auto"/>
        </w:rPr>
      </w:pPr>
    </w:p>
    <w:p>
      <w:pPr>
        <w:ind w:left="359" w:right="140"/>
        <w:spacing w:after="0" w:line="285" w:lineRule="auto"/>
        <w:rPr>
          <w:sz w:val="20"/>
          <w:szCs w:val="20"/>
          <w:color w:val="auto"/>
        </w:rPr>
      </w:pPr>
      <w:r>
        <w:rPr>
          <w:rFonts w:ascii="Arial" w:cs="Arial" w:eastAsia="Arial" w:hAnsi="Arial"/>
          <w:sz w:val="16"/>
          <w:szCs w:val="16"/>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 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adviser, underwriter or administrator of such Investment Company, and which is not a bank, shall be included within the definition of Employee.</w:t>
      </w:r>
    </w:p>
    <w:p>
      <w:pPr>
        <w:spacing w:after="0" w:line="200" w:lineRule="exact"/>
        <w:rPr>
          <w:sz w:val="20"/>
          <w:szCs w:val="20"/>
          <w:color w:val="auto"/>
        </w:rPr>
      </w:pPr>
    </w:p>
    <w:p>
      <w:pPr>
        <w:sectPr>
          <w:pgSz w:w="11900" w:h="16838" w:orient="portrait"/>
          <w:cols w:equalWidth="0" w:num="2">
            <w:col w:w="5641" w:space="720"/>
            <w:col w:w="4699"/>
          </w:cols>
          <w:pgMar w:left="440" w:top="469" w:right="399" w:bottom="1440" w:gutter="0" w:footer="0" w:header="0"/>
        </w:sectPr>
      </w:pPr>
    </w:p>
    <w:p>
      <w:pPr>
        <w:spacing w:after="0" w:line="17" w:lineRule="exact"/>
        <w:rPr>
          <w:sz w:val="20"/>
          <w:szCs w:val="20"/>
          <w:color w:val="auto"/>
        </w:rPr>
      </w:pPr>
    </w:p>
    <w:p>
      <w:pPr>
        <w:spacing w:after="0"/>
        <w:tabs>
          <w:tab w:leader="none" w:pos="5580" w:val="left"/>
          <w:tab w:leader="none" w:pos="90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0"/>
          </w:cols>
          <w:pgMar w:left="440" w:top="469" w:right="399" w:bottom="1440" w:gutter="0" w:footer="0" w:header="0"/>
          <w:type w:val="continuous"/>
        </w:sectPr>
      </w:pPr>
    </w:p>
    <w:bookmarkStart w:id="10" w:name="page11"/>
    <w:bookmarkEnd w:id="10"/>
    <w:p>
      <w:pPr>
        <w:spacing w:after="0" w:line="200" w:lineRule="exact"/>
        <w:rPr>
          <w:sz w:val="20"/>
          <w:szCs w:val="20"/>
          <w:color w:val="auto"/>
        </w:rPr>
      </w:pPr>
    </w:p>
    <w:p>
      <w:pPr>
        <w:spacing w:after="0" w:line="205" w:lineRule="exact"/>
        <w:rPr>
          <w:sz w:val="20"/>
          <w:szCs w:val="20"/>
          <w:color w:val="auto"/>
        </w:rPr>
      </w:pPr>
    </w:p>
    <w:p>
      <w:pPr>
        <w:ind w:left="1100"/>
        <w:spacing w:after="0" w:line="318" w:lineRule="auto"/>
        <w:rPr>
          <w:sz w:val="20"/>
          <w:szCs w:val="20"/>
          <w:color w:val="auto"/>
        </w:rPr>
      </w:pPr>
      <w:r>
        <w:rPr>
          <w:rFonts w:ascii="Arial" w:cs="Arial" w:eastAsia="Arial" w:hAnsi="Arial"/>
          <w:sz w:val="15"/>
          <w:szCs w:val="15"/>
          <w:color w:val="auto"/>
        </w:rPr>
        <w:t>Each employer of temporary personnel or processors as set forth in Sub-Sections (6) and of Section 1(a) and their partners, officers and employees shall collectively be deemed to be one person for all the purposes of this bond, excepting, however, the last paragraph of Section 13.</w:t>
      </w:r>
    </w:p>
    <w:p>
      <w:pPr>
        <w:spacing w:after="0" w:line="19" w:lineRule="exact"/>
        <w:rPr>
          <w:sz w:val="20"/>
          <w:szCs w:val="20"/>
          <w:color w:val="auto"/>
        </w:rPr>
      </w:pPr>
    </w:p>
    <w:p>
      <w:pPr>
        <w:ind w:left="720" w:right="40"/>
        <w:spacing w:after="0" w:line="357" w:lineRule="auto"/>
        <w:rPr>
          <w:sz w:val="20"/>
          <w:szCs w:val="20"/>
          <w:color w:val="auto"/>
        </w:rPr>
      </w:pPr>
      <w:r>
        <w:rPr>
          <w:rFonts w:ascii="Arial" w:cs="Arial" w:eastAsia="Arial" w:hAnsi="Arial"/>
          <w:sz w:val="15"/>
          <w:szCs w:val="15"/>
          <w:color w:val="auto"/>
        </w:rPr>
        <w:t>Brokers, or other agents under contract or representatives of the same general character shall not be considered Employees.</w:t>
      </w:r>
    </w:p>
    <w:p>
      <w:pPr>
        <w:ind w:left="720" w:right="20" w:hanging="358"/>
        <w:spacing w:after="0" w:line="284"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“Property” means money (i.e.. currency, coin, bank notes, Federal Reserve notes), postage and revenue stamps, U.S. Savings Stamps, bullion, precious metals of all kinds and in any form and articles made therefrom, jewelry, watches, necklaces, bracelets, gems, precious and semi-precious stones, bonds, securities, evidences of debts, debentures, scrip, certificates, interim receipts, warrants, rights, puts, calls, straddles, spreads, transfers, coupons, drafts, bills of exchange, acceptances, notes, checks, withdrawal orders, money orders, warehouse receipts, bills of lading, conditional sales contracts, abstracts of title, insurance policies, deeds, mortgages under real estate and/or chattels and upon interests therein, and assignments of such policies, mortgages and instruments, and other valuable papers, including books of account and other records used by the Insured in the conduct of its business, and all other instruments similar to or in the nature of the foregoing including Electronic Representations of such instruments enumerated above (but excluding all data processing records) in which the Insured has an interest or in which the Insured acquired or should have acquired an interest by reason of a predecessor’s declared financial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ind w:left="478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-325120</wp:posOffset>
            </wp:positionV>
            <wp:extent cx="7289165" cy="5276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5276215"/>
                    </a:xfrm>
                    <a:prstGeom prst="rect">
                      <a:avLst/>
                    </a:prstGeom>
                    <a:noFill/>
                  </pic:spPr>
                </pic:pic>
              </a:graphicData>
            </a:graphic>
          </wp:anchor>
        </w:drawing>
      </w:r>
    </w:p>
    <w:p>
      <w:pPr>
        <w:spacing w:after="0" w:line="201" w:lineRule="exact"/>
        <w:rPr>
          <w:sz w:val="20"/>
          <w:szCs w:val="20"/>
          <w:color w:val="auto"/>
        </w:rPr>
      </w:pPr>
    </w:p>
    <w:p>
      <w:pPr>
        <w:ind w:left="740" w:right="180"/>
        <w:spacing w:after="0" w:line="291" w:lineRule="auto"/>
        <w:rPr>
          <w:sz w:val="20"/>
          <w:szCs w:val="20"/>
          <w:color w:val="auto"/>
        </w:rPr>
      </w:pPr>
      <w:r>
        <w:rPr>
          <w:rFonts w:ascii="Arial" w:cs="Arial" w:eastAsia="Arial" w:hAnsi="Arial"/>
          <w:sz w:val="16"/>
          <w:szCs w:val="16"/>
          <w:color w:val="auto"/>
        </w:rPr>
        <w:t>condition at the time of the Insured’s consolidation or merger with, or purchase of the principal assets of, such predecessor or which are held by the Insured for any purpose or in any capacity and whether so held by the Insured for any purpose or in any capacity and whether so held gratuitously or not and whether or not the Insured is liable therefor.</w:t>
      </w:r>
    </w:p>
    <w:p>
      <w:pPr>
        <w:spacing w:after="0" w:line="39" w:lineRule="exact"/>
        <w:rPr>
          <w:sz w:val="20"/>
          <w:szCs w:val="20"/>
          <w:color w:val="auto"/>
        </w:rPr>
      </w:pPr>
    </w:p>
    <w:p>
      <w:pPr>
        <w:ind w:left="760" w:right="240" w:hanging="364"/>
        <w:spacing w:after="0" w:line="306"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“Forgery” means the signing of the name of another with intent to deceive; it does not include the signing of one’s own name with or without authority, in any capacity, for any purpose.</w:t>
      </w:r>
    </w:p>
    <w:p>
      <w:pPr>
        <w:spacing w:after="0" w:line="25" w:lineRule="exact"/>
        <w:rPr>
          <w:rFonts w:ascii="Arial" w:cs="Arial" w:eastAsia="Arial" w:hAnsi="Arial"/>
          <w:sz w:val="16"/>
          <w:szCs w:val="16"/>
          <w:color w:val="auto"/>
        </w:rPr>
      </w:pPr>
    </w:p>
    <w:p>
      <w:pPr>
        <w:ind w:left="760" w:right="140" w:hanging="364"/>
        <w:spacing w:after="0" w:line="259"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“Larceny and Embezzlement” as it applies to any named Insured means those acts as set forth in Section 37 of the Investment Company Act of 1940.</w:t>
      </w:r>
    </w:p>
    <w:p>
      <w:pPr>
        <w:spacing w:after="0" w:line="59" w:lineRule="exact"/>
        <w:rPr>
          <w:rFonts w:ascii="Arial" w:cs="Arial" w:eastAsia="Arial" w:hAnsi="Arial"/>
          <w:sz w:val="18"/>
          <w:szCs w:val="18"/>
          <w:color w:val="auto"/>
        </w:rPr>
      </w:pPr>
    </w:p>
    <w:p>
      <w:pPr>
        <w:ind w:left="760" w:right="380" w:hanging="364"/>
        <w:spacing w:after="0" w:line="306"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“Items of Deposit” means any one or more checks and drafts. Items of Deposit shall not be deemed uncollectible until the Insured’s collection procedures have failed.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SECTION 2. EXCLUSIONS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THIS BOND DOES NOT COVER:</w:t>
      </w:r>
    </w:p>
    <w:p>
      <w:pPr>
        <w:spacing w:after="0" w:line="90" w:lineRule="exact"/>
        <w:rPr>
          <w:sz w:val="20"/>
          <w:szCs w:val="20"/>
          <w:color w:val="auto"/>
        </w:rPr>
      </w:pPr>
    </w:p>
    <w:p>
      <w:pPr>
        <w:ind w:left="760" w:right="340" w:hanging="364"/>
        <w:spacing w:after="0" w:line="259"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effected directly or indirectly by means of forgery or alteration of, on or in any instrument, except when covered by Insuring Agreement (A), (E), (F) or (G).</w:t>
      </w:r>
    </w:p>
    <w:p>
      <w:pPr>
        <w:spacing w:after="0" w:line="59" w:lineRule="exact"/>
        <w:rPr>
          <w:rFonts w:ascii="Arial" w:cs="Arial" w:eastAsia="Arial" w:hAnsi="Arial"/>
          <w:sz w:val="18"/>
          <w:szCs w:val="18"/>
          <w:color w:val="auto"/>
        </w:rPr>
      </w:pPr>
    </w:p>
    <w:p>
      <w:pPr>
        <w:ind w:left="760" w:right="140" w:hanging="364"/>
        <w:spacing w:after="0" w:line="289"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loss due to riot or civil commotion outside the United States of America and Canada; or loss due to military, naval or usurped power, war or insurrection unless such loss occurs in transit in the circumstances recited in Insuring Agreement (D), and unless, when such transit was initiated, there was no knowledge of such riot, civil commotion, military, naval or usurped power, war or insurrection on the part of any person acting for the Insured in initiating such transit.</w:t>
      </w:r>
    </w:p>
    <w:p>
      <w:pPr>
        <w:spacing w:after="0" w:line="207"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240" w:space="360"/>
            <w:col w:w="5460"/>
          </w:cols>
          <w:pgMar w:left="440" w:top="469" w:right="3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962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5396230"/>
                    </a:xfrm>
                    <a:prstGeom prst="rect">
                      <a:avLst/>
                    </a:prstGeom>
                    <a:noFill/>
                  </pic:spPr>
                </pic:pic>
              </a:graphicData>
            </a:graphic>
          </wp:anchor>
        </w:drawing>
      </w:r>
    </w:p>
    <w:p>
      <w:pPr>
        <w:spacing w:after="0" w:line="205" w:lineRule="exact"/>
        <w:rPr>
          <w:sz w:val="20"/>
          <w:szCs w:val="20"/>
          <w:color w:val="auto"/>
        </w:rPr>
      </w:pPr>
    </w:p>
    <w:p>
      <w:pPr>
        <w:ind w:left="720" w:right="140" w:hanging="358"/>
        <w:spacing w:after="0" w:line="298"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loss, in time of peace or war, directly or indirectly caused by or resulting from the effects of nuclear fission or fusion or radioactivity; provided, however, that this paragraph shall not apply to loss resulting from industrial uses of nuclear energy.</w:t>
      </w:r>
    </w:p>
    <w:p>
      <w:pPr>
        <w:spacing w:after="0" w:line="31" w:lineRule="exact"/>
        <w:rPr>
          <w:rFonts w:ascii="Arial" w:cs="Arial" w:eastAsia="Arial" w:hAnsi="Arial"/>
          <w:sz w:val="16"/>
          <w:szCs w:val="16"/>
          <w:color w:val="auto"/>
        </w:rPr>
      </w:pPr>
    </w:p>
    <w:p>
      <w:pPr>
        <w:ind w:left="720" w:hanging="358"/>
        <w:spacing w:after="0" w:line="253"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resulting from any wrongful act or acts of any person who is a member of the Board of Directors of the Insured or a member of any equivalent body by whatsoever name known unless such person is also an Employee or an elected official, partial owner or partner of the Insured in some other capacity, nor, in any event, loss resulting from the act or acts of any person while acting in the capacity of a member of such Board or equivalent body.</w:t>
      </w:r>
    </w:p>
    <w:p>
      <w:pPr>
        <w:spacing w:after="0" w:line="64" w:lineRule="exact"/>
        <w:rPr>
          <w:rFonts w:ascii="Arial" w:cs="Arial" w:eastAsia="Arial" w:hAnsi="Arial"/>
          <w:sz w:val="18"/>
          <w:szCs w:val="18"/>
          <w:color w:val="auto"/>
        </w:rPr>
      </w:pPr>
    </w:p>
    <w:p>
      <w:pPr>
        <w:ind w:left="720" w:right="160" w:hanging="358"/>
        <w:spacing w:after="0" w:line="290"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loss resulting from the complete or partial non-payment of, or default upon, any loan or transaction in the nature of, or amounting to, a loan made by or obtained from the Insured or any of its partners, directors or Employees, whether authorized or unauthorized and whether procured in good faith or through trick, artifice, fraud or false pretenses. unless such loss is covered under Insuring Agreement (A), (E) or (F).</w:t>
      </w:r>
    </w:p>
    <w:p>
      <w:pPr>
        <w:spacing w:after="0" w:line="37" w:lineRule="exact"/>
        <w:rPr>
          <w:rFonts w:ascii="Arial" w:cs="Arial" w:eastAsia="Arial" w:hAnsi="Arial"/>
          <w:sz w:val="16"/>
          <w:szCs w:val="16"/>
          <w:color w:val="auto"/>
        </w:rPr>
      </w:pPr>
    </w:p>
    <w:p>
      <w:pPr>
        <w:ind w:left="720" w:right="540" w:hanging="358"/>
        <w:spacing w:after="0" w:line="268"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50" w:lineRule="exact"/>
        <w:rPr>
          <w:rFonts w:ascii="Arial" w:cs="Arial" w:eastAsia="Arial" w:hAnsi="Arial"/>
          <w:sz w:val="18"/>
          <w:szCs w:val="18"/>
          <w:color w:val="auto"/>
        </w:rPr>
      </w:pPr>
    </w:p>
    <w:p>
      <w:pPr>
        <w:ind w:left="1100" w:right="440" w:hanging="374"/>
        <w:spacing w:after="0" w:line="323" w:lineRule="auto"/>
        <w:tabs>
          <w:tab w:leader="none" w:pos="1100" w:val="left"/>
        </w:tabs>
        <w:numPr>
          <w:ilvl w:val="1"/>
          <w:numId w:val="23"/>
        </w:numPr>
        <w:rPr>
          <w:rFonts w:ascii="Arial" w:cs="Arial" w:eastAsia="Arial" w:hAnsi="Arial"/>
          <w:sz w:val="15"/>
          <w:szCs w:val="15"/>
          <w:color w:val="auto"/>
        </w:rPr>
      </w:pPr>
      <w:r>
        <w:rPr>
          <w:rFonts w:ascii="Arial" w:cs="Arial" w:eastAsia="Arial" w:hAnsi="Arial"/>
          <w:sz w:val="15"/>
          <w:szCs w:val="15"/>
          <w:color w:val="auto"/>
        </w:rPr>
        <w:t>of law regulating (a) the issuance, purchase or sale of securities, (b) securities transactions upon Security Exchanges or over the counter market, (c) Investment Companies, or (d) Investment Advisors, or</w:t>
      </w:r>
    </w:p>
    <w:p>
      <w:pPr>
        <w:spacing w:after="0" w:line="16" w:lineRule="exact"/>
        <w:rPr>
          <w:rFonts w:ascii="Arial" w:cs="Arial" w:eastAsia="Arial" w:hAnsi="Arial"/>
          <w:sz w:val="15"/>
          <w:szCs w:val="15"/>
          <w:color w:val="auto"/>
        </w:rPr>
      </w:pPr>
    </w:p>
    <w:p>
      <w:pPr>
        <w:ind w:left="1100" w:right="120" w:hanging="374"/>
        <w:spacing w:after="0" w:line="303" w:lineRule="auto"/>
        <w:tabs>
          <w:tab w:leader="none" w:pos="1100" w:val="left"/>
        </w:tabs>
        <w:numPr>
          <w:ilvl w:val="1"/>
          <w:numId w:val="23"/>
        </w:numPr>
        <w:rPr>
          <w:rFonts w:ascii="Arial" w:cs="Arial" w:eastAsia="Arial" w:hAnsi="Arial"/>
          <w:sz w:val="15"/>
          <w:szCs w:val="15"/>
          <w:color w:val="auto"/>
        </w:rPr>
      </w:pPr>
      <w:r>
        <w:rPr>
          <w:rFonts w:ascii="Arial" w:cs="Arial" w:eastAsia="Arial" w:hAnsi="Arial"/>
          <w:sz w:val="15"/>
          <w:szCs w:val="15"/>
          <w:color w:val="auto"/>
        </w:rPr>
        <w:t>of any rule or regulation made pursuant to any such law, unless such loss, in the absence of such laws, rules or regulations, would be covered under Insuring Agreements</w:t>
      </w:r>
    </w:p>
    <w:p>
      <w:pPr>
        <w:spacing w:after="0" w:line="1"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8"/>
          <w:szCs w:val="18"/>
          <w:color w:val="auto"/>
        </w:rPr>
        <w:t>(A) or (E).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A</w:t>
      </w:r>
    </w:p>
    <w:p>
      <w:pPr>
        <w:spacing w:after="0" w:line="198" w:lineRule="exact"/>
        <w:rPr>
          <w:sz w:val="20"/>
          <w:szCs w:val="20"/>
          <w:color w:val="auto"/>
        </w:rPr>
      </w:pPr>
    </w:p>
    <w:p>
      <w:pPr>
        <w:ind w:left="364" w:right="280" w:hanging="364"/>
        <w:spacing w:after="0" w:line="286" w:lineRule="auto"/>
        <w:tabs>
          <w:tab w:leader="none" w:pos="3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loss of Property or loss of privileges through the misplacement or loss of Property as set forth in Insuring Agreement (C) or</w:t>
      </w:r>
    </w:p>
    <w:p>
      <w:pPr>
        <w:ind w:left="364" w:right="340" w:firstLine="1"/>
        <w:spacing w:after="0" w:line="281" w:lineRule="auto"/>
        <w:tabs>
          <w:tab w:leader="none" w:pos="651" w:val="left"/>
        </w:tabs>
        <w:numPr>
          <w:ilvl w:val="1"/>
          <w:numId w:val="24"/>
        </w:numPr>
        <w:rPr>
          <w:rFonts w:ascii="Arial" w:cs="Arial" w:eastAsia="Arial" w:hAnsi="Arial"/>
          <w:sz w:val="16"/>
          <w:szCs w:val="16"/>
          <w:color w:val="auto"/>
        </w:rPr>
      </w:pPr>
      <w:r>
        <w:rPr>
          <w:rFonts w:ascii="Arial" w:cs="Arial" w:eastAsia="Arial" w:hAnsi="Arial"/>
          <w:sz w:val="16"/>
          <w:szCs w:val="16"/>
          <w:color w:val="auto"/>
        </w:rPr>
        <w:t>while the Property is in the custody of any armored motor vehicle company, unless such loss shall be in excess of the amount recovered or received by the Insured under (a) the Insured’s contract with said armored motor vehicle company,</w:t>
      </w:r>
    </w:p>
    <w:p>
      <w:pPr>
        <w:spacing w:after="0" w:line="2" w:lineRule="exact"/>
        <w:rPr>
          <w:rFonts w:ascii="Arial" w:cs="Arial" w:eastAsia="Arial" w:hAnsi="Arial"/>
          <w:sz w:val="16"/>
          <w:szCs w:val="16"/>
          <w:color w:val="auto"/>
        </w:rPr>
      </w:pPr>
    </w:p>
    <w:p>
      <w:pPr>
        <w:ind w:left="364" w:right="120"/>
        <w:spacing w:after="0" w:line="292" w:lineRule="auto"/>
        <w:rPr>
          <w:rFonts w:ascii="Arial" w:cs="Arial" w:eastAsia="Arial" w:hAnsi="Arial"/>
          <w:sz w:val="16"/>
          <w:szCs w:val="16"/>
          <w:color w:val="auto"/>
        </w:rPr>
      </w:pPr>
      <w:r>
        <w:rPr>
          <w:rFonts w:ascii="Arial" w:cs="Arial" w:eastAsia="Arial" w:hAnsi="Arial"/>
          <w:sz w:val="16"/>
          <w:szCs w:val="16"/>
          <w:color w:val="auto"/>
        </w:rPr>
        <w:t>(b) insurance carried by said armored motor vehicle company for the benefit of users of its service, and (c) all other insurance and indemnity in force in whatsoever form carried by or for the benefit of users of said armored motor vehicle company’s service, and then this bond shall cover only such excess.</w:t>
      </w:r>
    </w:p>
    <w:p>
      <w:pPr>
        <w:spacing w:after="0" w:line="35" w:lineRule="exact"/>
        <w:rPr>
          <w:rFonts w:ascii="Arial" w:cs="Arial" w:eastAsia="Arial" w:hAnsi="Arial"/>
          <w:sz w:val="16"/>
          <w:szCs w:val="16"/>
          <w:color w:val="auto"/>
        </w:rPr>
      </w:pPr>
    </w:p>
    <w:p>
      <w:pPr>
        <w:ind w:left="364" w:right="220" w:hanging="364"/>
        <w:spacing w:after="0" w:line="303" w:lineRule="auto"/>
        <w:tabs>
          <w:tab w:leader="none" w:pos="364" w:val="left"/>
        </w:tabs>
        <w:numPr>
          <w:ilvl w:val="0"/>
          <w:numId w:val="24"/>
        </w:numPr>
        <w:rPr>
          <w:rFonts w:ascii="Arial" w:cs="Arial" w:eastAsia="Arial" w:hAnsi="Arial"/>
          <w:sz w:val="15"/>
          <w:szCs w:val="15"/>
          <w:color w:val="auto"/>
        </w:rPr>
      </w:pPr>
      <w:r>
        <w:rPr>
          <w:rFonts w:ascii="Arial" w:cs="Arial" w:eastAsia="Arial" w:hAnsi="Arial"/>
          <w:sz w:val="15"/>
          <w:szCs w:val="15"/>
          <w:color w:val="auto"/>
        </w:rPr>
        <w:t>potential income, including but not limited to interest and dividends, not realized by the Insured because of a loss covered under this bond, except as included under Insuring Agreement</w:t>
      </w:r>
    </w:p>
    <w:p>
      <w:pPr>
        <w:spacing w:after="0" w:line="1" w:lineRule="exact"/>
        <w:rPr>
          <w:rFonts w:ascii="Arial" w:cs="Arial" w:eastAsia="Arial" w:hAnsi="Arial"/>
          <w:sz w:val="15"/>
          <w:szCs w:val="15"/>
          <w:color w:val="auto"/>
        </w:rPr>
      </w:pPr>
    </w:p>
    <w:p>
      <w:pPr>
        <w:spacing w:after="0"/>
        <w:tabs>
          <w:tab w:leader="none" w:pos="0" w:val="left"/>
        </w:tabs>
        <w:numPr>
          <w:ilvl w:val="1"/>
          <w:numId w:val="25"/>
        </w:numPr>
        <w:rPr>
          <w:rFonts w:ascii="Arial" w:cs="Arial" w:eastAsia="Arial" w:hAnsi="Arial"/>
          <w:sz w:val="18"/>
          <w:szCs w:val="18"/>
          <w:color w:val="auto"/>
        </w:rPr>
      </w:pPr>
    </w:p>
    <w:p>
      <w:pPr>
        <w:spacing w:after="0" w:line="83" w:lineRule="exact"/>
        <w:rPr>
          <w:rFonts w:ascii="Arial" w:cs="Arial" w:eastAsia="Arial" w:hAnsi="Arial"/>
          <w:sz w:val="18"/>
          <w:szCs w:val="18"/>
          <w:color w:val="auto"/>
        </w:rPr>
      </w:pPr>
    </w:p>
    <w:p>
      <w:pPr>
        <w:ind w:left="364" w:right="160" w:hanging="364"/>
        <w:spacing w:after="0" w:line="259" w:lineRule="auto"/>
        <w:tabs>
          <w:tab w:leader="none" w:pos="3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damages of any type for which the Insured is legally liable, except direct compensatory damages arising from a loss covered under this bond.</w:t>
      </w:r>
    </w:p>
    <w:p>
      <w:pPr>
        <w:spacing w:after="0" w:line="59" w:lineRule="exact"/>
        <w:rPr>
          <w:rFonts w:ascii="Arial" w:cs="Arial" w:eastAsia="Arial" w:hAnsi="Arial"/>
          <w:sz w:val="18"/>
          <w:szCs w:val="18"/>
          <w:color w:val="auto"/>
        </w:rPr>
      </w:pPr>
    </w:p>
    <w:p>
      <w:pPr>
        <w:ind w:left="364" w:right="120" w:hanging="364"/>
        <w:spacing w:after="0" w:line="268" w:lineRule="auto"/>
        <w:tabs>
          <w:tab w:leader="none" w:pos="3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51" w:lineRule="exact"/>
        <w:rPr>
          <w:sz w:val="20"/>
          <w:szCs w:val="20"/>
          <w:color w:val="auto"/>
        </w:rPr>
      </w:pPr>
    </w:p>
    <w:p>
      <w:pPr>
        <w:ind w:left="724" w:right="200" w:hanging="359"/>
        <w:spacing w:after="0" w:line="298" w:lineRule="auto"/>
        <w:tabs>
          <w:tab w:leader="none" w:pos="724" w:val="left"/>
        </w:tabs>
        <w:numPr>
          <w:ilvl w:val="1"/>
          <w:numId w:val="27"/>
        </w:numPr>
        <w:rPr>
          <w:rFonts w:ascii="Arial" w:cs="Arial" w:eastAsia="Arial" w:hAnsi="Arial"/>
          <w:sz w:val="16"/>
          <w:szCs w:val="16"/>
          <w:color w:val="auto"/>
        </w:rPr>
      </w:pPr>
      <w:r>
        <w:rPr>
          <w:rFonts w:ascii="Arial" w:cs="Arial" w:eastAsia="Arial" w:hAnsi="Arial"/>
          <w:sz w:val="16"/>
          <w:szCs w:val="16"/>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31" w:lineRule="exact"/>
        <w:rPr>
          <w:rFonts w:ascii="Arial" w:cs="Arial" w:eastAsia="Arial" w:hAnsi="Arial"/>
          <w:sz w:val="16"/>
          <w:szCs w:val="16"/>
          <w:color w:val="auto"/>
        </w:rPr>
      </w:pPr>
    </w:p>
    <w:p>
      <w:pPr>
        <w:ind w:left="724" w:right="380" w:hanging="359"/>
        <w:spacing w:after="0" w:line="357" w:lineRule="auto"/>
        <w:tabs>
          <w:tab w:leader="none" w:pos="724" w:val="left"/>
        </w:tabs>
        <w:numPr>
          <w:ilvl w:val="1"/>
          <w:numId w:val="27"/>
        </w:numPr>
        <w:rPr>
          <w:rFonts w:ascii="Arial" w:cs="Arial" w:eastAsia="Arial" w:hAnsi="Arial"/>
          <w:sz w:val="15"/>
          <w:szCs w:val="15"/>
          <w:color w:val="auto"/>
        </w:rPr>
      </w:pPr>
      <w:r>
        <w:rPr>
          <w:rFonts w:ascii="Arial" w:cs="Arial" w:eastAsia="Arial" w:hAnsi="Arial"/>
          <w:sz w:val="15"/>
          <w:szCs w:val="15"/>
          <w:color w:val="auto"/>
        </w:rPr>
        <w:t>to do damage to the premises or Property of the Insured, except when covered under Insuring Agreement (A).</w:t>
      </w:r>
    </w:p>
    <w:p>
      <w:pPr>
        <w:ind w:left="364" w:right="300" w:hanging="364"/>
        <w:spacing w:after="0" w:line="256" w:lineRule="auto"/>
        <w:tabs>
          <w:tab w:leader="none" w:pos="3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costs, fees and other expenses incurred by the Insured in establishing the existence of or amount of loss covered under this bond unless such indemnity is provided for under Insuring Agreement (B).</w:t>
      </w:r>
    </w:p>
    <w:p>
      <w:pPr>
        <w:spacing w:after="0" w:line="200" w:lineRule="exact"/>
        <w:rPr>
          <w:sz w:val="20"/>
          <w:szCs w:val="20"/>
          <w:color w:val="auto"/>
        </w:rPr>
      </w:pPr>
    </w:p>
    <w:p>
      <w:pPr>
        <w:sectPr>
          <w:pgSz w:w="11900" w:h="16838" w:orient="portrait"/>
          <w:cols w:equalWidth="0" w:num="2">
            <w:col w:w="5300" w:space="696"/>
            <w:col w:w="5064"/>
          </w:cols>
          <w:pgMar w:left="440" w:top="469" w:right="399" w:bottom="1440" w:gutter="0" w:footer="0" w:header="0"/>
        </w:sectPr>
      </w:pPr>
    </w:p>
    <w:p>
      <w:pPr>
        <w:spacing w:after="0" w:line="32" w:lineRule="exact"/>
        <w:rPr>
          <w:sz w:val="20"/>
          <w:szCs w:val="20"/>
          <w:color w:val="auto"/>
        </w:rPr>
      </w:pPr>
    </w:p>
    <w:p>
      <w:pPr>
        <w:spacing w:after="0"/>
        <w:tabs>
          <w:tab w:leader="none" w:pos="5580" w:val="left"/>
          <w:tab w:leader="none" w:pos="90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0"/>
          </w:cols>
          <w:pgMar w:left="440" w:top="469" w:right="399" w:bottom="1440" w:gutter="0" w:footer="0" w:header="0"/>
          <w:type w:val="continuous"/>
        </w:sectPr>
      </w:pPr>
    </w:p>
    <w:bookmarkStart w:id="12" w:name="page13"/>
    <w:bookmarkEnd w:id="12"/>
    <w:p>
      <w:pPr>
        <w:spacing w:after="0" w:line="200" w:lineRule="exact"/>
        <w:rPr>
          <w:sz w:val="20"/>
          <w:szCs w:val="20"/>
          <w:color w:val="auto"/>
        </w:rPr>
      </w:pPr>
    </w:p>
    <w:p>
      <w:pPr>
        <w:spacing w:after="0" w:line="205" w:lineRule="exact"/>
        <w:rPr>
          <w:sz w:val="20"/>
          <w:szCs w:val="20"/>
          <w:color w:val="auto"/>
        </w:rPr>
      </w:pPr>
    </w:p>
    <w:p>
      <w:pPr>
        <w:ind w:left="723" w:right="120" w:hanging="358"/>
        <w:spacing w:after="0" w:line="310" w:lineRule="auto"/>
        <w:tabs>
          <w:tab w:leader="none" w:pos="723" w:val="left"/>
        </w:tabs>
        <w:numPr>
          <w:ilvl w:val="0"/>
          <w:numId w:val="29"/>
        </w:numPr>
        <w:rPr>
          <w:rFonts w:ascii="Arial" w:cs="Arial" w:eastAsia="Arial" w:hAnsi="Arial"/>
          <w:sz w:val="15"/>
          <w:szCs w:val="15"/>
          <w:color w:val="auto"/>
        </w:rPr>
      </w:pPr>
      <w:r>
        <w:rPr>
          <w:rFonts w:ascii="Arial" w:cs="Arial" w:eastAsia="Arial" w:hAnsi="Arial"/>
          <w:sz w:val="15"/>
          <w:szCs w:val="15"/>
          <w:color w:val="auto"/>
        </w:rPr>
        <w:t>loss resulting from payments made or withdrawals from the account of a customer of the Insured, shareholder or subscriber to shares involving funds erroneously credited to such account, unless such payments are made to or withdrawn by such depositor or representative of such person, who is within the premises of the drawee bank of the Insured or within the office of the Insured at the time of such payment or withdrawal or unless such payment is covered under Insuring Agreement (A).</w:t>
      </w:r>
    </w:p>
    <w:p>
      <w:pPr>
        <w:spacing w:after="0" w:line="27" w:lineRule="exact"/>
        <w:rPr>
          <w:rFonts w:ascii="Arial" w:cs="Arial" w:eastAsia="Arial" w:hAnsi="Arial"/>
          <w:sz w:val="15"/>
          <w:szCs w:val="15"/>
          <w:color w:val="auto"/>
        </w:rPr>
      </w:pPr>
    </w:p>
    <w:p>
      <w:pPr>
        <w:ind w:left="723" w:hanging="358"/>
        <w:spacing w:after="0" w:line="298" w:lineRule="auto"/>
        <w:tabs>
          <w:tab w:leader="none" w:pos="723"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loss resulting from Uncollectible Items of Deposit which are drawn from a financial institution outside the fifty states of the United States of America, District of Columbia, and territories and possessions of the United States of America, and Canada.</w:t>
      </w:r>
    </w:p>
    <w:p>
      <w:pPr>
        <w:spacing w:after="0" w:line="194" w:lineRule="exact"/>
        <w:rPr>
          <w:sz w:val="20"/>
          <w:szCs w:val="20"/>
          <w:color w:val="auto"/>
        </w:rPr>
      </w:pPr>
    </w:p>
    <w:p>
      <w:pPr>
        <w:ind w:left="3"/>
        <w:spacing w:after="0"/>
        <w:rPr>
          <w:sz w:val="20"/>
          <w:szCs w:val="20"/>
          <w:color w:val="auto"/>
        </w:rPr>
      </w:pPr>
      <w:r>
        <w:rPr>
          <w:rFonts w:ascii="Arial" w:cs="Arial" w:eastAsia="Arial" w:hAnsi="Arial"/>
          <w:sz w:val="18"/>
          <w:szCs w:val="18"/>
          <w:color w:val="auto"/>
        </w:rPr>
        <w:t>SECTION 3. ASSIGNMENT OF RIGHTS</w:t>
      </w:r>
    </w:p>
    <w:p>
      <w:pPr>
        <w:spacing w:after="0" w:line="90" w:lineRule="exact"/>
        <w:rPr>
          <w:sz w:val="20"/>
          <w:szCs w:val="20"/>
          <w:color w:val="auto"/>
        </w:rPr>
      </w:pPr>
    </w:p>
    <w:p>
      <w:pPr>
        <w:ind w:left="3" w:right="220" w:firstLine="365"/>
        <w:spacing w:after="0" w:line="305" w:lineRule="auto"/>
        <w:rPr>
          <w:sz w:val="20"/>
          <w:szCs w:val="20"/>
          <w:color w:val="auto"/>
        </w:rPr>
      </w:pPr>
      <w:r>
        <w:rPr>
          <w:rFonts w:ascii="Arial" w:cs="Arial" w:eastAsia="Arial" w:hAnsi="Arial"/>
          <w:sz w:val="15"/>
          <w:szCs w:val="15"/>
          <w:color w:val="auto"/>
        </w:rPr>
        <w:t>This bond does not afford coverage in favor of any Employers of temporary personnel or of processors as set forth in sub-sections (6) and</w:t>
      </w:r>
    </w:p>
    <w:p>
      <w:pPr>
        <w:ind w:left="3" w:right="20" w:hanging="3"/>
        <w:spacing w:after="0" w:line="286" w:lineRule="auto"/>
        <w:tabs>
          <w:tab w:leader="none" w:pos="251" w:val="left"/>
        </w:tabs>
        <w:numPr>
          <w:ilvl w:val="0"/>
          <w:numId w:val="30"/>
        </w:numPr>
        <w:rPr>
          <w:rFonts w:ascii="Arial" w:cs="Arial" w:eastAsia="Arial" w:hAnsi="Arial"/>
          <w:sz w:val="16"/>
          <w:szCs w:val="16"/>
          <w:color w:val="auto"/>
        </w:rPr>
      </w:pPr>
      <w:r>
        <w:rPr>
          <w:rFonts w:ascii="Arial" w:cs="Arial" w:eastAsia="Arial" w:hAnsi="Arial"/>
          <w:sz w:val="16"/>
          <w:szCs w:val="16"/>
          <w:color w:val="auto"/>
        </w:rPr>
        <w:t>of Section 1(a) of this bond, as aforesaid, and upon payment to the Insured by the Underwriter on account of any loss through dishonest or fraudulent act(s) including Larceny or Embezzlement committed by any of the partners, officers or employees of such Employers, whether acting alone or in collusion with others, an assignment of such of the Insured’s rights and causes of action as it may have against such Employers by reason of such acts so committed shall, to the extent of such payment, be given by the Insured to the Underwriter, and the Insured shall execute all papers necessary to secure to the Underwriter the rights herein provided for.</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8"/>
          <w:szCs w:val="18"/>
          <w:color w:val="auto"/>
        </w:rPr>
        <w:t>SECTION 4. LOSS -NOTICE -PROOF- LEGAL PROCEEDINGS</w:t>
      </w:r>
    </w:p>
    <w:p>
      <w:pPr>
        <w:spacing w:after="0" w:line="90" w:lineRule="exact"/>
        <w:rPr>
          <w:sz w:val="20"/>
          <w:szCs w:val="20"/>
          <w:color w:val="auto"/>
        </w:rPr>
      </w:pPr>
    </w:p>
    <w:p>
      <w:pPr>
        <w:ind w:left="3" w:right="120" w:firstLine="365"/>
        <w:spacing w:after="0" w:line="268" w:lineRule="auto"/>
        <w:rPr>
          <w:sz w:val="20"/>
          <w:szCs w:val="20"/>
          <w:color w:val="auto"/>
        </w:rPr>
      </w:pPr>
      <w:r>
        <w:rPr>
          <w:rFonts w:ascii="Arial" w:cs="Arial" w:eastAsia="Arial" w:hAnsi="Arial"/>
          <w:sz w:val="18"/>
          <w:szCs w:val="18"/>
          <w:color w:val="auto"/>
        </w:rPr>
        <w:t>This bond is for the use and benefit only of the Insured named in the Declarations and</w:t>
      </w:r>
    </w:p>
    <w:p>
      <w:pPr>
        <w:spacing w:after="0" w:line="200" w:lineRule="exact"/>
        <w:rPr>
          <w:sz w:val="20"/>
          <w:szCs w:val="20"/>
          <w:color w:val="auto"/>
        </w:rPr>
      </w:pPr>
    </w:p>
    <w:p>
      <w:pPr>
        <w:spacing w:after="0" w:line="351" w:lineRule="exact"/>
        <w:rPr>
          <w:sz w:val="20"/>
          <w:szCs w:val="20"/>
          <w:color w:val="auto"/>
        </w:rPr>
      </w:pPr>
    </w:p>
    <w:p>
      <w:pPr>
        <w:ind w:left="3"/>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ind w:left="478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-325120</wp:posOffset>
            </wp:positionV>
            <wp:extent cx="7289165" cy="5481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5481955"/>
                    </a:xfrm>
                    <a:prstGeom prst="rect">
                      <a:avLst/>
                    </a:prstGeom>
                    <a:noFill/>
                  </pic:spPr>
                </pic:pic>
              </a:graphicData>
            </a:graphic>
          </wp:anchor>
        </w:drawing>
      </w:r>
    </w:p>
    <w:p>
      <w:pPr>
        <w:spacing w:after="0" w:line="201" w:lineRule="exact"/>
        <w:rPr>
          <w:sz w:val="20"/>
          <w:szCs w:val="20"/>
          <w:color w:val="auto"/>
        </w:rPr>
      </w:pPr>
    </w:p>
    <w:p>
      <w:pPr>
        <w:ind w:left="40" w:right="140"/>
        <w:spacing w:after="0" w:line="283" w:lineRule="auto"/>
        <w:rPr>
          <w:sz w:val="20"/>
          <w:szCs w:val="20"/>
          <w:color w:val="auto"/>
        </w:rPr>
      </w:pPr>
      <w:r>
        <w:rPr>
          <w:rFonts w:ascii="Arial" w:cs="Arial" w:eastAsia="Arial" w:hAnsi="Arial"/>
          <w:sz w:val="16"/>
          <w:szCs w:val="16"/>
          <w:color w:val="auto"/>
        </w:rPr>
        <w:t>the Underwriter shall not be liable hereunder for loss sustained by anyone other than the Insured unless the Insured, in its sole discretion and at its option, shall include such loss in the Insured’s proof of loss. At the earliest practicable moment after discovery of any loss hereunder the Insured shall give the Underwriter written notice thereof and shall also within six months after such discovery furnish to the Underwriter affirmative proof of loss with full particulars. If claim is made under this bond for loss of securities or shares, the Underwriter shall not be liable unless each of such securities or shares is identified in such proof of loss by a certificate or bond number or, where such securities or shares are uncertificated, by such identification means as agreed to by the Underwriter. The Underwriter shall have thirty days after notice and proof of loss within which to investigate the claim, but where the loss is clear and undisputed, settlement shall be made within forty-eight hours; and this shall apply notwithstanding the loss is made up wholly or in part of securities of which duplicates may be obtained. Legal proceedings for recovery of any loss hereunder shall not be brought prior to the expiration of sixty days after such proof of loss is filed with the Underwriter nor after the expiration of twenty-four months from the discovery of such loss, except that any action or proceeding to recover hereunder on account of any judgment against the Insured in any suit mentioned in General Agreement C or to recover attorneys’ fees paid in any such suit, shall be begun within twenty-four months from the date upon which the judgment in such suit shall become final. If any limitation embodied in this bond is prohibited by any law controlling the construction hereof, such limitation shall be deemed to be amended so as to be equal to the minimum period of limitation permitted by such law.</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Discovery occurs when the Insured</w:t>
      </w:r>
    </w:p>
    <w:p>
      <w:pPr>
        <w:spacing w:after="0" w:line="90" w:lineRule="exact"/>
        <w:rPr>
          <w:sz w:val="20"/>
          <w:szCs w:val="20"/>
          <w:color w:val="auto"/>
        </w:rPr>
      </w:pPr>
    </w:p>
    <w:p>
      <w:pPr>
        <w:ind w:left="760" w:hanging="364"/>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becomes aware of facts, or</w:t>
      </w:r>
    </w:p>
    <w:p>
      <w:pPr>
        <w:spacing w:after="0" w:line="90" w:lineRule="exact"/>
        <w:rPr>
          <w:rFonts w:ascii="Arial" w:cs="Arial" w:eastAsia="Arial" w:hAnsi="Arial"/>
          <w:sz w:val="18"/>
          <w:szCs w:val="18"/>
          <w:color w:val="auto"/>
        </w:rPr>
      </w:pPr>
    </w:p>
    <w:p>
      <w:pPr>
        <w:jc w:val="both"/>
        <w:ind w:left="760" w:right="180" w:hanging="364"/>
        <w:spacing w:after="0" w:line="370" w:lineRule="auto"/>
        <w:tabs>
          <w:tab w:leader="none" w:pos="7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receives written notice of an actual or potential claim by a third party which alleges that the Insured is liable under circumstance</w:t>
      </w:r>
    </w:p>
    <w:p>
      <w:pPr>
        <w:spacing w:after="0" w:line="151"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283" w:space="320"/>
            <w:col w:w="5460"/>
          </w:cols>
          <w:pgMar w:left="437" w:top="469" w:right="399" w:bottom="1440" w:gutter="0" w:footer="0" w:header="0"/>
        </w:sectPr>
      </w:pPr>
    </w:p>
    <w:bookmarkStart w:id="13" w:name="page14"/>
    <w:bookmarkEnd w:id="13"/>
    <w:p>
      <w:pPr>
        <w:spacing w:after="0" w:line="200" w:lineRule="exact"/>
        <w:rPr>
          <w:sz w:val="20"/>
          <w:szCs w:val="20"/>
          <w:color w:val="auto"/>
        </w:rPr>
      </w:pPr>
    </w:p>
    <w:p>
      <w:pPr>
        <w:spacing w:after="0" w:line="205" w:lineRule="exact"/>
        <w:rPr>
          <w:sz w:val="20"/>
          <w:szCs w:val="20"/>
          <w:color w:val="auto"/>
        </w:rPr>
      </w:pPr>
    </w:p>
    <w:p>
      <w:pPr>
        <w:jc w:val="both"/>
        <w:ind w:left="720" w:right="240"/>
        <w:spacing w:after="0" w:line="335" w:lineRule="auto"/>
        <w:rPr>
          <w:sz w:val="20"/>
          <w:szCs w:val="20"/>
          <w:color w:val="auto"/>
        </w:rPr>
      </w:pPr>
      <w:r>
        <w:rPr>
          <w:rFonts w:ascii="Arial" w:cs="Arial" w:eastAsia="Arial" w:hAnsi="Arial"/>
          <w:sz w:val="15"/>
          <w:szCs w:val="15"/>
          <w:color w:val="auto"/>
        </w:rPr>
        <w:t>which would cause a reasonable person to assume that a loss covered by the bond has been or will be incurred even though the exact amount or details of loss may not be then known.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SECTION 5. VALUATION OF PROPERTY</w:t>
      </w:r>
    </w:p>
    <w:p>
      <w:pPr>
        <w:spacing w:after="0" w:line="90" w:lineRule="exact"/>
        <w:rPr>
          <w:sz w:val="20"/>
          <w:szCs w:val="20"/>
          <w:color w:val="auto"/>
        </w:rPr>
      </w:pPr>
    </w:p>
    <w:p>
      <w:pPr>
        <w:ind w:right="40" w:firstLine="365"/>
        <w:spacing w:after="0" w:line="285" w:lineRule="auto"/>
        <w:rPr>
          <w:sz w:val="20"/>
          <w:szCs w:val="20"/>
          <w:color w:val="auto"/>
        </w:rPr>
      </w:pPr>
      <w:r>
        <w:rPr>
          <w:rFonts w:ascii="Arial" w:cs="Arial" w:eastAsia="Arial" w:hAnsi="Arial"/>
          <w:sz w:val="16"/>
          <w:szCs w:val="16"/>
          <w:color w:val="auto"/>
        </w:rPr>
        <w:t>The value of any Property, except books of accounts or other records used by the Insured in the conduct of its business, for the loss of which a claim shall be made hereunder, shall be determined by the average market value of such Property on the business day next preceding the discovery of such loss; provided, however, that the value of any Property replaced by the Insured prior to the payment of claim therefor shall be the actual market value at the time of replacement; and further provided that in case of a loss or misplacement of interim certificates, warrants, rights, or other securities, the production which is necessary to the exercise of subscription, conversion, redemption or deposit privileges, the value thereof shall be the market value of such privileges immediately preceding the expiration thereof if said loss or misplacement is not discovered until after their expiration. If no market price is quoted for such Property or for such privileges, the value shall be fixed by agreement between the parties or by arbitration.</w:t>
      </w:r>
    </w:p>
    <w:p>
      <w:pPr>
        <w:spacing w:after="0" w:line="126"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In case of any loss or damage to Property consisting of books of accounts or other records used by the Insured in the conduct of its business, the Underwriter shall be liable under this bond only if such books or records are actually reproduced and then for not more than the cost of blank books, blank pages or other materials plus the cost of labor for the actual transcription or copying of data which shall have been furnished by the Insured in order to reproduce such books and other records.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SECTION 6. VALUATION OF PREMISES AND FURNISHINGS</w:t>
      </w:r>
    </w:p>
    <w:p>
      <w:pPr>
        <w:spacing w:after="0" w:line="20" w:lineRule="exact"/>
        <w:rPr>
          <w:sz w:val="20"/>
          <w:szCs w:val="20"/>
          <w:color w:val="auto"/>
        </w:rPr>
      </w:pPr>
      <w:r>
        <w:rPr>
          <w:sz w:val="20"/>
          <w:szCs w:val="20"/>
          <w:color w:val="auto"/>
        </w:rPr>
        <w:br w:type="column"/>
      </w:r>
    </w:p>
    <w:p>
      <w:pPr>
        <w:ind w:left="474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-325120</wp:posOffset>
            </wp:positionV>
            <wp:extent cx="7289165" cy="6150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6150610"/>
                    </a:xfrm>
                    <a:prstGeom prst="rect">
                      <a:avLst/>
                    </a:prstGeom>
                    <a:noFill/>
                  </pic:spPr>
                </pic:pic>
              </a:graphicData>
            </a:graphic>
          </wp:anchor>
        </w:drawing>
      </w:r>
    </w:p>
    <w:p>
      <w:pPr>
        <w:spacing w:after="0" w:line="201" w:lineRule="exact"/>
        <w:rPr>
          <w:sz w:val="20"/>
          <w:szCs w:val="20"/>
          <w:color w:val="auto"/>
        </w:rPr>
      </w:pPr>
    </w:p>
    <w:p>
      <w:pPr>
        <w:ind w:right="140" w:firstLine="365"/>
        <w:spacing w:after="0" w:line="289" w:lineRule="auto"/>
        <w:rPr>
          <w:sz w:val="20"/>
          <w:szCs w:val="20"/>
          <w:color w:val="auto"/>
        </w:rPr>
      </w:pPr>
      <w:r>
        <w:rPr>
          <w:rFonts w:ascii="Arial" w:cs="Arial" w:eastAsia="Arial" w:hAnsi="Arial"/>
          <w:sz w:val="16"/>
          <w:szCs w:val="16"/>
          <w:color w:val="auto"/>
        </w:rPr>
        <w:t>In case of damage to any office of the Insured, or loss of or damage to the furnishings, fixtures, stationery, supplies, equipment, safes or vaults therein, the Underwriter shall not be liable for more than the actual cash value thereof, or for more than the actual cost of their replacement or repair. The Underwriter may, at its election, pay such actual cash value or make such replacement or repair. If the Underwriter and the Insured cannot agree upon such cash value or such cost of replacement or repair, such shall be determined by arbitration.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SECTION 7. LOST SECURITIES</w:t>
      </w:r>
    </w:p>
    <w:p>
      <w:pPr>
        <w:spacing w:after="0" w:line="90" w:lineRule="exact"/>
        <w:rPr>
          <w:sz w:val="20"/>
          <w:szCs w:val="20"/>
          <w:color w:val="auto"/>
        </w:rPr>
      </w:pPr>
    </w:p>
    <w:p>
      <w:pPr>
        <w:ind w:right="180" w:firstLine="365"/>
        <w:spacing w:after="0" w:line="255" w:lineRule="auto"/>
        <w:rPr>
          <w:sz w:val="20"/>
          <w:szCs w:val="20"/>
          <w:color w:val="auto"/>
        </w:rPr>
      </w:pPr>
      <w:r>
        <w:rPr>
          <w:rFonts w:ascii="Arial" w:cs="Arial" w:eastAsia="Arial" w:hAnsi="Arial"/>
          <w:sz w:val="18"/>
          <w:szCs w:val="18"/>
          <w:color w:val="auto"/>
        </w:rPr>
        <w:t>If the Insured shall sustain a loss of securities the total value of which is in excess of the limit stated in Item 3 of the Declarations of this bond, the liability of the Underwriter shall be limited to payment for, or duplication of, securities having value equal to the limit stated in Item 3 of the Declarations of this bond.</w:t>
      </w:r>
    </w:p>
    <w:p>
      <w:pPr>
        <w:spacing w:after="0" w:line="143" w:lineRule="exact"/>
        <w:rPr>
          <w:sz w:val="20"/>
          <w:szCs w:val="20"/>
          <w:color w:val="auto"/>
        </w:rPr>
      </w:pPr>
    </w:p>
    <w:p>
      <w:pPr>
        <w:jc w:val="both"/>
        <w:ind w:right="280" w:firstLine="365"/>
        <w:spacing w:after="0" w:line="306" w:lineRule="auto"/>
        <w:rPr>
          <w:sz w:val="20"/>
          <w:szCs w:val="20"/>
          <w:color w:val="auto"/>
        </w:rPr>
      </w:pPr>
      <w:r>
        <w:rPr>
          <w:rFonts w:ascii="Arial" w:cs="Arial" w:eastAsia="Arial" w:hAnsi="Arial"/>
          <w:sz w:val="16"/>
          <w:szCs w:val="16"/>
          <w:color w:val="auto"/>
        </w:rPr>
        <w:t>If the Underwriter shall make payment to the Insured for any loss of securities, the Insured shall thereupon assign to the Underwriter all of the Insured’s rights, title and interests in and to said securities.</w:t>
      </w:r>
    </w:p>
    <w:p>
      <w:pPr>
        <w:spacing w:after="0" w:line="107" w:lineRule="exact"/>
        <w:rPr>
          <w:sz w:val="20"/>
          <w:szCs w:val="20"/>
          <w:color w:val="auto"/>
        </w:rPr>
      </w:pPr>
    </w:p>
    <w:p>
      <w:pPr>
        <w:ind w:right="180" w:firstLine="365"/>
        <w:spacing w:after="0" w:line="289" w:lineRule="auto"/>
        <w:rPr>
          <w:sz w:val="20"/>
          <w:szCs w:val="20"/>
          <w:color w:val="auto"/>
        </w:rPr>
      </w:pPr>
      <w:r>
        <w:rPr>
          <w:rFonts w:ascii="Arial" w:cs="Arial" w:eastAsia="Arial" w:hAnsi="Arial"/>
          <w:sz w:val="16"/>
          <w:szCs w:val="16"/>
          <w:color w:val="auto"/>
        </w:rPr>
        <w:t>With respect to securities the value of which do not exceed the Deductible Amount (at the time of the discovery of the loss) and for which the Underwriter may at its sole discretion and option and at the request of the Insured issue a Lost Instrument Bond or Bonds to effect replacement thereof, the Insured will pay the usual premium charged therefor and will indemnify the Underwriter against all loss or expense that the Underwriter may sustain because of the issuance of such Lost Instrument Bond or Bonds.</w:t>
      </w:r>
    </w:p>
    <w:p>
      <w:pPr>
        <w:spacing w:after="0" w:line="118" w:lineRule="exact"/>
        <w:rPr>
          <w:sz w:val="20"/>
          <w:szCs w:val="20"/>
          <w:color w:val="auto"/>
        </w:rPr>
      </w:pPr>
    </w:p>
    <w:p>
      <w:pPr>
        <w:ind w:right="180" w:firstLine="365"/>
        <w:spacing w:after="0" w:line="288" w:lineRule="auto"/>
        <w:rPr>
          <w:sz w:val="20"/>
          <w:szCs w:val="20"/>
          <w:color w:val="auto"/>
        </w:rPr>
      </w:pPr>
      <w:r>
        <w:rPr>
          <w:rFonts w:ascii="Arial" w:cs="Arial" w:eastAsia="Arial" w:hAnsi="Arial"/>
          <w:sz w:val="16"/>
          <w:szCs w:val="16"/>
          <w:color w:val="auto"/>
        </w:rPr>
        <w:t>With respect to securities the value of which exceeds the Deductible Amount (at the time of discovery of the loss) and for which the Underwriter may issue or arrange for the issuance of a Lost Instrument Bond or Bonds to effect replacement thereof, the Insured agrees that it will pay as premium therefor a proportion of the usual premium charged therefor, said proportion being equal to the percentage that the Deductible Amount bears to the value of the securities upon discovery of the loss, and that it will indemnify the issuer of said Lost Instrument Bond or Bonds against all</w:t>
      </w:r>
    </w:p>
    <w:p>
      <w:pPr>
        <w:spacing w:after="0" w:line="200" w:lineRule="exact"/>
        <w:rPr>
          <w:sz w:val="20"/>
          <w:szCs w:val="20"/>
          <w:color w:val="auto"/>
        </w:rPr>
      </w:pPr>
    </w:p>
    <w:p>
      <w:pPr>
        <w:sectPr>
          <w:pgSz w:w="11900" w:h="16838" w:orient="portrait"/>
          <w:cols w:equalWidth="0" w:num="2">
            <w:col w:w="5300" w:space="340"/>
            <w:col w:w="5420"/>
          </w:cols>
          <w:pgMar w:left="440" w:top="469" w:right="399" w:bottom="1440" w:gutter="0" w:footer="0" w:header="0"/>
        </w:sectPr>
      </w:pPr>
    </w:p>
    <w:p>
      <w:pPr>
        <w:spacing w:after="0" w:line="8" w:lineRule="exact"/>
        <w:rPr>
          <w:sz w:val="20"/>
          <w:szCs w:val="20"/>
          <w:color w:val="auto"/>
        </w:rPr>
      </w:pPr>
    </w:p>
    <w:p>
      <w:pPr>
        <w:spacing w:after="0"/>
        <w:tabs>
          <w:tab w:leader="none" w:pos="5540" w:val="left"/>
          <w:tab w:leader="none" w:pos="90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0"/>
          </w:cols>
          <w:pgMar w:left="440" w:top="469" w:right="399" w:bottom="1440" w:gutter="0" w:footer="0" w:header="0"/>
          <w:type w:val="continuous"/>
        </w:sectPr>
      </w:pPr>
    </w:p>
    <w:bookmarkStart w:id="14" w:name="page15"/>
    <w:bookmarkEnd w:id="14"/>
    <w:p>
      <w:pPr>
        <w:spacing w:after="0" w:line="200" w:lineRule="exact"/>
        <w:rPr>
          <w:sz w:val="20"/>
          <w:szCs w:val="20"/>
          <w:color w:val="auto"/>
        </w:rPr>
      </w:pPr>
    </w:p>
    <w:p>
      <w:pPr>
        <w:spacing w:after="0" w:line="205"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loss and expense that is not recoverable from the Underwriter under the terms and conditions of this INVESTMENT COMPANY BLANKET BOND subject to the Limit of Liability 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8. SALVAGE</w:t>
      </w:r>
    </w:p>
    <w:p>
      <w:pPr>
        <w:spacing w:after="0" w:line="90" w:lineRule="exact"/>
        <w:rPr>
          <w:sz w:val="20"/>
          <w:szCs w:val="20"/>
          <w:color w:val="auto"/>
        </w:rPr>
      </w:pPr>
    </w:p>
    <w:p>
      <w:pPr>
        <w:ind w:right="80" w:firstLine="365"/>
        <w:spacing w:after="0" w:line="286" w:lineRule="auto"/>
        <w:rPr>
          <w:sz w:val="20"/>
          <w:szCs w:val="20"/>
          <w:color w:val="auto"/>
        </w:rPr>
      </w:pPr>
      <w:r>
        <w:rPr>
          <w:rFonts w:ascii="Arial" w:cs="Arial" w:eastAsia="Arial" w:hAnsi="Arial"/>
          <w:sz w:val="16"/>
          <w:szCs w:val="16"/>
          <w:color w:val="auto"/>
        </w:rPr>
        <w:t>In case of recovery, whether made by the Insured or by the Underwriter, on account of any loss in excess of the Limit of Liability hereunder plus the Deductible Amount applicable to such loss from any source other than suretyship, insurance, reinsurance, security or indemnity taken by or for the benefit of the Underwriter, the net amount of such recovery, less the actual costs and expenses of making same, shall be applied to reimburse the Insured in full for the excess portion of such loss, and the remainder, if any, shall be paid first in reimbursement of the Underwriter and thereafter in reimbursement of the Insured for that part of such loss within the Deductible Amount. The Insured shall execute all necessary papers to secure to the Underwriter the rights provided for herein.</w:t>
      </w:r>
    </w:p>
    <w:p>
      <w:pPr>
        <w:spacing w:after="0" w:line="20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SECTION 9. NON-REDUCTION AND NON- ACCUMULATION OF LIABILITY AND TOTAL LIABILITY</w:t>
      </w:r>
    </w:p>
    <w:p>
      <w:pPr>
        <w:spacing w:after="0" w:line="51" w:lineRule="exact"/>
        <w:rPr>
          <w:sz w:val="20"/>
          <w:szCs w:val="20"/>
          <w:color w:val="auto"/>
        </w:rPr>
      </w:pPr>
    </w:p>
    <w:p>
      <w:pPr>
        <w:ind w:firstLine="365"/>
        <w:spacing w:after="0" w:line="253" w:lineRule="auto"/>
        <w:rPr>
          <w:sz w:val="20"/>
          <w:szCs w:val="20"/>
          <w:color w:val="auto"/>
        </w:rPr>
      </w:pPr>
      <w:r>
        <w:rPr>
          <w:rFonts w:ascii="Arial" w:cs="Arial" w:eastAsia="Arial" w:hAnsi="Arial"/>
          <w:sz w:val="18"/>
          <w:szCs w:val="18"/>
          <w:color w:val="auto"/>
        </w:rPr>
        <w:t>At all times prior to termination hereof this bond shall continue in force for the limit stated in the applicable sections of Item 3 of the Declarations of this bond notwithstanding any previous loss for which the Underwriter may have paid or be liable to pay hereunder; PROVIDED, however, that regardless of the number of years this bond shall continue in force and the number of premiums which shall be payable or paid, the liability of the Underwriter under this bond with respect to all loss resulting from</w:t>
      </w:r>
    </w:p>
    <w:p>
      <w:pPr>
        <w:spacing w:after="0" w:line="64" w:lineRule="exact"/>
        <w:rPr>
          <w:sz w:val="20"/>
          <w:szCs w:val="20"/>
          <w:color w:val="auto"/>
        </w:rPr>
      </w:pPr>
    </w:p>
    <w:p>
      <w:pPr>
        <w:ind w:left="720" w:right="60" w:hanging="358"/>
        <w:spacing w:after="0" w:line="259"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one act of burglary, robbery or holdup, or attempt thereat, in which no Partner or Employee is concerned or implicated shall be deemed to be one loss, or</w:t>
      </w:r>
    </w:p>
    <w:p>
      <w:pPr>
        <w:spacing w:after="0" w:line="59" w:lineRule="exact"/>
        <w:rPr>
          <w:rFonts w:ascii="Arial" w:cs="Arial" w:eastAsia="Arial" w:hAnsi="Arial"/>
          <w:sz w:val="18"/>
          <w:szCs w:val="18"/>
          <w:color w:val="auto"/>
        </w:rPr>
      </w:pPr>
    </w:p>
    <w:p>
      <w:pPr>
        <w:ind w:left="720" w:right="340" w:hanging="358"/>
        <w:spacing w:after="0" w:line="268"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one unintentional or negligent act on the part of any one person resulting in damage to or destruction</w:t>
      </w:r>
    </w:p>
    <w:p>
      <w:pPr>
        <w:spacing w:after="0" w:line="20" w:lineRule="exact"/>
        <w:rPr>
          <w:sz w:val="20"/>
          <w:szCs w:val="20"/>
          <w:color w:val="auto"/>
        </w:rPr>
      </w:pPr>
      <w:r>
        <w:rPr>
          <w:sz w:val="20"/>
          <w:szCs w:val="20"/>
          <w:color w:val="auto"/>
        </w:rPr>
        <w:br w:type="column"/>
      </w:r>
    </w:p>
    <w:p>
      <w:pPr>
        <w:ind w:left="474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-325120</wp:posOffset>
            </wp:positionV>
            <wp:extent cx="7289165" cy="5739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5739130"/>
                    </a:xfrm>
                    <a:prstGeom prst="rect">
                      <a:avLst/>
                    </a:prstGeom>
                    <a:noFill/>
                  </pic:spPr>
                </pic:pic>
              </a:graphicData>
            </a:graphic>
          </wp:anchor>
        </w:drawing>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or misplacement of Property, shall be deemed to be one loss, or</w:t>
      </w:r>
    </w:p>
    <w:p>
      <w:pPr>
        <w:spacing w:after="0" w:line="113" w:lineRule="exact"/>
        <w:rPr>
          <w:sz w:val="20"/>
          <w:szCs w:val="20"/>
          <w:color w:val="auto"/>
        </w:rPr>
      </w:pPr>
    </w:p>
    <w:p>
      <w:pPr>
        <w:ind w:left="720" w:right="220" w:hanging="364"/>
        <w:spacing w:after="0" w:line="332"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wrongful acts, other than those specified in (a) above, of any one person shall be deemed to be one loss, or</w:t>
      </w:r>
    </w:p>
    <w:p>
      <w:pPr>
        <w:spacing w:after="0" w:line="4" w:lineRule="exact"/>
        <w:rPr>
          <w:rFonts w:ascii="Arial" w:cs="Arial" w:eastAsia="Arial" w:hAnsi="Arial"/>
          <w:sz w:val="16"/>
          <w:szCs w:val="16"/>
          <w:color w:val="auto"/>
        </w:rPr>
      </w:pPr>
    </w:p>
    <w:p>
      <w:pPr>
        <w:ind w:left="720" w:right="160" w:hanging="364"/>
        <w:spacing w:after="0" w:line="288"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wrongful acts, other than those specified in (a) above, of one or more persons (which dishonest act(s) or act(s) of Larceny or Embezzlement include, but are not limited to, the failure of an Employee to report such acts of others) whose dishonest act or acts intentionally or unintentionally, knowingly or unknowingly, directly or indirectly, aid or aids in any way, or permits the continuation of, the dishonest act or acts of any other person or persons shall be deemed to be one loss with the act or acts of the persons aided, or</w:t>
      </w:r>
    </w:p>
    <w:p>
      <w:pPr>
        <w:spacing w:after="0" w:line="38" w:lineRule="exact"/>
        <w:rPr>
          <w:rFonts w:ascii="Arial" w:cs="Arial" w:eastAsia="Arial" w:hAnsi="Arial"/>
          <w:sz w:val="16"/>
          <w:szCs w:val="16"/>
          <w:color w:val="auto"/>
        </w:rPr>
      </w:pPr>
    </w:p>
    <w:p>
      <w:pPr>
        <w:ind w:left="720" w:hanging="364"/>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one casualty or event other than those specified in (a), (b),</w:t>
      </w:r>
    </w:p>
    <w:p>
      <w:pPr>
        <w:spacing w:after="0" w:line="38"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(c) or (d) preceding, shall be deemed to be one loss, and</w:t>
      </w:r>
    </w:p>
    <w:p>
      <w:pPr>
        <w:spacing w:after="0" w:line="16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shall be limited to the applicable Limit of Liability stated in Item 3 of the Declarations of this bond irrespective of the total amount of such loss or losses and shall not be cumulative in amounts from year to year or from period to period.</w:t>
      </w:r>
    </w:p>
    <w:p>
      <w:pPr>
        <w:spacing w:after="0" w:line="143" w:lineRule="exact"/>
        <w:rPr>
          <w:sz w:val="20"/>
          <w:szCs w:val="20"/>
          <w:color w:val="auto"/>
        </w:rPr>
      </w:pPr>
    </w:p>
    <w:p>
      <w:pPr>
        <w:ind w:right="760" w:firstLine="365"/>
        <w:spacing w:after="0" w:line="268" w:lineRule="auto"/>
        <w:rPr>
          <w:sz w:val="20"/>
          <w:szCs w:val="20"/>
          <w:color w:val="auto"/>
        </w:rPr>
      </w:pPr>
      <w:r>
        <w:rPr>
          <w:rFonts w:ascii="Arial" w:cs="Arial" w:eastAsia="Arial" w:hAnsi="Arial"/>
          <w:sz w:val="18"/>
          <w:szCs w:val="18"/>
          <w:color w:val="auto"/>
        </w:rPr>
        <w:t>Sub-section (c) is not applicable to any situation to which the language of sub-section (d) applies.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SECTION 10. LIMIT OF LIABILITY</w:t>
      </w:r>
    </w:p>
    <w:p>
      <w:pPr>
        <w:spacing w:after="0" w:line="90" w:lineRule="exact"/>
        <w:rPr>
          <w:sz w:val="20"/>
          <w:szCs w:val="20"/>
          <w:color w:val="auto"/>
        </w:rPr>
      </w:pPr>
    </w:p>
    <w:p>
      <w:pPr>
        <w:ind w:right="120" w:firstLine="365"/>
        <w:spacing w:after="0" w:line="289" w:lineRule="auto"/>
        <w:rPr>
          <w:sz w:val="20"/>
          <w:szCs w:val="20"/>
          <w:color w:val="auto"/>
        </w:rPr>
      </w:pPr>
      <w:r>
        <w:rPr>
          <w:rFonts w:ascii="Arial" w:cs="Arial" w:eastAsia="Arial" w:hAnsi="Arial"/>
          <w:sz w:val="16"/>
          <w:szCs w:val="16"/>
          <w:color w:val="auto"/>
        </w:rPr>
        <w:t>With respect to any loss set forth in the PROVIDED clause of Section 9 of this bond which is recoverable or recovered in whole or in part under any other bonds or policies issued by the Underwriter to the Insured or to any predecessor in interest of the Insured and terminated or cancelled or allowed to expire and in which the period for discovery has not expired at the time any such loss thereunder is discovered, the total liability of the Underwriter under this bond and under other bonds or policies shall not exceed, in the aggregate, the amount carried hereunder on</w:t>
      </w:r>
    </w:p>
    <w:p>
      <w:pPr>
        <w:spacing w:after="0" w:line="537" w:lineRule="exact"/>
        <w:rPr>
          <w:sz w:val="20"/>
          <w:szCs w:val="20"/>
          <w:color w:val="auto"/>
        </w:rPr>
      </w:pPr>
    </w:p>
    <w:p>
      <w:pPr>
        <w:sectPr>
          <w:pgSz w:w="11900" w:h="16838" w:orient="portrait"/>
          <w:cols w:equalWidth="0" w:num="2">
            <w:col w:w="5300" w:space="340"/>
            <w:col w:w="5420"/>
          </w:cols>
          <w:pgMar w:left="440" w:top="469" w:right="399" w:bottom="1440" w:gutter="0" w:footer="0" w:header="0"/>
        </w:sectPr>
      </w:pPr>
    </w:p>
    <w:p>
      <w:pPr>
        <w:spacing w:after="0" w:line="21" w:lineRule="exact"/>
        <w:rPr>
          <w:sz w:val="20"/>
          <w:szCs w:val="20"/>
          <w:color w:val="auto"/>
        </w:rPr>
      </w:pPr>
    </w:p>
    <w:p>
      <w:pPr>
        <w:spacing w:after="0"/>
        <w:tabs>
          <w:tab w:leader="none" w:pos="5540" w:val="left"/>
          <w:tab w:leader="none" w:pos="90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0"/>
          </w:cols>
          <w:pgMar w:left="440" w:top="469" w:right="399" w:bottom="1440" w:gutter="0" w:footer="0" w:header="0"/>
          <w:type w:val="continuous"/>
        </w:sectPr>
      </w:pPr>
    </w:p>
    <w:bookmarkStart w:id="15" w:name="page16"/>
    <w:bookmarkEnd w:id="15"/>
    <w:p>
      <w:pPr>
        <w:spacing w:after="0" w:line="200" w:lineRule="exact"/>
        <w:rPr>
          <w:sz w:val="20"/>
          <w:szCs w:val="20"/>
          <w:color w:val="auto"/>
        </w:rPr>
      </w:pPr>
    </w:p>
    <w:p>
      <w:pPr>
        <w:spacing w:after="0" w:line="20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such loss or the amount available to the Insured under such other bonds or policies, as limited by the terms and conditions thereof, for any such loss if the latter amount be the larger.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SECTION 11. OTHER INSURANCE</w:t>
      </w:r>
    </w:p>
    <w:p>
      <w:pPr>
        <w:spacing w:after="0" w:line="90" w:lineRule="exact"/>
        <w:rPr>
          <w:sz w:val="20"/>
          <w:szCs w:val="20"/>
          <w:color w:val="auto"/>
        </w:rPr>
      </w:pPr>
    </w:p>
    <w:p>
      <w:pPr>
        <w:ind w:right="60" w:firstLine="365"/>
        <w:spacing w:after="0" w:line="254" w:lineRule="auto"/>
        <w:rPr>
          <w:sz w:val="20"/>
          <w:szCs w:val="20"/>
          <w:color w:val="auto"/>
        </w:rPr>
      </w:pPr>
      <w:r>
        <w:rPr>
          <w:rFonts w:ascii="Arial" w:cs="Arial" w:eastAsia="Arial" w:hAnsi="Arial"/>
          <w:sz w:val="18"/>
          <w:szCs w:val="18"/>
          <w:color w:val="auto"/>
        </w:rPr>
        <w:t>If the Insured shall hold, as indemnity against any loss covered hereunder, any valid and enforceable insurance or suretyship, the Underwriter shall be liable hereunder only for such amount of such loss which is in excess of the amount of such other insurance or suretyship, not exceeding, however, the Limit of Liability of this bond applicable to such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 DEDUCTIBLE</w:t>
      </w:r>
    </w:p>
    <w:p>
      <w:pPr>
        <w:spacing w:after="0" w:line="90"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The Underwriter shall not be liable under any of the Insuring Agreements of this bond on account of loss as specified, respectively, in sub-sections (a), (b), (c), (d) and (e) of Section 9, NON-REDUCTION AND NON- ACCUMULATION OF LIABILITY AND TOTAL LIABILITY, unless the amount of such loss, after deducting the net amount of all reimbursement and/or recovery obtained or made by the Insured, other than from any bond or policy of insurance issued by an insurance company and covering such loss, or by the Underwriter on account thereof prior to payment by the Underwriter of such loss, shall exceed the Deductible Amount set forth in Item 3 of the Declarations hereof (herein called Deductible Amount) and then for such excess only, but in no event for more than the applicable Limit of Liability stated in Item 3 of the Declarations.</w:t>
      </w:r>
    </w:p>
    <w:p>
      <w:pPr>
        <w:spacing w:after="0" w:line="121" w:lineRule="exact"/>
        <w:rPr>
          <w:sz w:val="20"/>
          <w:szCs w:val="20"/>
          <w:color w:val="auto"/>
        </w:rPr>
      </w:pPr>
    </w:p>
    <w:p>
      <w:pPr>
        <w:ind w:right="680" w:firstLine="365"/>
        <w:spacing w:after="0" w:line="332" w:lineRule="auto"/>
        <w:rPr>
          <w:sz w:val="20"/>
          <w:szCs w:val="20"/>
          <w:color w:val="auto"/>
        </w:rPr>
      </w:pPr>
      <w:r>
        <w:rPr>
          <w:rFonts w:ascii="Arial" w:cs="Arial" w:eastAsia="Arial" w:hAnsi="Arial"/>
          <w:sz w:val="16"/>
          <w:szCs w:val="16"/>
          <w:color w:val="auto"/>
        </w:rPr>
        <w:t>The Insured will bear, in addition to the Deductible Amount, premiums on Lost Instrument Bonds as set forth in Section 7.</w:t>
      </w:r>
    </w:p>
    <w:p>
      <w:pPr>
        <w:spacing w:after="0" w:line="85" w:lineRule="exact"/>
        <w:rPr>
          <w:sz w:val="20"/>
          <w:szCs w:val="20"/>
          <w:color w:val="auto"/>
        </w:rPr>
      </w:pPr>
    </w:p>
    <w:p>
      <w:pPr>
        <w:jc w:val="both"/>
        <w:ind w:right="320" w:firstLine="365"/>
        <w:spacing w:after="0" w:line="259" w:lineRule="auto"/>
        <w:rPr>
          <w:sz w:val="20"/>
          <w:szCs w:val="20"/>
          <w:color w:val="auto"/>
        </w:rPr>
      </w:pPr>
      <w:r>
        <w:rPr>
          <w:rFonts w:ascii="Arial" w:cs="Arial" w:eastAsia="Arial" w:hAnsi="Arial"/>
          <w:sz w:val="18"/>
          <w:szCs w:val="18"/>
          <w:color w:val="auto"/>
        </w:rPr>
        <w:t>There shall be no deductible applicable to any loss under Insuring Agreement A sustained by any Investment Company named as Insured herein.</w:t>
      </w:r>
    </w:p>
    <w:p>
      <w:pPr>
        <w:spacing w:after="0" w:line="20" w:lineRule="exact"/>
        <w:rPr>
          <w:sz w:val="20"/>
          <w:szCs w:val="20"/>
          <w:color w:val="auto"/>
        </w:rPr>
      </w:pPr>
      <w:r>
        <w:rPr>
          <w:sz w:val="20"/>
          <w:szCs w:val="20"/>
          <w:color w:val="auto"/>
        </w:rPr>
        <w:br w:type="column"/>
      </w:r>
    </w:p>
    <w:p>
      <w:pPr>
        <w:ind w:left="474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-325120</wp:posOffset>
            </wp:positionV>
            <wp:extent cx="7289165" cy="5859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5859145"/>
                    </a:xfrm>
                    <a:prstGeom prst="rect">
                      <a:avLst/>
                    </a:prstGeom>
                    <a:noFill/>
                  </pic:spPr>
                </pic:pic>
              </a:graphicData>
            </a:graphic>
          </wp:anchor>
        </w:drawing>
      </w:r>
    </w:p>
    <w:p>
      <w:pPr>
        <w:spacing w:after="0" w:line="201" w:lineRule="exact"/>
        <w:rPr>
          <w:sz w:val="20"/>
          <w:szCs w:val="20"/>
          <w:color w:val="auto"/>
        </w:rPr>
      </w:pPr>
    </w:p>
    <w:p>
      <w:pPr>
        <w:ind w:right="120" w:firstLine="365"/>
        <w:spacing w:after="0" w:line="286" w:lineRule="auto"/>
        <w:rPr>
          <w:sz w:val="20"/>
          <w:szCs w:val="20"/>
          <w:color w:val="auto"/>
        </w:rPr>
      </w:pPr>
      <w:r>
        <w:rPr>
          <w:rFonts w:ascii="Arial" w:cs="Arial" w:eastAsia="Arial" w:hAnsi="Arial"/>
          <w:sz w:val="16"/>
          <w:szCs w:val="16"/>
          <w:color w:val="auto"/>
        </w:rPr>
        <w:t>The Underwriter may terminate this bond as an entirety by furnishing written notice specifying the termination date which cannot be prior to 60 days after the receipt of such written notice by each Investment Company named as Insured and the Securities and Exchange Commission, Washington, D.C. The Insured may terminate this bond as an entirety by furnishing written notice to the Underwriter. When the Insured cancels, the Insured shall furnish written notice to the Securities and Exchange Commission, Washington. D.C. prior to 60 days before the effective date of the termination. The Underwriter shall notify all other Investment Companies named as Insured of the receipt of such termination notice and the termination cannot be effective prior to 60 days after receipt of written notice by all other Investment Companies. Premiums are earned until the termination date as set forth herein.</w:t>
      </w:r>
    </w:p>
    <w:p>
      <w:pPr>
        <w:spacing w:after="0" w:line="121" w:lineRule="exact"/>
        <w:rPr>
          <w:sz w:val="20"/>
          <w:szCs w:val="20"/>
          <w:color w:val="auto"/>
        </w:rPr>
      </w:pPr>
    </w:p>
    <w:p>
      <w:pPr>
        <w:ind w:right="240" w:firstLine="365"/>
        <w:spacing w:after="0" w:line="290" w:lineRule="auto"/>
        <w:rPr>
          <w:sz w:val="20"/>
          <w:szCs w:val="20"/>
          <w:color w:val="auto"/>
        </w:rPr>
      </w:pPr>
      <w:r>
        <w:rPr>
          <w:rFonts w:ascii="Arial" w:cs="Arial" w:eastAsia="Arial" w:hAnsi="Arial"/>
          <w:sz w:val="16"/>
          <w:szCs w:val="16"/>
          <w:color w:val="auto"/>
        </w:rPr>
        <w:t>This Bond will terminate as to any one Insured immediately upon taking over of such Insured by a receiver or other liquidator or by State or Federal officials, or immediately upon the filing of a petition under any State or Federal statute relative to bankruptcy or reorganization of the Insured, or assignment for the benefit of creditors of the Insured. or immediately upon such Insured ceasing to exist, whether through merger into another entity, or by disposition of all of its assets.</w:t>
      </w:r>
    </w:p>
    <w:p>
      <w:pPr>
        <w:spacing w:after="0" w:line="118" w:lineRule="exact"/>
        <w:rPr>
          <w:sz w:val="20"/>
          <w:szCs w:val="20"/>
          <w:color w:val="auto"/>
        </w:rPr>
      </w:pPr>
    </w:p>
    <w:p>
      <w:pPr>
        <w:ind w:right="240" w:firstLine="365"/>
        <w:spacing w:after="0" w:line="306" w:lineRule="auto"/>
        <w:rPr>
          <w:sz w:val="20"/>
          <w:szCs w:val="20"/>
          <w:color w:val="auto"/>
        </w:rPr>
      </w:pPr>
      <w:r>
        <w:rPr>
          <w:rFonts w:ascii="Arial" w:cs="Arial" w:eastAsia="Arial" w:hAnsi="Arial"/>
          <w:sz w:val="16"/>
          <w:szCs w:val="16"/>
          <w:color w:val="auto"/>
        </w:rPr>
        <w:t>The Underwriter shall refund the unearned premium computed at short rates in accordance with the standard short rate cancellation tables if terminated by the Insured or pro rata if terminated for any other reason.</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Bond shall terminate</w:t>
      </w:r>
    </w:p>
    <w:p>
      <w:pPr>
        <w:spacing w:after="0" w:line="90" w:lineRule="exact"/>
        <w:rPr>
          <w:sz w:val="20"/>
          <w:szCs w:val="20"/>
          <w:color w:val="auto"/>
        </w:rPr>
      </w:pPr>
    </w:p>
    <w:p>
      <w:pPr>
        <w:ind w:left="720" w:right="120" w:hanging="364"/>
        <w:spacing w:after="0" w:line="291"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 to any Employee as soon as any partner, officer or supervisory Employee of the Insured, who is not in collusion with such Employee, shall learn of any dishonest or fraudulent act(s), including Larceny or Embezzlement on the part of such Employee without prejudice to the loss of any Property then in transit in the custody of such Employee (See Section 16[d]), or</w:t>
      </w:r>
    </w:p>
    <w:p>
      <w:pPr>
        <w:spacing w:after="0" w:line="368" w:lineRule="exact"/>
        <w:rPr>
          <w:sz w:val="20"/>
          <w:szCs w:val="20"/>
          <w:color w:val="auto"/>
        </w:rPr>
      </w:pPr>
    </w:p>
    <w:p>
      <w:pPr>
        <w:sectPr>
          <w:pgSz w:w="11900" w:h="16838" w:orient="portrait"/>
          <w:cols w:equalWidth="0" w:num="2">
            <w:col w:w="5300" w:space="340"/>
            <w:col w:w="5420"/>
          </w:cols>
          <w:pgMar w:left="440" w:top="469" w:right="39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13. TERMINATION</w:t>
      </w:r>
    </w:p>
    <w:p>
      <w:pPr>
        <w:spacing w:after="0" w:line="260" w:lineRule="exact"/>
        <w:rPr>
          <w:sz w:val="20"/>
          <w:szCs w:val="20"/>
          <w:color w:val="auto"/>
        </w:rPr>
      </w:pPr>
    </w:p>
    <w:p>
      <w:pPr>
        <w:spacing w:after="0"/>
        <w:tabs>
          <w:tab w:leader="none" w:pos="5540" w:val="left"/>
          <w:tab w:leader="none" w:pos="90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0"/>
          </w:cols>
          <w:pgMar w:left="440" w:top="469" w:right="399" w:bottom="1440" w:gutter="0" w:footer="0" w:header="0"/>
          <w:type w:val="continuous"/>
        </w:sectPr>
      </w:pPr>
    </w:p>
    <w:bookmarkStart w:id="16" w:name="page17"/>
    <w:bookmarkEnd w:id="16"/>
    <w:p>
      <w:pPr>
        <w:spacing w:after="0" w:line="200" w:lineRule="exact"/>
        <w:rPr>
          <w:sz w:val="20"/>
          <w:szCs w:val="20"/>
          <w:color w:val="auto"/>
        </w:rPr>
      </w:pPr>
    </w:p>
    <w:p>
      <w:pPr>
        <w:spacing w:after="0" w:line="205" w:lineRule="exact"/>
        <w:rPr>
          <w:sz w:val="20"/>
          <w:szCs w:val="20"/>
          <w:color w:val="auto"/>
        </w:rPr>
      </w:pPr>
    </w:p>
    <w:p>
      <w:pPr>
        <w:ind w:left="720" w:hanging="358"/>
        <w:spacing w:after="0" w:line="25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to any Employee 60 days after receipt by each Insured and by the Securities and Exchange Commission of a written notice from the Underwriter of its desire to terminate this bond as to such Employee, or</w:t>
      </w:r>
    </w:p>
    <w:p>
      <w:pPr>
        <w:spacing w:after="0" w:line="62" w:lineRule="exact"/>
        <w:rPr>
          <w:rFonts w:ascii="Arial" w:cs="Arial" w:eastAsia="Arial" w:hAnsi="Arial"/>
          <w:sz w:val="18"/>
          <w:szCs w:val="18"/>
          <w:color w:val="auto"/>
        </w:rPr>
      </w:pPr>
    </w:p>
    <w:p>
      <w:pPr>
        <w:ind w:left="720" w:right="200" w:hanging="358"/>
        <w:spacing w:after="0" w:line="310" w:lineRule="auto"/>
        <w:tabs>
          <w:tab w:leader="none" w:pos="7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as to any person, who is a partner, officer or employee of any Electronic Data Processor covered under this bond, from and after the time that the Insured or any partner or officer thereof not in collusion with such person shall have knowledge or information that such person has committed any dishonest or fraudulent act(s), including Larceny or Embezzlement in the service of the Insured or otherwise, whether such act be committed before or after the time this bond is effective.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SECTION 14. RIGHTS AFTER TERMINATION OR CANCELLATION</w:t>
      </w:r>
    </w:p>
    <w:p>
      <w:pPr>
        <w:spacing w:after="0" w:line="113" w:lineRule="exact"/>
        <w:rPr>
          <w:sz w:val="20"/>
          <w:szCs w:val="20"/>
          <w:color w:val="auto"/>
        </w:rPr>
      </w:pPr>
    </w:p>
    <w:p>
      <w:pPr>
        <w:ind w:firstLine="365"/>
        <w:spacing w:after="0" w:line="291" w:lineRule="auto"/>
        <w:rPr>
          <w:sz w:val="20"/>
          <w:szCs w:val="20"/>
          <w:color w:val="auto"/>
        </w:rPr>
      </w:pPr>
      <w:r>
        <w:rPr>
          <w:rFonts w:ascii="Arial" w:cs="Arial" w:eastAsia="Arial" w:hAnsi="Arial"/>
          <w:sz w:val="16"/>
          <w:szCs w:val="16"/>
          <w:color w:val="auto"/>
        </w:rPr>
        <w:t>At any time prior to the termination or cancellation of this bond as an entirety, whether by the Insured or the Underwriter, the Insured may give to the Underwriter notice that it desires under this bond an additional period of 12 months within which to discover loss sustained by the Insured prior to the effective date of such termination or cancellation and shall pay an additional premium therefor.</w:t>
      </w:r>
    </w:p>
    <w:p>
      <w:pPr>
        <w:spacing w:after="0" w:line="120" w:lineRule="exact"/>
        <w:rPr>
          <w:sz w:val="20"/>
          <w:szCs w:val="20"/>
          <w:color w:val="auto"/>
        </w:rPr>
      </w:pPr>
    </w:p>
    <w:p>
      <w:pPr>
        <w:jc w:val="both"/>
        <w:ind w:right="160" w:firstLine="365"/>
        <w:spacing w:after="0" w:line="306" w:lineRule="auto"/>
        <w:rPr>
          <w:sz w:val="20"/>
          <w:szCs w:val="20"/>
          <w:color w:val="auto"/>
        </w:rPr>
      </w:pPr>
      <w:r>
        <w:rPr>
          <w:rFonts w:ascii="Arial" w:cs="Arial" w:eastAsia="Arial" w:hAnsi="Arial"/>
          <w:sz w:val="16"/>
          <w:szCs w:val="16"/>
          <w:color w:val="auto"/>
        </w:rPr>
        <w:t>Upon receipt of such notice from the Insured, the Underwriter shall give its written consent thereto; provided, however, that such additional period of time shall terminate immediately;</w:t>
      </w:r>
    </w:p>
    <w:p>
      <w:pPr>
        <w:spacing w:after="0" w:line="26" w:lineRule="exact"/>
        <w:rPr>
          <w:sz w:val="20"/>
          <w:szCs w:val="20"/>
          <w:color w:val="auto"/>
        </w:rPr>
      </w:pPr>
    </w:p>
    <w:p>
      <w:pPr>
        <w:ind w:left="720" w:right="20" w:hanging="358"/>
        <w:spacing w:after="0" w:line="255"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61" w:lineRule="exact"/>
        <w:rPr>
          <w:rFonts w:ascii="Arial" w:cs="Arial" w:eastAsia="Arial" w:hAnsi="Arial"/>
          <w:sz w:val="18"/>
          <w:szCs w:val="18"/>
          <w:color w:val="auto"/>
        </w:rPr>
      </w:pPr>
    </w:p>
    <w:p>
      <w:pPr>
        <w:ind w:left="720" w:right="80" w:hanging="358"/>
        <w:spacing w:after="0" w:line="259"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takeover of the Insured’s business by any State or Federal official or agency, or by any receiver or liquidator, acting or appointed for this purpose</w:t>
      </w:r>
    </w:p>
    <w:p>
      <w:pPr>
        <w:spacing w:after="0" w:line="20" w:lineRule="exact"/>
        <w:rPr>
          <w:sz w:val="20"/>
          <w:szCs w:val="20"/>
          <w:color w:val="auto"/>
        </w:rPr>
      </w:pPr>
      <w:r>
        <w:rPr>
          <w:sz w:val="20"/>
          <w:szCs w:val="20"/>
          <w:color w:val="auto"/>
        </w:rPr>
        <w:br w:type="column"/>
      </w:r>
    </w:p>
    <w:p>
      <w:pPr>
        <w:ind w:left="474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-325120</wp:posOffset>
            </wp:positionV>
            <wp:extent cx="7289165" cy="5876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5876290"/>
                    </a:xfrm>
                    <a:prstGeom prst="rect">
                      <a:avLst/>
                    </a:prstGeom>
                    <a:noFill/>
                  </pic:spPr>
                </pic:pic>
              </a:graphicData>
            </a:graphic>
          </wp:anchor>
        </w:drawing>
      </w:r>
    </w:p>
    <w:p>
      <w:pPr>
        <w:spacing w:after="0" w:line="20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without the necessity of the Underwriter giving notice of such termination. In the event that such additional period of time is terminated, as provided above, the Underwriter shall refund any unearned premium.</w:t>
      </w:r>
    </w:p>
    <w:p>
      <w:pPr>
        <w:spacing w:after="0" w:line="107" w:lineRule="exact"/>
        <w:rPr>
          <w:sz w:val="20"/>
          <w:szCs w:val="20"/>
          <w:color w:val="auto"/>
        </w:rPr>
      </w:pPr>
    </w:p>
    <w:p>
      <w:pPr>
        <w:ind w:right="220" w:firstLine="365"/>
        <w:spacing w:after="0" w:line="255"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SECTION 15. CENTRAL HANDLING OF SECURITIES</w:t>
      </w:r>
    </w:p>
    <w:p>
      <w:pPr>
        <w:spacing w:after="0" w:line="90" w:lineRule="exact"/>
        <w:rPr>
          <w:sz w:val="20"/>
          <w:szCs w:val="20"/>
          <w:color w:val="auto"/>
        </w:rPr>
      </w:pPr>
    </w:p>
    <w:p>
      <w:pPr>
        <w:ind w:right="240" w:firstLine="365"/>
        <w:spacing w:after="0" w:line="290" w:lineRule="auto"/>
        <w:rPr>
          <w:sz w:val="20"/>
          <w:szCs w:val="20"/>
          <w:color w:val="auto"/>
        </w:rPr>
      </w:pPr>
      <w:r>
        <w:rPr>
          <w:rFonts w:ascii="Arial" w:cs="Arial" w:eastAsia="Arial" w:hAnsi="Arial"/>
          <w:sz w:val="16"/>
          <w:szCs w:val="16"/>
          <w:color w:val="auto"/>
        </w:rPr>
        <w:t>Securities included in the systems for the central handling of securities established and maintained by Depository Trust Company, Midwest Depository Trust Company, Pacific Securities Depository Trust Company, and Philadelphia Depository Trust Company, hereinafter called Corporations, to the extent of the Insured’s interest therein as effective by the making of appropriate entries on the books and records of such Corporations shall be deemed to be Property.</w:t>
      </w:r>
    </w:p>
    <w:p>
      <w:pPr>
        <w:spacing w:after="0" w:line="118" w:lineRule="exact"/>
        <w:rPr>
          <w:sz w:val="20"/>
          <w:szCs w:val="20"/>
          <w:color w:val="auto"/>
        </w:rPr>
      </w:pPr>
    </w:p>
    <w:p>
      <w:pPr>
        <w:ind w:right="140" w:firstLine="365"/>
        <w:spacing w:after="0" w:line="286" w:lineRule="auto"/>
        <w:rPr>
          <w:sz w:val="20"/>
          <w:szCs w:val="20"/>
          <w:color w:val="auto"/>
        </w:rPr>
      </w:pPr>
      <w:r>
        <w:rPr>
          <w:rFonts w:ascii="Arial" w:cs="Arial" w:eastAsia="Arial" w:hAnsi="Arial"/>
          <w:sz w:val="16"/>
          <w:szCs w:val="16"/>
          <w:color w:val="auto"/>
        </w:rPr>
        <w:t>The words “Employee” and “Employees” shall be deemed to include the officers, partners, clerks and other employees of the New York Stock Exchange, Boston Stock Exchange, Midwest Stock Exchange, Pacific Stock Exchange and Philadelphia Stock Exchange, hereinafter called Exchanges, and of the above named Corporations, and of any nominee in whose name is registered any security included within the systems for the central handling of securities established and maintained by such Corporations, and any employee of any recognized service company, while such officers, partners, clerks and other employees and employees of service companies perform services for such Corporations in the operation of such systems. For the purpose of the above definition a recognized service company shall be any company providing clerks or other personnel to said Exchanges or Corporation on a contract basis.</w:t>
      </w:r>
    </w:p>
    <w:p>
      <w:pPr>
        <w:spacing w:after="0" w:line="121" w:lineRule="exact"/>
        <w:rPr>
          <w:sz w:val="20"/>
          <w:szCs w:val="20"/>
          <w:color w:val="auto"/>
        </w:rPr>
      </w:pPr>
    </w:p>
    <w:p>
      <w:pPr>
        <w:jc w:val="both"/>
        <w:ind w:right="540" w:firstLine="365"/>
        <w:spacing w:after="0" w:line="259" w:lineRule="auto"/>
        <w:rPr>
          <w:sz w:val="20"/>
          <w:szCs w:val="20"/>
          <w:color w:val="auto"/>
        </w:rPr>
      </w:pPr>
      <w:r>
        <w:rPr>
          <w:rFonts w:ascii="Arial" w:cs="Arial" w:eastAsia="Arial" w:hAnsi="Arial"/>
          <w:sz w:val="18"/>
          <w:szCs w:val="18"/>
          <w:color w:val="auto"/>
        </w:rPr>
        <w:t>The Underwriter shall not be liable on account of any loss(es) in connection with the central handling of securities within the systems established and maintained by such</w:t>
      </w:r>
    </w:p>
    <w:p>
      <w:pPr>
        <w:spacing w:after="0" w:line="200" w:lineRule="exact"/>
        <w:rPr>
          <w:sz w:val="20"/>
          <w:szCs w:val="20"/>
          <w:color w:val="auto"/>
        </w:rPr>
      </w:pPr>
    </w:p>
    <w:p>
      <w:pPr>
        <w:sectPr>
          <w:pgSz w:w="11900" w:h="16838" w:orient="portrait"/>
          <w:cols w:equalWidth="0" w:num="2">
            <w:col w:w="5260" w:space="380"/>
            <w:col w:w="5420"/>
          </w:cols>
          <w:pgMar w:left="440" w:top="469" w:right="399" w:bottom="1440" w:gutter="0" w:footer="0" w:header="0"/>
        </w:sectPr>
      </w:pPr>
    </w:p>
    <w:p>
      <w:pPr>
        <w:spacing w:after="0" w:line="29" w:lineRule="exact"/>
        <w:rPr>
          <w:sz w:val="20"/>
          <w:szCs w:val="20"/>
          <w:color w:val="auto"/>
        </w:rPr>
      </w:pPr>
    </w:p>
    <w:p>
      <w:pPr>
        <w:spacing w:after="0"/>
        <w:tabs>
          <w:tab w:leader="none" w:pos="5540" w:val="left"/>
          <w:tab w:leader="none" w:pos="90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0"/>
          </w:cols>
          <w:pgMar w:left="440" w:top="469" w:right="399" w:bottom="1440" w:gutter="0" w:footer="0" w:header="0"/>
          <w:type w:val="continuous"/>
        </w:sectPr>
      </w:pPr>
    </w:p>
    <w:bookmarkStart w:id="17" w:name="page18"/>
    <w:bookmarkEnd w:id="17"/>
    <w:p>
      <w:pPr>
        <w:spacing w:after="0" w:line="200" w:lineRule="exact"/>
        <w:rPr>
          <w:sz w:val="20"/>
          <w:szCs w:val="20"/>
          <w:color w:val="auto"/>
        </w:rPr>
      </w:pPr>
    </w:p>
    <w:p>
      <w:pPr>
        <w:spacing w:after="0" w:line="20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Corporations, unless such loss(es) shall be in excess of the amount(s) recoverable or recovered under any bond or policy of insurance indemnifying such Corporations, against such loss(es), and then the Underwriter shall be liable hereunder only for the Insured’s share of such excess loss(es), but in no event for more than the Limit of Liability applicable hereunder.</w:t>
      </w:r>
    </w:p>
    <w:p>
      <w:pPr>
        <w:spacing w:after="0" w:line="144" w:lineRule="exact"/>
        <w:rPr>
          <w:sz w:val="20"/>
          <w:szCs w:val="20"/>
          <w:color w:val="auto"/>
        </w:rPr>
      </w:pPr>
    </w:p>
    <w:p>
      <w:pPr>
        <w:ind w:firstLine="365"/>
        <w:spacing w:after="0" w:line="285" w:lineRule="auto"/>
        <w:rPr>
          <w:sz w:val="20"/>
          <w:szCs w:val="20"/>
          <w:color w:val="auto"/>
        </w:rPr>
      </w:pPr>
      <w:r>
        <w:rPr>
          <w:rFonts w:ascii="Arial" w:cs="Arial" w:eastAsia="Arial" w:hAnsi="Arial"/>
          <w:sz w:val="16"/>
          <w:szCs w:val="16"/>
          <w:color w:val="auto"/>
        </w:rPr>
        <w:t>For the purpose of determining the Insured’s share of excess loss(es) it shall be deemed that the Insured has an interest in any certificate representing any security included within such systems equivalent to the interest the Insured then has in all certificates representing the same security included within such systems and that such Corporations shall use their best judgement in apportioning the amount(s) recoverable or recovered under any bond or policy of insurance indemnifying such Corporations against such loss(es) in connection with the central handling of securities within such systems among all those having an interest as recorded by appropriate entries in the books and records of such Corporations in Property involved in such loss(es) on the basis that each such interest shall share in the amount(s) so recoverable or recovered in the ratio that the value of each such interest bears to the total value of all such interests and that the Insured’s share of such excess loss(es) shall be the amount of the Insured’s interest in such Property in excess of the amount(s) so apportioned to the Insured by such Corporations.</w:t>
      </w:r>
    </w:p>
    <w:p>
      <w:pPr>
        <w:spacing w:after="0" w:line="124" w:lineRule="exact"/>
        <w:rPr>
          <w:sz w:val="20"/>
          <w:szCs w:val="20"/>
          <w:color w:val="auto"/>
        </w:rPr>
      </w:pPr>
    </w:p>
    <w:p>
      <w:pPr>
        <w:ind w:right="20" w:firstLine="365"/>
        <w:spacing w:after="0" w:line="287" w:lineRule="auto"/>
        <w:rPr>
          <w:sz w:val="20"/>
          <w:szCs w:val="20"/>
          <w:color w:val="auto"/>
        </w:rPr>
      </w:pPr>
      <w:r>
        <w:rPr>
          <w:rFonts w:ascii="Arial" w:cs="Arial" w:eastAsia="Arial" w:hAnsi="Arial"/>
          <w:sz w:val="16"/>
          <w:szCs w:val="16"/>
          <w:color w:val="auto"/>
        </w:rPr>
        <w:t>This bond does not afford coverage in favor of such Corporations or Exchanges or any nominee in whose name is registered any security included within the systems for the central handling of securities established and maintained by such Corporations, and upon payment to the Insured by the Underwriter on account of any loss(es) within the systems, an assignment of such of the Insured’s rights and causes of action as it may have against such Corporations or Exchanges shall to the extent of such payment, be given by the Insured to the Underwriter, and the Insured shall execute all papers necessary to secure to the Underwriter the rights provided for herein.</w:t>
      </w:r>
    </w:p>
    <w:p>
      <w:pPr>
        <w:spacing w:after="0" w:line="20" w:lineRule="exact"/>
        <w:rPr>
          <w:sz w:val="20"/>
          <w:szCs w:val="20"/>
          <w:color w:val="auto"/>
        </w:rPr>
      </w:pPr>
      <w:r>
        <w:rPr>
          <w:sz w:val="20"/>
          <w:szCs w:val="20"/>
          <w:color w:val="auto"/>
        </w:rPr>
        <w:br w:type="column"/>
      </w:r>
    </w:p>
    <w:p>
      <w:pPr>
        <w:ind w:left="474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-325120</wp:posOffset>
            </wp:positionV>
            <wp:extent cx="7289165" cy="5567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55676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SECTION 16. ADDITIONAL COMPANIES INCLUDED AS INSURED</w:t>
      </w:r>
    </w:p>
    <w:p>
      <w:pPr>
        <w:spacing w:after="0" w:line="113" w:lineRule="exact"/>
        <w:rPr>
          <w:sz w:val="20"/>
          <w:szCs w:val="20"/>
          <w:color w:val="auto"/>
        </w:rPr>
      </w:pPr>
    </w:p>
    <w:p>
      <w:pPr>
        <w:ind w:right="760" w:firstLine="365"/>
        <w:spacing w:after="0" w:line="332" w:lineRule="auto"/>
        <w:rPr>
          <w:sz w:val="20"/>
          <w:szCs w:val="20"/>
          <w:color w:val="auto"/>
        </w:rPr>
      </w:pPr>
      <w:r>
        <w:rPr>
          <w:rFonts w:ascii="Arial" w:cs="Arial" w:eastAsia="Arial" w:hAnsi="Arial"/>
          <w:sz w:val="16"/>
          <w:szCs w:val="16"/>
          <w:color w:val="auto"/>
        </w:rPr>
        <w:t>If more than one corporation, co-partnership or person or any combination of them be included as the Insured herein:</w:t>
      </w:r>
    </w:p>
    <w:p>
      <w:pPr>
        <w:spacing w:after="0" w:line="4" w:lineRule="exact"/>
        <w:rPr>
          <w:sz w:val="20"/>
          <w:szCs w:val="20"/>
          <w:color w:val="auto"/>
        </w:rPr>
      </w:pPr>
    </w:p>
    <w:p>
      <w:pPr>
        <w:jc w:val="both"/>
        <w:ind w:left="720" w:right="200" w:hanging="364"/>
        <w:spacing w:after="0" w:line="298"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total liability of the Underwriter hereunder for loss or losses sustained by any one or more or all of them shall not exceed the limit for which the Underwriter would be liable hereunder if all such loss were sustained by any one of them,</w:t>
      </w:r>
    </w:p>
    <w:p>
      <w:pPr>
        <w:spacing w:after="0" w:line="31" w:lineRule="exact"/>
        <w:rPr>
          <w:rFonts w:ascii="Arial" w:cs="Arial" w:eastAsia="Arial" w:hAnsi="Arial"/>
          <w:sz w:val="16"/>
          <w:szCs w:val="16"/>
          <w:color w:val="auto"/>
        </w:rPr>
      </w:pPr>
    </w:p>
    <w:p>
      <w:pPr>
        <w:ind w:left="720" w:right="140" w:hanging="364"/>
        <w:spacing w:after="0" w:line="288"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one first named herein shall be deemed authorized to make, adjust and receive and enforce payment of all claims hereunder and shall be deemed to be the agent of the others for such purposes and for the giving or receiving of any notice required or permitted to be given by the terms hereof, provided that the Underwriter shall furnish each named Investment Company with a copy of the bond and with any amendment thereto, together with a copy of each formal filing of the settlement of each such claim prior to the execution of such settlement,</w:t>
      </w:r>
    </w:p>
    <w:p>
      <w:pPr>
        <w:spacing w:after="0" w:line="38" w:lineRule="exact"/>
        <w:rPr>
          <w:rFonts w:ascii="Arial" w:cs="Arial" w:eastAsia="Arial" w:hAnsi="Arial"/>
          <w:sz w:val="16"/>
          <w:szCs w:val="16"/>
          <w:color w:val="auto"/>
        </w:rPr>
      </w:pPr>
    </w:p>
    <w:p>
      <w:pPr>
        <w:ind w:left="720" w:right="260" w:hanging="364"/>
        <w:spacing w:after="0" w:line="259"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Underwriter shall not be responsible for the proper application of any payment made hereunder to said first named Insured,</w:t>
      </w:r>
    </w:p>
    <w:p>
      <w:pPr>
        <w:spacing w:after="0" w:line="59" w:lineRule="exact"/>
        <w:rPr>
          <w:rFonts w:ascii="Arial" w:cs="Arial" w:eastAsia="Arial" w:hAnsi="Arial"/>
          <w:sz w:val="18"/>
          <w:szCs w:val="18"/>
          <w:color w:val="auto"/>
        </w:rPr>
      </w:pPr>
    </w:p>
    <w:p>
      <w:pPr>
        <w:ind w:left="720" w:right="140" w:hanging="364"/>
        <w:spacing w:after="0" w:line="25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knowledge possessed or discovery made by any partner, officer or supervisory Employee of any Insured shall for the purposes of Section 4 and Section 13 of this bond constitute knowledge or discovery by all the Insured, and</w:t>
      </w:r>
    </w:p>
    <w:p>
      <w:pPr>
        <w:spacing w:after="0" w:line="62" w:lineRule="exact"/>
        <w:rPr>
          <w:rFonts w:ascii="Arial" w:cs="Arial" w:eastAsia="Arial" w:hAnsi="Arial"/>
          <w:sz w:val="18"/>
          <w:szCs w:val="18"/>
          <w:color w:val="auto"/>
        </w:rPr>
      </w:pPr>
    </w:p>
    <w:p>
      <w:pPr>
        <w:ind w:left="720" w:right="220" w:hanging="364"/>
        <w:spacing w:after="0" w:line="25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first named Insured ceases for any reason to be covered under this bond, then the Insured next named shall thereafter be considered as the first named Insured for the purposes of this bond.</w:t>
      </w:r>
    </w:p>
    <w:p>
      <w:pPr>
        <w:spacing w:after="0" w:line="1138" w:lineRule="exact"/>
        <w:rPr>
          <w:sz w:val="20"/>
          <w:szCs w:val="20"/>
          <w:color w:val="auto"/>
        </w:rPr>
      </w:pPr>
    </w:p>
    <w:p>
      <w:pPr>
        <w:sectPr>
          <w:pgSz w:w="11900" w:h="16838" w:orient="portrait"/>
          <w:cols w:equalWidth="0" w:num="2">
            <w:col w:w="5300" w:space="340"/>
            <w:col w:w="5420"/>
          </w:cols>
          <w:pgMar w:left="440" w:top="469" w:right="399" w:bottom="1440" w:gutter="0" w:footer="0" w:header="0"/>
        </w:sectPr>
      </w:pPr>
    </w:p>
    <w:p>
      <w:pPr>
        <w:spacing w:after="0" w:line="11" w:lineRule="exact"/>
        <w:rPr>
          <w:sz w:val="20"/>
          <w:szCs w:val="20"/>
          <w:color w:val="auto"/>
        </w:rPr>
      </w:pPr>
    </w:p>
    <w:p>
      <w:pPr>
        <w:spacing w:after="0"/>
        <w:tabs>
          <w:tab w:leader="none" w:pos="5540" w:val="left"/>
          <w:tab w:leader="none" w:pos="90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0"/>
          </w:cols>
          <w:pgMar w:left="440" w:top="469" w:right="399" w:bottom="1440" w:gutter="0" w:footer="0" w:header="0"/>
          <w:type w:val="continuous"/>
        </w:sectPr>
      </w:pPr>
    </w:p>
    <w:bookmarkStart w:id="18" w:name="page19"/>
    <w:bookmarkEnd w:id="18"/>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SECTION 17. NOTICE AND CHANGE OF CONTROL</w:t>
      </w:r>
    </w:p>
    <w:p>
      <w:pPr>
        <w:spacing w:after="0" w:line="90" w:lineRule="exact"/>
        <w:rPr>
          <w:sz w:val="20"/>
          <w:szCs w:val="20"/>
          <w:color w:val="auto"/>
        </w:rPr>
      </w:pPr>
    </w:p>
    <w:p>
      <w:pPr>
        <w:ind w:right="200" w:firstLine="365"/>
        <w:spacing w:after="0" w:line="294" w:lineRule="auto"/>
        <w:rPr>
          <w:sz w:val="20"/>
          <w:szCs w:val="20"/>
          <w:color w:val="auto"/>
        </w:rPr>
      </w:pPr>
      <w:r>
        <w:rPr>
          <w:rFonts w:ascii="Arial" w:cs="Arial" w:eastAsia="Arial" w:hAnsi="Arial"/>
          <w:sz w:val="16"/>
          <w:szCs w:val="16"/>
          <w:color w:val="auto"/>
        </w:rPr>
        <w:t>Upon the Insured’s obtaining knowledge of a transfer of its outstanding voting securities which results in a change in control (as set forth in Section 2(a) (9) of the Investment Company Act of 1940) of the Insured, the Insured shall within thirty (30) days of such knowledge give written notice to the Underwriter setting forth:</w:t>
      </w:r>
    </w:p>
    <w:p>
      <w:pPr>
        <w:spacing w:after="0" w:line="35" w:lineRule="exact"/>
        <w:rPr>
          <w:sz w:val="20"/>
          <w:szCs w:val="20"/>
          <w:color w:val="auto"/>
        </w:rPr>
      </w:pPr>
    </w:p>
    <w:p>
      <w:pPr>
        <w:ind w:left="720" w:hanging="358"/>
        <w:spacing w:after="0" w:line="259"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names of the transferors and transferees (or the names of the beneficial owners if the voting securities are requested in another name), and</w:t>
      </w:r>
    </w:p>
    <w:p>
      <w:pPr>
        <w:spacing w:after="0" w:line="59" w:lineRule="exact"/>
        <w:rPr>
          <w:rFonts w:ascii="Arial" w:cs="Arial" w:eastAsia="Arial" w:hAnsi="Arial"/>
          <w:sz w:val="18"/>
          <w:szCs w:val="18"/>
          <w:color w:val="auto"/>
        </w:rPr>
      </w:pPr>
    </w:p>
    <w:p>
      <w:pPr>
        <w:ind w:left="720" w:right="80" w:hanging="358"/>
        <w:spacing w:after="0" w:line="306"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total number of voting securities owned by the transferors and the transferees (or the beneficial owners), both immediately before and after the transfer, and</w:t>
      </w:r>
    </w:p>
    <w:p>
      <w:pPr>
        <w:spacing w:after="0" w:line="25" w:lineRule="exact"/>
        <w:rPr>
          <w:rFonts w:ascii="Arial" w:cs="Arial" w:eastAsia="Arial" w:hAnsi="Arial"/>
          <w:sz w:val="16"/>
          <w:szCs w:val="16"/>
          <w:color w:val="auto"/>
        </w:rPr>
      </w:pPr>
    </w:p>
    <w:p>
      <w:pPr>
        <w:ind w:left="720" w:hanging="358"/>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total number of outstanding voting securities.</w:t>
      </w:r>
    </w:p>
    <w:p>
      <w:pPr>
        <w:spacing w:after="0" w:line="171" w:lineRule="exact"/>
        <w:rPr>
          <w:sz w:val="20"/>
          <w:szCs w:val="20"/>
          <w:color w:val="auto"/>
        </w:rPr>
      </w:pPr>
    </w:p>
    <w:p>
      <w:pPr>
        <w:ind w:right="440" w:firstLine="365"/>
        <w:spacing w:after="0" w:line="332" w:lineRule="auto"/>
        <w:rPr>
          <w:sz w:val="20"/>
          <w:szCs w:val="20"/>
          <w:color w:val="auto"/>
        </w:rPr>
      </w:pPr>
      <w:r>
        <w:rPr>
          <w:rFonts w:ascii="Arial" w:cs="Arial" w:eastAsia="Arial" w:hAnsi="Arial"/>
          <w:sz w:val="16"/>
          <w:szCs w:val="16"/>
          <w:color w:val="auto"/>
        </w:rPr>
        <w:t>As used in this section, control means the power to exercise a controlling influence over the management or policies of the Insured.</w:t>
      </w:r>
    </w:p>
    <w:p>
      <w:pPr>
        <w:spacing w:after="0" w:line="85" w:lineRule="exact"/>
        <w:rPr>
          <w:sz w:val="20"/>
          <w:szCs w:val="20"/>
          <w:color w:val="auto"/>
        </w:rPr>
      </w:pPr>
    </w:p>
    <w:p>
      <w:pPr>
        <w:ind w:right="60" w:firstLine="365"/>
        <w:spacing w:after="0" w:line="259" w:lineRule="auto"/>
        <w:rPr>
          <w:sz w:val="20"/>
          <w:szCs w:val="20"/>
          <w:color w:val="auto"/>
        </w:rPr>
      </w:pPr>
      <w:r>
        <w:rPr>
          <w:rFonts w:ascii="Arial" w:cs="Arial" w:eastAsia="Arial" w:hAnsi="Arial"/>
          <w:sz w:val="18"/>
          <w:szCs w:val="18"/>
          <w:color w:val="auto"/>
        </w:rPr>
        <w:t>Failure to give the required notice shall result in termination of coverage of this bond, effective upon the date of stock transfer for any loss in which any transferee is concerned or implicated.</w:t>
      </w:r>
    </w:p>
    <w:p>
      <w:pPr>
        <w:spacing w:after="0" w:line="140" w:lineRule="exact"/>
        <w:rPr>
          <w:sz w:val="20"/>
          <w:szCs w:val="20"/>
          <w:color w:val="auto"/>
        </w:rPr>
      </w:pPr>
    </w:p>
    <w:p>
      <w:pPr>
        <w:ind w:firstLine="365"/>
        <w:spacing w:after="0" w:line="268" w:lineRule="auto"/>
        <w:rPr>
          <w:sz w:val="20"/>
          <w:szCs w:val="20"/>
          <w:color w:val="auto"/>
        </w:rPr>
      </w:pPr>
      <w:r>
        <w:rPr>
          <w:rFonts w:ascii="Arial" w:cs="Arial" w:eastAsia="Arial" w:hAnsi="Arial"/>
          <w:sz w:val="18"/>
          <w:szCs w:val="18"/>
          <w:color w:val="auto"/>
        </w:rPr>
        <w:t>Such notice is not required to be given in the case of an Insured which is an Investment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-339725</wp:posOffset>
            </wp:positionV>
            <wp:extent cx="7289165" cy="4229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2973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SECTION 18. CHANGE OR MODIFICATION</w:t>
      </w:r>
    </w:p>
    <w:p>
      <w:pPr>
        <w:spacing w:after="0" w:line="90" w:lineRule="exact"/>
        <w:rPr>
          <w:sz w:val="20"/>
          <w:szCs w:val="20"/>
          <w:color w:val="auto"/>
        </w:rPr>
      </w:pPr>
    </w:p>
    <w:p>
      <w:pPr>
        <w:ind w:right="120" w:firstLine="365"/>
        <w:spacing w:after="0" w:line="285" w:lineRule="auto"/>
        <w:rPr>
          <w:sz w:val="20"/>
          <w:szCs w:val="20"/>
          <w:color w:val="auto"/>
        </w:rPr>
      </w:pPr>
      <w:r>
        <w:rPr>
          <w:rFonts w:ascii="Arial" w:cs="Arial" w:eastAsia="Arial" w:hAnsi="Arial"/>
          <w:sz w:val="16"/>
          <w:szCs w:val="16"/>
          <w:color w:val="auto"/>
        </w:rPr>
        <w:t>This bond or any instrument amending or effecting same may not be changed or modified orally. No changes in or modification thereof shall be effective unless made by written endorsement issued to form a part hereof over the signature of the Underwriter’s Authorized Representative. When a bond covers only one Investment Company no change or modification which would adversely affect the rights of the Investment Company shall be effective prior to 60 days after written notification has been furnished to the Securities and Exchange Commission, Washington, D.C. by the Insured or by the Underwriter. If more than one Investment Company is named as the Insured herein, the Underwriter shall give written notice to each Investment Company and to the Securities and Exchange Commission, Washington, D.C. not less than 60 days prior to the effective date of any change or modification which would adversely affect the rights of such Investment Company.</w:t>
      </w:r>
    </w:p>
    <w:p>
      <w:pPr>
        <w:spacing w:after="0" w:line="12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pacing w:after="0" w:line="1415" w:lineRule="exact"/>
        <w:rPr>
          <w:sz w:val="20"/>
          <w:szCs w:val="20"/>
          <w:color w:val="auto"/>
        </w:rPr>
      </w:pPr>
    </w:p>
    <w:p>
      <w:pPr>
        <w:sectPr>
          <w:pgSz w:w="11900" w:h="16838" w:orient="portrait"/>
          <w:cols w:equalWidth="0" w:num="2">
            <w:col w:w="5300" w:space="340"/>
            <w:col w:w="5420"/>
          </w:cols>
          <w:pgMar w:left="440" w:top="469" w:right="399" w:bottom="1440" w:gutter="0" w:footer="0" w:header="0"/>
        </w:sectPr>
      </w:pPr>
    </w:p>
    <w:p>
      <w:pPr>
        <w:spacing w:after="0" w:line="21" w:lineRule="exact"/>
        <w:rPr>
          <w:sz w:val="20"/>
          <w:szCs w:val="20"/>
          <w:color w:val="auto"/>
        </w:rPr>
      </w:pPr>
    </w:p>
    <w:p>
      <w:pPr>
        <w:spacing w:after="0"/>
        <w:tabs>
          <w:tab w:leader="none" w:pos="5540" w:val="left"/>
          <w:tab w:leader="none" w:pos="90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0"/>
          </w:cols>
          <w:pgMar w:left="440" w:top="469" w:right="39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u w:val="single" w:color="auto"/>
          <w:color w:val="auto"/>
        </w:rPr>
        <w:t>ENDORSEMENT #1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01-899-95-18</w:t>
      </w:r>
    </w:p>
    <w:p>
      <w:pPr>
        <w:spacing w:after="0" w:line="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440"/>
            <w:col w:w="10760"/>
          </w:cols>
          <w:pgMar w:left="240" w:top="280" w:right="239" w:bottom="1440" w:gutter="0" w:footer="0" w:header="0"/>
          <w:type w:val="continuous"/>
        </w:sectPr>
      </w:pP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AMENDATORY ENDORSEMENT - NY STATUTE 3420</w:t>
      </w:r>
    </w:p>
    <w:p>
      <w:pPr>
        <w:spacing w:after="0" w:line="17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Wherever used in this endorsement: 1) “we”, “us”, “our” and “Insurer” mean the insurance company which issued this policy; 2) “you”, “your”, “Insured” and “first Named Insured” mean the Named Corporation, Named Entity, Named Organization, Named Sponsor, Named Insured, or Insured stated in the declarations page; 3) “other insured(s)” means all other persons or entities afforded coverage under the policy; 4) “Discovery Period” means Discovery Period or Extended Reporting Period, as defined in the policy; and 5) “Claim” means Claim or Suit as defined in the policy.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It is hereby understood and agreed that the policy is amended as follows:</w:t>
      </w:r>
    </w:p>
    <w:p>
      <w:pPr>
        <w:spacing w:after="0" w:line="9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provisions are hereby added to the policy:</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FAILURE TO GIVE NOTICE WITHIN PRESCRIBED TIME:</w:t>
      </w:r>
    </w:p>
    <w:p>
      <w:pPr>
        <w:spacing w:after="0" w:line="90"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Failure to give any notice required to be given by this policy, or any policy of which this is a renewal, within the prescribed time shall not invalidate any Claim made against an Insured if:</w:t>
      </w:r>
    </w:p>
    <w:p>
      <w:pPr>
        <w:spacing w:after="0" w:line="51" w:lineRule="exact"/>
        <w:rPr>
          <w:sz w:val="20"/>
          <w:szCs w:val="20"/>
          <w:color w:val="auto"/>
        </w:rPr>
      </w:pPr>
    </w:p>
    <w:p>
      <w:pPr>
        <w:ind w:left="1480" w:right="340" w:hanging="567"/>
        <w:spacing w:after="0" w:line="268" w:lineRule="auto"/>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shall be shown not to have been reasonably possible to give notice within the prescribed time and that notice was given as soon as was reasonably possible thereafter;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failure to provide timely notice has not prejudiced the Insurer.</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Any such Claim shall be deemed to have been first made against the Insured and noticed to the Insurer within the Policy Period or Discovery Period of the policy issued by the Insurer (the “Noticed Policy”) in which the Insurer received notice of the Claim; provided that the coverage afforded with respect to the Noticed Policy shall be in an amount not greater than the amount of coverage afforded with respect to the Policy Period of the policy issued by the Insurer (the “Former Policy”) in which the Claim was actually first made against the Insured.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83231 (1/09)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16</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20" w:name="page21"/>
    <w:bookmarkEnd w:id="20"/>
    <w:p>
      <w:pPr>
        <w:ind w:left="10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#1 (Continued)</w:t>
      </w:r>
    </w:p>
    <w:p>
      <w:pPr>
        <w:spacing w:after="0" w:line="1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foregoing sentence may result in (but not be limited to): (1) reducing the limit of liability available for such a Claim to the available limit of liability applicable to the Former Policy; (2) increasing the applicable retention amount to that retention amount applicable to the Former Policy; or (3) reducing or eliminating coverage due to exclusions or other restrictions appearing in the Former Policy but eliminated, in part or in whole, in the Noticed Policy. No coverage shall be afforded under this endorsement if there was not in existence a Former Policy at the time the Claim was actually first made against the Insured.</w:t>
      </w:r>
    </w:p>
    <w:p>
      <w:pPr>
        <w:spacing w:after="0" w:line="32"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With respect to subsection (b) above, any such Claim must be noticed during the Policy Period or Discovery Period of a Noticed Policy which is a renewal or extension of the Former Policy.</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Nothing in this endorsement shall be construed to provide coverage for a Claim under more than one Policy Period or Discovery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PREJUDICE:</w:t>
      </w:r>
    </w:p>
    <w:p>
      <w:pPr>
        <w:spacing w:after="0" w:line="90"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In the event that the Insurer alleges that it was prejudiced as a result of a failure to give notice within the time required under the policy, the burden of proof shall be on:</w:t>
      </w:r>
    </w:p>
    <w:p>
      <w:pPr>
        <w:spacing w:after="0" w:line="51" w:lineRule="exact"/>
        <w:rPr>
          <w:sz w:val="20"/>
          <w:szCs w:val="20"/>
          <w:color w:val="auto"/>
        </w:rPr>
      </w:pPr>
    </w:p>
    <w:p>
      <w:pPr>
        <w:ind w:left="1480" w:hanging="567"/>
        <w:spacing w:after="0"/>
        <w:tabs>
          <w:tab w:leader="none" w:pos="1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Insurer to prove that it has been prejudiced, if the notice was provided within two years of the time required under the policy; or</w:t>
      </w:r>
    </w:p>
    <w:p>
      <w:pPr>
        <w:spacing w:after="0" w:line="113" w:lineRule="exact"/>
        <w:rPr>
          <w:rFonts w:ascii="Arial" w:cs="Arial" w:eastAsia="Arial" w:hAnsi="Arial"/>
          <w:sz w:val="16"/>
          <w:szCs w:val="16"/>
          <w:color w:val="auto"/>
        </w:rPr>
      </w:pPr>
    </w:p>
    <w:p>
      <w:pPr>
        <w:ind w:left="1480" w:right="20" w:hanging="567"/>
        <w:spacing w:after="0" w:line="268"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Insured to prove that the Insurer has not been prejudiced, if the notice was provided more than two years after the time required under the policy.</w:t>
      </w:r>
    </w:p>
    <w:p>
      <w:pPr>
        <w:spacing w:after="0" w:line="51"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The Insurer’s rights shall not be deemed prejudiced unless the failure to timely provide notice materially impairs the ability of the Insurer to investigate or defend the Claim.</w:t>
      </w:r>
    </w:p>
    <w:p>
      <w:pPr>
        <w:spacing w:after="0" w:line="51" w:lineRule="exact"/>
        <w:rPr>
          <w:sz w:val="20"/>
          <w:szCs w:val="20"/>
          <w:color w:val="auto"/>
        </w:rPr>
      </w:pPr>
    </w:p>
    <w:p>
      <w:pPr>
        <w:ind w:left="920"/>
        <w:spacing w:after="0" w:line="332" w:lineRule="auto"/>
        <w:rPr>
          <w:sz w:val="20"/>
          <w:szCs w:val="20"/>
          <w:color w:val="auto"/>
        </w:rPr>
      </w:pPr>
      <w:r>
        <w:rPr>
          <w:rFonts w:ascii="Arial" w:cs="Arial" w:eastAsia="Arial" w:hAnsi="Arial"/>
          <w:sz w:val="16"/>
          <w:szCs w:val="16"/>
          <w:color w:val="auto"/>
        </w:rPr>
        <w:t>Notwithstanding the above, an irrebuttable presumption of prejudice shall apply if, prior to the notice, the Insured's liability has been determined by a court of competent jurisdiction or by a binding arbitration; or if the Insured has resolved the Claim by settlement or other compromise.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NOTICE TO AGENT:</w:t>
      </w:r>
    </w:p>
    <w:p>
      <w:pPr>
        <w:spacing w:after="0" w:line="90" w:lineRule="exact"/>
        <w:rPr>
          <w:sz w:val="20"/>
          <w:szCs w:val="20"/>
          <w:color w:val="auto"/>
        </w:rPr>
      </w:pPr>
    </w:p>
    <w:p>
      <w:pPr>
        <w:ind w:left="920" w:right="160"/>
        <w:spacing w:after="0" w:line="332" w:lineRule="auto"/>
        <w:rPr>
          <w:sz w:val="20"/>
          <w:szCs w:val="20"/>
          <w:color w:val="auto"/>
        </w:rPr>
      </w:pPr>
      <w:r>
        <w:rPr>
          <w:rFonts w:ascii="Arial" w:cs="Arial" w:eastAsia="Arial" w:hAnsi="Arial"/>
          <w:sz w:val="16"/>
          <w:szCs w:val="16"/>
          <w:color w:val="auto"/>
        </w:rPr>
        <w:t>Notice given by or on behalf of the Insured, or written notice by or on behalf of the injured party or any other claimant, to any licensed agent of the Insurer in the state of New York, with particulars sufficient to identify the Insured, shall be deemed notice to the Insurer.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83231 (1/09)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17</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#1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INSOLVENCY/BANKRUPTCY OF INSURED:</w:t>
      </w:r>
    </w:p>
    <w:p>
      <w:pPr>
        <w:spacing w:after="0" w:line="90" w:lineRule="exact"/>
        <w:rPr>
          <w:sz w:val="20"/>
          <w:szCs w:val="20"/>
          <w:color w:val="auto"/>
        </w:rPr>
      </w:pPr>
    </w:p>
    <w:p>
      <w:pPr>
        <w:jc w:val="both"/>
        <w:ind w:left="920"/>
        <w:spacing w:after="0" w:line="306" w:lineRule="auto"/>
        <w:rPr>
          <w:sz w:val="20"/>
          <w:szCs w:val="20"/>
          <w:color w:val="auto"/>
        </w:rPr>
      </w:pPr>
      <w:r>
        <w:rPr>
          <w:rFonts w:ascii="Arial" w:cs="Arial" w:eastAsia="Arial" w:hAnsi="Arial"/>
          <w:sz w:val="16"/>
          <w:szCs w:val="16"/>
          <w:color w:val="auto"/>
        </w:rPr>
        <w:t>The insolvency or bankruptcy of the Insured shall not relieve the Insurer of its obligations under this policy as long as all policy requirements are met by Insured, its trustee or receiver in bankruptcy. Should a covered judgment be rendered against an insolvent or bankrupt Insured, the Insurer shall be liable for the amount of such judgment not to exceed the applicable limit of liability under this policy.</w:t>
      </w:r>
    </w:p>
    <w:p>
      <w:pPr>
        <w:spacing w:after="0" w:line="2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Clause entitled, “Action Against Us” or “Action Against Company” is deleted in its entirety and replaced with the following:</w:t>
      </w:r>
    </w:p>
    <w:p>
      <w:pPr>
        <w:spacing w:after="0" w:line="90" w:lineRule="exact"/>
        <w:rPr>
          <w:sz w:val="20"/>
          <w:szCs w:val="20"/>
          <w:color w:val="auto"/>
        </w:rPr>
      </w:pPr>
    </w:p>
    <w:p>
      <w:pPr>
        <w:ind w:left="1500" w:right="60"/>
        <w:spacing w:after="0" w:line="268" w:lineRule="auto"/>
        <w:rPr>
          <w:sz w:val="20"/>
          <w:szCs w:val="20"/>
          <w:color w:val="auto"/>
        </w:rPr>
      </w:pPr>
      <w:r>
        <w:rPr>
          <w:rFonts w:ascii="Arial" w:cs="Arial" w:eastAsia="Arial" w:hAnsi="Arial"/>
          <w:sz w:val="18"/>
          <w:szCs w:val="18"/>
          <w:color w:val="auto"/>
        </w:rPr>
        <w:t>No one may bring an action against us unless there has been full compliance with all the terms of this policy and the amount of the Insured’s obligation to pay has been finally determined either by:</w:t>
      </w:r>
    </w:p>
    <w:p>
      <w:pPr>
        <w:spacing w:after="0" w:line="51" w:lineRule="exact"/>
        <w:rPr>
          <w:sz w:val="20"/>
          <w:szCs w:val="20"/>
          <w:color w:val="auto"/>
        </w:rPr>
      </w:pPr>
    </w:p>
    <w:p>
      <w:pPr>
        <w:ind w:left="1920" w:right="200" w:hanging="440"/>
        <w:spacing w:after="0" w:line="268" w:lineRule="auto"/>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judgment against the Insured which remains unsatisfied at the expiration of thirty (30) days from the service of notice of entry of the judgment upon the Insured and upon us; or</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written agreement of the Insured, the claimant and us.</w:t>
      </w:r>
    </w:p>
    <w:p>
      <w:pPr>
        <w:spacing w:after="0" w:line="90" w:lineRule="exact"/>
        <w:rPr>
          <w:sz w:val="20"/>
          <w:szCs w:val="20"/>
          <w:color w:val="auto"/>
        </w:rPr>
      </w:pPr>
    </w:p>
    <w:p>
      <w:pPr>
        <w:ind w:left="1940" w:right="120"/>
        <w:spacing w:after="0" w:line="306" w:lineRule="auto"/>
        <w:rPr>
          <w:sz w:val="20"/>
          <w:szCs w:val="20"/>
          <w:color w:val="auto"/>
        </w:rPr>
      </w:pPr>
      <w:r>
        <w:rPr>
          <w:rFonts w:ascii="Arial" w:cs="Arial" w:eastAsia="Arial" w:hAnsi="Arial"/>
          <w:sz w:val="16"/>
          <w:szCs w:val="16"/>
          <w:color w:val="auto"/>
        </w:rPr>
        <w:t>Any person or organization or legal representative thereof who has secured such judgment or written agreement shall thereafter be entitled to recover under this policy to the extent of the insurance afforded by this policy. We may not be impleaded by the Insured or its legal representative in any legal action brought against the Insured by any person or organization.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83231 (1/09)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18</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01-899-95-18</w:t>
      </w:r>
    </w:p>
    <w:p>
      <w:pPr>
        <w:spacing w:after="0" w:line="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80"/>
            <w:col w:w="10820"/>
          </w:cols>
          <w:pgMar w:left="240" w:top="280" w:right="239" w:bottom="1440" w:gutter="0" w:footer="0" w:header="0"/>
          <w:type w:val="continuous"/>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AMENDATORY ENDORSEMENT</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Wherever used in this endorsement: 1) “Insurer” means the insurance company which issued this policy; and 2) “Insured” means the Named Corporation, Named Organization, Named Sponsor, Named Insured, Named Entity or Insured stated in the declarations page; The policy is hereby amended as follows:</w:t>
      </w:r>
    </w:p>
    <w:p>
      <w:pPr>
        <w:spacing w:after="0" w:line="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Cancellation and When We Do Not Renew provisions are deleted and replaced by the following: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CANCELLATION BY THE INSURED</w:t>
      </w:r>
    </w:p>
    <w:p>
      <w:pPr>
        <w:spacing w:after="0" w:line="9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This policy may be cancelled by the Insured by surrender of this policy to the Insurer or by giving written notice to the Insurer stating when thereafter such cancellation shall be effective. The Policy Period terminates at the date and hour specified in such notice, or at the date and time of surrender.</w:t>
      </w:r>
    </w:p>
    <w:p>
      <w:pPr>
        <w:spacing w:after="0" w:line="59"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CANCELLATION, NONRENEWAL AND CONDITIONAL RENEWAL BY THE INSURER</w:t>
      </w:r>
    </w:p>
    <w:p>
      <w:pPr>
        <w:spacing w:after="0" w:line="90" w:lineRule="exact"/>
        <w:rPr>
          <w:rFonts w:ascii="Arial" w:cs="Arial" w:eastAsia="Arial" w:hAnsi="Arial"/>
          <w:sz w:val="18"/>
          <w:szCs w:val="18"/>
          <w:color w:val="auto"/>
        </w:rPr>
      </w:pPr>
    </w:p>
    <w:p>
      <w:pPr>
        <w:ind w:left="1480" w:hanging="567"/>
        <w:spacing w:after="0" w:line="255"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this policy has been in effect for sixty (60) or fewer days when cancellation notice is mailed, and this policy is not a renewal of a policy issued by the Insurer, then this policy may be cancelled by the Insurer by mailing or delivering to the Insured, and to his authorized insurance agent or broker, written notice stating when not less than twenty (20) days thereafter (fifteen (15) days thereafter if cancellation is because of one of the reasons for cancellation set forth in subsection (ii) below) the cancellation shall be effective. Notice of cancellation issued by the Insurer shall specify the grounds for cancellation.</w:t>
      </w:r>
    </w:p>
    <w:p>
      <w:pPr>
        <w:spacing w:after="0" w:line="61"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this policy has been in effect for more than sixty (60) days when notice of cancellation is mailed, or if this policy is a renewal of a policy issued by the Insurer, then this policy may be cancelled by the Insurer by mailing or delivering to the Insured, and to his authorized insurance agent or broker, written notice stating when not less than fifteen (15) days thereafter the cancellation shall be effective; however, such cancellation must be based on one or more of the following: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(9/06)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19</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#2 (Continued)</w:t>
      </w:r>
    </w:p>
    <w:p>
      <w:pPr>
        <w:spacing w:after="0" w:line="164" w:lineRule="exact"/>
        <w:rPr>
          <w:sz w:val="20"/>
          <w:szCs w:val="20"/>
          <w:color w:val="auto"/>
        </w:rPr>
      </w:pPr>
    </w:p>
    <w:p>
      <w:pPr>
        <w:ind w:left="1920" w:right="220" w:hanging="440"/>
        <w:spacing w:after="0" w:line="268" w:lineRule="auto"/>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nonpayment of premium, provided, however, that a notice of cancellation on this ground shall inform the first Named Insured of the amount due;</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conviction of a crime arising out of acts increasing the hazard insured against;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discovery of fraud or material misrepresentation in the obtaining of the policy or in the presentation of a claim thereunder;</w:t>
      </w:r>
    </w:p>
    <w:p>
      <w:pPr>
        <w:spacing w:after="0" w:line="113" w:lineRule="exact"/>
        <w:rPr>
          <w:rFonts w:ascii="Arial" w:cs="Arial" w:eastAsia="Arial" w:hAnsi="Arial"/>
          <w:sz w:val="16"/>
          <w:szCs w:val="16"/>
          <w:color w:val="auto"/>
        </w:rPr>
      </w:pPr>
    </w:p>
    <w:p>
      <w:pPr>
        <w:ind w:left="1920" w:right="220" w:hanging="440"/>
        <w:spacing w:after="0" w:line="259" w:lineRule="auto"/>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after issuance of the policy or after the last renewal date, discovery of an act or omission, or a violation of any policy condition, that substantially and materially increases the hazard insured against, and which occurred subsequent to inception of the current Policy Period;</w:t>
      </w:r>
    </w:p>
    <w:p>
      <w:pPr>
        <w:spacing w:after="0" w:line="59" w:lineRule="exact"/>
        <w:rPr>
          <w:rFonts w:ascii="Arial" w:cs="Arial" w:eastAsia="Arial" w:hAnsi="Arial"/>
          <w:sz w:val="18"/>
          <w:szCs w:val="18"/>
          <w:color w:val="auto"/>
        </w:rPr>
      </w:pPr>
    </w:p>
    <w:p>
      <w:pPr>
        <w:ind w:left="1920" w:right="40" w:hanging="440"/>
        <w:spacing w:after="0" w:line="259" w:lineRule="auto"/>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issuance or last annual renewal anniversary date of the policy, which causes the risk of loss to be substantially and materially increased beyond that contemplated at the time the policy was issued or last renewed;</w:t>
      </w:r>
    </w:p>
    <w:p>
      <w:pPr>
        <w:spacing w:after="0" w:line="59" w:lineRule="exact"/>
        <w:rPr>
          <w:rFonts w:ascii="Arial" w:cs="Arial" w:eastAsia="Arial" w:hAnsi="Arial"/>
          <w:sz w:val="18"/>
          <w:szCs w:val="18"/>
          <w:color w:val="auto"/>
        </w:rPr>
      </w:pPr>
    </w:p>
    <w:p>
      <w:pPr>
        <w:ind w:left="1920" w:hanging="440"/>
        <w:spacing w:after="0" w:line="259" w:lineRule="auto"/>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required pursuant to a determination by the New York Superintendent of Insurance that continuation of the present premium volume of the Insurer would jeopardize the Insurer’s solvency or be hazardous to the interests of Insureds of the Insurer, its creditors or the public;</w:t>
      </w:r>
    </w:p>
    <w:p>
      <w:pPr>
        <w:spacing w:after="0" w:line="59" w:lineRule="exact"/>
        <w:rPr>
          <w:rFonts w:ascii="Arial" w:cs="Arial" w:eastAsia="Arial" w:hAnsi="Arial"/>
          <w:sz w:val="18"/>
          <w:szCs w:val="18"/>
          <w:color w:val="auto"/>
        </w:rPr>
      </w:pPr>
    </w:p>
    <w:p>
      <w:pPr>
        <w:ind w:left="1920" w:right="320" w:hanging="440"/>
        <w:spacing w:after="0" w:line="268" w:lineRule="auto"/>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determination by the New York Superintendent of Insurance that the continuation of the policy would violate, or would place the Insurer in violation of, any provision of the New York Insurance Law;</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revocation or suspension of an Insured’s license to practice his profession; or</w:t>
      </w:r>
    </w:p>
    <w:p>
      <w:pPr>
        <w:spacing w:after="0" w:line="90" w:lineRule="exact"/>
        <w:rPr>
          <w:rFonts w:ascii="Arial" w:cs="Arial" w:eastAsia="Arial" w:hAnsi="Arial"/>
          <w:sz w:val="18"/>
          <w:szCs w:val="18"/>
          <w:color w:val="auto"/>
        </w:rPr>
      </w:pPr>
    </w:p>
    <w:p>
      <w:pPr>
        <w:ind w:left="1920" w:right="120" w:hanging="440"/>
        <w:spacing w:after="0" w:line="268" w:lineRule="auto"/>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where the Insurer has reason to believe that there is a probable risk or danger that the Insured will destroy or permit the destruction of the insured property for the purpose of collecting the insurance proceeds, provided, however, that:</w:t>
      </w:r>
    </w:p>
    <w:p>
      <w:pPr>
        <w:spacing w:after="0" w:line="50" w:lineRule="exact"/>
        <w:rPr>
          <w:rFonts w:ascii="Arial" w:cs="Arial" w:eastAsia="Arial" w:hAnsi="Arial"/>
          <w:sz w:val="18"/>
          <w:szCs w:val="18"/>
          <w:color w:val="auto"/>
        </w:rPr>
      </w:pPr>
    </w:p>
    <w:p>
      <w:pPr>
        <w:ind w:left="2380" w:right="320" w:hanging="441"/>
        <w:spacing w:after="0" w:line="332" w:lineRule="auto"/>
        <w:tabs>
          <w:tab w:leader="none" w:pos="23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 notice of cancellation on this ground shall inform the Insured in plain language that the Insured must act within ten days if review by the department of the ground for cancellation is desired pursuant to item (3) of this subparagraph (I);</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(9/06)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#2 (Continued)</w:t>
      </w:r>
    </w:p>
    <w:p>
      <w:pPr>
        <w:spacing w:after="0" w:line="164" w:lineRule="exact"/>
        <w:rPr>
          <w:sz w:val="20"/>
          <w:szCs w:val="20"/>
          <w:color w:val="auto"/>
        </w:rPr>
      </w:pPr>
    </w:p>
    <w:p>
      <w:pPr>
        <w:ind w:left="2380" w:hanging="441"/>
        <w:spacing w:after="0"/>
        <w:tabs>
          <w:tab w:leader="none" w:pos="2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notice of cancellation on this ground shall be provided simultaneously by the Insurer to the department; and</w:t>
      </w:r>
    </w:p>
    <w:p>
      <w:pPr>
        <w:spacing w:after="0" w:line="90" w:lineRule="exact"/>
        <w:rPr>
          <w:rFonts w:ascii="Arial" w:cs="Arial" w:eastAsia="Arial" w:hAnsi="Arial"/>
          <w:sz w:val="18"/>
          <w:szCs w:val="18"/>
          <w:color w:val="auto"/>
        </w:rPr>
      </w:pPr>
    </w:p>
    <w:p>
      <w:pPr>
        <w:jc w:val="both"/>
        <w:ind w:left="2380" w:right="160" w:hanging="441"/>
        <w:spacing w:after="0" w:line="323" w:lineRule="auto"/>
        <w:tabs>
          <w:tab w:leader="none" w:pos="2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upon written request of the Insured made to the department within ten days from the Insured’s receipt of notice of cancellation on this ground, the department shall undertake a review of the ground for cancellation to determine whether or not the Insurer has satisfied the criteria for cancellation specified in this subparagraph; if after such review the department finds no sufficient cause for cancellation on this ground, the notice of cancellation on this ground shall be deemed null and void.</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Notice of cancellation by the Insurer shall specify the grounds for cancellation.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(iii)</w:t>
      </w:r>
    </w:p>
    <w:p>
      <w:pPr>
        <w:spacing w:after="0" w:line="90" w:lineRule="exact"/>
        <w:rPr>
          <w:sz w:val="20"/>
          <w:szCs w:val="20"/>
          <w:color w:val="auto"/>
        </w:rPr>
      </w:pPr>
    </w:p>
    <w:p>
      <w:pPr>
        <w:ind w:left="1920" w:hanging="440"/>
        <w:spacing w:after="0"/>
        <w:tabs>
          <w:tab w:leader="none" w:pos="19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Insurer shall mail to the Insured, and to his authorized insurance agent or broker, written notice indicating the Insurer’s intention:</w:t>
      </w:r>
    </w:p>
    <w:p>
      <w:pPr>
        <w:spacing w:after="0" w:line="113" w:lineRule="exact"/>
        <w:rPr>
          <w:rFonts w:ascii="Arial" w:cs="Arial" w:eastAsia="Arial" w:hAnsi="Arial"/>
          <w:sz w:val="16"/>
          <w:szCs w:val="16"/>
          <w:color w:val="auto"/>
        </w:rPr>
      </w:pPr>
    </w:p>
    <w:p>
      <w:pPr>
        <w:ind w:left="2380" w:hanging="441"/>
        <w:spacing w:after="0"/>
        <w:tabs>
          <w:tab w:leader="none" w:pos="2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not to renew this policy;</w:t>
      </w:r>
    </w:p>
    <w:p>
      <w:pPr>
        <w:spacing w:after="0" w:line="90" w:lineRule="exact"/>
        <w:rPr>
          <w:rFonts w:ascii="Arial" w:cs="Arial" w:eastAsia="Arial" w:hAnsi="Arial"/>
          <w:sz w:val="18"/>
          <w:szCs w:val="18"/>
          <w:color w:val="auto"/>
        </w:rPr>
      </w:pPr>
    </w:p>
    <w:p>
      <w:pPr>
        <w:ind w:left="2380" w:right="120" w:hanging="441"/>
        <w:spacing w:after="0" w:line="306" w:lineRule="auto"/>
        <w:tabs>
          <w:tab w:leader="none" w:pos="23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 condition its renewal upon change of limits, change in type of coverage, reduction of coverage, increased deductible or addition of exclusions or upon increased premiums in excess of ten percent; (exclusive of any premium increase generated as a result of increased exposure units or as a result of experience rating, loss rating, or audit);</w:t>
      </w:r>
    </w:p>
    <w:p>
      <w:pPr>
        <w:spacing w:after="0" w:line="25" w:lineRule="exact"/>
        <w:rPr>
          <w:rFonts w:ascii="Arial" w:cs="Arial" w:eastAsia="Arial" w:hAnsi="Arial"/>
          <w:sz w:val="16"/>
          <w:szCs w:val="16"/>
          <w:color w:val="auto"/>
        </w:rPr>
      </w:pPr>
    </w:p>
    <w:p>
      <w:pPr>
        <w:ind w:left="2380" w:right="180" w:hanging="441"/>
        <w:spacing w:after="0" w:line="298" w:lineRule="auto"/>
        <w:tabs>
          <w:tab w:leader="none" w:pos="23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that the policy will not be renewed or will not be renewed upon the same terms, conditions or rates; such alternative renewal notice must be mailed or delivered on a timely basis and advise the Insured that a second notice shall be mailed at a later date indicating the Insurer’s intention as specified in subparagraph (1) or (2) of this paragraph (A) and that coverage shall continue on the same terms, conditions and rates as expiring, until the later of the expiration date or sixty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69898(09/06)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#2 (Continued)</w:t>
      </w:r>
    </w:p>
    <w:p>
      <w:pPr>
        <w:spacing w:after="0" w:line="164" w:lineRule="exact"/>
        <w:rPr>
          <w:sz w:val="20"/>
          <w:szCs w:val="20"/>
          <w:color w:val="auto"/>
        </w:rPr>
      </w:pPr>
    </w:p>
    <w:p>
      <w:pPr>
        <w:jc w:val="center"/>
        <w:ind w:left="2400" w:right="120" w:hanging="2"/>
        <w:spacing w:after="0" w:line="286" w:lineRule="auto"/>
        <w:tabs>
          <w:tab w:leader="none" w:pos="2736" w:val="left"/>
        </w:tabs>
        <w:numPr>
          <w:ilvl w:val="2"/>
          <w:numId w:val="49"/>
        </w:numPr>
        <w:rPr>
          <w:rFonts w:ascii="Arial" w:cs="Arial" w:eastAsia="Arial" w:hAnsi="Arial"/>
          <w:sz w:val="16"/>
          <w:szCs w:val="16"/>
          <w:color w:val="auto"/>
        </w:rPr>
      </w:pPr>
      <w:r>
        <w:rPr>
          <w:rFonts w:ascii="Arial" w:cs="Arial" w:eastAsia="Arial" w:hAnsi="Arial"/>
          <w:sz w:val="16"/>
          <w:szCs w:val="16"/>
          <w:color w:val="auto"/>
        </w:rPr>
        <w:t>days after the second notice is mailed or delivered; such alternative renewal notice also shall advise the insured of the availability of loss information and, upon written request, the request, the insurer shall furnish such loss information within ten</w:t>
      </w:r>
    </w:p>
    <w:p>
      <w:pPr>
        <w:ind w:left="2740" w:hanging="342"/>
        <w:spacing w:after="0"/>
        <w:tabs>
          <w:tab w:leader="none" w:pos="27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days to the insured.</w:t>
      </w:r>
    </w:p>
    <w:p>
      <w:pPr>
        <w:spacing w:after="0" w:line="83" w:lineRule="exact"/>
        <w:rPr>
          <w:rFonts w:ascii="Arial" w:cs="Arial" w:eastAsia="Arial" w:hAnsi="Arial"/>
          <w:sz w:val="18"/>
          <w:szCs w:val="18"/>
          <w:color w:val="auto"/>
        </w:rPr>
      </w:pPr>
    </w:p>
    <w:p>
      <w:pPr>
        <w:ind w:left="1920" w:right="260" w:hanging="440"/>
        <w:spacing w:after="0" w:line="335" w:lineRule="auto"/>
        <w:tabs>
          <w:tab w:leader="none" w:pos="19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 nonrenewal notice as specified in subparagraph (1), a conditional renewal notice as specified in subparagraph (2), and the second notice described in subparagraph (3) of paragraph (A) of this subsection (iii) shall contain the specific reason or reasons for nonrenewal or conditional renewal, and set forth the amount of any premium increase and nature of any other proposed changes.</w:t>
      </w:r>
    </w:p>
    <w:p>
      <w:pPr>
        <w:spacing w:after="0" w:line="7" w:lineRule="exact"/>
        <w:rPr>
          <w:rFonts w:ascii="Arial" w:cs="Arial" w:eastAsia="Arial" w:hAnsi="Arial"/>
          <w:sz w:val="15"/>
          <w:szCs w:val="15"/>
          <w:color w:val="auto"/>
        </w:rPr>
      </w:pPr>
    </w:p>
    <w:p>
      <w:pPr>
        <w:ind w:left="1920" w:hanging="440"/>
        <w:spacing w:after="0"/>
        <w:tabs>
          <w:tab w:leader="none" w:pos="19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notice required by paragraph (A) of this subsection (iii) shall be mailed at least sixty (60) but not more than one hundred twenty</w:t>
      </w:r>
    </w:p>
    <w:p>
      <w:pPr>
        <w:spacing w:after="0" w:line="38" w:lineRule="exact"/>
        <w:rPr>
          <w:rFonts w:ascii="Arial" w:cs="Arial" w:eastAsia="Arial" w:hAnsi="Arial"/>
          <w:sz w:val="16"/>
          <w:szCs w:val="16"/>
          <w:color w:val="auto"/>
        </w:rPr>
      </w:pPr>
    </w:p>
    <w:p>
      <w:pPr>
        <w:ind w:left="2360" w:hanging="434"/>
        <w:spacing w:after="0"/>
        <w:tabs>
          <w:tab w:leader="none" w:pos="23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days in advance of the end of the Policy Period.</w:t>
      </w:r>
    </w:p>
    <w:p>
      <w:pPr>
        <w:spacing w:after="0" w:line="8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w:t>
      </w:r>
    </w:p>
    <w:p>
      <w:pPr>
        <w:spacing w:after="0" w:line="90" w:lineRule="exact"/>
        <w:rPr>
          <w:sz w:val="20"/>
          <w:szCs w:val="20"/>
          <w:color w:val="auto"/>
        </w:rPr>
      </w:pPr>
    </w:p>
    <w:p>
      <w:pPr>
        <w:ind w:left="2380" w:right="20" w:hanging="441"/>
        <w:spacing w:after="0" w:line="306" w:lineRule="auto"/>
        <w:tabs>
          <w:tab w:leader="none" w:pos="23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Insurer employs an alternative renewal notice as authorized by subparagraph (3) of paragraph (A) of this subsection (iii), the Insurer shall provide coverage on the same terms, conditions, and rates as the expiring policy, until the later of the expiration date or sixty (60) days after the mailing of the second notice described in such subparagraph.</w:t>
      </w:r>
    </w:p>
    <w:p>
      <w:pPr>
        <w:spacing w:after="0" w:line="25" w:lineRule="exact"/>
        <w:rPr>
          <w:rFonts w:ascii="Arial" w:cs="Arial" w:eastAsia="Arial" w:hAnsi="Arial"/>
          <w:sz w:val="16"/>
          <w:szCs w:val="16"/>
          <w:color w:val="auto"/>
        </w:rPr>
      </w:pPr>
    </w:p>
    <w:p>
      <w:pPr>
        <w:ind w:left="2380" w:right="80" w:hanging="441"/>
        <w:spacing w:after="0" w:line="255" w:lineRule="auto"/>
        <w:tabs>
          <w:tab w:leader="none" w:pos="2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to the expiration date of the policy, in the event that an incomplete or late conditional renewal notice or a late nonrenewal notice is provided by the Insurer, the Policy Period shall be extended, at the same terms and conditions as the expiring policy, except that the annual aggregate limit of the expiring policy shall be increased in proportion to the policy extension, and at the lower of the current rates or the prior period’s rates, until sixty (60) days after such notice is mailed, unless the Insured elects to cancel sooner.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(09/06)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RIDER #2 (Continued)</w:t>
      </w:r>
    </w:p>
    <w:p>
      <w:pPr>
        <w:spacing w:after="0" w:line="164" w:lineRule="exact"/>
        <w:rPr>
          <w:sz w:val="20"/>
          <w:szCs w:val="20"/>
          <w:color w:val="auto"/>
        </w:rPr>
      </w:pPr>
    </w:p>
    <w:p>
      <w:pPr>
        <w:ind w:left="2380" w:hanging="441"/>
        <w:spacing w:after="0" w:line="255" w:lineRule="auto"/>
        <w:tabs>
          <w:tab w:leader="none" w:pos="23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the event that a late conditional renewal notice or a late nonrenewal notice is provided by the insurer on or after the expiration date of the policy, coverage shall remain in effect on the same terms and conditions of the expiring policy for another required policy period, and at the lower of the current rates or the prior period’s rates unless the insured during the additional required policy period has replaced the coverage or elects to cancel, in which event such cancellation shall be on a pro rata premium basis.</w:t>
      </w:r>
    </w:p>
    <w:p>
      <w:pPr>
        <w:spacing w:after="0" w:line="61" w:lineRule="exact"/>
        <w:rPr>
          <w:rFonts w:ascii="Arial" w:cs="Arial" w:eastAsia="Arial" w:hAnsi="Arial"/>
          <w:sz w:val="18"/>
          <w:szCs w:val="18"/>
          <w:color w:val="auto"/>
        </w:rPr>
      </w:pPr>
    </w:p>
    <w:p>
      <w:pPr>
        <w:ind w:left="1480" w:right="100" w:hanging="567"/>
        <w:spacing w:after="0" w:line="268"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Nothing herein shall be construed to limit the grounds for which the Insurer may lawfully rescind this policy or decline to pay a claim under this policy.</w:t>
      </w:r>
    </w:p>
    <w:p>
      <w:pPr>
        <w:spacing w:after="0" w:line="51" w:lineRule="exact"/>
        <w:rPr>
          <w:sz w:val="20"/>
          <w:szCs w:val="20"/>
          <w:color w:val="auto"/>
        </w:rPr>
      </w:pPr>
    </w:p>
    <w:p>
      <w:pPr>
        <w:ind w:left="1480" w:hanging="567"/>
        <w:spacing w:after="0"/>
        <w:tabs>
          <w:tab w:leader="none" w:pos="14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Notice required herein to be mailed to the Insured shall be mailed to the Insured at the address shown in Item 1 of the Declarations.</w:t>
      </w:r>
    </w:p>
    <w:p>
      <w:pPr>
        <w:spacing w:after="0" w:line="113" w:lineRule="exact"/>
        <w:rPr>
          <w:rFonts w:ascii="Arial" w:cs="Arial" w:eastAsia="Arial" w:hAnsi="Arial"/>
          <w:sz w:val="16"/>
          <w:szCs w:val="16"/>
          <w:color w:val="auto"/>
        </w:rPr>
      </w:pPr>
    </w:p>
    <w:p>
      <w:pPr>
        <w:ind w:left="1500" w:right="300"/>
        <w:spacing w:after="0" w:line="268" w:lineRule="auto"/>
        <w:rPr>
          <w:rFonts w:ascii="Arial" w:cs="Arial" w:eastAsia="Arial" w:hAnsi="Arial"/>
          <w:sz w:val="16"/>
          <w:szCs w:val="16"/>
          <w:color w:val="auto"/>
        </w:rPr>
      </w:pPr>
      <w:r>
        <w:rPr>
          <w:rFonts w:ascii="Arial" w:cs="Arial" w:eastAsia="Arial" w:hAnsi="Arial"/>
          <w:sz w:val="18"/>
          <w:szCs w:val="18"/>
          <w:color w:val="auto"/>
        </w:rPr>
        <w:t>Notice required herein to be mailed by the Insurer shall be sent by registered, certified or other first class mail. Delivery of written notice shall be equivalent to mailing.</w:t>
      </w:r>
    </w:p>
    <w:p>
      <w:pPr>
        <w:spacing w:after="0" w:line="50" w:lineRule="exact"/>
        <w:rPr>
          <w:rFonts w:ascii="Arial" w:cs="Arial" w:eastAsia="Arial" w:hAnsi="Arial"/>
          <w:sz w:val="16"/>
          <w:szCs w:val="16"/>
          <w:color w:val="auto"/>
        </w:rPr>
      </w:pPr>
    </w:p>
    <w:p>
      <w:pPr>
        <w:ind w:left="1500" w:right="340"/>
        <w:spacing w:after="0" w:line="268" w:lineRule="auto"/>
        <w:rPr>
          <w:rFonts w:ascii="Arial" w:cs="Arial" w:eastAsia="Arial" w:hAnsi="Arial"/>
          <w:sz w:val="16"/>
          <w:szCs w:val="16"/>
          <w:color w:val="auto"/>
        </w:rPr>
      </w:pPr>
      <w:r>
        <w:rPr>
          <w:rFonts w:ascii="Arial" w:cs="Arial" w:eastAsia="Arial" w:hAnsi="Arial"/>
          <w:sz w:val="18"/>
          <w:szCs w:val="18"/>
          <w:color w:val="auto"/>
        </w:rPr>
        <w:t>Proof of mailing of such notice as aforesaid shall be sufficient proof of notice. The Policy Period shall terminate at the effective date and hour of cancellation or nonrenewal specified in such notice.</w:t>
      </w:r>
    </w:p>
    <w:p>
      <w:pPr>
        <w:spacing w:after="0" w:line="50" w:lineRule="exact"/>
        <w:rPr>
          <w:rFonts w:ascii="Arial" w:cs="Arial" w:eastAsia="Arial" w:hAnsi="Arial"/>
          <w:sz w:val="16"/>
          <w:szCs w:val="16"/>
          <w:color w:val="auto"/>
        </w:rPr>
      </w:pPr>
    </w:p>
    <w:p>
      <w:pPr>
        <w:ind w:left="1500" w:right="820" w:hanging="587"/>
        <w:spacing w:after="0" w:line="387" w:lineRule="auto"/>
        <w:tabs>
          <w:tab w:leader="none" w:pos="1489"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this policy shall be cancelled by the Insured, the Insurer shall retain the customary short rate proportion of the premium hereon. If this policy shall be cancelled by the Insurer, the Insurer shall retain the pro rata proportion of the premium hereon.</w:t>
      </w:r>
    </w:p>
    <w:p>
      <w:pPr>
        <w:ind w:left="1500" w:right="100"/>
        <w:spacing w:after="0" w:line="268" w:lineRule="auto"/>
        <w:rPr>
          <w:rFonts w:ascii="Arial" w:cs="Arial" w:eastAsia="Arial" w:hAnsi="Arial"/>
          <w:sz w:val="16"/>
          <w:szCs w:val="16"/>
          <w:color w:val="auto"/>
        </w:rPr>
      </w:pPr>
      <w:r>
        <w:rPr>
          <w:rFonts w:ascii="Arial" w:cs="Arial" w:eastAsia="Arial" w:hAnsi="Arial"/>
          <w:sz w:val="18"/>
          <w:szCs w:val="18"/>
          <w:color w:val="auto"/>
        </w:rPr>
        <w:t>Payment or tender of any unearned premium by the Insurer shall not be a condition of cancellation, but such payment shall be made as soon as practicable.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506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(09/06)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6"/>
          <w:szCs w:val="16"/>
          <w:color w:val="auto"/>
        </w:rPr>
        <w:t>01-899-95-18</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INVESTMENT CORPORATION</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1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COMPUTER SYSTEMS ENDORSEMENTS AMENDED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 resulting directly from a fraudulent</w:t>
      </w:r>
    </w:p>
    <w:p>
      <w:pPr>
        <w:spacing w:after="0" w:line="90"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entry of data into,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 of data or programs within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Computer System; provided the fraudulent entry or change causes</w:t>
      </w:r>
    </w:p>
    <w:p>
      <w:pPr>
        <w:spacing w:after="0" w:line="90" w:lineRule="exact"/>
        <w:rPr>
          <w:sz w:val="20"/>
          <w:szCs w:val="20"/>
          <w:color w:val="auto"/>
        </w:rPr>
      </w:pPr>
    </w:p>
    <w:p>
      <w:pPr>
        <w:ind w:left="1480" w:hanging="567"/>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 unauthorized account of a fictitious account to be debited or credited;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voice instruction or advice having been transmitted to the Insured or its agent(s) by telephone;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provided further, the fraudulent entry or change is made or caused by an individual acting with the intent to:</w:t>
      </w:r>
    </w:p>
    <w:p>
      <w:pPr>
        <w:spacing w:after="0" w:line="90" w:lineRule="exact"/>
        <w:rPr>
          <w:sz w:val="20"/>
          <w:szCs w:val="20"/>
          <w:color w:val="auto"/>
        </w:rPr>
      </w:pPr>
    </w:p>
    <w:p>
      <w:pPr>
        <w:ind w:left="1480" w:hanging="567"/>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cause the Insured or its agent(s) to sustain a loss,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obtain financial benefit for that individual or for other persons intended by that individual to receive financial benefit,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and further provided such voice instruction or advices: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were made by a person who purported to represent an individual authorized to make such voice instruction or advices; and</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were electronically recorded by the Insured or its agent(s).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right="200"/>
        <w:spacing w:after="0" w:line="256" w:lineRule="auto"/>
        <w:rPr>
          <w:sz w:val="20"/>
          <w:szCs w:val="20"/>
          <w:color w:val="auto"/>
        </w:rPr>
      </w:pPr>
      <w:r>
        <w:rPr>
          <w:rFonts w:ascii="Arial" w:cs="Arial" w:eastAsia="Arial" w:hAnsi="Arial"/>
          <w:sz w:val="18"/>
          <w:szCs w:val="18"/>
          <w:b w:val="1"/>
          <w:bCs w:val="1"/>
          <w:color w:val="auto"/>
        </w:rPr>
        <w:t>NOTICE: THESE POLICY FORMS AND THE APPLICABLE RATES ARE EXEMPT FROM THE FILING REQUIREMENTS OF THE NEW YORK STATE INSURANCE DEPARTMENT. HOWEVER, THE FORMS AND RATES MUST MEET THE MINIMUM STANDARDS OF THE NEW YORK INSURANCE LAW AND REGULATIONS</w:t>
      </w:r>
    </w:p>
    <w:p>
      <w:pPr>
        <w:spacing w:after="0" w:line="15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RIDER #3 (Continued)</w:t>
      </w:r>
    </w:p>
    <w:p>
      <w:pPr>
        <w:spacing w:after="0" w:line="164" w:lineRule="exact"/>
        <w:rPr>
          <w:sz w:val="20"/>
          <w:szCs w:val="20"/>
          <w:color w:val="auto"/>
        </w:rPr>
      </w:pPr>
    </w:p>
    <w:p>
      <w:pPr>
        <w:ind w:left="900" w:right="80" w:hanging="446"/>
        <w:spacing w:after="0" w:line="294"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It shall be a condition to recovery under the Computer Systems Rider that the Insured or its agent(s) shall to the best of their ability electronically record all voice instructions or advices received over telephone. The Insured or its agent(s) warrant that they shall make their best efforts to maintain the electronic recording system on a continuous basis. Nothing, however, in this Rider shall bar the Insured from recovery where no recording is available because of mechanical failure of the device used in making such recording, or because of failure of the media used to record conversation from any cause, or error or omission of any Employee(s) or agent(s) of the Insured.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SYSTEMS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computer systems utilized by the Insured</w:t>
      </w:r>
    </w:p>
    <w:p>
      <w:pPr>
        <w:spacing w:after="0" w:line="90"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used in this Rider, Computer System means: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systems and application software,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terminal devices,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related communication networks or customer communication systems,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related Electronic Funds Transfer Systems,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which data are electronically collected, transmitted, processed, stored, and retrieved.</w:t>
      </w:r>
    </w:p>
    <w:p>
      <w:pPr>
        <w:spacing w:after="0" w:line="9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addition to the exclusions in the attached bond, the following exclusions are applicable to this Insuring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loss resulting directly or indirectly from the theft of confidential information, material or data; and</w:t>
      </w:r>
    </w:p>
    <w:p>
      <w:pPr>
        <w:spacing w:after="0" w:line="90" w:lineRule="exact"/>
        <w:rPr>
          <w:rFonts w:ascii="Arial" w:cs="Arial" w:eastAsia="Arial" w:hAnsi="Arial"/>
          <w:sz w:val="18"/>
          <w:szCs w:val="18"/>
          <w:color w:val="auto"/>
        </w:rPr>
      </w:pPr>
    </w:p>
    <w:p>
      <w:pPr>
        <w:ind w:left="900" w:right="120" w:hanging="446"/>
        <w:spacing w:after="0" w:line="306"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loss resulting directly or indirectly from entries or changes made by an individual authorized to have access to a Computer System who acts in good faith on instructions, unless such instructions are given to that individual by a software contractor (or by a partner, officer or employee thereof) authorized by the Insured to design, develop, prepare, supply service, write or implement programs for the Insured’s Computer System.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RIDER #3 (Continued)</w:t>
      </w:r>
    </w:p>
    <w:p>
      <w:pPr>
        <w:spacing w:after="0" w:line="16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Coverage afforded by this rider applies only to loss discovered by the Insured during the period this Rider is in force.</w:t>
      </w:r>
    </w:p>
    <w:p>
      <w:pPr>
        <w:spacing w:after="0" w:line="90" w:lineRule="exact"/>
        <w:rPr>
          <w:rFonts w:ascii="Arial" w:cs="Arial" w:eastAsia="Arial" w:hAnsi="Arial"/>
          <w:sz w:val="18"/>
          <w:szCs w:val="18"/>
          <w:color w:val="auto"/>
        </w:rPr>
      </w:pPr>
    </w:p>
    <w:p>
      <w:pPr>
        <w:ind w:left="460" w:right="240" w:hanging="452"/>
        <w:spacing w:after="0" w:line="306"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loss or series of losses involving the fraudulent activity of one individual, or involving fraudulent activity in which one individual is implicated, whether or not that individual is specifically identified, shall be treated as one loss. A Series of losses involving unidentified individuals but arising from the same method of operation may be deemed by the Underwriter to involve the same individual and in that event shall be treated as one loss.</w:t>
      </w:r>
    </w:p>
    <w:p>
      <w:pPr>
        <w:spacing w:after="0" w:line="25"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any loss is covered under this Insuring Agreement and any other Insuring Agreement or Coverage, the maximum amount payable for such loss shall not exceed the largest amount available under any one Insuring Agreement or Coverage.</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Coverage under this Rider shall terminate upon termination or cancellation of the bond to which this Rider is attached. Coverage under this rider may also be terminated or cancelled without cancelling the bond as an entirety: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60 days after receipt by the Insured of written notice from the Underwriter of its desire to terminate or cancel coverage under this Rider,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immediately upon receipt by the Underwriter of a written request from the Insured to terminate or cancel coverage under this Rider.</w:t>
      </w:r>
    </w:p>
    <w:p>
      <w:pPr>
        <w:spacing w:after="0" w:line="90"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The Underwriter shall refund to the Insured the unearned premium for this coverage under this Rider. The refund shall be computed at short rates if this Rider is terminated or cancelled or reduced by notice from, or at the instance of, the Insured.</w:t>
      </w:r>
    </w:p>
    <w:p>
      <w:pPr>
        <w:spacing w:after="0" w:line="51"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Section 4-LOSS-NOTICE-PROOF-LEGAL PROCEEDING of the Conditions and Limitations of this bond is amended by adding the following sentence:</w:t>
      </w:r>
    </w:p>
    <w:p>
      <w:pPr>
        <w:spacing w:after="0" w:line="113" w:lineRule="exact"/>
        <w:rPr>
          <w:rFonts w:ascii="Arial" w:cs="Arial" w:eastAsia="Arial" w:hAnsi="Arial"/>
          <w:sz w:val="16"/>
          <w:szCs w:val="16"/>
          <w:color w:val="auto"/>
        </w:rPr>
      </w:pPr>
    </w:p>
    <w:p>
      <w:pPr>
        <w:ind w:left="460" w:right="540"/>
        <w:spacing w:after="0" w:line="268" w:lineRule="auto"/>
        <w:rPr>
          <w:rFonts w:ascii="Arial" w:cs="Arial" w:eastAsia="Arial" w:hAnsi="Arial"/>
          <w:sz w:val="16"/>
          <w:szCs w:val="16"/>
          <w:color w:val="auto"/>
        </w:rPr>
      </w:pPr>
      <w:r>
        <w:rPr>
          <w:rFonts w:ascii="Arial" w:cs="Arial" w:eastAsia="Arial" w:hAnsi="Arial"/>
          <w:sz w:val="18"/>
          <w:szCs w:val="18"/>
          <w:color w:val="auto"/>
        </w:rPr>
        <w:t>“Proof of Loss resulting from Voice Instructions or advices covered under this bond shall include Electronic Recording of such Voice Instructions or advices.”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26</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RIDER #3 (Continued)</w:t>
      </w:r>
    </w:p>
    <w:p>
      <w:pPr>
        <w:spacing w:after="0" w:line="164" w:lineRule="exact"/>
        <w:rPr>
          <w:sz w:val="20"/>
          <w:szCs w:val="20"/>
          <w:color w:val="auto"/>
        </w:rPr>
      </w:pPr>
    </w:p>
    <w:p>
      <w:pPr>
        <w:ind w:left="460" w:right="440" w:hanging="452"/>
        <w:spacing w:after="0" w:line="306"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Not withstanding the foregoing, however, coverage afforded by this Rider is not designed to provide protection against loss covered under a separate Electronic and Computer Crime Policy by whatever title assigned or by whatever Underwriter written. Any loss which is covered under such separate Policy is excluded from coverage under this bond; and the Insured agrees to make claim for such loss under its separate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98425</wp:posOffset>
            </wp:positionV>
            <wp:extent cx="2898775" cy="5060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01-899-95-18</w:t>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500"/>
            <w:col w:w="10700"/>
          </w:cols>
          <w:pgMar w:left="240" w:top="280" w:right="239" w:bottom="1440" w:gutter="0" w:footer="0" w:header="0"/>
          <w:type w:val="continuous"/>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UNAUTHORIZED SIGNATURES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attached bond is amended by adding an Insuring Agreement as follows: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Unauthorized Signatures</w:t>
      </w:r>
    </w:p>
    <w:p>
      <w:pPr>
        <w:spacing w:after="0" w:line="218" w:lineRule="exact"/>
        <w:rPr>
          <w:sz w:val="20"/>
          <w:szCs w:val="20"/>
          <w:color w:val="auto"/>
        </w:rPr>
      </w:pPr>
    </w:p>
    <w:p>
      <w:pPr>
        <w:ind w:left="460" w:right="40" w:hanging="452"/>
        <w:spacing w:after="0" w:line="256"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original check or withdrawal order made or drawn on a customer’s account which bears the signature or endorsement of one other than a person whose name and signature is on file with the Insured as a signatory on such account. It shall be a condition precedent to the Insured’s right of recovery under this coverage that the Insured shall have on file signatures of all persons who are signatories on such account.</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Limit of Liability under this coverage is $50,000. A $5,000 deductible shall apply to each and every loss.</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060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28</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6"/>
          <w:szCs w:val="16"/>
          <w:color w:val="auto"/>
        </w:rPr>
        <w:t>01-899-95-18</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40"/>
            <w:col w:w="10860"/>
          </w:cols>
          <w:pgMar w:left="240" w:top="280" w:right="239" w:bottom="1440" w:gutter="0" w:footer="0" w:header="0"/>
          <w:type w:val="continuous"/>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AUTOMATED PHONE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AUTOMATED PHONE SYSTEM</w:t>
      </w:r>
    </w:p>
    <w:p>
      <w:pPr>
        <w:spacing w:after="0" w:line="218" w:lineRule="exact"/>
        <w:rPr>
          <w:sz w:val="20"/>
          <w:szCs w:val="20"/>
          <w:color w:val="auto"/>
        </w:rPr>
      </w:pPr>
    </w:p>
    <w:p>
      <w:pPr>
        <w:ind w:left="900" w:right="160" w:hanging="446"/>
        <w:spacing w:after="0" w:line="255"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Loss caused by an Automated Phone System (“APS”) Transaction, where the request for such APS Transaction is unauthorized or fraudulent and is made with the manifest intent to deceive; provided, that the entity which receives such request generally maintains and follows during the bond Period all APS Designated Procedures with respect to APS Transactions. The Unintentional isolated failure of such entity to maintain and follow a particular APS Designated Procedure in a particular instance shall not preclude coverage under this Insuring Agreement, subject to the exclusions herein and in the Bond.</w:t>
      </w:r>
    </w:p>
    <w:p>
      <w:pPr>
        <w:spacing w:after="0" w:line="61" w:lineRule="exact"/>
        <w:rPr>
          <w:rFonts w:ascii="Arial" w:cs="Arial" w:eastAsia="Arial" w:hAnsi="Arial"/>
          <w:sz w:val="18"/>
          <w:szCs w:val="18"/>
          <w:color w:val="auto"/>
        </w:rPr>
      </w:pPr>
    </w:p>
    <w:p>
      <w:pPr>
        <w:ind w:left="1480" w:hanging="567"/>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used in this Insuring Agreement shall have the following meanings: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“APS Transaction” means any APS Redemption, APS Exchange or APS Election.</w:t>
      </w:r>
    </w:p>
    <w:p>
      <w:pPr>
        <w:spacing w:after="0" w:line="90" w:lineRule="exact"/>
        <w:rPr>
          <w:rFonts w:ascii="Arial" w:cs="Arial" w:eastAsia="Arial" w:hAnsi="Arial"/>
          <w:sz w:val="18"/>
          <w:szCs w:val="18"/>
          <w:color w:val="auto"/>
        </w:rPr>
      </w:pPr>
    </w:p>
    <w:p>
      <w:pPr>
        <w:ind w:left="1920" w:right="440" w:hanging="440"/>
        <w:spacing w:after="0" w:line="268" w:lineRule="auto"/>
        <w:tabs>
          <w:tab w:leader="none" w:pos="19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“APS Redemption” means any redemption of shares issued by an Investment Company which is requested over the telephone by means of information transmitted by an individual caller through use of a telephone keypad.</w:t>
      </w:r>
    </w:p>
    <w:p>
      <w:pPr>
        <w:spacing w:after="0" w:line="50" w:lineRule="exact"/>
        <w:rPr>
          <w:rFonts w:ascii="Arial" w:cs="Arial" w:eastAsia="Arial" w:hAnsi="Arial"/>
          <w:sz w:val="18"/>
          <w:szCs w:val="18"/>
          <w:color w:val="auto"/>
        </w:rPr>
      </w:pPr>
    </w:p>
    <w:p>
      <w:pPr>
        <w:ind w:left="1920" w:right="120" w:hanging="440"/>
        <w:spacing w:after="0" w:line="268" w:lineRule="auto"/>
        <w:tabs>
          <w:tab w:leader="none" w:pos="19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“APS Election” means any election concerning dividend options available to Fund Shareholders which is made over the telephone by means of information transmitted by an individual caller through use of a telephone keypad.</w:t>
      </w:r>
    </w:p>
    <w:p>
      <w:pPr>
        <w:spacing w:after="0" w:line="50" w:lineRule="exact"/>
        <w:rPr>
          <w:rFonts w:ascii="Arial" w:cs="Arial" w:eastAsia="Arial" w:hAnsi="Arial"/>
          <w:sz w:val="18"/>
          <w:szCs w:val="18"/>
          <w:color w:val="auto"/>
        </w:rPr>
      </w:pPr>
    </w:p>
    <w:p>
      <w:pPr>
        <w:jc w:val="both"/>
        <w:ind w:left="1920" w:right="100" w:hanging="440"/>
        <w:spacing w:after="0" w:line="306" w:lineRule="auto"/>
        <w:tabs>
          <w:tab w:leader="none" w:pos="1920" w:val="left"/>
        </w:tabs>
        <w:numPr>
          <w:ilvl w:val="2"/>
          <w:numId w:val="69"/>
        </w:numPr>
        <w:rPr>
          <w:rFonts w:ascii="Arial" w:cs="Arial" w:eastAsia="Arial" w:hAnsi="Arial"/>
          <w:sz w:val="16"/>
          <w:szCs w:val="16"/>
          <w:color w:val="auto"/>
        </w:rPr>
      </w:pPr>
      <w:r>
        <w:rPr>
          <w:rFonts w:ascii="Arial" w:cs="Arial" w:eastAsia="Arial" w:hAnsi="Arial"/>
          <w:sz w:val="16"/>
          <w:szCs w:val="16"/>
          <w:color w:val="auto"/>
        </w:rPr>
        <w:t>“APS Exchange” means any exchange of shares in a registered account of one Fund into shares in an identically registered account of another Fund in the same complex pursuant to exchange privileges of the two Funds, which exchange is requested over the telephone by means of information transmitted by an individual caller through use of a telephone keypad.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#5 (Continued)</w:t>
      </w:r>
    </w:p>
    <w:p>
      <w:pPr>
        <w:spacing w:after="0" w:line="164" w:lineRule="exact"/>
        <w:rPr>
          <w:sz w:val="20"/>
          <w:szCs w:val="20"/>
          <w:color w:val="auto"/>
        </w:rPr>
      </w:pPr>
    </w:p>
    <w:p>
      <w:pPr>
        <w:ind w:left="1920" w:hanging="440"/>
        <w:spacing w:after="0"/>
        <w:tabs>
          <w:tab w:leader="none" w:pos="1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“APS Designated Procedures” means all of the following procedures:</w:t>
      </w:r>
    </w:p>
    <w:p>
      <w:pPr>
        <w:spacing w:after="0" w:line="90" w:lineRule="exact"/>
        <w:rPr>
          <w:rFonts w:ascii="Arial" w:cs="Arial" w:eastAsia="Arial" w:hAnsi="Arial"/>
          <w:sz w:val="18"/>
          <w:szCs w:val="18"/>
          <w:color w:val="auto"/>
        </w:rPr>
      </w:pPr>
    </w:p>
    <w:p>
      <w:pPr>
        <w:ind w:left="2380" w:right="760" w:hanging="441"/>
        <w:spacing w:after="0" w:line="332" w:lineRule="auto"/>
        <w:tabs>
          <w:tab w:leader="none" w:pos="238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Election in Application</w:t>
      </w:r>
      <w:r>
        <w:rPr>
          <w:rFonts w:ascii="Arial" w:cs="Arial" w:eastAsia="Arial" w:hAnsi="Arial"/>
          <w:sz w:val="16"/>
          <w:szCs w:val="16"/>
          <w:color w:val="auto"/>
        </w:rPr>
        <w:t>: No APS Redemption shall be executed unless the shareholder to whose account such an APS Redemption relates has previously elected by Official Designation to permit such APS Redemption.</w:t>
      </w:r>
    </w:p>
    <w:p>
      <w:pPr>
        <w:spacing w:after="0" w:line="4" w:lineRule="exact"/>
        <w:rPr>
          <w:rFonts w:ascii="Arial" w:cs="Arial" w:eastAsia="Arial" w:hAnsi="Arial"/>
          <w:sz w:val="16"/>
          <w:szCs w:val="16"/>
          <w:color w:val="auto"/>
        </w:rPr>
      </w:pPr>
    </w:p>
    <w:p>
      <w:pPr>
        <w:ind w:left="2380" w:right="260" w:hanging="441"/>
        <w:spacing w:after="0" w:line="259" w:lineRule="auto"/>
        <w:tabs>
          <w:tab w:leader="none" w:pos="238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Logging</w:t>
      </w:r>
      <w:r>
        <w:rPr>
          <w:rFonts w:ascii="Arial" w:cs="Arial" w:eastAsia="Arial" w:hAnsi="Arial"/>
          <w:sz w:val="18"/>
          <w:szCs w:val="18"/>
          <w:color w:val="auto"/>
        </w:rPr>
        <w:t>: All APS Transaction requests shall be logged or otherwise recorded, so as to preserve all of the information transmitted by an individual caller through use of a telephone keypad in the course of such a request, and the records shall be retained for at least six months.</w:t>
      </w:r>
    </w:p>
    <w:p>
      <w:pPr>
        <w:spacing w:after="0" w:line="59" w:lineRule="exact"/>
        <w:rPr>
          <w:rFonts w:ascii="Arial" w:cs="Arial" w:eastAsia="Arial" w:hAnsi="Arial"/>
          <w:sz w:val="18"/>
          <w:szCs w:val="18"/>
          <w:color w:val="auto"/>
        </w:rPr>
      </w:pPr>
    </w:p>
    <w:p>
      <w:pPr>
        <w:ind w:left="2960" w:hanging="562"/>
        <w:spacing w:after="0"/>
        <w:tabs>
          <w:tab w:leader="none" w:pos="2960" w:val="left"/>
        </w:tabs>
        <w:numPr>
          <w:ilvl w:val="2"/>
          <w:numId w:val="70"/>
        </w:numPr>
        <w:rPr>
          <w:rFonts w:ascii="Arial" w:cs="Arial" w:eastAsia="Arial" w:hAnsi="Arial"/>
          <w:sz w:val="18"/>
          <w:szCs w:val="18"/>
          <w:color w:val="auto"/>
        </w:rPr>
      </w:pPr>
      <w:r>
        <w:rPr>
          <w:rFonts w:ascii="Arial" w:cs="Arial" w:eastAsia="Arial" w:hAnsi="Arial"/>
          <w:sz w:val="18"/>
          <w:szCs w:val="18"/>
          <w:color w:val="auto"/>
        </w:rPr>
        <w:t>Information contained in the records shall be capable of being retrieved through the following methods:</w:t>
      </w:r>
    </w:p>
    <w:p>
      <w:pPr>
        <w:spacing w:after="0" w:line="90"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audio tape and or transactions stored on computer disks</w:t>
      </w:r>
    </w:p>
    <w:p>
      <w:pPr>
        <w:spacing w:after="0" w:line="90" w:lineRule="exact"/>
        <w:rPr>
          <w:sz w:val="20"/>
          <w:szCs w:val="20"/>
          <w:color w:val="auto"/>
        </w:rPr>
      </w:pPr>
    </w:p>
    <w:p>
      <w:pPr>
        <w:ind w:left="2960" w:right="300" w:hanging="562"/>
        <w:spacing w:after="0" w:line="332" w:lineRule="auto"/>
        <w:tabs>
          <w:tab w:leader="none" w:pos="29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Information contained in the records shall be capable of being retrieved and produced within a reasonable time after retrieval of specific information is requested, at a success rate of no less than 85 percent.</w:t>
      </w:r>
    </w:p>
    <w:p>
      <w:pPr>
        <w:spacing w:after="0" w:line="4" w:lineRule="exact"/>
        <w:rPr>
          <w:rFonts w:ascii="Arial" w:cs="Arial" w:eastAsia="Arial" w:hAnsi="Arial"/>
          <w:sz w:val="16"/>
          <w:szCs w:val="16"/>
          <w:color w:val="auto"/>
        </w:rPr>
      </w:pPr>
    </w:p>
    <w:p>
      <w:pPr>
        <w:ind w:left="2380" w:right="480" w:hanging="441"/>
        <w:spacing w:after="0" w:line="332" w:lineRule="auto"/>
        <w:tabs>
          <w:tab w:leader="none" w:pos="238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Identity Test</w:t>
      </w:r>
      <w:r>
        <w:rPr>
          <w:rFonts w:ascii="Arial" w:cs="Arial" w:eastAsia="Arial" w:hAnsi="Arial"/>
          <w:sz w:val="16"/>
          <w:szCs w:val="16"/>
          <w:color w:val="auto"/>
        </w:rPr>
        <w:t>: The identity of the caller in any request for an APS Transaction shall be tested before execution of that APS Transaction by requiring the entry by the caller of a confidential personal identification number (“PIN”)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30</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#5 (Continued)</w:t>
      </w:r>
    </w:p>
    <w:p>
      <w:pPr>
        <w:spacing w:after="0" w:line="164" w:lineRule="exact"/>
        <w:rPr>
          <w:sz w:val="20"/>
          <w:szCs w:val="20"/>
          <w:color w:val="auto"/>
        </w:rPr>
      </w:pPr>
    </w:p>
    <w:p>
      <w:pPr>
        <w:ind w:left="2960" w:right="340" w:hanging="562"/>
        <w:spacing w:after="0" w:line="332" w:lineRule="auto"/>
        <w:tabs>
          <w:tab w:leader="none" w:pos="2960" w:val="left"/>
        </w:tabs>
        <w:numPr>
          <w:ilvl w:val="3"/>
          <w:numId w:val="73"/>
        </w:numPr>
        <w:rPr>
          <w:rFonts w:ascii="Arial" w:cs="Arial" w:eastAsia="Arial" w:hAnsi="Arial"/>
          <w:sz w:val="16"/>
          <w:szCs w:val="16"/>
          <w:color w:val="auto"/>
        </w:rPr>
      </w:pPr>
      <w:r>
        <w:rPr>
          <w:rFonts w:ascii="Arial" w:cs="Arial" w:eastAsia="Arial" w:hAnsi="Arial"/>
          <w:sz w:val="16"/>
          <w:szCs w:val="16"/>
          <w:color w:val="auto"/>
        </w:rPr>
        <w:t>Limited Attempts to Enter PIN: If the caller fails to enter a correct PIN within three attempts, the caller must not be allowed additional attempts during the same (telephone call/twenty-four hour day) to enter the PIN</w:t>
      </w:r>
    </w:p>
    <w:p>
      <w:pPr>
        <w:spacing w:after="0" w:line="4" w:lineRule="exact"/>
        <w:rPr>
          <w:rFonts w:ascii="Arial" w:cs="Arial" w:eastAsia="Arial" w:hAnsi="Arial"/>
          <w:sz w:val="16"/>
          <w:szCs w:val="16"/>
          <w:color w:val="auto"/>
        </w:rPr>
      </w:pPr>
    </w:p>
    <w:p>
      <w:pPr>
        <w:ind w:left="2380" w:right="80" w:hanging="441"/>
        <w:spacing w:after="0" w:line="259" w:lineRule="auto"/>
        <w:tabs>
          <w:tab w:leader="none" w:pos="2380"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Written Confirmation</w:t>
      </w:r>
      <w:r>
        <w:rPr>
          <w:rFonts w:ascii="Arial" w:cs="Arial" w:eastAsia="Arial" w:hAnsi="Arial"/>
          <w:sz w:val="18"/>
          <w:szCs w:val="18"/>
          <w:color w:val="auto"/>
        </w:rPr>
        <w:t>: A written confirmation of any APS Transaction shall be mailed to the shareholder(s) to whose account such APS Transaction relates, at the original record address, by the end of the Insured’s next regular processing cycle, but in no event later than five business days following such APS Transaction.</w:t>
      </w:r>
    </w:p>
    <w:p>
      <w:pPr>
        <w:spacing w:after="0" w:line="59" w:lineRule="exact"/>
        <w:rPr>
          <w:rFonts w:ascii="Arial" w:cs="Arial" w:eastAsia="Arial" w:hAnsi="Arial"/>
          <w:sz w:val="18"/>
          <w:szCs w:val="18"/>
          <w:color w:val="auto"/>
        </w:rPr>
      </w:pPr>
    </w:p>
    <w:p>
      <w:pPr>
        <w:ind w:left="2380" w:right="120" w:hanging="441"/>
        <w:spacing w:after="0" w:line="268" w:lineRule="auto"/>
        <w:tabs>
          <w:tab w:leader="none" w:pos="2380"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Access to APS Equipment</w:t>
      </w:r>
      <w:r>
        <w:rPr>
          <w:rFonts w:ascii="Arial" w:cs="Arial" w:eastAsia="Arial" w:hAnsi="Arial"/>
          <w:sz w:val="18"/>
          <w:szCs w:val="18"/>
          <w:color w:val="auto"/>
        </w:rPr>
        <w:t>: Access to the equipment which permits the entity receiving the APS Transaction request to process and effect the transaction shall be limited in the following manner: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It is further understood and agreed that this extension shall not cover: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loss covered under Insuring Agreement A. “Fidelity”, of this Bond;</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loss resulting from:</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made payable to other than</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3"/>
          <w:numId w:val="75"/>
        </w:numPr>
        <w:rPr>
          <w:rFonts w:ascii="Arial" w:cs="Arial" w:eastAsia="Arial" w:hAnsi="Arial"/>
          <w:sz w:val="18"/>
          <w:szCs w:val="18"/>
          <w:color w:val="auto"/>
        </w:rPr>
      </w:pPr>
      <w:r>
        <w:rPr>
          <w:rFonts w:ascii="Arial" w:cs="Arial" w:eastAsia="Arial" w:hAnsi="Arial"/>
          <w:sz w:val="18"/>
          <w:szCs w:val="18"/>
          <w:color w:val="auto"/>
        </w:rPr>
        <w:t>the shareholder of record, or</w:t>
      </w:r>
    </w:p>
    <w:p>
      <w:pPr>
        <w:spacing w:after="0" w:line="90" w:lineRule="exact"/>
        <w:rPr>
          <w:sz w:val="20"/>
          <w:szCs w:val="20"/>
          <w:color w:val="auto"/>
        </w:rPr>
      </w:pPr>
    </w:p>
    <w:p>
      <w:pPr>
        <w:ind w:left="2960" w:hanging="562"/>
        <w:spacing w:after="0"/>
        <w:tabs>
          <w:tab w:leader="none" w:pos="2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person officially Designated to receive redemption proceeds, or</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bank account officially Designated to receive redemption proceeds, or</w:t>
      </w:r>
    </w:p>
    <w:p>
      <w:pPr>
        <w:spacing w:after="0" w:line="90" w:lineRule="exact"/>
        <w:rPr>
          <w:rFonts w:ascii="Arial" w:cs="Arial" w:eastAsia="Arial" w:hAnsi="Arial"/>
          <w:sz w:val="18"/>
          <w:szCs w:val="18"/>
          <w:color w:val="auto"/>
        </w:rPr>
      </w:pPr>
    </w:p>
    <w:p>
      <w:pPr>
        <w:ind w:left="2380" w:right="100" w:hanging="441"/>
        <w:spacing w:after="0" w:line="268" w:lineRule="auto"/>
        <w:tabs>
          <w:tab w:leader="none" w:pos="2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paid by check mailed to any address, unless such address has either been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#5 (Continued)</w:t>
      </w:r>
    </w:p>
    <w:p>
      <w:pPr>
        <w:spacing w:after="0" w:line="164" w:lineRule="exact"/>
        <w:rPr>
          <w:sz w:val="20"/>
          <w:szCs w:val="20"/>
          <w:color w:val="auto"/>
        </w:rPr>
      </w:pPr>
    </w:p>
    <w:p>
      <w:pPr>
        <w:ind w:left="2960" w:hanging="562"/>
        <w:spacing w:after="0" w:line="268" w:lineRule="auto"/>
        <w:tabs>
          <w:tab w:leader="none" w:pos="2960" w:val="left"/>
        </w:tabs>
        <w:numPr>
          <w:ilvl w:val="2"/>
          <w:numId w:val="78"/>
        </w:numPr>
        <w:rPr>
          <w:rFonts w:ascii="Arial" w:cs="Arial" w:eastAsia="Arial" w:hAnsi="Arial"/>
          <w:sz w:val="18"/>
          <w:szCs w:val="18"/>
          <w:color w:val="auto"/>
        </w:rPr>
      </w:pPr>
      <w:r>
        <w:rPr>
          <w:rFonts w:ascii="Arial" w:cs="Arial" w:eastAsia="Arial" w:hAnsi="Arial"/>
          <w:sz w:val="18"/>
          <w:szCs w:val="18"/>
          <w:color w:val="auto"/>
        </w:rPr>
        <w:t>designated by voice over the telephone or in writing without a signature guarantee, in either case at least thirty (30) days prior to such redemption, or</w:t>
      </w:r>
    </w:p>
    <w:p>
      <w:pPr>
        <w:spacing w:after="0" w:line="50" w:lineRule="exact"/>
        <w:rPr>
          <w:rFonts w:ascii="Arial" w:cs="Arial" w:eastAsia="Arial" w:hAnsi="Arial"/>
          <w:sz w:val="18"/>
          <w:szCs w:val="18"/>
          <w:color w:val="auto"/>
        </w:rPr>
      </w:pPr>
    </w:p>
    <w:p>
      <w:pPr>
        <w:ind w:left="2960" w:hanging="562"/>
        <w:spacing w:after="0"/>
        <w:tabs>
          <w:tab w:leader="none" w:pos="2960" w:val="left"/>
        </w:tabs>
        <w:numPr>
          <w:ilvl w:val="2"/>
          <w:numId w:val="78"/>
        </w:numPr>
        <w:rPr>
          <w:rFonts w:ascii="Arial" w:cs="Arial" w:eastAsia="Arial" w:hAnsi="Arial"/>
          <w:sz w:val="18"/>
          <w:szCs w:val="18"/>
          <w:color w:val="auto"/>
        </w:rPr>
      </w:pPr>
      <w:r>
        <w:rPr>
          <w:rFonts w:ascii="Arial" w:cs="Arial" w:eastAsia="Arial" w:hAnsi="Arial"/>
          <w:sz w:val="18"/>
          <w:szCs w:val="18"/>
          <w:color w:val="auto"/>
        </w:rPr>
        <w:t>officially Designated, or</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2"/>
          <w:numId w:val="78"/>
        </w:numPr>
        <w:rPr>
          <w:rFonts w:ascii="Arial" w:cs="Arial" w:eastAsia="Arial" w:hAnsi="Arial"/>
          <w:sz w:val="18"/>
          <w:szCs w:val="18"/>
          <w:color w:val="auto"/>
        </w:rPr>
      </w:pPr>
      <w:r>
        <w:rPr>
          <w:rFonts w:ascii="Arial" w:cs="Arial" w:eastAsia="Arial" w:hAnsi="Arial"/>
          <w:sz w:val="18"/>
          <w:szCs w:val="18"/>
          <w:color w:val="auto"/>
        </w:rPr>
        <w:t>verified by any other procedures which may be stated below in this Rider, or</w:t>
      </w:r>
    </w:p>
    <w:p>
      <w:pPr>
        <w:spacing w:after="0" w:line="90" w:lineRule="exact"/>
        <w:rPr>
          <w:rFonts w:ascii="Arial" w:cs="Arial" w:eastAsia="Arial" w:hAnsi="Arial"/>
          <w:sz w:val="18"/>
          <w:szCs w:val="18"/>
          <w:color w:val="auto"/>
        </w:rPr>
      </w:pPr>
    </w:p>
    <w:p>
      <w:pPr>
        <w:ind w:left="2380" w:right="460" w:hanging="441"/>
        <w:spacing w:after="0" w:line="268" w:lineRule="auto"/>
        <w:tabs>
          <w:tab w:leader="none" w:pos="23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paid by wire transfer to other than the shareholder’s officially Designated bank account, or</w:t>
      </w:r>
    </w:p>
    <w:p>
      <w:pPr>
        <w:spacing w:after="0" w:line="50" w:lineRule="exact"/>
        <w:rPr>
          <w:rFonts w:ascii="Arial" w:cs="Arial" w:eastAsia="Arial" w:hAnsi="Arial"/>
          <w:sz w:val="18"/>
          <w:szCs w:val="18"/>
          <w:color w:val="auto"/>
        </w:rPr>
      </w:pPr>
    </w:p>
    <w:p>
      <w:pPr>
        <w:ind w:left="2380" w:hanging="441"/>
        <w:spacing w:after="0"/>
        <w:tabs>
          <w:tab w:leader="none" w:pos="23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Intentional failure to adhere to one or more APS Designated Procedures.</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provisions of the attached bond other than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060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6"/>
          <w:szCs w:val="16"/>
          <w:color w:val="auto"/>
        </w:rPr>
        <w:t>01-899-95-18</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80"/>
            <w:col w:w="10820"/>
          </w:cols>
          <w:pgMar w:left="240" w:top="280" w:right="239" w:bottom="1440" w:gutter="0" w:footer="0" w:header="0"/>
          <w:type w:val="continuous"/>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VIT AMENDED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“Voice Initiated Funds Transfers”</w:t>
      </w:r>
    </w:p>
    <w:p>
      <w:pPr>
        <w:spacing w:after="0" w:line="171"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Loss resulting directly from the Insured having, in good faith, transferred funds from a Customer’s account through an electronic funds transfer system covered in the Computer Systems Insuring Agreement attached to this bond, in reliance upon a Voice Initiated Funds Transfer Instruction which was purported to be from an officer, director, partner or employee of a Customer of the Insured who was authorized and appointed by such Customer to instruct the Insured by means of voice message transmitted by telephone to make certain funds transfers, and which instruction</w:t>
      </w:r>
    </w:p>
    <w:p>
      <w:pPr>
        <w:spacing w:after="0" w:line="32" w:lineRule="exact"/>
        <w:rPr>
          <w:sz w:val="20"/>
          <w:szCs w:val="20"/>
          <w:color w:val="auto"/>
        </w:rPr>
      </w:pPr>
    </w:p>
    <w:p>
      <w:pPr>
        <w:ind w:left="900" w:right="120" w:hanging="446"/>
        <w:spacing w:after="0" w:line="268"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was in fact, from an impostor, or a person not authorized by the Customer to issue such instructions by voice message transmitted by telephone, and which</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was received by an Employee of the Insured specifically designated to receive and act upon such instructions; but provided that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82"/>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proper password(s) or code words(s) given; and</w:t>
      </w:r>
    </w:p>
    <w:p>
      <w:pPr>
        <w:spacing w:after="0" w:line="84" w:lineRule="exact"/>
        <w:rPr>
          <w:rFonts w:ascii="Arial" w:cs="Arial" w:eastAsia="Arial" w:hAnsi="Arial"/>
          <w:sz w:val="18"/>
          <w:szCs w:val="18"/>
          <w:color w:val="auto"/>
        </w:rPr>
      </w:pPr>
    </w:p>
    <w:p>
      <w:pPr>
        <w:ind w:left="1480" w:right="180" w:hanging="567"/>
        <w:spacing w:after="0" w:line="275" w:lineRule="auto"/>
        <w:tabs>
          <w:tab w:leader="none" w:pos="1480"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if the transfer was in excess of </w:t>
      </w:r>
      <w:r>
        <w:rPr>
          <w:rFonts w:ascii="Arial" w:cs="Arial" w:eastAsia="Arial" w:hAnsi="Arial"/>
          <w:sz w:val="18"/>
          <w:szCs w:val="18"/>
          <w:b w:val="1"/>
          <w:bCs w:val="1"/>
          <w:color w:val="auto"/>
        </w:rPr>
        <w:t>$10,000</w:t>
      </w:r>
      <w:r>
        <w:rPr>
          <w:rFonts w:ascii="Arial" w:cs="Arial" w:eastAsia="Arial" w:hAnsi="Arial"/>
          <w:sz w:val="18"/>
          <w:szCs w:val="18"/>
          <w:color w:val="auto"/>
        </w:rPr>
        <w:t xml:space="preserve"> the voice instruction was verified by a direct call back to an employee or the Customer (or a person thought by the Insured to be an employee of the Customer)</w:t>
      </w:r>
    </w:p>
    <w:p>
      <w:pPr>
        <w:spacing w:after="0" w:line="44" w:lineRule="exact"/>
        <w:rPr>
          <w:rFonts w:ascii="Arial" w:cs="Arial" w:eastAsia="Arial" w:hAnsi="Arial"/>
          <w:sz w:val="18"/>
          <w:szCs w:val="18"/>
          <w:color w:val="auto"/>
        </w:rPr>
      </w:pPr>
    </w:p>
    <w:p>
      <w:pPr>
        <w:ind w:left="460" w:right="120" w:hanging="452"/>
        <w:spacing w:after="0" w:line="370" w:lineRule="auto"/>
        <w:tabs>
          <w:tab w:leader="none" w:pos="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As used in this Insuring Agreement, Customer means an entity or individual which has a written agreement with the Insured for Customer Voice Initiated Electronic Funds Transfer and has provided the Insured with the names of its officer, directors, partners or employees authorized to initiate such Transfers.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SR6187B (12/93)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RIDER #6 (Continued)</w:t>
      </w:r>
    </w:p>
    <w:p>
      <w:pPr>
        <w:spacing w:after="0" w:line="360" w:lineRule="exact"/>
        <w:rPr>
          <w:sz w:val="20"/>
          <w:szCs w:val="20"/>
          <w:color w:val="auto"/>
        </w:rPr>
      </w:pPr>
    </w:p>
    <w:p>
      <w:pPr>
        <w:ind w:left="460" w:right="20" w:hanging="452"/>
        <w:spacing w:after="0" w:line="25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limit of Liability for the coverage provided by this rider shall be </w:t>
      </w:r>
      <w:r>
        <w:rPr>
          <w:rFonts w:ascii="Arial" w:cs="Arial" w:eastAsia="Arial" w:hAnsi="Arial"/>
          <w:sz w:val="18"/>
          <w:szCs w:val="18"/>
          <w:b w:val="1"/>
          <w:bCs w:val="1"/>
          <w:color w:val="auto"/>
        </w:rPr>
        <w:t>$5,000,000 (Five Million Dollars)</w:t>
      </w:r>
      <w:r>
        <w:rPr>
          <w:rFonts w:ascii="Arial" w:cs="Arial" w:eastAsia="Arial" w:hAnsi="Arial"/>
          <w:sz w:val="18"/>
          <w:szCs w:val="18"/>
          <w:color w:val="auto"/>
        </w:rPr>
        <w:t xml:space="preserve"> being understood, however, that such liability shall be part of and not in addition to the limit of liability stated in Item 3 of the Declaration of the attached bond. The Underwriter shall be liable hereunder for the amount by which a Single Loss exceeds the Deductible Amount of </w:t>
      </w:r>
      <w:r>
        <w:rPr>
          <w:rFonts w:ascii="Arial" w:cs="Arial" w:eastAsia="Arial" w:hAnsi="Arial"/>
          <w:sz w:val="18"/>
          <w:szCs w:val="18"/>
          <w:b w:val="1"/>
          <w:bCs w:val="1"/>
          <w:color w:val="auto"/>
        </w:rPr>
        <w:t>$50,000 (Fifty Thousand Dollars)</w:t>
      </w:r>
      <w:r>
        <w:rPr>
          <w:rFonts w:ascii="Arial" w:cs="Arial" w:eastAsia="Arial" w:hAnsi="Arial"/>
          <w:sz w:val="18"/>
          <w:szCs w:val="18"/>
          <w:color w:val="auto"/>
        </w:rPr>
        <w:t xml:space="preserve"> not in excess of the Limit of Liability stated above.</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following is added as Section 5 at the end of the Computer Systems Fraud Insuring Agreement added by endorsement number #3</w:t>
      </w:r>
    </w:p>
    <w:p>
      <w:pPr>
        <w:spacing w:after="0" w:line="113" w:lineRule="exact"/>
        <w:rPr>
          <w:rFonts w:ascii="Arial" w:cs="Arial" w:eastAsia="Arial" w:hAnsi="Arial"/>
          <w:sz w:val="16"/>
          <w:szCs w:val="16"/>
          <w:color w:val="auto"/>
        </w:rPr>
      </w:pPr>
    </w:p>
    <w:p>
      <w:pPr>
        <w:ind w:left="1480" w:right="240" w:hanging="567"/>
        <w:spacing w:after="0" w:line="268" w:lineRule="auto"/>
        <w:tabs>
          <w:tab w:leader="none" w:pos="14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Proof of loss for claim under the Voice Initiated Electronic Funds Transfer Insuring Agreement must include electronic recordings of such voice instructions and the verification call back, if such call was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060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SR6187B (12/93)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01-899-95-18</w:t>
      </w:r>
    </w:p>
    <w:p>
      <w:pPr>
        <w:spacing w:after="0" w:line="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80"/>
            <w:col w:w="10820"/>
          </w:cols>
          <w:pgMar w:left="240" w:top="280" w:right="239" w:bottom="1440" w:gutter="0" w:footer="0" w:header="0"/>
          <w:type w:val="continuous"/>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DEFINITION OF EMPLOYEE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DEFINITIONS, Section 1(a), Employee, is amended to include the following: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non-compensated directors and officers while performing duties coming within the scope of the usual duties of an Employee;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Nothing herein contained shall be held to vary, alter, waive or extend any of the terms, limitations, conditions, or agreements of the attached bond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154305</wp:posOffset>
            </wp:positionV>
            <wp:extent cx="2898775" cy="5060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THE FORMS AND RATES MUST MEET THE MINIMUM STANDARDS</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35</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01-899-95-18</w:t>
      </w:r>
    </w:p>
    <w:p>
      <w:pPr>
        <w:spacing w:after="0" w:line="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80"/>
            <w:col w:w="10820"/>
          </w:cols>
          <w:pgMar w:left="240" w:top="280" w:right="239" w:bottom="1440" w:gutter="0" w:footer="0" w:header="0"/>
          <w:type w:val="continuous"/>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TELEFACSIMILE TRANSFER FRAUD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attached bond is amended by adding an Insuring Agreement as follows: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TELEFACSIMILE TRANSFER FRAUD</w:t>
      </w:r>
    </w:p>
    <w:p>
      <w:pPr>
        <w:spacing w:after="0" w:line="177"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Loss resulting directly from the Insured having, in good faith, transferred or delivered Funds, Certificated Securities or Uncertificated Securities through a Computer System covered under the terms of the Computer System Fraud Insuring Agreement in reliance upon a fraudulent instruction received through a Telefacsimile Device, and which instruction</w:t>
      </w:r>
    </w:p>
    <w:p>
      <w:pPr>
        <w:spacing w:after="0" w:line="59"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purports and reasonably appears to have originated from</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Customer of the Insured,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another financial institution,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another office of the Insured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but, in fact, was not originated by the Customer or entity whose identification it bears and</w:t>
      </w:r>
    </w:p>
    <w:p>
      <w:pPr>
        <w:spacing w:after="0" w:line="90"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contains a valid test code which proves to have been used by a person who was not authorized to make use of it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contains the name of a person authorized to initiate such transfer; and</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provided that, if the transfer was in excess of </w:t>
      </w:r>
      <w:r>
        <w:rPr>
          <w:rFonts w:ascii="Arial" w:cs="Arial" w:eastAsia="Arial" w:hAnsi="Arial"/>
          <w:sz w:val="16"/>
          <w:szCs w:val="16"/>
          <w:b w:val="1"/>
          <w:bCs w:val="1"/>
          <w:color w:val="auto"/>
        </w:rPr>
        <w:t>$50,000</w:t>
      </w:r>
      <w:r>
        <w:rPr>
          <w:rFonts w:ascii="Arial" w:cs="Arial" w:eastAsia="Arial" w:hAnsi="Arial"/>
          <w:sz w:val="16"/>
          <w:szCs w:val="16"/>
          <w:color w:val="auto"/>
        </w:rPr>
        <w:t xml:space="preserve"> the instruction was verified by a call-back according to a prearranged procedure.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SR6195 (12/93)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#8 (Continued)</w:t>
      </w:r>
    </w:p>
    <w:p>
      <w:pPr>
        <w:spacing w:after="0" w:line="16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this Insuring Agreement, Customer means an entity or individual which has a written agreement with the Insured authorizing the Insured to rely on Telefacsimile Device instructions to initiate transfers and has provided the Insured with the names of persons authorized to initiate such transfers, and with which the Insured has established an instruction verification mechanism, and Funds means Money on deposit in an account.</w:t>
      </w:r>
    </w:p>
    <w:p>
      <w:pPr>
        <w:spacing w:after="0" w:line="26" w:lineRule="exact"/>
        <w:rPr>
          <w:sz w:val="20"/>
          <w:szCs w:val="20"/>
          <w:color w:val="auto"/>
        </w:rPr>
      </w:pPr>
    </w:p>
    <w:p>
      <w:pPr>
        <w:ind w:left="46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addition to the Conditions and Limitations in the bond and Computer Systems Fraud Insuring Agreement rider, the following provisions are applicable to the Telefacsimile Transfer Fraud Insuring Agreement:</w:t>
      </w:r>
    </w:p>
    <w:p>
      <w:pPr>
        <w:spacing w:after="0" w:line="50" w:lineRule="exact"/>
        <w:rPr>
          <w:rFonts w:ascii="Arial" w:cs="Arial" w:eastAsia="Arial" w:hAnsi="Arial"/>
          <w:sz w:val="18"/>
          <w:szCs w:val="18"/>
          <w:color w:val="auto"/>
        </w:rPr>
      </w:pPr>
    </w:p>
    <w:p>
      <w:pPr>
        <w:ind w:left="460" w:right="500"/>
        <w:spacing w:after="0" w:line="268" w:lineRule="auto"/>
        <w:rPr>
          <w:rFonts w:ascii="Arial" w:cs="Arial" w:eastAsia="Arial" w:hAnsi="Arial"/>
          <w:sz w:val="18"/>
          <w:szCs w:val="18"/>
          <w:color w:val="auto"/>
        </w:rPr>
      </w:pPr>
      <w:r>
        <w:rPr>
          <w:rFonts w:ascii="Arial" w:cs="Arial" w:eastAsia="Arial" w:hAnsi="Arial"/>
          <w:sz w:val="18"/>
          <w:szCs w:val="18"/>
          <w:color w:val="auto"/>
        </w:rPr>
        <w:t>Telefacsimile Device means a machine capable of sending or receiving a duplicate image of a document by means of electronic impulses transmitted through a telephone line and which reproduces the duplicate image on paper.</w:t>
      </w:r>
    </w:p>
    <w:p>
      <w:pPr>
        <w:spacing w:after="0" w:line="50" w:lineRule="exact"/>
        <w:rPr>
          <w:rFonts w:ascii="Arial" w:cs="Arial" w:eastAsia="Arial" w:hAnsi="Arial"/>
          <w:sz w:val="18"/>
          <w:szCs w:val="18"/>
          <w:color w:val="auto"/>
        </w:rPr>
      </w:pPr>
    </w:p>
    <w:p>
      <w:pPr>
        <w:ind w:left="460" w:right="100"/>
        <w:spacing w:after="0" w:line="259" w:lineRule="auto"/>
        <w:rPr>
          <w:rFonts w:ascii="Arial" w:cs="Arial" w:eastAsia="Arial" w:hAnsi="Arial"/>
          <w:sz w:val="18"/>
          <w:szCs w:val="18"/>
          <w:color w:val="auto"/>
        </w:rPr>
      </w:pPr>
      <w:r>
        <w:rPr>
          <w:rFonts w:ascii="Arial" w:cs="Arial" w:eastAsia="Arial" w:hAnsi="Arial"/>
          <w:sz w:val="18"/>
          <w:szCs w:val="18"/>
          <w:color w:val="auto"/>
        </w:rPr>
        <w:t>This Insuring Agreement does not cover loss resulting directly or indirectly from the assumption of liability by the Insured by contract unless the liability arises from a loss covered by the Telefacsimile Transfer Fraud Insuring Agreement and would be imposed on the Insured regardless of the existence of the contract.</w:t>
      </w:r>
    </w:p>
    <w:p>
      <w:pPr>
        <w:spacing w:after="0" w:line="59" w:lineRule="exact"/>
        <w:rPr>
          <w:rFonts w:ascii="Arial" w:cs="Arial" w:eastAsia="Arial" w:hAnsi="Arial"/>
          <w:sz w:val="18"/>
          <w:szCs w:val="18"/>
          <w:color w:val="auto"/>
        </w:rPr>
      </w:pPr>
    </w:p>
    <w:p>
      <w:pPr>
        <w:ind w:left="460" w:right="220"/>
        <w:spacing w:after="0" w:line="268" w:lineRule="auto"/>
        <w:rPr>
          <w:rFonts w:ascii="Arial" w:cs="Arial" w:eastAsia="Arial" w:hAnsi="Arial"/>
          <w:sz w:val="18"/>
          <w:szCs w:val="18"/>
          <w:color w:val="auto"/>
        </w:rPr>
      </w:pPr>
      <w:r>
        <w:rPr>
          <w:rFonts w:ascii="Arial" w:cs="Arial" w:eastAsia="Arial" w:hAnsi="Arial"/>
          <w:sz w:val="18"/>
          <w:szCs w:val="18"/>
          <w:color w:val="auto"/>
        </w:rPr>
        <w:t>Proof of loss for claim under the Telefacsimile Transfer Fraud Insuring Agreement must include a copy of the document reproduced by the Telefacsimile Device.</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060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SR6195 (12/93)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37</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01-899-95-18</w:t>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80"/>
            <w:col w:w="10820"/>
          </w:cols>
          <w:pgMar w:left="240" w:top="280" w:right="239" w:bottom="1440" w:gutter="0" w:footer="0" w:header="0"/>
          <w:type w:val="continuous"/>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OMNIBUS WORDING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line="259"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Insured shall, while this bond is in force, establish any new funds other than by consolidation or merger with, purchase or acquisition of assets or liabilities of, another institution, such funds shall automatically be covered hereunder from the date of such establishment without the payment of additional premium for the remainder of the premium period.</w:t>
      </w:r>
    </w:p>
    <w:p>
      <w:pPr>
        <w:spacing w:after="0" w:line="59" w:lineRule="exact"/>
        <w:rPr>
          <w:rFonts w:ascii="Arial" w:cs="Arial" w:eastAsia="Arial" w:hAnsi="Arial"/>
          <w:sz w:val="18"/>
          <w:szCs w:val="18"/>
          <w:color w:val="auto"/>
        </w:rPr>
      </w:pPr>
    </w:p>
    <w:p>
      <w:pPr>
        <w:ind w:left="460" w:right="100" w:hanging="452"/>
        <w:spacing w:after="0" w:line="291"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the Insured shall, while this bond is in force, require an increase in limits to comply with SEC Reg. 17g-1, due to an increase in asset size of current funds insured under the bond or by the addition of new funds, the Insured shall notify the Underwriter of such required increase in limits within 30 days of such increase in asset size and the Insured shall be entitled to receive from the Underwriter within 15 days of the Underwriter’s receipt of such notice an offer for coverage hereunder for such increase in limits from the date of such increase in assets. Such coverage for increase in asset size shall be conditioned upon the Insured paying the Underwriter the required additional premium for such increase in limits, which additional premium shall be in amount determined in the sole and absolute discretion of the Underwriter.</w:t>
      </w:r>
    </w:p>
    <w:p>
      <w:pPr>
        <w:spacing w:after="0" w:line="39"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060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103011 (10/09)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38</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ENDORSEMENT #10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01-899-95-18</w:t>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80"/>
            <w:col w:w="10820"/>
          </w:cols>
          <w:pgMar w:left="240" w:top="280" w:right="239" w:bottom="1440" w:gutter="0" w:footer="0" w:header="0"/>
          <w:type w:val="continuous"/>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CLAIM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BY E-MAIL)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hereby understood and agreed as follows:</w:t>
      </w:r>
    </w:p>
    <w:p>
      <w:pPr>
        <w:spacing w:after="0" w:line="90" w:lineRule="exact"/>
        <w:rPr>
          <w:sz w:val="20"/>
          <w:szCs w:val="20"/>
          <w:color w:val="auto"/>
        </w:rPr>
      </w:pPr>
    </w:p>
    <w:p>
      <w:pPr>
        <w:ind w:left="460" w:right="6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Email Reporting of Claims: In addition to the postal address set forth for any Notice of Claim Reporting under this policy, such notice may also be given in writing pursuant to the policy’s other terms and conditions to the Insurer by email at the following email address: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c-claim@chartisinsurance.com</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Your email must reference the policy number for this policy. The date of the Insurer’s receipt of the emailed notice shall constitute the date of notice.</w:t>
      </w:r>
    </w:p>
    <w:p>
      <w:pPr>
        <w:spacing w:after="0" w:line="113"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In addition to Notice of Claim Reporting via email, notice may also be given to the Insurer by mailing such notice to: c-Claim for Financial Lines, Chartis, Financial Lines Claims, 175 Water Street, 9</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10038 or faxing such notice to (866) 227-1750.</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Definitions: For this endorsement only, the following definitions shall apply:</w:t>
      </w:r>
    </w:p>
    <w:p>
      <w:pPr>
        <w:spacing w:after="0" w:line="90" w:lineRule="exact"/>
        <w:rPr>
          <w:rFonts w:ascii="Arial" w:cs="Arial" w:eastAsia="Arial" w:hAnsi="Arial"/>
          <w:sz w:val="18"/>
          <w:szCs w:val="18"/>
          <w:color w:val="auto"/>
        </w:rPr>
      </w:pPr>
    </w:p>
    <w:p>
      <w:pPr>
        <w:ind w:left="900" w:right="740" w:hanging="446"/>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“Insurer” means the “Insurer,” “Underwriter” or “Company” or other name specifically ascribed in this policy as the insurance company or underwriter for this policy.</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“Notice of Claim Reporting” means “notice of claim/circumstance,” “notice of loss” or other reference in the policy designated for reporting of claims, loss or occurrences or situations that may give rise or result in loss under this policy.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“Policy” means the policy, bond or other insurance product to which this endorsement is attached.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99758 (08/08)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39</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#10 (Continued)</w:t>
      </w:r>
    </w:p>
    <w:p>
      <w:pPr>
        <w:spacing w:after="0" w:line="164"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endorsement does not apply to any Kidnap &amp; Ransom/Extortion Coverage Section, if any, provided by this policy.</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5060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99758 (08/08)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40</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2"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ENDORSEMENT #11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01-899-95-18</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INVESTMENT CORPORATION</w:t>
      </w:r>
    </w:p>
    <w:p>
      <w:pPr>
        <w:sectPr>
          <w:pgSz w:w="11900" w:h="16838" w:orient="portrait"/>
          <w:cols w:equalWidth="0" w:num="1">
            <w:col w:w="11420"/>
          </w:cols>
          <w:pgMar w:left="240" w:top="280"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80"/>
            <w:col w:w="10820"/>
          </w:cols>
          <w:pgMar w:left="240" w:top="280" w:right="239" w:bottom="1440" w:gutter="0" w:footer="0" w:header="0"/>
          <w:type w:val="continuous"/>
        </w:sectPr>
      </w:pPr>
    </w:p>
    <w:p>
      <w:pPr>
        <w:spacing w:after="0" w:line="1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COVERAGE TERRITORY ENDORSEMENT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17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Payment of loss under this policy shall only be made in full compliance with all United States of America economic or trade sanction laws or regulations, including, but not limited to, sanctions, laws and regulations administered and enforced by the U.S. Treasury Department’s Office of Foreign Assets Control (“OFAC”).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120015</wp:posOffset>
            </wp:positionV>
            <wp:extent cx="2898775" cy="5060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89644 (07/05)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THE FORMS AND RATES MUST MEET THE MINIMUM STANDARDS</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ENDORSEMENT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01-899-95-18</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INVESTMENT CORPORATION</w:t>
      </w:r>
    </w:p>
    <w:p>
      <w:pPr>
        <w:spacing w:after="0" w:line="21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National Union Fire Insurance Company of Pittsburgh, PA.</w:t>
      </w:r>
    </w:p>
    <w:p>
      <w:pPr>
        <w:spacing w:after="0" w:line="3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FORMS INDEX ENDORSEMENT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contents of the Policy is comprised of the following forms: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FORMS INDEX ENDORSEMENT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contents of the Policy is comprised of the following forms: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FORM NUMBER</w:t>
            </w:r>
          </w:p>
        </w:tc>
        <w:tc>
          <w:tcPr>
            <w:tcW w:w="340" w:type="dxa"/>
            <w:vAlign w:val="bottom"/>
          </w:tcPr>
          <w:p>
            <w:pPr>
              <w:spacing w:after="0"/>
              <w:rPr>
                <w:sz w:val="15"/>
                <w:szCs w:val="15"/>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EDITION DATE</w:t>
            </w:r>
          </w:p>
        </w:tc>
        <w:tc>
          <w:tcPr>
            <w:tcW w:w="340" w:type="dxa"/>
            <w:vAlign w:val="bottom"/>
          </w:tcPr>
          <w:p>
            <w:pPr>
              <w:spacing w:after="0"/>
              <w:rPr>
                <w:sz w:val="15"/>
                <w:szCs w:val="15"/>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FORM TITLE</w:t>
            </w:r>
          </w:p>
        </w:tc>
        <w:tc>
          <w:tcPr>
            <w:tcW w:w="4160" w:type="dxa"/>
            <w:vAlign w:val="bottom"/>
          </w:tcPr>
          <w:p>
            <w:pPr>
              <w:spacing w:after="0"/>
              <w:rPr>
                <w:sz w:val="15"/>
                <w:szCs w:val="15"/>
                <w:color w:val="auto"/>
              </w:rPr>
            </w:pPr>
          </w:p>
        </w:tc>
      </w:tr>
      <w:tr>
        <w:trPr>
          <w:trHeight w:val="209"/>
        </w:trPr>
        <w:tc>
          <w:tcPr>
            <w:tcW w:w="1080" w:type="dxa"/>
            <w:vAlign w:val="bottom"/>
          </w:tcPr>
          <w:p>
            <w:pPr>
              <w:spacing w:after="0" w:line="202" w:lineRule="exact"/>
              <w:rPr>
                <w:sz w:val="20"/>
                <w:szCs w:val="20"/>
                <w:color w:val="auto"/>
              </w:rPr>
            </w:pPr>
            <w:r>
              <w:rPr>
                <w:rFonts w:ascii="Arial" w:cs="Arial" w:eastAsia="Arial" w:hAnsi="Arial"/>
                <w:sz w:val="18"/>
                <w:szCs w:val="18"/>
                <w:color w:val="auto"/>
              </w:rPr>
              <w:t>41205</w:t>
            </w:r>
          </w:p>
        </w:tc>
        <w:tc>
          <w:tcPr>
            <w:tcW w:w="3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(04/95)</w:t>
            </w:r>
          </w:p>
        </w:tc>
        <w:tc>
          <w:tcPr>
            <w:tcW w:w="532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INVESTMENT COMPANY BLANKET BOND DEC PAGE</w:t>
            </w: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41206</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09/84</w:t>
            </w: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INVESTMENT COMPANY BLANKET BOND</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83231</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01/09</w:t>
            </w: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NEW YORK LAW 3420 AMENDATORY ENDORSEMENT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69898</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09/06</w:t>
            </w: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w w:val="94"/>
              </w:rPr>
              <w:t>NEW YORK AMENDATORY – CANCELLATION/NONRENEWAL</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COMPUTER SYSTEMS ENDORSEMENTS</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UNAUTHORIZED SIGNATURES</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AUTOMATED PHONE SYSTEM</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SR6187B</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12/93</w:t>
            </w: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VIT AMENDED</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AMENDED DEFINITION OF EMPLOYEE</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SR6195</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12/93</w:t>
            </w: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TELEFACSIMILE TRANSFER FRAUD</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103011</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10/09</w:t>
            </w: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OMNIBUS WORDING</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99758</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08/08</w:t>
            </w: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NOTICE OF CLAIM (REPORTING BY E-MAIL)</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89644</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07/05</w:t>
            </w: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COVERAGE TERRITORY ENDORSEMENT (OFAC)</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78859</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10/01</w:t>
            </w:r>
          </w:p>
        </w:tc>
        <w:tc>
          <w:tcPr>
            <w:tcW w:w="5320" w:type="dxa"/>
            <w:vAlign w:val="bottom"/>
            <w:gridSpan w:val="3"/>
          </w:tcPr>
          <w:p>
            <w:pPr>
              <w:ind w:left="340"/>
              <w:spacing w:after="0"/>
              <w:rPr>
                <w:sz w:val="20"/>
                <w:szCs w:val="20"/>
                <w:color w:val="auto"/>
              </w:rPr>
            </w:pPr>
            <w:r>
              <w:rPr>
                <w:rFonts w:ascii="Arial" w:cs="Arial" w:eastAsia="Arial" w:hAnsi="Arial"/>
                <w:sz w:val="18"/>
                <w:szCs w:val="18"/>
                <w:color w:val="auto"/>
              </w:rPr>
              <w:t>FORMS INDEX ENDORSEMENT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5060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78859 (10/01)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 OF 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UNDERSIGNED, the duly appointed Secretary of PennantPark Investment Corporation, a Maryland corporation (the “Corporation”), an 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“Directors”), including a majority of the Directors who are not “interested persons” of the Corporation, as defined in Section 2(a)(19) of the 1940 Act (the “Independent Directors”), on May 1, 2012 at a meeting of the Directors:</w:t>
      </w:r>
    </w:p>
    <w:p>
      <w:pPr>
        <w:spacing w:after="0" w:line="29" w:lineRule="exact"/>
        <w:rPr>
          <w:sz w:val="20"/>
          <w:szCs w:val="20"/>
          <w:color w:val="auto"/>
        </w:rPr>
      </w:pPr>
    </w:p>
    <w:p>
      <w:pPr>
        <w:ind w:left="920" w:right="180"/>
        <w:spacing w:after="0" w:line="33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at a meeting of the Directors, PennantPark Investment Advisers, LLC (the “Adviser”), PennantPark Investment Administration, LLC</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and PennantPark Floating Rate Ltd. (the “Meeting”) and after reviewing materials presented at the Meeting;</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NOW, THEREFORE, BE IT:</w:t>
      </w:r>
    </w:p>
    <w:p>
      <w:pPr>
        <w:spacing w:after="0" w:line="90" w:lineRule="exact"/>
        <w:rPr>
          <w:sz w:val="20"/>
          <w:szCs w:val="20"/>
          <w:color w:val="auto"/>
        </w:rPr>
      </w:pPr>
    </w:p>
    <w:p>
      <w:pPr>
        <w:ind w:left="920" w:right="120"/>
        <w:spacing w:after="0" w:line="25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Corporation, the Adviser and the Administrator each covered as an “Insured” under a joint fidelity bond (the “Bond”) having</w:t>
      </w:r>
      <w:r>
        <w:rPr>
          <w:rFonts w:ascii="Arial" w:cs="Arial" w:eastAsia="Arial" w:hAnsi="Arial"/>
          <w:sz w:val="18"/>
          <w:szCs w:val="18"/>
          <w:b w:val="1"/>
          <w:bCs w:val="1"/>
          <w:color w:val="auto"/>
        </w:rPr>
        <w:t xml:space="preserve"> </w:t>
      </w:r>
      <w:r>
        <w:rPr>
          <w:rFonts w:ascii="Arial" w:cs="Arial" w:eastAsia="Arial" w:hAnsi="Arial"/>
          <w:sz w:val="18"/>
          <w:szCs w:val="18"/>
          <w:color w:val="auto"/>
        </w:rPr>
        <w:t>an aggregate coverage of $5 million issued by National Union Fire Insurance Company of Pittsburgh, PA,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the 1940 Act;</w:t>
      </w:r>
    </w:p>
    <w:p>
      <w:pPr>
        <w:spacing w:after="0" w:line="58" w:lineRule="exact"/>
        <w:rPr>
          <w:sz w:val="20"/>
          <w:szCs w:val="20"/>
          <w:color w:val="auto"/>
        </w:rPr>
      </w:pPr>
    </w:p>
    <w:p>
      <w:pPr>
        <w:ind w:left="920" w:right="20"/>
        <w:spacing w:after="0" w:line="296"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proposed form and amount of the Bond considered at the Meeting be, and hereby are, approved after</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of all factors deemed relevant by the Directors, and separately approved by the Independent Directors, including, but not limited to, the amount of the Bond, the expected value of the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27"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payment by the Corporation of the premium for coverage under the Bond, in the amount described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and the 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including the Independent Directors, after having given due consideration to, among other things, the number of other parties insured under the Bond, the nature of the business activities of those other parties, the amount of the Bond and the extent to which the share of the premium allocated to the Corporation under the Bond is less than the premium the Corporation would have had to pay had it maintained a single insured bond;</w:t>
      </w:r>
    </w:p>
    <w:p>
      <w:pPr>
        <w:spacing w:after="0" w:line="32" w:lineRule="exact"/>
        <w:rPr>
          <w:sz w:val="20"/>
          <w:szCs w:val="20"/>
          <w:color w:val="auto"/>
        </w:rPr>
      </w:pPr>
    </w:p>
    <w:p>
      <w:pPr>
        <w:ind w:left="920" w:right="20"/>
        <w:spacing w:after="0" w:line="316" w:lineRule="auto"/>
        <w:rPr>
          <w:sz w:val="20"/>
          <w:szCs w:val="20"/>
          <w:color w:val="auto"/>
        </w:rPr>
      </w:pPr>
      <w:r>
        <w:rPr>
          <w:rFonts w:ascii="Arial" w:cs="Arial" w:eastAsia="Arial" w:hAnsi="Arial"/>
          <w:sz w:val="15"/>
          <w:szCs w:val="15"/>
          <w:b w:val="1"/>
          <w:bCs w:val="1"/>
          <w:color w:val="auto"/>
        </w:rPr>
        <w:t xml:space="preserve">FURTHER RESOLVED, </w:t>
      </w:r>
      <w:r>
        <w:rPr>
          <w:rFonts w:ascii="Arial" w:cs="Arial" w:eastAsia="Arial" w:hAnsi="Arial"/>
          <w:sz w:val="15"/>
          <w:szCs w:val="15"/>
          <w:color w:val="auto"/>
        </w:rPr>
        <w:t>that the proposed Joint Fidelity Bond Agreement among the Corporation, the Adviser and the Administrator, providing</w:t>
      </w:r>
      <w:r>
        <w:rPr>
          <w:rFonts w:ascii="Arial" w:cs="Arial" w:eastAsia="Arial" w:hAnsi="Arial"/>
          <w:sz w:val="15"/>
          <w:szCs w:val="15"/>
          <w:b w:val="1"/>
          <w:bCs w:val="1"/>
          <w:color w:val="auto"/>
        </w:rPr>
        <w:t xml:space="preserve"> </w:t>
      </w:r>
      <w:r>
        <w:rPr>
          <w:rFonts w:ascii="Arial" w:cs="Arial" w:eastAsia="Arial" w:hAnsi="Arial"/>
          <w:sz w:val="15"/>
          <w:szCs w:val="15"/>
          <w:color w:val="auto"/>
        </w:rPr>
        <w:t>that in the 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of the Corporation may determine to be necessary or desirable and proper, with the advice of Corporation counsel, the execution of said Joint Fidelity Bond Agreement by such officers to be conclusive evidence of such determination; and</w:t>
      </w:r>
    </w:p>
    <w:p>
      <w:pPr>
        <w:sectPr>
          <w:pgSz w:w="11900" w:h="16838" w:orient="portrait"/>
          <w:cols w:equalWidth="0" w:num="1">
            <w:col w:w="11420"/>
          </w:cols>
          <w:pgMar w:left="240" w:top="274" w:right="239" w:bottom="1440" w:gutter="0" w:footer="0" w:header="0"/>
        </w:sectPr>
      </w:pPr>
    </w:p>
    <w:bookmarkStart w:id="47" w:name="page48"/>
    <w:bookmarkEnd w:id="47"/>
    <w:p>
      <w:pPr>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FURTHER RESOLVED, </w:t>
      </w:r>
      <w:r>
        <w:rPr>
          <w:rFonts w:ascii="Arial" w:cs="Arial" w:eastAsia="Arial" w:hAnsi="Arial"/>
          <w:sz w:val="16"/>
          <w:szCs w:val="16"/>
          <w:color w:val="auto"/>
        </w:rPr>
        <w:t>that the Secretary of the Corporation be, and hereby is, designated as the party responsible for making the necessary</w:t>
      </w:r>
      <w:r>
        <w:rPr>
          <w:rFonts w:ascii="Arial" w:cs="Arial" w:eastAsia="Arial" w:hAnsi="Arial"/>
          <w:sz w:val="16"/>
          <w:szCs w:val="16"/>
          <w:b w:val="1"/>
          <w:bCs w:val="1"/>
          <w:color w:val="auto"/>
        </w:rPr>
        <w:t xml:space="preserve"> </w:t>
      </w:r>
      <w:r>
        <w:rPr>
          <w:rFonts w:ascii="Arial" w:cs="Arial" w:eastAsia="Arial" w:hAnsi="Arial"/>
          <w:sz w:val="16"/>
          <w:szCs w:val="16"/>
          <w:color w:val="auto"/>
        </w:rPr>
        <w:t>filings and giving the notices with respect to the Bond required by paragraph (g) of Rule 17g-1 under the 1940 Act.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as such officer of the Corporation this 8</w:t>
      </w:r>
      <w:r>
        <w:rPr>
          <w:rFonts w:ascii="Arial" w:cs="Arial" w:eastAsia="Arial" w:hAnsi="Arial"/>
          <w:sz w:val="11"/>
          <w:szCs w:val="11"/>
          <w:color w:val="auto"/>
        </w:rPr>
        <w:t>th</w:t>
      </w:r>
      <w:r>
        <w:rPr>
          <w:rFonts w:ascii="Arial" w:cs="Arial" w:eastAsia="Arial" w:hAnsi="Arial"/>
          <w:sz w:val="18"/>
          <w:szCs w:val="18"/>
          <w:color w:val="auto"/>
        </w:rPr>
        <w:t xml:space="preserve"> day of June, 2012</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080"/>
          </w:cols>
          <w:pgMar w:left="1160" w:top="274" w:right="6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JOINT FIDELITY BOND AGREEMENT is dated as of April 19, 2007 by and Between PennantPark Investment Corporation (the “Corporation”), a Maryland corporation, PennantPark Investment Advisers, LLC (the “Adviser”), a Delaware limited liability company, and PennantPark Investment Administration, LLC (the “Administrator”), a Delaware limited liability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the Corporation, the Adviser, and the Administrator are joint named insureds (each, an “Insured” and collectively, the “Insureds”) under a bond issued by Aon (the “Bond”);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WHEREAS, the Corporation is required to provide and maintain a fidelity bond pursuant to Rule 17g-1 under the Investment Company Act of 1940, as amended (the “1940 Act”);</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WHEREAS, Rule 17g-1 under the 1940 Act requires that the Insureds enter into an agreement with each other, containing certain provisions regarding the respective amounts to be received by them in the event recovery is received under the Bond as a result of a loss sustained by them; and</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this Agreement has been approved by the directors of the Corporation, including a majority of the directors who are not “interested persons” of the Corporation (as defined in the 1940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the parties hereto, in consideration of the premises and the mutual covenants contained herein, hereby agree as follows:</w:t>
      </w:r>
    </w:p>
    <w:p>
      <w:pPr>
        <w:spacing w:after="0" w:line="194" w:lineRule="exact"/>
        <w:rPr>
          <w:sz w:val="20"/>
          <w:szCs w:val="20"/>
          <w:color w:val="auto"/>
        </w:rPr>
      </w:pPr>
    </w:p>
    <w:p>
      <w:pPr>
        <w:ind w:firstLine="464"/>
        <w:spacing w:after="0" w:line="268" w:lineRule="auto"/>
        <w:tabs>
          <w:tab w:leader="none" w:pos="6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131" w:lineRule="exact"/>
        <w:rPr>
          <w:rFonts w:ascii="Arial" w:cs="Arial" w:eastAsia="Arial" w:hAnsi="Arial"/>
          <w:sz w:val="18"/>
          <w:szCs w:val="18"/>
          <w:color w:val="auto"/>
        </w:rPr>
      </w:pPr>
    </w:p>
    <w:p>
      <w:pPr>
        <w:ind w:left="640" w:hanging="185"/>
        <w:spacing w:after="0"/>
        <w:tabs>
          <w:tab w:leader="none" w:pos="6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the event recovery is received under the Bond as a result of a loss sustained by each Insured, each Insured shall receive an equitable and</w:t>
      </w:r>
    </w:p>
    <w:p>
      <w:pPr>
        <w:spacing w:after="0" w:line="38" w:lineRule="exact"/>
        <w:rPr>
          <w:sz w:val="20"/>
          <w:szCs w:val="20"/>
          <w:color w:val="auto"/>
        </w:rPr>
      </w:pPr>
    </w:p>
    <w:p>
      <w:pPr>
        <w:ind w:right="980"/>
        <w:spacing w:after="0" w:line="323" w:lineRule="auto"/>
        <w:rPr>
          <w:sz w:val="20"/>
          <w:szCs w:val="20"/>
          <w:color w:val="auto"/>
        </w:rPr>
      </w:pPr>
      <w:r>
        <w:rPr>
          <w:rFonts w:ascii="Arial" w:cs="Arial" w:eastAsia="Arial" w:hAnsi="Arial"/>
          <w:sz w:val="16"/>
          <w:szCs w:val="16"/>
          <w:color w:val="auto"/>
        </w:rPr>
        <w:t>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93" w:lineRule="exact"/>
        <w:rPr>
          <w:sz w:val="20"/>
          <w:szCs w:val="20"/>
          <w:color w:val="auto"/>
        </w:rPr>
      </w:pPr>
    </w:p>
    <w:p>
      <w:pPr>
        <w:ind w:firstLine="464"/>
        <w:spacing w:after="0" w:line="259"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This Agreement and the rights and duties hereunder shall not be assignable by any party hereto without written consent of the other party.</w:t>
      </w:r>
    </w:p>
    <w:p>
      <w:pPr>
        <w:spacing w:after="0" w:line="194" w:lineRule="exact"/>
        <w:rPr>
          <w:rFonts w:ascii="Arial" w:cs="Arial" w:eastAsia="Arial" w:hAnsi="Arial"/>
          <w:sz w:val="16"/>
          <w:szCs w:val="16"/>
          <w:color w:val="auto"/>
        </w:rPr>
      </w:pPr>
    </w:p>
    <w:p>
      <w:pPr>
        <w:ind w:right="500" w:firstLine="464"/>
        <w:spacing w:after="0" w:line="268"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74" w:right="239" w:bottom="1440" w:gutter="0" w:footer="0" w:header="0"/>
        </w:sectPr>
      </w:pPr>
    </w:p>
    <w:bookmarkStart w:id="49" w:name="page50"/>
    <w:bookmarkEnd w:id="49"/>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Agreement has been executed by the parties as of the date first set forth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Aviv Efrat</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1"/>
    </w:lvl>
  </w:abstractNum>
  <w:abstractNum w:abstractNumId="1">
    <w:nsid w:val="7644A45C"/>
    <w:multiLevelType w:val="hybridMultilevel"/>
    <w:lvl w:ilvl="0">
      <w:lvlJc w:val="left"/>
      <w:lvlText w:val="%1."/>
      <w:numFmt w:val="decimal"/>
      <w:start w:val="1"/>
    </w:lvl>
  </w:abstractNum>
  <w:abstractNum w:abstractNumId="2">
    <w:nsid w:val="32FFF902"/>
    <w:multiLevelType w:val="hybridMultilevel"/>
    <w:lvl w:ilvl="0">
      <w:lvlJc w:val="left"/>
      <w:lvlText w:val="%1"/>
      <w:numFmt w:val="upperLetter"/>
      <w:start w:val="1"/>
    </w:lvl>
    <w:lvl w:ilvl="1">
      <w:lvlJc w:val="left"/>
      <w:lvlText w:val="(%2)"/>
      <w:numFmt w:val="lowerLetter"/>
      <w:start w:val="1"/>
    </w:lvl>
  </w:abstractNum>
  <w:abstractNum w:abstractNumId="3">
    <w:nsid w:val="684A481A"/>
    <w:multiLevelType w:val="hybridMultilevel"/>
    <w:lvl w:ilvl="0">
      <w:lvlJc w:val="left"/>
      <w:lvlText w:val="(%1)"/>
      <w:numFmt w:val="upperLetter"/>
      <w:start w:val="2"/>
    </w:lvl>
    <w:lvl w:ilvl="1">
      <w:lvlJc w:val="left"/>
      <w:lvlText w:val="%2"/>
      <w:numFmt w:val="lowerLetter"/>
      <w:start w:val="1"/>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1"/>
      <w:numFmt w:val="upperLetter"/>
      <w:start w:val="1"/>
    </w:lvl>
    <w:lvl w:ilvl="1">
      <w:lvlJc w:val="left"/>
      <w:lvlText w:val="(%2)"/>
      <w:numFmt w:val="decimal"/>
      <w:start w:val="2"/>
    </w:lvl>
  </w:abstractNum>
  <w:abstractNum w:abstractNumId="6">
    <w:nsid w:val="3DC240FB"/>
    <w:multiLevelType w:val="hybridMultilevel"/>
    <w:lvl w:ilvl="0">
      <w:lvlJc w:val="left"/>
      <w:lvlText w:val="(%1)"/>
      <w:numFmt w:val="upperLetter"/>
      <w:start w:val="4"/>
    </w:lvl>
    <w:lvl w:ilvl="1">
      <w:lvlJc w:val="left"/>
      <w:lvlText w:val="%2"/>
      <w:numFmt w:val="decimal"/>
      <w:start w:val="1"/>
    </w:lvl>
  </w:abstractNum>
  <w:abstractNum w:abstractNumId="7">
    <w:nsid w:val="1BA026FA"/>
    <w:multiLevelType w:val="hybridMultilevel"/>
    <w:lvl w:ilvl="0">
      <w:lvlJc w:val="left"/>
      <w:lvlText w:val="(%1)"/>
      <w:numFmt w:val="decimal"/>
      <w:start w:val="1"/>
    </w:lvl>
  </w:abstractNum>
  <w:abstractNum w:abstractNumId="8">
    <w:nsid w:val="79A1DEAA"/>
    <w:multiLevelType w:val="hybridMultilevel"/>
    <w:lvl w:ilvl="0">
      <w:lvlJc w:val="left"/>
      <w:lvlText w:val="%1"/>
      <w:numFmt w:val="decimal"/>
      <w:start w:val="1"/>
    </w:lvl>
    <w:lvl w:ilvl="1">
      <w:lvlJc w:val="left"/>
      <w:lvlText w:val="(%2)"/>
      <w:numFmt w:val="lowerLetter"/>
      <w:start w:val="1"/>
    </w:lvl>
  </w:abstractNum>
  <w:abstractNum w:abstractNumId="9">
    <w:nsid w:val="75C6C33A"/>
    <w:multiLevelType w:val="hybridMultilevel"/>
    <w:lvl w:ilvl="0">
      <w:lvlJc w:val="left"/>
      <w:lvlText w:val="(%1)"/>
      <w:numFmt w:val="decimal"/>
      <w:start w:val="2"/>
    </w:lvl>
    <w:lvl w:ilvl="1">
      <w:lvlJc w:val="left"/>
      <w:lvlText w:val="%2"/>
      <w:numFmt w:val="lowerLetter"/>
      <w:start w:val="1"/>
    </w:lvl>
  </w:abstractNum>
  <w:abstractNum w:abstractNumId="10">
    <w:nsid w:val="12E685FB"/>
    <w:multiLevelType w:val="hybridMultilevel"/>
    <w:lvl w:ilvl="0">
      <w:lvlJc w:val="left"/>
      <w:lvlText w:val="(%1)"/>
      <w:numFmt w:val="upperLetter"/>
      <w:start w:val="9"/>
    </w:lvl>
  </w:abstractNum>
  <w:abstractNum w:abstractNumId="11">
    <w:nsid w:val="70C6A529"/>
    <w:multiLevelType w:val="hybridMultilevel"/>
    <w:lvl w:ilvl="0">
      <w:lvlJc w:val="left"/>
      <w:lvlText w:val="%1."/>
      <w:numFmt w:val="upperLetter"/>
      <w:start w:val="1"/>
    </w:lvl>
    <w:lvl w:ilvl="1">
      <w:lvlJc w:val="left"/>
      <w:lvlText w:val="%2."/>
      <w:numFmt w:val="decimal"/>
      <w:start w:val="1"/>
    </w:lvl>
  </w:abstractNum>
  <w:abstractNum w:abstractNumId="12">
    <w:nsid w:val="520EEDD1"/>
    <w:multiLevelType w:val="hybridMultilevel"/>
    <w:lvl w:ilvl="0">
      <w:lvlJc w:val="left"/>
      <w:lvlText w:val="%1."/>
      <w:numFmt w:val="upperLetter"/>
      <w:start w:val="2"/>
    </w:lvl>
  </w:abstractNum>
  <w:abstractNum w:abstractNumId="13">
    <w:nsid w:val="374A3FE6"/>
    <w:multiLevelType w:val="hybridMultilevel"/>
    <w:lvl w:ilvl="0">
      <w:lvlJc w:val="left"/>
      <w:lvlText w:val="%1."/>
      <w:numFmt w:val="upperLetter"/>
      <w:start w:val="3"/>
    </w:lvl>
  </w:abstractNum>
  <w:abstractNum w:abstractNumId="14">
    <w:nsid w:val="4F4EF005"/>
    <w:multiLevelType w:val="hybridMultilevel"/>
    <w:lvl w:ilvl="0">
      <w:lvlJc w:val="left"/>
      <w:lvlText w:val="(%1)"/>
      <w:numFmt w:val="decimal"/>
      <w:start w:val="1"/>
    </w:lvl>
  </w:abstractNum>
  <w:abstractNum w:abstractNumId="15">
    <w:nsid w:val="23F9C13C"/>
    <w:multiLevelType w:val="hybridMultilevel"/>
    <w:lvl w:ilvl="0">
      <w:lvlJc w:val="left"/>
      <w:lvlText w:val="(%1)"/>
      <w:numFmt w:val="decimal"/>
      <w:start w:val="3"/>
    </w:lvl>
  </w:abstractNum>
  <w:abstractNum w:abstractNumId="16">
    <w:nsid w:val="649BB77C"/>
    <w:multiLevelType w:val="hybridMultilevel"/>
    <w:lvl w:ilvl="0">
      <w:lvlJc w:val="left"/>
      <w:lvlText w:val="%1."/>
      <w:numFmt w:val="upperLetter"/>
      <w:start w:val="4"/>
    </w:lvl>
  </w:abstractNum>
  <w:abstractNum w:abstractNumId="17">
    <w:nsid w:val="275AC794"/>
    <w:multiLevelType w:val="hybridMultilevel"/>
    <w:lvl w:ilvl="0">
      <w:lvlJc w:val="left"/>
      <w:lvlText w:val="(%1)"/>
      <w:numFmt w:val="lowerLetter"/>
      <w:start w:val="1"/>
    </w:lvl>
    <w:lvl w:ilvl="1">
      <w:lvlJc w:val="left"/>
      <w:lvlText w:val="(%2)"/>
      <w:numFmt w:val="decimal"/>
      <w:start w:val="1"/>
    </w:lvl>
  </w:abstractNum>
  <w:abstractNum w:abstractNumId="18">
    <w:nsid w:val="39386575"/>
    <w:multiLevelType w:val="hybridMultilevel"/>
    <w:lvl w:ilvl="0">
      <w:lvlJc w:val="left"/>
      <w:lvlText w:val="(%1)"/>
      <w:numFmt w:val="decimal"/>
      <w:start w:val="7"/>
    </w:lvl>
    <w:lvl w:ilvl="1">
      <w:lvlJc w:val="left"/>
      <w:lvlText w:val="%2)"/>
      <w:numFmt w:val="lowerLetter"/>
      <w:start w:val="1"/>
    </w:lvl>
  </w:abstractNum>
  <w:abstractNum w:abstractNumId="19">
    <w:nsid w:val="1CF10FD8"/>
    <w:multiLevelType w:val="hybridMultilevel"/>
    <w:lvl w:ilvl="0">
      <w:lvlJc w:val="left"/>
      <w:lvlText w:val="(%1)"/>
      <w:numFmt w:val="lowerLetter"/>
      <w:start w:val="2"/>
    </w:lvl>
  </w:abstractNum>
  <w:abstractNum w:abstractNumId="20">
    <w:nsid w:val="180115BE"/>
    <w:multiLevelType w:val="hybridMultilevel"/>
    <w:lvl w:ilvl="0">
      <w:lvlJc w:val="left"/>
      <w:lvlText w:val="(%1)"/>
      <w:numFmt w:val="lowerLetter"/>
      <w:start w:val="3"/>
    </w:lvl>
  </w:abstractNum>
  <w:abstractNum w:abstractNumId="21">
    <w:nsid w:val="235BA861"/>
    <w:multiLevelType w:val="hybridMultilevel"/>
    <w:lvl w:ilvl="0">
      <w:lvlJc w:val="left"/>
      <w:lvlText w:val="(%1)"/>
      <w:numFmt w:val="lowerLetter"/>
      <w:start w:val="1"/>
    </w:lvl>
  </w:abstractNum>
  <w:abstractNum w:abstractNumId="22">
    <w:nsid w:val="47398C89"/>
    <w:multiLevelType w:val="hybridMultilevel"/>
    <w:lvl w:ilvl="0">
      <w:lvlJc w:val="left"/>
      <w:lvlText w:val="(%1)"/>
      <w:numFmt w:val="lowerLetter"/>
      <w:start w:val="3"/>
    </w:lvl>
    <w:lvl w:ilvl="1">
      <w:lvlJc w:val="left"/>
      <w:lvlText w:val="(%2)"/>
      <w:numFmt w:val="decimal"/>
      <w:start w:val="1"/>
    </w:lvl>
  </w:abstractNum>
  <w:abstractNum w:abstractNumId="23">
    <w:nsid w:val="354FE9F9"/>
    <w:multiLevelType w:val="hybridMultilevel"/>
    <w:lvl w:ilvl="0">
      <w:lvlJc w:val="left"/>
      <w:lvlText w:val="(%1)"/>
      <w:numFmt w:val="lowerLetter"/>
      <w:start w:val="7"/>
    </w:lvl>
    <w:lvl w:ilvl="1">
      <w:lvlJc w:val="left"/>
      <w:lvlText w:val="(%2)"/>
      <w:numFmt w:val="upperLetter"/>
      <w:start w:val="4"/>
    </w:lvl>
  </w:abstractNum>
  <w:abstractNum w:abstractNumId="24">
    <w:nsid w:val="15B5AF5C"/>
    <w:multiLevelType w:val="hybridMultilevel"/>
    <w:lvl w:ilvl="0">
      <w:lvlJc w:val="left"/>
      <w:lvlText w:val="%1"/>
      <w:numFmt w:val="lowerLetter"/>
      <w:start w:val="1"/>
    </w:lvl>
    <w:lvl w:ilvl="1">
      <w:lvlJc w:val="left"/>
      <w:lvlText w:val="(%2)."/>
      <w:numFmt w:val="upperLetter"/>
      <w:start w:val="9"/>
    </w:lvl>
  </w:abstractNum>
  <w:abstractNum w:abstractNumId="25">
    <w:nsid w:val="741226BB"/>
    <w:multiLevelType w:val="hybridMultilevel"/>
    <w:lvl w:ilvl="0">
      <w:lvlJc w:val="left"/>
      <w:lvlText w:val="(%1)"/>
      <w:numFmt w:val="lowerLetter"/>
      <w:start w:val="9"/>
    </w:lvl>
    <w:lvl w:ilvl="1">
      <w:lvlJc w:val="left"/>
      <w:lvlText w:val="%2"/>
      <w:numFmt w:val="upperLetter"/>
      <w:start w:val="1"/>
    </w:lvl>
  </w:abstractNum>
  <w:abstractNum w:abstractNumId="26">
    <w:nsid w:val="D34B6A8"/>
    <w:multiLevelType w:val="hybridMultilevel"/>
    <w:lvl w:ilvl="0">
      <w:lvlJc w:val="left"/>
      <w:lvlText w:val="%1"/>
      <w:numFmt w:val="lowerLetter"/>
      <w:start w:val="1"/>
    </w:lvl>
    <w:lvl w:ilvl="1">
      <w:lvlJc w:val="left"/>
      <w:lvlText w:val="(%2)"/>
      <w:numFmt w:val="decimal"/>
      <w:start w:val="1"/>
    </w:lvl>
  </w:abstractNum>
  <w:abstractNum w:abstractNumId="27">
    <w:nsid w:val="10233C99"/>
    <w:multiLevelType w:val="hybridMultilevel"/>
    <w:lvl w:ilvl="0">
      <w:lvlJc w:val="left"/>
      <w:lvlText w:val="(%1)"/>
      <w:numFmt w:val="lowerLetter"/>
      <w:start w:val="11"/>
    </w:lvl>
    <w:lvl w:ilvl="1">
      <w:lvlJc w:val="left"/>
      <w:lvlText w:val="%2"/>
      <w:numFmt w:val="decimal"/>
      <w:start w:val="1"/>
    </w:lvl>
  </w:abstractNum>
  <w:abstractNum w:abstractNumId="28">
    <w:nsid w:val="3F6AB60F"/>
    <w:multiLevelType w:val="hybridMultilevel"/>
    <w:lvl w:ilvl="0">
      <w:lvlJc w:val="left"/>
      <w:lvlText w:val="(%1)"/>
      <w:numFmt w:val="lowerLetter"/>
      <w:start w:val="12"/>
    </w:lvl>
  </w:abstractNum>
  <w:abstractNum w:abstractNumId="29">
    <w:nsid w:val="61574095"/>
    <w:multiLevelType w:val="hybridMultilevel"/>
    <w:lvl w:ilvl="0">
      <w:lvlJc w:val="left"/>
      <w:lvlText w:val="(%1)"/>
      <w:numFmt w:val="decimal"/>
      <w:start w:val="7"/>
    </w:lvl>
  </w:abstractNum>
  <w:abstractNum w:abstractNumId="30">
    <w:nsid w:val="7E0C57B1"/>
    <w:multiLevelType w:val="hybridMultilevel"/>
    <w:lvl w:ilvl="0">
      <w:lvlJc w:val="left"/>
      <w:lvlText w:val="(%1)"/>
      <w:numFmt w:val="lowerLetter"/>
      <w:start w:val="1"/>
    </w:lvl>
  </w:abstractNum>
  <w:abstractNum w:abstractNumId="31">
    <w:nsid w:val="77AE35EB"/>
    <w:multiLevelType w:val="hybridMultilevel"/>
    <w:lvl w:ilvl="0">
      <w:lvlJc w:val="left"/>
      <w:lvlText w:val="(%1)"/>
      <w:numFmt w:val="lowerLetter"/>
      <w:start w:val="1"/>
    </w:lvl>
  </w:abstractNum>
  <w:abstractNum w:abstractNumId="32">
    <w:nsid w:val="579BE4F1"/>
    <w:multiLevelType w:val="hybridMultilevel"/>
    <w:lvl w:ilvl="0">
      <w:lvlJc w:val="left"/>
      <w:lvlText w:val="(%1)"/>
      <w:numFmt w:val="lowerLetter"/>
      <w:start w:val="3"/>
    </w:lvl>
  </w:abstractNum>
  <w:abstractNum w:abstractNumId="33">
    <w:nsid w:val="310C50B3"/>
    <w:multiLevelType w:val="hybridMultilevel"/>
    <w:lvl w:ilvl="0">
      <w:lvlJc w:val="left"/>
      <w:lvlText w:val="(%1)"/>
      <w:numFmt w:val="lowerLetter"/>
      <w:start w:val="1"/>
    </w:lvl>
  </w:abstractNum>
  <w:abstractNum w:abstractNumId="34">
    <w:nsid w:val="5FF87E05"/>
    <w:multiLevelType w:val="hybridMultilevel"/>
    <w:lvl w:ilvl="0">
      <w:lvlJc w:val="left"/>
      <w:lvlText w:val="(%1)"/>
      <w:numFmt w:val="lowerLetter"/>
      <w:start w:val="2"/>
    </w:lvl>
  </w:abstractNum>
  <w:abstractNum w:abstractNumId="35">
    <w:nsid w:val="2F305DEF"/>
    <w:multiLevelType w:val="hybridMultilevel"/>
    <w:lvl w:ilvl="0">
      <w:lvlJc w:val="left"/>
      <w:lvlText w:val="(%1)"/>
      <w:numFmt w:val="lowerLetter"/>
      <w:start w:val="1"/>
    </w:lvl>
  </w:abstractNum>
  <w:abstractNum w:abstractNumId="36">
    <w:nsid w:val="25A70BF7"/>
    <w:multiLevelType w:val="hybridMultilevel"/>
    <w:lvl w:ilvl="0">
      <w:lvlJc w:val="left"/>
      <w:lvlText w:val="(%1)"/>
      <w:numFmt w:val="lowerLetter"/>
      <w:start w:val="1"/>
    </w:lvl>
  </w:abstractNum>
  <w:abstractNum w:abstractNumId="37">
    <w:nsid w:val="1DBABF00"/>
    <w:multiLevelType w:val="hybridMultilevel"/>
    <w:lvl w:ilvl="0">
      <w:lvlJc w:val="left"/>
      <w:lvlText w:val="(%1)"/>
      <w:numFmt w:val="lowerLetter"/>
      <w:start w:val="1"/>
    </w:lvl>
  </w:abstractNum>
  <w:abstractNum w:abstractNumId="38">
    <w:nsid w:val="4AD084E9"/>
    <w:multiLevelType w:val="hybridMultilevel"/>
    <w:lvl w:ilvl="0">
      <w:lvlJc w:val="left"/>
      <w:lvlText w:val="%1."/>
      <w:numFmt w:val="upperLetter"/>
      <w:start w:val="1"/>
    </w:lvl>
  </w:abstractNum>
  <w:abstractNum w:abstractNumId="39">
    <w:nsid w:val="1F48EAA1"/>
    <w:multiLevelType w:val="hybridMultilevel"/>
    <w:lvl w:ilvl="0">
      <w:lvlJc w:val="left"/>
      <w:lvlText w:val="(%1)"/>
      <w:numFmt w:val="lowerLetter"/>
      <w:start w:val="1"/>
    </w:lvl>
  </w:abstractNum>
  <w:abstractNum w:abstractNumId="40">
    <w:nsid w:val="1381823A"/>
    <w:multiLevelType w:val="hybridMultilevel"/>
    <w:lvl w:ilvl="0">
      <w:lvlJc w:val="left"/>
      <w:lvlText w:val="(%1)"/>
      <w:numFmt w:val="lowerLetter"/>
      <w:start w:val="1"/>
    </w:lvl>
  </w:abstractNum>
  <w:abstractNum w:abstractNumId="41">
    <w:nsid w:val="5DB70AE5"/>
    <w:multiLevelType w:val="hybridMultilevel"/>
    <w:lvl w:ilvl="0">
      <w:lvlJc w:val="left"/>
      <w:lvlText w:val="%1."/>
      <w:numFmt w:val="upperLetter"/>
      <w:start w:val="2"/>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1."/>
      <w:numFmt w:val="upperLetter"/>
      <w:start w:val="9"/>
    </w:lvl>
    <w:lvl w:ilvl="1">
      <w:lvlJc w:val="left"/>
      <w:lvlText w:val="(%2)"/>
      <w:numFmt w:val="lowerLetter"/>
      <w:start w:val="1"/>
    </w:lvl>
  </w:abstractNum>
  <w:abstractNum w:abstractNumId="44">
    <w:nsid w:val="15014ACB"/>
    <w:multiLevelType w:val="hybridMultilevel"/>
    <w:lvl w:ilvl="0">
      <w:lvlJc w:val="left"/>
      <w:lvlText w:val="(%1)"/>
      <w:numFmt w:val="lowerLetter"/>
      <w:start w:val="2"/>
    </w:lvl>
    <w:lvl w:ilvl="1">
      <w:lvlJc w:val="left"/>
      <w:lvlText w:val="(%2)"/>
      <w:numFmt w:val="lowerRoman"/>
      <w:start w:val="1"/>
    </w:lvl>
  </w:abstractNum>
  <w:abstractNum w:abstractNumId="45">
    <w:nsid w:val="5F5E7FD0"/>
    <w:multiLevelType w:val="hybridMultilevel"/>
    <w:lvl w:ilvl="0">
      <w:lvlJc w:val="left"/>
      <w:lvlText w:val="(%1)"/>
      <w:numFmt w:val="upperLetter"/>
      <w:start w:val="1"/>
    </w:lvl>
    <w:lvl w:ilvl="1">
      <w:lvlJc w:val="left"/>
      <w:lvlText w:val="(%2)"/>
      <w:numFmt w:val="decimal"/>
      <w:start w:val="1"/>
    </w:lvl>
  </w:abstractNum>
  <w:abstractNum w:abstractNumId="46">
    <w:nsid w:val="98A3148"/>
    <w:multiLevelType w:val="hybridMultilevel"/>
    <w:lvl w:ilvl="0">
      <w:lvlJc w:val="left"/>
      <w:lvlText w:val="(%1)"/>
      <w:numFmt w:val="decimal"/>
      <w:start w:val="2"/>
    </w:lvl>
  </w:abstractNum>
  <w:abstractNum w:abstractNumId="47">
    <w:nsid w:val="799D0247"/>
    <w:multiLevelType w:val="hybridMultilevel"/>
    <w:lvl w:ilvl="0">
      <w:lvlJc w:val="left"/>
      <w:lvlText w:val="(%1)"/>
      <w:numFmt w:val="upperLetter"/>
      <w:start w:val="1"/>
    </w:lvl>
    <w:lvl w:ilvl="1">
      <w:lvlJc w:val="left"/>
      <w:lvlText w:val="(%2)"/>
      <w:numFmt w:val="decimal"/>
      <w:start w:val="1"/>
    </w:lvl>
  </w:abstractNum>
  <w:abstractNum w:abstractNumId="48">
    <w:nsid w:val="6B94764"/>
    <w:multiLevelType w:val="hybridMultilevel"/>
    <w:lvl w:ilvl="0">
      <w:lvlJc w:val="left"/>
      <w:lvlText w:val="%1"/>
      <w:numFmt w:val="upperLetter"/>
      <w:start w:val="1"/>
    </w:lvl>
    <w:lvl w:ilvl="1">
      <w:lvlJc w:val="left"/>
      <w:lvlText w:val="%2"/>
      <w:numFmt w:val="decimal"/>
      <w:start w:val="1"/>
    </w:lvl>
    <w:lvl w:ilvl="2">
      <w:lvlJc w:val="left"/>
      <w:lvlText w:val="(%3)"/>
      <w:numFmt w:val="decimal"/>
      <w:start w:val="60"/>
    </w:lvl>
  </w:abstractNum>
  <w:abstractNum w:abstractNumId="49">
    <w:nsid w:val="42C296BD"/>
    <w:multiLevelType w:val="hybridMultilevel"/>
    <w:lvl w:ilvl="0">
      <w:lvlJc w:val="left"/>
      <w:lvlText w:val="%1"/>
      <w:numFmt w:val="upperLetter"/>
      <w:start w:val="1"/>
    </w:lvl>
    <w:lvl w:ilvl="1">
      <w:lvlJc w:val="left"/>
      <w:lvlText w:val="%2"/>
      <w:numFmt w:val="decimal"/>
      <w:start w:val="1"/>
    </w:lvl>
    <w:lvl w:ilvl="2">
      <w:lvlJc w:val="left"/>
      <w:lvlText w:val="(%3)"/>
      <w:numFmt w:val="decimal"/>
      <w:start w:val="10"/>
    </w:lvl>
  </w:abstractNum>
  <w:abstractNum w:abstractNumId="50">
    <w:nsid w:val="168E121F"/>
    <w:multiLevelType w:val="hybridMultilevel"/>
    <w:lvl w:ilvl="0">
      <w:lvlJc w:val="left"/>
      <w:lvlText w:val="(%1)"/>
      <w:numFmt w:val="upperLetter"/>
      <w:start w:val="2"/>
    </w:lvl>
    <w:lvl w:ilvl="1">
      <w:lvlJc w:val="left"/>
      <w:lvlText w:val="(%2)"/>
      <w:numFmt w:val="decimal"/>
      <w:start w:val="120"/>
    </w:lvl>
    <w:lvl w:ilvl="2">
      <w:lvlJc w:val="left"/>
      <w:lvlText w:val="%3"/>
      <w:numFmt w:val="decimal"/>
      <w:start w:val="1"/>
    </w:lvl>
  </w:abstractNum>
  <w:abstractNum w:abstractNumId="51">
    <w:nsid w:val="1EBA5D23"/>
    <w:multiLevelType w:val="hybridMultilevel"/>
    <w:lvl w:ilvl="0">
      <w:lvlJc w:val="left"/>
      <w:lvlText w:val="(%1)"/>
      <w:numFmt w:val="decimal"/>
      <w:start w:val="1"/>
    </w:lvl>
  </w:abstractNum>
  <w:abstractNum w:abstractNumId="52">
    <w:nsid w:val="661E3F1E"/>
    <w:multiLevelType w:val="hybridMultilevel"/>
    <w:lvl w:ilvl="0">
      <w:lvlJc w:val="left"/>
      <w:lvlText w:val="%1"/>
      <w:numFmt w:val="lowerRoman"/>
      <w:start w:val="1"/>
    </w:lvl>
    <w:lvl w:ilvl="1">
      <w:lvlJc w:val="left"/>
      <w:lvlText w:val="(%2)"/>
      <w:numFmt w:val="decimal"/>
      <w:start w:val="3"/>
    </w:lvl>
  </w:abstractNum>
  <w:abstractNum w:abstractNumId="53">
    <w:nsid w:val="5DC79EA8"/>
    <w:multiLevelType w:val="hybridMultilevel"/>
    <w:lvl w:ilvl="0">
      <w:lvlJc w:val="left"/>
      <w:lvlText w:val="%1)"/>
      <w:numFmt w:val="lowerRoman"/>
      <w:start w:val="4"/>
    </w:lvl>
    <w:lvl w:ilvl="1">
      <w:lvlJc w:val="left"/>
      <w:lvlText w:val="%2"/>
      <w:numFmt w:val="decimal"/>
      <w:start w:val="1"/>
    </w:lvl>
  </w:abstractNum>
  <w:abstractNum w:abstractNumId="54">
    <w:nsid w:val="540A471C"/>
    <w:multiLevelType w:val="hybridMultilevel"/>
    <w:lvl w:ilvl="0">
      <w:lvlJc w:val="left"/>
      <w:lvlText w:val="(%1)"/>
      <w:numFmt w:val="lowerRoman"/>
      <w:start w:val="5"/>
    </w:lvl>
  </w:abstractNum>
  <w:abstractNum w:abstractNumId="55">
    <w:nsid w:val="7BD3EE7B"/>
    <w:multiLevelType w:val="hybridMultilevel"/>
    <w:lvl w:ilvl="0">
      <w:lvlJc w:val="left"/>
      <w:lvlText w:val="%1."/>
      <w:numFmt w:val="decimal"/>
      <w:start w:val="1"/>
    </w:lvl>
  </w:abstractNum>
  <w:abstractNum w:abstractNumId="56">
    <w:nsid w:val="51D9C564"/>
    <w:multiLevelType w:val="hybridMultilevel"/>
    <w:lvl w:ilvl="0">
      <w:lvlJc w:val="left"/>
      <w:lvlText w:val="(%1)"/>
      <w:numFmt w:val="decimal"/>
      <w:start w:val="1"/>
    </w:lvl>
  </w:abstractNum>
  <w:abstractNum w:abstractNumId="57">
    <w:nsid w:val="613EFDC5"/>
    <w:multiLevelType w:val="hybridMultilevel"/>
    <w:lvl w:ilvl="0">
      <w:lvlJc w:val="left"/>
      <w:lvlText w:val="%1"/>
      <w:numFmt w:val="decimal"/>
      <w:start w:val="1"/>
    </w:lvl>
    <w:lvl w:ilvl="1">
      <w:lvlJc w:val="left"/>
      <w:lvlText w:val="(%2)"/>
      <w:numFmt w:val="lowerLetter"/>
      <w:start w:val="1"/>
    </w:lvl>
  </w:abstractNum>
  <w:abstractNum w:abstractNumId="58">
    <w:nsid w:val="BF72B14"/>
    <w:multiLevelType w:val="hybridMultilevel"/>
    <w:lvl w:ilvl="0">
      <w:lvlJc w:val="left"/>
      <w:lvlText w:val="(%1)"/>
      <w:numFmt w:val="decimal"/>
      <w:start w:val="3"/>
    </w:lvl>
    <w:lvl w:ilvl="1">
      <w:lvlJc w:val="left"/>
      <w:lvlText w:val="%2"/>
      <w:numFmt w:val="lowerLetter"/>
      <w:start w:val="1"/>
    </w:lvl>
  </w:abstractNum>
  <w:abstractNum w:abstractNumId="59">
    <w:nsid w:val="11447B73"/>
    <w:multiLevelType w:val="hybridMultilevel"/>
    <w:lvl w:ilvl="0">
      <w:lvlJc w:val="left"/>
      <w:lvlText w:val="(%1)"/>
      <w:numFmt w:val="lowerRoman"/>
      <w:start w:val="1"/>
    </w:lvl>
    <w:lvl w:ilvl="1">
      <w:lvlJc w:val="left"/>
      <w:lvlText w:val="(%2)"/>
      <w:numFmt w:val="lowerLetter"/>
      <w:start w:val="1"/>
    </w:lvl>
  </w:abstractNum>
  <w:abstractNum w:abstractNumId="60">
    <w:nsid w:val="42963E5A"/>
    <w:multiLevelType w:val="hybridMultilevel"/>
    <w:lvl w:ilvl="0">
      <w:lvlJc w:val="left"/>
      <w:lvlText w:val="(%1)"/>
      <w:numFmt w:val="decimal"/>
      <w:start w:val="4"/>
    </w:lvl>
  </w:abstractNum>
  <w:abstractNum w:abstractNumId="61">
    <w:nsid w:val="A0382C5"/>
    <w:multiLevelType w:val="hybridMultilevel"/>
    <w:lvl w:ilvl="0">
      <w:lvlJc w:val="left"/>
      <w:lvlText w:val="%1."/>
      <w:numFmt w:val="decimal"/>
      <w:start w:val="2"/>
    </w:lvl>
    <w:lvl w:ilvl="1">
      <w:lvlJc w:val="left"/>
      <w:lvlText w:val="(%2)"/>
      <w:numFmt w:val="lowerLetter"/>
      <w:start w:val="1"/>
    </w:lvl>
  </w:abstractNum>
  <w:abstractNum w:abstractNumId="62">
    <w:nsid w:val="8F2B15E"/>
    <w:multiLevelType w:val="hybridMultilevel"/>
    <w:lvl w:ilvl="0">
      <w:lvlJc w:val="left"/>
      <w:lvlText w:val="%1."/>
      <w:numFmt w:val="decimal"/>
      <w:start w:val="3"/>
    </w:lvl>
    <w:lvl w:ilvl="1">
      <w:lvlJc w:val="left"/>
      <w:lvlText w:val="(%2)"/>
      <w:numFmt w:val="lowerLetter"/>
      <w:start w:val="1"/>
    </w:lvl>
  </w:abstractNum>
  <w:abstractNum w:abstractNumId="63">
    <w:nsid w:val="1A32234B"/>
    <w:multiLevelType w:val="hybridMultilevel"/>
    <w:lvl w:ilvl="0">
      <w:lvlJc w:val="left"/>
      <w:lvlText w:val="%1."/>
      <w:numFmt w:val="decimal"/>
      <w:start w:val="4"/>
    </w:lvl>
    <w:lvl w:ilvl="1">
      <w:lvlJc w:val="left"/>
      <w:lvlText w:val="(%2)"/>
      <w:numFmt w:val="lowerLetter"/>
      <w:start w:val="1"/>
    </w:lvl>
  </w:abstractNum>
  <w:abstractNum w:abstractNumId="64">
    <w:nsid w:val="3B0FD379"/>
    <w:multiLevelType w:val="hybridMultilevel"/>
    <w:lvl w:ilvl="0">
      <w:lvlJc w:val="left"/>
      <w:lvlText w:val="%1."/>
      <w:numFmt w:val="decimal"/>
      <w:start w:val="8"/>
    </w:lvl>
  </w:abstractNum>
  <w:abstractNum w:abstractNumId="65">
    <w:nsid w:val="68EB2F63"/>
    <w:multiLevelType w:val="hybridMultilevel"/>
    <w:lvl w:ilvl="0">
      <w:lvlJc w:val="left"/>
      <w:lvlText w:val="%1."/>
      <w:numFmt w:val="decimal"/>
      <w:start w:val="9"/>
    </w:lvl>
  </w:abstractNum>
  <w:abstractNum w:abstractNumId="66">
    <w:nsid w:val="4962813B"/>
    <w:multiLevelType w:val="hybridMultilevel"/>
    <w:lvl w:ilvl="0">
      <w:lvlJc w:val="left"/>
      <w:lvlText w:val="%1."/>
      <w:numFmt w:val="decimal"/>
      <w:start w:val="1"/>
    </w:lvl>
  </w:abstractNum>
  <w:abstractNum w:abstractNumId="67">
    <w:nsid w:val="60B6DF70"/>
    <w:multiLevelType w:val="hybridMultilevel"/>
    <w:lvl w:ilvl="0">
      <w:lvlJc w:val="left"/>
      <w:lvlText w:val="%1."/>
      <w:numFmt w:val="decimal"/>
      <w:start w:val="1"/>
    </w:lvl>
  </w:abstractNum>
  <w:abstractNum w:abstractNumId="68">
    <w:nsid w:val="6A5EE64"/>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69">
    <w:nsid w:val="14330624"/>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1"/>
    </w:lvl>
  </w:abstractNum>
  <w:abstractNum w:abstractNumId="70">
    <w:nsid w:val="7FFFCA11"/>
    <w:multiLevelType w:val="hybridMultilevel"/>
    <w:lvl w:ilvl="0">
      <w:lvlJc w:val="left"/>
      <w:lvlText w:val="%1"/>
      <w:numFmt w:val="decimal"/>
      <w:start w:val="1"/>
    </w:lvl>
    <w:lvl w:ilvl="1">
      <w:lvlJc w:val="left"/>
      <w:lvlText w:val="(%2)"/>
      <w:numFmt w:val="lowerLetter"/>
      <w:start w:val="2"/>
    </w:lvl>
  </w:abstractNum>
  <w:abstractNum w:abstractNumId="71">
    <w:nsid w:val="1A27709E"/>
    <w:multiLevelType w:val="hybridMultilevel"/>
    <w:lvl w:ilvl="0">
      <w:lvlJc w:val="left"/>
      <w:lvlText w:val="(%1)"/>
      <w:numFmt w:val="decimal"/>
      <w:start w:val="3"/>
    </w:lvl>
    <w:lvl w:ilvl="1">
      <w:lvlJc w:val="left"/>
      <w:lvlText w:val="%2"/>
      <w:numFmt w:val="lowerLetter"/>
      <w:start w:val="1"/>
    </w:lvl>
  </w:abstractNum>
  <w:abstractNum w:abstractNumId="72">
    <w:nsid w:val="71EA110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73">
    <w:nsid w:val="100F59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lvl w:ilvl="3">
      <w:lvlJc w:val="left"/>
      <w:lvlText w:val="%4"/>
      <w:numFmt w:val="lowerLetter"/>
      <w:start w:val="1"/>
    </w:lvl>
  </w:abstractNum>
  <w:abstractNum w:abstractNumId="74">
    <w:nsid w:val="7FB7E0AA"/>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lowerLetter"/>
      <w:start w:val="9"/>
    </w:lvl>
  </w:abstractNum>
  <w:abstractNum w:abstractNumId="75">
    <w:nsid w:val="6EB5BD4"/>
    <w:multiLevelType w:val="hybridMultilevel"/>
    <w:lvl w:ilvl="0">
      <w:lvlJc w:val="left"/>
      <w:lvlText w:val="%1"/>
      <w:numFmt w:val="decimal"/>
      <w:start w:val="1"/>
    </w:lvl>
    <w:lvl w:ilvl="1">
      <w:lvlJc w:val="left"/>
      <w:lvlText w:val="(%2)"/>
      <w:numFmt w:val="lowerRoman"/>
      <w:start w:val="2"/>
    </w:lvl>
  </w:abstractNum>
  <w:abstractNum w:abstractNumId="76">
    <w:nsid w:val="6F6DD9AC"/>
    <w:multiLevelType w:val="hybridMultilevel"/>
    <w:lvl w:ilvl="0">
      <w:lvlJc w:val="left"/>
      <w:lvlText w:val="(%1)"/>
      <w:numFmt w:val="decimal"/>
      <w:start w:val="2"/>
    </w:lvl>
    <w:lvl w:ilvl="1">
      <w:lvlJc w:val="left"/>
      <w:lvlText w:val="%2"/>
      <w:numFmt w:val="lowerRoman"/>
      <w:start w:val="1"/>
    </w:lvl>
  </w:abstractNum>
  <w:abstractNum w:abstractNumId="77">
    <w:nsid w:val="94211F2"/>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78">
    <w:nsid w:val="885E1B"/>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79">
    <w:nsid w:val="76272110"/>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abstractNum>
  <w:abstractNum w:abstractNumId="80">
    <w:nsid w:val="4C04A8AF"/>
    <w:multiLevelType w:val="hybridMultilevel"/>
    <w:lvl w:ilvl="0">
      <w:lvlJc w:val="left"/>
      <w:lvlText w:val="%1."/>
      <w:numFmt w:val="decimal"/>
      <w:start w:val="1"/>
    </w:lvl>
  </w:abstractNum>
  <w:abstractNum w:abstractNumId="81">
    <w:nsid w:val="171670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2">
    <w:nsid w:val="14E17E33"/>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83">
    <w:nsid w:val="3222E7CD"/>
    <w:multiLevelType w:val="hybridMultilevel"/>
    <w:lvl w:ilvl="0">
      <w:lvlJc w:val="left"/>
      <w:lvlText w:val="%1."/>
      <w:numFmt w:val="decimal"/>
      <w:start w:val="3"/>
    </w:lvl>
    <w:lvl w:ilvl="1">
      <w:lvlJc w:val="left"/>
      <w:lvlText w:val="%2."/>
      <w:numFmt w:val="decimal"/>
      <w:start w:val="3"/>
    </w:lvl>
    <w:lvl w:ilvl="2">
      <w:lvlJc w:val="left"/>
      <w:lvlText w:val="(%3)"/>
      <w:numFmt w:val="decimal"/>
      <w:start w:val="5"/>
    </w:lvl>
  </w:abstractNum>
  <w:abstractNum w:abstractNumId="84">
    <w:nsid w:val="74DE0EE3"/>
    <w:multiLevelType w:val="hybridMultilevel"/>
    <w:lvl w:ilvl="0">
      <w:lvlJc w:val="left"/>
      <w:lvlText w:val="%1."/>
      <w:numFmt w:val="decimal"/>
      <w:start w:val="1"/>
    </w:lvl>
    <w:lvl w:ilvl="1">
      <w:lvlJc w:val="left"/>
      <w:lvlText w:val="(%2)"/>
      <w:numFmt w:val="decimal"/>
      <w:start w:val="10"/>
    </w:lvl>
  </w:abstractNum>
  <w:abstractNum w:abstractNumId="85">
    <w:nsid w:val="68EBC550"/>
    <w:multiLevelType w:val="hybridMultilevel"/>
    <w:lvl w:ilvl="0">
      <w:lvlJc w:val="left"/>
      <w:lvlText w:val="%1."/>
      <w:numFmt w:val="decimal"/>
      <w:start w:val="1"/>
    </w:lvl>
  </w:abstractNum>
  <w:abstractNum w:abstractNumId="86">
    <w:nsid w:val="2DF6D648"/>
    <w:multiLevelType w:val="hybridMultilevel"/>
    <w:lvl w:ilvl="0">
      <w:lvlJc w:val="left"/>
      <w:lvlText w:val="(%1)"/>
      <w:numFmt w:val="decimal"/>
      <w:start w:val="1"/>
    </w:lvl>
    <w:lvl w:ilvl="1">
      <w:lvlJc w:val="left"/>
      <w:lvlText w:val="(%2)"/>
      <w:numFmt w:val="lowerLetter"/>
      <w:start w:val="1"/>
    </w:lvl>
  </w:abstractNum>
  <w:abstractNum w:abstractNumId="87">
    <w:nsid w:val="46B7D447"/>
    <w:multiLevelType w:val="hybridMultilevel"/>
    <w:lvl w:ilvl="0">
      <w:lvlJc w:val="left"/>
      <w:lvlText w:val="(%1)"/>
      <w:numFmt w:val="decimal"/>
      <w:start w:val="2"/>
    </w:lvl>
  </w:abstractNum>
  <w:abstractNum w:abstractNumId="88">
    <w:nsid w:val="4A2AC315"/>
    <w:multiLevelType w:val="hybridMultilevel"/>
    <w:lvl w:ilvl="0">
      <w:lvlJc w:val="left"/>
      <w:lvlText w:val="%1."/>
      <w:numFmt w:val="decimal"/>
      <w:start w:val="2"/>
    </w:lvl>
  </w:abstractNum>
  <w:abstractNum w:abstractNumId="89">
    <w:nsid w:val="39EE015C"/>
    <w:multiLevelType w:val="hybridMultilevel"/>
    <w:lvl w:ilvl="0">
      <w:lvlJc w:val="left"/>
      <w:lvlText w:val="%1."/>
      <w:numFmt w:val="decimal"/>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3"/>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2019-12-09T18:11:18Z</dcterms:created>
  <dcterms:modified xsi:type="dcterms:W3CDTF">2019-12-09T18:11:18Z</dcterms:modified>
</cp:coreProperties>
</file>