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528646d8k.htm"/>
      <w:bookmarkStart w:id="1" w:name="ksd52864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September 1, 2026 </w:t>
      </w:r>
    </w:p>
    <w:p>
      <w:pPr>
        <w:pStyle w:val="TextBody"/>
        <w:bidi w:val="0"/>
        <w:spacing w:before="0" w:after="0"/>
        <w:jc w:val="center"/>
        <w:rPr>
          <w:rFonts w:ascii="Times New Roman" w:hAnsi="Times New Roman"/>
          <w:b/>
          <w:sz w:val="24"/>
        </w:rPr>
      </w:pPr>
      <w:r>
        <w:rPr>
          <w:rFonts w:ascii="Times New Roman" w:hAnsi="Times New Roman"/>
          <w:b/>
          <w:sz w:val="24"/>
        </w:rPr>
        <w:t xml:space="preserve">(Date of earliest event reported)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PennantPark Investment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60" w:type="dxa"/>
        <w:jc w:val="left"/>
        <w:tblInd w:w="0" w:type="dxa"/>
        <w:tblLayout w:type="fixed"/>
        <w:tblCellMar>
          <w:top w:w="0" w:type="dxa"/>
          <w:left w:w="0" w:type="dxa"/>
          <w:bottom w:w="0" w:type="dxa"/>
          <w:right w:w="0" w:type="dxa"/>
        </w:tblCellMar>
      </w:tblPr>
      <w:tblGrid>
        <w:gridCol w:w="1985"/>
        <w:gridCol w:w="60"/>
        <w:gridCol w:w="1055"/>
        <w:gridCol w:w="60"/>
        <w:gridCol w:w="170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0"/>
              <w:jc w:val="center"/>
              <w:rPr>
                <w:b/>
                <w:spacing w:val="0"/>
              </w:rPr>
            </w:pPr>
            <w:r>
              <w:rPr>
                <w:b/>
                <w:spacing w:val="0"/>
              </w:rPr>
              <w:t>Maryland</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spacing w:val="0"/>
              </w:rPr>
            </w:pPr>
            <w:r>
              <w:rPr>
                <w:b/>
                <w:spacing w:val="0"/>
              </w:rPr>
              <w:t>814-00736</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b/>
                <w:spacing w:val="0"/>
              </w:rPr>
            </w:pPr>
            <w:r>
              <w:rPr>
                <w:b/>
                <w:spacing w:val="0"/>
              </w:rPr>
              <w:t>20-8250744</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b/>
                <w:spacing w:val="0"/>
              </w:rPr>
            </w:pPr>
            <w:r>
              <w:rPr>
                <w:b/>
                <w:spacing w:val="0"/>
              </w:rPr>
              <w:t>1691 Michigan Avenue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b/>
                <w:spacing w:val="0"/>
              </w:rPr>
            </w:pPr>
            <w:r>
              <w:rPr>
                <w:b/>
                <w:spacing w:val="0"/>
              </w:rPr>
              <w:t>Miami Beach, Florida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spacing w:val="0"/>
              </w:rPr>
            </w:pPr>
            <w:r>
              <w:rPr>
                <w:b/>
                <w:spacing w:val="0"/>
              </w:rPr>
              <w:t>33139</w:t>
            </w:r>
          </w:p>
        </w:tc>
      </w:tr>
      <w:tr>
        <w:trPr/>
        <w:tc>
          <w:tcPr>
            <w:tcW w:w="3935" w:type="dxa"/>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(786)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297-9500</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24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(see General Instructions A.2. below):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8100" w:type="dxa"/>
        <w:jc w:val="left"/>
        <w:tblInd w:w="0" w:type="dxa"/>
        <w:tblLayout w:type="fixed"/>
        <w:tblCellMar>
          <w:top w:w="0" w:type="dxa"/>
          <w:left w:w="0" w:type="dxa"/>
          <w:bottom w:w="0" w:type="dxa"/>
          <w:right w:w="0" w:type="dxa"/>
        </w:tblCellMar>
      </w:tblPr>
      <w:tblGrid>
        <w:gridCol w:w="4145"/>
        <w:gridCol w:w="60"/>
        <w:gridCol w:w="740"/>
        <w:gridCol w:w="60"/>
        <w:gridCol w:w="309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PNNT</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or Rule </w:t>
      </w:r>
    </w:p>
    <w:p>
      <w:pPr>
        <w:pStyle w:val="TextBody"/>
        <w:bidi w:val="0"/>
        <w:spacing w:before="240" w:after="0"/>
        <w:jc w:val="left"/>
        <w:rPr>
          <w:rFonts w:ascii="Times New Roman" w:hAnsi="Times New Roman"/>
          <w:sz w:val="20"/>
        </w:rPr>
      </w:pPr>
      <w:r>
        <w:rPr>
          <w:rFonts w:ascii="Times New Roman" w:hAnsi="Times New Roman"/>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w:t>
      </w:r>
    </w:p>
    <w:p>
      <w:pPr>
        <w:pStyle w:val="TextBody"/>
        <w:bidi w:val="0"/>
        <w:spacing w:before="24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 Entry into a Material Definitive Agreement. </w:t>
      </w:r>
    </w:p>
    <w:p>
      <w:pPr>
        <w:pStyle w:val="TextBody"/>
        <w:bidi w:val="0"/>
        <w:spacing w:before="120" w:after="0"/>
        <w:jc w:val="left"/>
        <w:rPr>
          <w:rFonts w:ascii="Times New Roman" w:hAnsi="Times New Roman"/>
          <w:sz w:val="20"/>
        </w:rPr>
      </w:pPr>
      <w:r>
        <w:rPr>
          <w:rFonts w:ascii="Times New Roman" w:hAnsi="Times New Roman"/>
          <w:sz w:val="20"/>
        </w:rPr>
        <w:t xml:space="preserve">On September 1, 2026, PennantPark Investment Corporation (the “Company”) entered into a Note Purchase Agreement (the “Note Purchase Agreement”) governing the issuance of (i) $62,000,000 in aggregate principal amount of 8.00% Senior Unsecured Notes due September 1, 2031 (the “2031 Notes”) and (ii) $2,000,000 in aggregate principal amount of 7.25% Senior Unsecured Notes due September 30, 2029 (the “2029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Notes-2”</w:t>
      </w:r>
    </w:p>
    <w:p>
      <w:pPr>
        <w:pStyle w:val="TextBody"/>
        <w:bidi w:val="0"/>
        <w:spacing w:before="120" w:after="0"/>
        <w:jc w:val="left"/>
        <w:rPr>
          <w:rFonts w:ascii="Times New Roman" w:hAnsi="Times New Roman"/>
          <w:sz w:val="20"/>
        </w:rPr>
      </w:pPr>
      <w:r>
        <w:rPr>
          <w:rFonts w:ascii="Times New Roman" w:hAnsi="Times New Roman"/>
          <w:sz w:val="20"/>
        </w:rPr>
        <w:t xml:space="preserve">and, together with the 2031 Notes, the “Notes”), to qualified institutional investors (the “Investors”) in a private placement (the “Private Placement”). </w:t>
      </w:r>
    </w:p>
    <w:p>
      <w:pPr>
        <w:pStyle w:val="TextBody"/>
        <w:bidi w:val="0"/>
        <w:spacing w:before="240" w:after="0"/>
        <w:jc w:val="left"/>
        <w:rPr>
          <w:rFonts w:ascii="Times New Roman" w:hAnsi="Times New Roman"/>
          <w:sz w:val="20"/>
        </w:rPr>
      </w:pPr>
      <w:r>
        <w:rPr>
          <w:rFonts w:ascii="Times New Roman" w:hAnsi="Times New Roman"/>
          <w:sz w:val="20"/>
        </w:rPr>
        <w:t xml:space="preserve">Interest on the 2031 Notes will be due semi-annually on the 1st day of March and September each year, beginning on March 1, 2027. Interest on the 2029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Notes-2</w:t>
      </w:r>
    </w:p>
    <w:p>
      <w:pPr>
        <w:pStyle w:val="TextBody"/>
        <w:bidi w:val="0"/>
        <w:spacing w:before="240" w:after="0"/>
        <w:jc w:val="left"/>
        <w:rPr>
          <w:rFonts w:ascii="Times New Roman" w:hAnsi="Times New Roman"/>
          <w:sz w:val="20"/>
        </w:rPr>
      </w:pPr>
      <w:r>
        <w:rPr>
          <w:rFonts w:ascii="Times New Roman" w:hAnsi="Times New Roman"/>
          <w:sz w:val="20"/>
        </w:rPr>
        <w:t xml:space="preserve">will be due semi-annually on the 30th day of March and September each year, beginning on March 30, 2027. The Company may redeem the Notes, in whole or in part, at any time at its option, as follows: (i) the 2031 Notes may be redeemed prior to September 1, 2028 at 100% of the principal amount redeemed plus a customary make-whole premium plus accrued and unpaid interest to the redemption date, and on or after September 1, 2028, at a fixed redemption price of 101% of the principal amount redeemed, plus accrued and unpaid interest to the redemption date; and (ii) the 2029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Notes-2</w:t>
      </w:r>
    </w:p>
    <w:p>
      <w:pPr>
        <w:pStyle w:val="TextBody"/>
        <w:bidi w:val="0"/>
        <w:spacing w:before="240" w:after="0"/>
        <w:jc w:val="left"/>
        <w:rPr>
          <w:rFonts w:ascii="Times New Roman" w:hAnsi="Times New Roman"/>
          <w:sz w:val="20"/>
        </w:rPr>
      </w:pPr>
      <w:r>
        <w:rPr>
          <w:rFonts w:ascii="Times New Roman" w:hAnsi="Times New Roman"/>
          <w:sz w:val="20"/>
        </w:rPr>
        <w:t xml:space="preserve">may be redeemed at any time at 100% of the principal amount redeemed plus a customary make-whole premium plus accrued and unpaid interest to the redemption date. In addition, if certain change of control events occur, the Company is obligated to offer to prepay the Notes at 100% of the principal amount, plus accrued and unpaid interest to, but excluding, the prepayment date, without any make-whole or other prepayment premium. The Notes are general unsecured obligations of the Company that rank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pari passu</w:t>
      </w:r>
    </w:p>
    <w:p>
      <w:pPr>
        <w:pStyle w:val="TextBody"/>
        <w:bidi w:val="0"/>
        <w:spacing w:before="240" w:after="0"/>
        <w:jc w:val="left"/>
        <w:rPr>
          <w:rFonts w:ascii="Times New Roman" w:hAnsi="Times New Roman"/>
          <w:sz w:val="20"/>
        </w:rPr>
      </w:pPr>
      <w:r>
        <w:rPr>
          <w:rFonts w:ascii="Times New Roman" w:hAnsi="Times New Roman"/>
          <w:sz w:val="20"/>
        </w:rPr>
        <w:t xml:space="preserve">with all outstanding and future unsecured unsubordinated indebtedness issued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Note Purchase Agreement contains customary terms and conditions for senior unsecured notes issued in a private placement, including, without limitation, affirmative and negative covenants such as information reporting, and a minimum asset coverage ratio of 1.50 to 1.00. </w:t>
      </w:r>
    </w:p>
    <w:p>
      <w:pPr>
        <w:pStyle w:val="TextBody"/>
        <w:bidi w:val="0"/>
        <w:spacing w:before="240" w:after="0"/>
        <w:jc w:val="left"/>
        <w:rPr>
          <w:rFonts w:ascii="Times New Roman" w:hAnsi="Times New Roman"/>
          <w:sz w:val="20"/>
        </w:rPr>
      </w:pPr>
      <w:r>
        <w:rPr>
          <w:rFonts w:ascii="Times New Roman" w:hAnsi="Times New Roman"/>
          <w:sz w:val="20"/>
        </w:rPr>
        <w:t xml:space="preserve">The Note Purchase Agreement also contains customary events of default with customary cure and notice periods, including, without limitation, nonpayment, incorrect representation in any material respect, breach of covenant, certain judgments and orders and certain events of bankruptcy.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Private Placement, the Company entered into (i) a Registration Rights Agreement, dated as of September 1, 2026 (the “2031 Notes Registration Rights Agreement”), with certain of the Investors, and (ii) a Registration Rights Agreement, dated as of September 1, 2026 (the “2029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Notes-2</w:t>
      </w:r>
    </w:p>
    <w:p>
      <w:pPr>
        <w:pStyle w:val="TextBody"/>
        <w:bidi w:val="0"/>
        <w:spacing w:before="240" w:after="0"/>
        <w:jc w:val="left"/>
        <w:rPr>
          <w:rFonts w:ascii="Times New Roman" w:hAnsi="Times New Roman"/>
          <w:sz w:val="20"/>
        </w:rPr>
      </w:pPr>
      <w:r>
        <w:rPr>
          <w:rFonts w:ascii="Times New Roman" w:hAnsi="Times New Roman"/>
          <w:sz w:val="20"/>
        </w:rPr>
        <w:t xml:space="preserve">Registration Rights Agreement” and, together with the 2031 Notes Registration Rights Agreement, the “Registration Rights Agreements”), with certain of the Investors. Pursuant to the Registration Rights Agreements, the Company is obligated to file with the Securities and Exchange Commission a registration statement with respect to an offer to exchange the Notes, in each case, for a new issue of applicable debt securities registered under the Securities Act of 1933, as amended (the “Securities Act”), with terms substantially identical to those of the Notes, in each case, (except for provisions relating to transfer restrictions and payment of additional interest) and to use its commercially reasonable efforts to consummate such exchange offer on the earliest practicable date after the registration statement has been declared effective but in no event later than 365 days after the initial issuance of the Notes. If the Company is not able to effect the exchange offer, the Company will be obligated to file a registration statement covering the resale of the Notes and use its commercially reasonable efforts to cause such registration statement to be declared effective. If the Company fails to satisfy its registration obligations by the dates specified in the Registration Rights Agreements, the interest rate on the affected Notes will increase by 0.25% per annum for the first 90 days following such failure and by an additional 0.25% per annum thereafter, up to a maximum of 0.50% per annum of additional interest, until the failure is cured.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descriptions above are only summaries of the material provisions of the Note Purchase Agreement and each of the Registration Rights Agreements, respectively, and are qualified in their entirety by reference to the copies of the Note Purchase Agreement and the Registration Rights Agreements, which are filed as Exhibit 10.1, Exhibit 10.2 and Exhibit 10.3, respectively, to this current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and are, in each case, incorporated herein by reference thereto. </w:t>
      </w:r>
    </w:p>
    <w:p>
      <w:pPr>
        <w:pStyle w:val="TextBody"/>
        <w:bidi w:val="0"/>
        <w:spacing w:before="360" w:after="0"/>
        <w:jc w:val="left"/>
        <w:rPr>
          <w:rFonts w:ascii="Times New Roman" w:hAnsi="Times New Roman"/>
          <w:b/>
          <w:sz w:val="20"/>
        </w:rPr>
      </w:pPr>
      <w:r>
        <w:rPr>
          <w:rFonts w:ascii="Times New Roman" w:hAnsi="Times New Roman"/>
          <w:b/>
          <w:sz w:val="20"/>
        </w:rPr>
        <w:t xml:space="preserve">Item 2.03 - Creation of a Direct Financial Obligation.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under Item 1.01 above is incorporated by reference into this Item 2.03.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tbl>
      <w:tblPr>
        <w:tblW w:w="3985" w:type="dxa"/>
        <w:jc w:val="left"/>
        <w:tblInd w:w="0" w:type="dxa"/>
        <w:tblLayout w:type="fixed"/>
        <w:tblCellMar>
          <w:top w:w="0" w:type="dxa"/>
          <w:left w:w="0" w:type="dxa"/>
          <w:bottom w:w="0" w:type="dxa"/>
          <w:right w:w="0" w:type="dxa"/>
        </w:tblCellMar>
      </w:tblPr>
      <w:tblGrid>
        <w:gridCol w:w="1025"/>
        <w:gridCol w:w="2960"/>
      </w:tblGrid>
      <w:tr>
        <w:trPr/>
        <w:tc>
          <w:tcPr>
            <w:tcW w:w="1025" w:type="dxa"/>
            <w:tcBorders/>
            <w:vAlign w:val="center"/>
          </w:tcPr>
          <w:p>
            <w:pPr>
              <w:pStyle w:val="TableContents"/>
              <w:bidi w:val="0"/>
              <w:spacing w:before="0" w:after="0"/>
              <w:jc w:val="left"/>
              <w:rPr>
                <w:b/>
                <w:spacing w:val="0"/>
              </w:rPr>
            </w:pPr>
            <w:r>
              <w:rPr>
                <w:b/>
                <w:spacing w:val="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bidi w:val="0"/>
              <w:spacing w:before="0" w:after="20"/>
              <w:jc w:val="left"/>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0"/>
              <w:jc w:val="center"/>
              <w:rPr>
                <w:b/>
                <w:spacing w:val="0"/>
              </w:rPr>
            </w:pPr>
            <w:r>
              <w:rPr>
                <w:b/>
                <w:spacing w:val="0"/>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528646dex101.htm">
              <w:r>
                <w:rPr>
                  <w:rStyle w:val="InternetLink"/>
                </w:rPr>
                <w:t xml:space="preserve">Note Purchase Agreement, dated September 1, 2026, by and among PennantPark Investment Corporation and the purchasers party thereto.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528646dex102.htm">
              <w:r>
                <w:rPr>
                  <w:rStyle w:val="InternetLink"/>
                </w:rPr>
                <w:t xml:space="preserve">Registration Rights Agreement, dated September 1, 2026, by and among PennantPark Investment Corporation and the purchasers party thereto, relating to the 2031 Notes.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10.3</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528646dex103.htm">
              <w:r>
                <w:rPr>
                  <w:rStyle w:val="InternetLink"/>
                </w:rPr>
                <w:t xml:space="preserve">Registration Rights Agreement, dated September 1, 2026, by and among PennantPark Investment Corporation and the purchasers party thereto, relating to the 2029 </w:t>
              </w:r>
            </w:hyperlink>
            <w:hyperlink w:anchor="d528646dex103.htm">
              <w:r>
                <w:rPr>
                  <w:rStyle w:val="InternetLink"/>
                  <w:spacing w:val="0"/>
                </w:rPr>
                <w:t>Notes-2.</w:t>
              </w:r>
            </w:hyperlink>
            <w:hyperlink w:anchor="d528646dex103.htm">
              <w:r>
                <w:rPr>
                  <w:rStyle w:val="InternetLink"/>
                </w:rPr>
                <w:t xml:space="preserve">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833" w:type="dxa"/>
        <w:jc w:val="left"/>
        <w:tblInd w:w="0" w:type="dxa"/>
        <w:tblLayout w:type="fixed"/>
        <w:tblCellMar>
          <w:top w:w="0" w:type="dxa"/>
          <w:left w:w="0" w:type="dxa"/>
          <w:bottom w:w="0" w:type="dxa"/>
          <w:right w:w="0" w:type="dxa"/>
        </w:tblCellMar>
      </w:tblPr>
      <w:tblGrid>
        <w:gridCol w:w="2510"/>
        <w:gridCol w:w="60"/>
        <w:gridCol w:w="23"/>
        <w:gridCol w:w="60"/>
        <w:gridCol w:w="695"/>
        <w:gridCol w:w="60"/>
        <w:gridCol w:w="342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2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80" w:type="dxa"/>
            <w:gridSpan w:val="3"/>
            <w:tcBorders/>
            <w:vAlign w:val="center"/>
          </w:tcPr>
          <w:p>
            <w:pPr>
              <w:pStyle w:val="TableContents"/>
              <w:bidi w:val="0"/>
              <w:spacing w:before="0" w:after="0"/>
              <w:jc w:val="left"/>
              <w:rPr>
                <w:b/>
                <w:spacing w:val="0"/>
              </w:rPr>
            </w:pPr>
            <w:r>
              <w:rPr>
                <w:b/>
                <w:spacing w:val="0"/>
              </w:rPr>
              <w:t>PennantPark Investment Corporation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55" w:type="dxa"/>
            <w:gridSpan w:val="2"/>
            <w:tcBorders/>
            <w:vAlign w:val="center"/>
          </w:tcPr>
          <w:p>
            <w:pPr>
              <w:pStyle w:val="TableContents"/>
              <w:bidi w:val="0"/>
              <w:spacing w:before="0" w:after="283"/>
              <w:jc w:val="left"/>
              <w:rPr>
                <w:sz w:val="4"/>
                <w:szCs w:val="4"/>
              </w:rPr>
            </w:pPr>
            <w:r>
              <w:rPr>
                <w:sz w:val="4"/>
                <w:szCs w:val="4"/>
              </w:rPr>
            </w:r>
          </w:p>
        </w:tc>
        <w:tc>
          <w:tcPr>
            <w:tcW w:w="3485"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Dated: September 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b/>
                <w:spacing w:val="0"/>
              </w:rPr>
            </w:pPr>
            <w:r>
              <w:rPr>
                <w:b/>
                <w:spacing w:val="0"/>
              </w:rPr>
              <w:t>By</w:t>
            </w:r>
          </w:p>
          <w:p>
            <w:pPr>
              <w:pStyle w:val="TableContents"/>
              <w:bidi w:val="0"/>
              <w:spacing w:before="0" w:after="0"/>
              <w:jc w:val="left"/>
              <w:rPr/>
            </w:pPr>
            <w:r>
              <w:rPr/>
              <w:t>:</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0"/>
              <w:jc w:val="left"/>
              <w:rPr>
                <w:rFonts w:ascii="Times New Roman" w:hAnsi="Times New Roman"/>
                <w:sz w:val="20"/>
                <w:bdr w:val="single" w:sz="2" w:space="1" w:color="000000"/>
              </w:rPr>
            </w:pPr>
            <w:r>
              <w:rPr>
                <w:rFonts w:ascii="Times New Roman" w:hAnsi="Times New Roman"/>
                <w:sz w:val="20"/>
                <w:bdr w:val="single" w:sz="2" w:space="1" w:color="000000"/>
              </w:rPr>
              <w:t>/s/ Richard T. Allorto, Jr.</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b/>
                <w:spacing w:val="0"/>
              </w:rPr>
            </w:pPr>
            <w:r>
              <w:rPr>
                <w:b/>
                <w:spacing w:val="0"/>
              </w:rPr>
              <w:t>Name:</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pPr>
            <w:r>
              <w:rPr/>
              <w:t>Richard T. Allorto, Jr.</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0"/>
              <w:jc w:val="left"/>
              <w:rPr>
                <w:b/>
                <w:spacing w:val="0"/>
              </w:rPr>
            </w:pPr>
            <w:r>
              <w:rPr>
                <w:b/>
                <w:spacing w:val="0"/>
              </w:rPr>
              <w:t>Title:</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pPr>
            <w:r>
              <w:rPr/>
              <w:t>Chief Financial Officer &amp; Treasurer</w:t>
            </w:r>
          </w:p>
        </w:tc>
      </w:tr>
    </w:tbl>
    <w:p>
      <w:pPr>
        <w:pStyle w:val="TextBody"/>
        <w:bidi w:val="0"/>
        <w:spacing w:before="0" w:after="0"/>
        <w:jc w:val="right"/>
        <w:rPr>
          <w:rFonts w:ascii="Times New Roman" w:hAnsi="Times New Roman"/>
          <w:b/>
          <w:sz w:val="20"/>
        </w:rPr>
      </w:pPr>
      <w:bookmarkStart w:id="2" w:name="d528646dex101.htm"/>
      <w:bookmarkStart w:id="3" w:name="ksd528646dex101"/>
      <w:bookmarkEnd w:id="2"/>
      <w:bookmarkEnd w:id="3"/>
      <w:r>
        <w:rPr>
          <w:rFonts w:ascii="Times New Roman" w:hAnsi="Times New Roman"/>
          <w:b/>
          <w:sz w:val="20"/>
        </w:rPr>
        <w:t xml:space="preserve">Exhibit 10.1 </w:t>
      </w:r>
      <w:r>
        <w:br w:type="page"/>
      </w:r>
    </w:p>
    <w:p>
      <w:pPr>
        <w:pStyle w:val="TextBody"/>
        <w:bidi w:val="0"/>
        <w:spacing w:before="12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PENNANTPARK INVESTMENT CORPORATION </w:t>
      </w:r>
    </w:p>
    <w:p>
      <w:pPr>
        <w:pStyle w:val="TextBody"/>
        <w:bidi w:val="0"/>
        <w:spacing w:before="240" w:after="0"/>
        <w:jc w:val="center"/>
        <w:rPr>
          <w:rFonts w:ascii="Times New Roman" w:hAnsi="Times New Roman"/>
          <w:sz w:val="20"/>
        </w:rPr>
      </w:pPr>
      <w:r>
        <w:rPr>
          <w:rFonts w:ascii="Times New Roman" w:hAnsi="Times New Roman"/>
          <w:sz w:val="20"/>
        </w:rPr>
        <w:t xml:space="preserve">$62,000,000 8.00% Senior Unsecured Notes due September 1, 2031 </w:t>
      </w:r>
    </w:p>
    <w:p>
      <w:pPr>
        <w:pStyle w:val="TextBody"/>
        <w:bidi w:val="0"/>
        <w:spacing w:before="240" w:after="0"/>
        <w:jc w:val="center"/>
        <w:rPr>
          <w:rFonts w:ascii="Times New Roman" w:hAnsi="Times New Roman"/>
          <w:sz w:val="20"/>
        </w:rPr>
      </w:pPr>
      <w:r>
        <w:rPr>
          <w:rFonts w:ascii="Times New Roman" w:hAnsi="Times New Roman"/>
          <w:sz w:val="20"/>
        </w:rPr>
        <w:t xml:space="preserve">$2,000,000 7.25% Senior Unsecured Notes due September 30, 2029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NOTE PURCHASE AGREEMENT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Dated September 1,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73"/>
        <w:gridCol w:w="77"/>
        <w:gridCol w:w="8113"/>
        <w:gridCol w:w="134"/>
        <w:gridCol w:w="102"/>
        <w:gridCol w:w="443"/>
        <w:gridCol w:w="63"/>
      </w:tblGrid>
      <w:tr>
        <w:trPr/>
        <w:tc>
          <w:tcPr>
            <w:tcW w:w="1273"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8113"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273" w:type="dxa"/>
            <w:tcBorders/>
            <w:vAlign w:val="bottom"/>
          </w:tcPr>
          <w:p>
            <w:pPr>
              <w:pStyle w:val="TableContents"/>
              <w:bidi w:val="0"/>
              <w:spacing w:before="0" w:after="283"/>
              <w:jc w:val="left"/>
              <w:rPr/>
            </w:pPr>
            <w:r>
              <w:rPr/>
              <w:t>S</w:t>
            </w:r>
            <w:r>
              <w:rPr>
                <w:sz w:val="20"/>
              </w:rPr>
              <w:t>ECTION</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H</w:t>
            </w:r>
            <w:r>
              <w:rPr>
                <w:sz w:val="20"/>
              </w:rPr>
              <w:t>EADING</w:t>
            </w:r>
          </w:p>
        </w:tc>
        <w:tc>
          <w:tcPr>
            <w:tcW w:w="134" w:type="dxa"/>
            <w:tcBorders/>
            <w:vAlign w:val="bottom"/>
          </w:tcPr>
          <w:p>
            <w:pPr>
              <w:pStyle w:val="TableContents"/>
              <w:bidi w:val="0"/>
              <w:spacing w:before="0" w:after="283"/>
              <w:jc w:val="left"/>
              <w:rPr/>
            </w:pPr>
            <w:r>
              <w:rPr/>
              <w:t>  </w:t>
            </w:r>
          </w:p>
        </w:tc>
        <w:tc>
          <w:tcPr>
            <w:tcW w:w="545" w:type="dxa"/>
            <w:gridSpan w:val="2"/>
            <w:tcBorders/>
            <w:vAlign w:val="bottom"/>
          </w:tcPr>
          <w:p>
            <w:pPr>
              <w:pStyle w:val="TableContents"/>
              <w:bidi w:val="0"/>
              <w:spacing w:before="0" w:after="283"/>
              <w:jc w:val="left"/>
              <w:rPr/>
            </w:pPr>
            <w:r>
              <w:rPr/>
              <w:t>P</w:t>
            </w:r>
            <w:r>
              <w:rPr>
                <w:sz w:val="20"/>
              </w:rPr>
              <w:t>AGE</w:t>
            </w:r>
          </w:p>
        </w:tc>
        <w:tc>
          <w:tcPr>
            <w:tcW w:w="63" w:type="dxa"/>
            <w:tcBorders/>
            <w:vAlign w:val="bottom"/>
          </w:tcPr>
          <w:p>
            <w:pPr>
              <w:pStyle w:val="TableContents"/>
              <w:bidi w:val="0"/>
              <w:spacing w:before="0" w:after="283"/>
              <w:jc w:val="left"/>
              <w:rPr/>
            </w:pPr>
            <w:r>
              <w:rPr/>
              <w:t> </w:t>
            </w:r>
          </w:p>
        </w:tc>
      </w:tr>
      <w:tr>
        <w:trPr>
          <w:trHeight w:val="120" w:hRule="atLeast"/>
        </w:trPr>
        <w:tc>
          <w:tcPr>
            <w:tcW w:w="1273" w:type="dxa"/>
            <w:tcBorders/>
            <w:vAlign w:val="center"/>
          </w:tcPr>
          <w:p>
            <w:pPr>
              <w:pStyle w:val="TableContents"/>
              <w:bidi w:val="0"/>
              <w:spacing w:before="0" w:after="283"/>
              <w:jc w:val="left"/>
              <w:rPr>
                <w:sz w:val="4"/>
                <w:szCs w:val="4"/>
              </w:rPr>
            </w:pPr>
            <w:r>
              <w:rPr>
                <w:sz w:val="4"/>
                <w:szCs w:val="4"/>
              </w:rPr>
            </w:r>
          </w:p>
        </w:tc>
        <w:tc>
          <w:tcPr>
            <w:tcW w:w="8190" w:type="dxa"/>
            <w:gridSpan w:val="2"/>
            <w:tcBorders/>
            <w:vAlign w:val="center"/>
          </w:tcPr>
          <w:p>
            <w:pPr>
              <w:pStyle w:val="TableContents"/>
              <w:bidi w:val="0"/>
              <w:spacing w:before="0" w:after="283"/>
              <w:jc w:val="left"/>
              <w:rPr>
                <w:sz w:val="4"/>
                <w:szCs w:val="4"/>
              </w:rPr>
            </w:pPr>
            <w:r>
              <w:rPr>
                <w:sz w:val="4"/>
                <w:szCs w:val="4"/>
              </w:rPr>
            </w:r>
          </w:p>
        </w:tc>
        <w:tc>
          <w:tcPr>
            <w:tcW w:w="742" w:type="dxa"/>
            <w:gridSpan w:val="4"/>
            <w:tcBorders/>
            <w:vAlign w:val="center"/>
          </w:tcPr>
          <w:p>
            <w:pPr>
              <w:pStyle w:val="TableContents"/>
              <w:bidi w:val="0"/>
              <w:spacing w:before="0" w:after="283"/>
              <w:jc w:val="left"/>
              <w:rPr>
                <w:sz w:val="4"/>
                <w:szCs w:val="4"/>
              </w:rPr>
            </w:pPr>
            <w:r>
              <w:rPr>
                <w:sz w:val="4"/>
                <w:szCs w:val="4"/>
              </w:rPr>
            </w:r>
          </w:p>
        </w:tc>
      </w:tr>
      <w:tr>
        <w:trPr/>
        <w:tc>
          <w:tcPr>
            <w:tcW w:w="1273" w:type="dxa"/>
            <w:tcBorders/>
          </w:tcPr>
          <w:p>
            <w:pPr>
              <w:pStyle w:val="TableContents"/>
              <w:bidi w:val="0"/>
              <w:spacing w:before="0" w:after="0"/>
              <w:jc w:val="left"/>
              <w:rPr>
                <w:rFonts w:ascii="Times New Roman" w:hAnsi="Times New Roman"/>
                <w:sz w:val="20"/>
              </w:rPr>
            </w:pPr>
            <w:r>
              <w:rPr>
                <w:rFonts w:ascii="Times New Roman" w:hAnsi="Times New Roman"/>
                <w:sz w:val="20"/>
              </w:rPr>
              <w:t>SECTION 1.</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AUTHORIZATION OF NOTES</w:t>
            </w:r>
          </w:p>
        </w:tc>
        <w:tc>
          <w:tcPr>
            <w:tcW w:w="13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273" w:type="dxa"/>
            <w:tcBorders/>
            <w:vAlign w:val="center"/>
          </w:tcPr>
          <w:p>
            <w:pPr>
              <w:pStyle w:val="TableContents"/>
              <w:bidi w:val="0"/>
              <w:spacing w:before="0" w:after="283"/>
              <w:jc w:val="left"/>
              <w:rPr>
                <w:sz w:val="4"/>
                <w:szCs w:val="4"/>
              </w:rPr>
            </w:pPr>
            <w:r>
              <w:rPr>
                <w:sz w:val="4"/>
                <w:szCs w:val="4"/>
              </w:rPr>
            </w:r>
          </w:p>
        </w:tc>
        <w:tc>
          <w:tcPr>
            <w:tcW w:w="8190" w:type="dxa"/>
            <w:gridSpan w:val="2"/>
            <w:tcBorders/>
            <w:vAlign w:val="center"/>
          </w:tcPr>
          <w:p>
            <w:pPr>
              <w:pStyle w:val="TableContents"/>
              <w:bidi w:val="0"/>
              <w:spacing w:before="0" w:after="283"/>
              <w:jc w:val="left"/>
              <w:rPr>
                <w:sz w:val="4"/>
                <w:szCs w:val="4"/>
              </w:rPr>
            </w:pPr>
            <w:r>
              <w:rPr>
                <w:sz w:val="4"/>
                <w:szCs w:val="4"/>
              </w:rPr>
            </w:r>
          </w:p>
        </w:tc>
        <w:tc>
          <w:tcPr>
            <w:tcW w:w="742" w:type="dxa"/>
            <w:gridSpan w:val="4"/>
            <w:tcBorders/>
            <w:vAlign w:val="center"/>
          </w:tcPr>
          <w:p>
            <w:pPr>
              <w:pStyle w:val="TableContents"/>
              <w:bidi w:val="0"/>
              <w:spacing w:before="0" w:after="283"/>
              <w:jc w:val="left"/>
              <w:rPr>
                <w:sz w:val="4"/>
                <w:szCs w:val="4"/>
              </w:rPr>
            </w:pPr>
            <w:r>
              <w:rPr>
                <w:sz w:val="4"/>
                <w:szCs w:val="4"/>
              </w:rPr>
            </w:r>
          </w:p>
        </w:tc>
      </w:tr>
      <w:tr>
        <w:trPr/>
        <w:tc>
          <w:tcPr>
            <w:tcW w:w="1273" w:type="dxa"/>
            <w:tcBorders/>
          </w:tcPr>
          <w:p>
            <w:pPr>
              <w:pStyle w:val="TableContents"/>
              <w:bidi w:val="0"/>
              <w:spacing w:before="0" w:after="0"/>
              <w:jc w:val="left"/>
              <w:rPr>
                <w:rFonts w:ascii="Times New Roman" w:hAnsi="Times New Roman"/>
                <w:sz w:val="20"/>
              </w:rPr>
            </w:pPr>
            <w:r>
              <w:rPr>
                <w:rFonts w:ascii="Times New Roman" w:hAnsi="Times New Roman"/>
                <w:sz w:val="20"/>
              </w:rPr>
              <w:t>SECTION 2.</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SALE AND PURCHASE OF NOTES</w:t>
            </w:r>
          </w:p>
        </w:tc>
        <w:tc>
          <w:tcPr>
            <w:tcW w:w="13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273" w:type="dxa"/>
            <w:tcBorders/>
            <w:vAlign w:val="center"/>
          </w:tcPr>
          <w:p>
            <w:pPr>
              <w:pStyle w:val="TableContents"/>
              <w:bidi w:val="0"/>
              <w:spacing w:before="0" w:after="283"/>
              <w:jc w:val="left"/>
              <w:rPr>
                <w:sz w:val="4"/>
                <w:szCs w:val="4"/>
              </w:rPr>
            </w:pPr>
            <w:r>
              <w:rPr>
                <w:sz w:val="4"/>
                <w:szCs w:val="4"/>
              </w:rPr>
            </w:r>
          </w:p>
        </w:tc>
        <w:tc>
          <w:tcPr>
            <w:tcW w:w="8190" w:type="dxa"/>
            <w:gridSpan w:val="2"/>
            <w:tcBorders/>
            <w:vAlign w:val="center"/>
          </w:tcPr>
          <w:p>
            <w:pPr>
              <w:pStyle w:val="TableContents"/>
              <w:bidi w:val="0"/>
              <w:spacing w:before="0" w:after="283"/>
              <w:jc w:val="left"/>
              <w:rPr>
                <w:sz w:val="4"/>
                <w:szCs w:val="4"/>
              </w:rPr>
            </w:pPr>
            <w:r>
              <w:rPr>
                <w:sz w:val="4"/>
                <w:szCs w:val="4"/>
              </w:rPr>
            </w:r>
          </w:p>
        </w:tc>
        <w:tc>
          <w:tcPr>
            <w:tcW w:w="742" w:type="dxa"/>
            <w:gridSpan w:val="4"/>
            <w:tcBorders/>
            <w:vAlign w:val="center"/>
          </w:tcPr>
          <w:p>
            <w:pPr>
              <w:pStyle w:val="TableContents"/>
              <w:bidi w:val="0"/>
              <w:spacing w:before="0" w:after="283"/>
              <w:jc w:val="left"/>
              <w:rPr>
                <w:sz w:val="4"/>
                <w:szCs w:val="4"/>
              </w:rPr>
            </w:pPr>
            <w:r>
              <w:rPr>
                <w:sz w:val="4"/>
                <w:szCs w:val="4"/>
              </w:rPr>
            </w:r>
          </w:p>
        </w:tc>
      </w:tr>
      <w:tr>
        <w:trPr/>
        <w:tc>
          <w:tcPr>
            <w:tcW w:w="1273" w:type="dxa"/>
            <w:tcBorders/>
          </w:tcPr>
          <w:p>
            <w:pPr>
              <w:pStyle w:val="TableContents"/>
              <w:bidi w:val="0"/>
              <w:spacing w:before="0" w:after="0"/>
              <w:jc w:val="left"/>
              <w:rPr>
                <w:rFonts w:ascii="Times New Roman" w:hAnsi="Times New Roman"/>
                <w:sz w:val="20"/>
              </w:rPr>
            </w:pPr>
            <w:r>
              <w:rPr>
                <w:rFonts w:ascii="Times New Roman" w:hAnsi="Times New Roman"/>
                <w:sz w:val="20"/>
              </w:rPr>
              <w:t>SECTION 3.</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CLOSING</w:t>
            </w:r>
          </w:p>
        </w:tc>
        <w:tc>
          <w:tcPr>
            <w:tcW w:w="13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1273" w:type="dxa"/>
            <w:tcBorders/>
            <w:vAlign w:val="center"/>
          </w:tcPr>
          <w:p>
            <w:pPr>
              <w:pStyle w:val="TableContents"/>
              <w:bidi w:val="0"/>
              <w:spacing w:before="0" w:after="283"/>
              <w:jc w:val="left"/>
              <w:rPr>
                <w:sz w:val="4"/>
                <w:szCs w:val="4"/>
              </w:rPr>
            </w:pPr>
            <w:r>
              <w:rPr>
                <w:sz w:val="4"/>
                <w:szCs w:val="4"/>
              </w:rPr>
            </w:r>
          </w:p>
        </w:tc>
        <w:tc>
          <w:tcPr>
            <w:tcW w:w="8190" w:type="dxa"/>
            <w:gridSpan w:val="2"/>
            <w:tcBorders/>
            <w:vAlign w:val="center"/>
          </w:tcPr>
          <w:p>
            <w:pPr>
              <w:pStyle w:val="TableContents"/>
              <w:bidi w:val="0"/>
              <w:spacing w:before="0" w:after="283"/>
              <w:jc w:val="left"/>
              <w:rPr>
                <w:sz w:val="4"/>
                <w:szCs w:val="4"/>
              </w:rPr>
            </w:pPr>
            <w:r>
              <w:rPr>
                <w:sz w:val="4"/>
                <w:szCs w:val="4"/>
              </w:rPr>
            </w:r>
          </w:p>
        </w:tc>
        <w:tc>
          <w:tcPr>
            <w:tcW w:w="742" w:type="dxa"/>
            <w:gridSpan w:val="4"/>
            <w:tcBorders/>
            <w:vAlign w:val="center"/>
          </w:tcPr>
          <w:p>
            <w:pPr>
              <w:pStyle w:val="TableContents"/>
              <w:bidi w:val="0"/>
              <w:spacing w:before="0" w:after="283"/>
              <w:jc w:val="left"/>
              <w:rPr>
                <w:sz w:val="4"/>
                <w:szCs w:val="4"/>
              </w:rPr>
            </w:pPr>
            <w:r>
              <w:rPr>
                <w:sz w:val="4"/>
                <w:szCs w:val="4"/>
              </w:rPr>
            </w:r>
          </w:p>
        </w:tc>
      </w:tr>
      <w:tr>
        <w:trPr/>
        <w:tc>
          <w:tcPr>
            <w:tcW w:w="1273" w:type="dxa"/>
            <w:tcBorders/>
          </w:tcPr>
          <w:p>
            <w:pPr>
              <w:pStyle w:val="TableContents"/>
              <w:bidi w:val="0"/>
              <w:spacing w:before="0" w:after="0"/>
              <w:jc w:val="left"/>
              <w:rPr>
                <w:rFonts w:ascii="Times New Roman" w:hAnsi="Times New Roman"/>
                <w:sz w:val="20"/>
              </w:rPr>
            </w:pPr>
            <w:r>
              <w:rPr>
                <w:rFonts w:ascii="Times New Roman" w:hAnsi="Times New Roman"/>
                <w:sz w:val="20"/>
              </w:rPr>
              <w:t>SECTION 4.</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CONDITIONS TO CLOSING</w:t>
            </w:r>
          </w:p>
        </w:tc>
        <w:tc>
          <w:tcPr>
            <w:tcW w:w="13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1273" w:type="dxa"/>
            <w:tcBorders/>
            <w:vAlign w:val="center"/>
          </w:tcPr>
          <w:p>
            <w:pPr>
              <w:pStyle w:val="TableContents"/>
              <w:bidi w:val="0"/>
              <w:spacing w:before="0" w:after="283"/>
              <w:jc w:val="left"/>
              <w:rPr>
                <w:sz w:val="4"/>
                <w:szCs w:val="4"/>
              </w:rPr>
            </w:pPr>
            <w:r>
              <w:rPr>
                <w:sz w:val="4"/>
                <w:szCs w:val="4"/>
              </w:rPr>
            </w:r>
          </w:p>
        </w:tc>
        <w:tc>
          <w:tcPr>
            <w:tcW w:w="8190" w:type="dxa"/>
            <w:gridSpan w:val="2"/>
            <w:tcBorders/>
            <w:vAlign w:val="center"/>
          </w:tcPr>
          <w:p>
            <w:pPr>
              <w:pStyle w:val="TableContents"/>
              <w:bidi w:val="0"/>
              <w:spacing w:before="0" w:after="283"/>
              <w:jc w:val="left"/>
              <w:rPr>
                <w:sz w:val="4"/>
                <w:szCs w:val="4"/>
              </w:rPr>
            </w:pPr>
            <w:r>
              <w:rPr>
                <w:sz w:val="4"/>
                <w:szCs w:val="4"/>
              </w:rPr>
            </w:r>
          </w:p>
        </w:tc>
        <w:tc>
          <w:tcPr>
            <w:tcW w:w="742" w:type="dxa"/>
            <w:gridSpan w:val="4"/>
            <w:tcBorders/>
            <w:vAlign w:val="center"/>
          </w:tcPr>
          <w:p>
            <w:pPr>
              <w:pStyle w:val="TableContents"/>
              <w:bidi w:val="0"/>
              <w:spacing w:before="0" w:after="283"/>
              <w:jc w:val="left"/>
              <w:rPr>
                <w:sz w:val="4"/>
                <w:szCs w:val="4"/>
              </w:rPr>
            </w:pPr>
            <w:r>
              <w:rPr>
                <w:sz w:val="4"/>
                <w:szCs w:val="4"/>
              </w:rPr>
            </w:r>
          </w:p>
        </w:tc>
      </w:tr>
      <w:tr>
        <w:trPr/>
        <w:tc>
          <w:tcPr>
            <w:tcW w:w="1273"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Representations and Warranties</w:t>
            </w:r>
          </w:p>
        </w:tc>
        <w:tc>
          <w:tcPr>
            <w:tcW w:w="13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1273"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4.2.</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Performance; No Default</w:t>
            </w:r>
          </w:p>
        </w:tc>
        <w:tc>
          <w:tcPr>
            <w:tcW w:w="13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1273"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4.3.</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Compliance Certificates</w:t>
            </w:r>
          </w:p>
        </w:tc>
        <w:tc>
          <w:tcPr>
            <w:tcW w:w="13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1273"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4.4.</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Opinions of Counsel</w:t>
            </w:r>
          </w:p>
        </w:tc>
        <w:tc>
          <w:tcPr>
            <w:tcW w:w="13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1273"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4.5.</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Purchase Permitted By Applicable Law, Etc.</w:t>
            </w:r>
          </w:p>
        </w:tc>
        <w:tc>
          <w:tcPr>
            <w:tcW w:w="13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1273"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4.6.</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Sale of Other Notes</w:t>
            </w:r>
          </w:p>
        </w:tc>
        <w:tc>
          <w:tcPr>
            <w:tcW w:w="13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1273"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4.7.</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Registration Rights Agreements</w:t>
            </w:r>
          </w:p>
        </w:tc>
        <w:tc>
          <w:tcPr>
            <w:tcW w:w="13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1273"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4.8.</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CUSIP Number</w:t>
            </w:r>
          </w:p>
        </w:tc>
        <w:tc>
          <w:tcPr>
            <w:tcW w:w="13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1273"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4.9.</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Changes in Corporate Structure</w:t>
            </w:r>
          </w:p>
        </w:tc>
        <w:tc>
          <w:tcPr>
            <w:tcW w:w="13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273"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4.10.</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Proceedings and Documents</w:t>
            </w:r>
          </w:p>
        </w:tc>
        <w:tc>
          <w:tcPr>
            <w:tcW w:w="13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rHeight w:val="120" w:hRule="atLeast"/>
        </w:trPr>
        <w:tc>
          <w:tcPr>
            <w:tcW w:w="1273" w:type="dxa"/>
            <w:tcBorders/>
            <w:vAlign w:val="center"/>
          </w:tcPr>
          <w:p>
            <w:pPr>
              <w:pStyle w:val="TableContents"/>
              <w:bidi w:val="0"/>
              <w:spacing w:before="0" w:after="283"/>
              <w:jc w:val="left"/>
              <w:rPr>
                <w:sz w:val="4"/>
                <w:szCs w:val="4"/>
              </w:rPr>
            </w:pPr>
            <w:r>
              <w:rPr>
                <w:sz w:val="4"/>
                <w:szCs w:val="4"/>
              </w:rPr>
            </w:r>
          </w:p>
        </w:tc>
        <w:tc>
          <w:tcPr>
            <w:tcW w:w="8190" w:type="dxa"/>
            <w:gridSpan w:val="2"/>
            <w:tcBorders/>
            <w:vAlign w:val="center"/>
          </w:tcPr>
          <w:p>
            <w:pPr>
              <w:pStyle w:val="TableContents"/>
              <w:bidi w:val="0"/>
              <w:spacing w:before="0" w:after="283"/>
              <w:jc w:val="left"/>
              <w:rPr>
                <w:sz w:val="4"/>
                <w:szCs w:val="4"/>
              </w:rPr>
            </w:pPr>
            <w:r>
              <w:rPr>
                <w:sz w:val="4"/>
                <w:szCs w:val="4"/>
              </w:rPr>
            </w:r>
          </w:p>
        </w:tc>
        <w:tc>
          <w:tcPr>
            <w:tcW w:w="742" w:type="dxa"/>
            <w:gridSpan w:val="4"/>
            <w:tcBorders/>
            <w:vAlign w:val="center"/>
          </w:tcPr>
          <w:p>
            <w:pPr>
              <w:pStyle w:val="TableContents"/>
              <w:bidi w:val="0"/>
              <w:spacing w:before="0" w:after="283"/>
              <w:jc w:val="left"/>
              <w:rPr>
                <w:sz w:val="4"/>
                <w:szCs w:val="4"/>
              </w:rPr>
            </w:pPr>
            <w:r>
              <w:rPr>
                <w:sz w:val="4"/>
                <w:szCs w:val="4"/>
              </w:rPr>
            </w:r>
          </w:p>
        </w:tc>
      </w:tr>
      <w:tr>
        <w:trPr/>
        <w:tc>
          <w:tcPr>
            <w:tcW w:w="1273" w:type="dxa"/>
            <w:tcBorders/>
          </w:tcPr>
          <w:p>
            <w:pPr>
              <w:pStyle w:val="TableContents"/>
              <w:bidi w:val="0"/>
              <w:spacing w:before="0" w:after="0"/>
              <w:jc w:val="left"/>
              <w:rPr>
                <w:rFonts w:ascii="Times New Roman" w:hAnsi="Times New Roman"/>
                <w:sz w:val="20"/>
              </w:rPr>
            </w:pPr>
            <w:r>
              <w:rPr>
                <w:rFonts w:ascii="Times New Roman" w:hAnsi="Times New Roman"/>
                <w:sz w:val="20"/>
              </w:rPr>
              <w:t>SECTION 5.</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REPRESENTATIONS AND WARRANTIES OF THE COMPANY</w:t>
            </w:r>
          </w:p>
        </w:tc>
        <w:tc>
          <w:tcPr>
            <w:tcW w:w="13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rHeight w:val="120" w:hRule="atLeast"/>
        </w:trPr>
        <w:tc>
          <w:tcPr>
            <w:tcW w:w="1273" w:type="dxa"/>
            <w:tcBorders/>
            <w:vAlign w:val="center"/>
          </w:tcPr>
          <w:p>
            <w:pPr>
              <w:pStyle w:val="TableContents"/>
              <w:bidi w:val="0"/>
              <w:spacing w:before="0" w:after="283"/>
              <w:jc w:val="left"/>
              <w:rPr>
                <w:sz w:val="4"/>
                <w:szCs w:val="4"/>
              </w:rPr>
            </w:pPr>
            <w:r>
              <w:rPr>
                <w:sz w:val="4"/>
                <w:szCs w:val="4"/>
              </w:rPr>
            </w:r>
          </w:p>
        </w:tc>
        <w:tc>
          <w:tcPr>
            <w:tcW w:w="8190" w:type="dxa"/>
            <w:gridSpan w:val="2"/>
            <w:tcBorders/>
            <w:vAlign w:val="center"/>
          </w:tcPr>
          <w:p>
            <w:pPr>
              <w:pStyle w:val="TableContents"/>
              <w:bidi w:val="0"/>
              <w:spacing w:before="0" w:after="283"/>
              <w:jc w:val="left"/>
              <w:rPr>
                <w:sz w:val="4"/>
                <w:szCs w:val="4"/>
              </w:rPr>
            </w:pPr>
            <w:r>
              <w:rPr>
                <w:sz w:val="4"/>
                <w:szCs w:val="4"/>
              </w:rPr>
            </w:r>
          </w:p>
        </w:tc>
        <w:tc>
          <w:tcPr>
            <w:tcW w:w="742" w:type="dxa"/>
            <w:gridSpan w:val="4"/>
            <w:tcBorders/>
            <w:vAlign w:val="center"/>
          </w:tcPr>
          <w:p>
            <w:pPr>
              <w:pStyle w:val="TableContents"/>
              <w:bidi w:val="0"/>
              <w:spacing w:before="0" w:after="283"/>
              <w:jc w:val="left"/>
              <w:rPr>
                <w:sz w:val="4"/>
                <w:szCs w:val="4"/>
              </w:rPr>
            </w:pPr>
            <w:r>
              <w:rPr>
                <w:sz w:val="4"/>
                <w:szCs w:val="4"/>
              </w:rPr>
            </w:r>
          </w:p>
        </w:tc>
      </w:tr>
      <w:tr>
        <w:trPr/>
        <w:tc>
          <w:tcPr>
            <w:tcW w:w="1273"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5.1.</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Organization; Power and Authority</w:t>
            </w:r>
          </w:p>
        </w:tc>
        <w:tc>
          <w:tcPr>
            <w:tcW w:w="13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273"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5.2.</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Authorization, Etc.</w:t>
            </w:r>
          </w:p>
        </w:tc>
        <w:tc>
          <w:tcPr>
            <w:tcW w:w="13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273"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5.3.</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Disclosure</w:t>
            </w:r>
          </w:p>
        </w:tc>
        <w:tc>
          <w:tcPr>
            <w:tcW w:w="13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273"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5.4.</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Organization and Ownership of Shares of Subsidiaries; Affiliates</w:t>
            </w:r>
          </w:p>
        </w:tc>
        <w:tc>
          <w:tcPr>
            <w:tcW w:w="13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1273"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5.5.</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Financial Statements; Material Liabilities</w:t>
            </w:r>
          </w:p>
        </w:tc>
        <w:tc>
          <w:tcPr>
            <w:tcW w:w="13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1273"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5.6.</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Compliance with Laws</w:t>
            </w:r>
          </w:p>
        </w:tc>
        <w:tc>
          <w:tcPr>
            <w:tcW w:w="13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1273"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5.7.</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Governmental Authorizations, Etc.</w:t>
            </w:r>
          </w:p>
        </w:tc>
        <w:tc>
          <w:tcPr>
            <w:tcW w:w="13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1273"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5.8.</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Litigation; Observance of Agreements, Statutes and Orders</w:t>
            </w:r>
          </w:p>
        </w:tc>
        <w:tc>
          <w:tcPr>
            <w:tcW w:w="13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1273"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5.9.</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Taxes</w:t>
            </w:r>
          </w:p>
        </w:tc>
        <w:tc>
          <w:tcPr>
            <w:tcW w:w="13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273"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5.10.</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Title to Property</w:t>
            </w:r>
          </w:p>
        </w:tc>
        <w:tc>
          <w:tcPr>
            <w:tcW w:w="13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273"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5.11.</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Licenses, Permits, Etc.</w:t>
            </w:r>
          </w:p>
        </w:tc>
        <w:tc>
          <w:tcPr>
            <w:tcW w:w="13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273"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5.12.</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Compliance with Employee Benefit Plans</w:t>
            </w:r>
          </w:p>
        </w:tc>
        <w:tc>
          <w:tcPr>
            <w:tcW w:w="13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273"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5.13.</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Private Offering by the Company</w:t>
            </w:r>
          </w:p>
        </w:tc>
        <w:tc>
          <w:tcPr>
            <w:tcW w:w="13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1273"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5.14.</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Use of Proceeds; Margin Regulations</w:t>
            </w:r>
          </w:p>
        </w:tc>
        <w:tc>
          <w:tcPr>
            <w:tcW w:w="13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1273"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5.15.</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Existing Indebtedness; Future Liens</w:t>
            </w:r>
          </w:p>
        </w:tc>
        <w:tc>
          <w:tcPr>
            <w:tcW w:w="13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1273"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5.16.</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Foreign Assets Control Regulations, Etc.</w:t>
            </w:r>
          </w:p>
        </w:tc>
        <w:tc>
          <w:tcPr>
            <w:tcW w:w="13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1273"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5.17.</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Registration Rights Agreements</w:t>
            </w:r>
          </w:p>
        </w:tc>
        <w:tc>
          <w:tcPr>
            <w:tcW w:w="13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273"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5.18.</w:t>
            </w:r>
          </w:p>
        </w:tc>
        <w:tc>
          <w:tcPr>
            <w:tcW w:w="77" w:type="dxa"/>
            <w:tcBorders/>
            <w:vAlign w:val="bottom"/>
          </w:tcPr>
          <w:p>
            <w:pPr>
              <w:pStyle w:val="TableContents"/>
              <w:bidi w:val="0"/>
              <w:spacing w:before="0" w:after="283"/>
              <w:jc w:val="left"/>
              <w:rPr/>
            </w:pPr>
            <w:r>
              <w:rPr/>
              <w:t> </w:t>
            </w:r>
          </w:p>
        </w:tc>
        <w:tc>
          <w:tcPr>
            <w:tcW w:w="8113" w:type="dxa"/>
            <w:tcBorders/>
            <w:vAlign w:val="bottom"/>
          </w:tcPr>
          <w:p>
            <w:pPr>
              <w:pStyle w:val="TableContents"/>
              <w:bidi w:val="0"/>
              <w:spacing w:before="0" w:after="283"/>
              <w:jc w:val="left"/>
              <w:rPr/>
            </w:pPr>
            <w:r>
              <w:rPr/>
              <w:t>Environmental Matters</w:t>
            </w:r>
          </w:p>
        </w:tc>
        <w:tc>
          <w:tcPr>
            <w:tcW w:w="13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TABLE OF CONTENTS (continued)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81"/>
        <w:gridCol w:w="91"/>
        <w:gridCol w:w="8109"/>
        <w:gridCol w:w="141"/>
        <w:gridCol w:w="60"/>
        <w:gridCol w:w="260"/>
        <w:gridCol w:w="63"/>
      </w:tblGrid>
      <w:tr>
        <w:trPr/>
        <w:tc>
          <w:tcPr>
            <w:tcW w:w="1481"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8109"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481" w:type="dxa"/>
            <w:tcBorders/>
          </w:tcPr>
          <w:p>
            <w:pPr>
              <w:pStyle w:val="TableContents"/>
              <w:bidi w:val="0"/>
              <w:spacing w:before="0" w:after="0"/>
              <w:jc w:val="left"/>
              <w:rPr>
                <w:rFonts w:ascii="Times New Roman" w:hAnsi="Times New Roman"/>
                <w:sz w:val="20"/>
              </w:rPr>
            </w:pPr>
            <w:r>
              <w:rPr>
                <w:rFonts w:ascii="Times New Roman" w:hAnsi="Times New Roman"/>
                <w:sz w:val="20"/>
              </w:rPr>
              <w:t>SECTION 6.</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REPRESENTATIONS OF THE PURCHASER</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1481" w:type="dxa"/>
            <w:tcBorders/>
            <w:vAlign w:val="center"/>
          </w:tcPr>
          <w:p>
            <w:pPr>
              <w:pStyle w:val="TableContents"/>
              <w:bidi w:val="0"/>
              <w:spacing w:before="0" w:after="283"/>
              <w:jc w:val="left"/>
              <w:rPr>
                <w:sz w:val="4"/>
                <w:szCs w:val="4"/>
              </w:rPr>
            </w:pPr>
            <w:r>
              <w:rPr>
                <w:sz w:val="4"/>
                <w:szCs w:val="4"/>
              </w:rPr>
            </w:r>
          </w:p>
        </w:tc>
        <w:tc>
          <w:tcPr>
            <w:tcW w:w="8200" w:type="dxa"/>
            <w:gridSpan w:val="2"/>
            <w:tcBorders/>
            <w:vAlign w:val="center"/>
          </w:tcPr>
          <w:p>
            <w:pPr>
              <w:pStyle w:val="TableContents"/>
              <w:bidi w:val="0"/>
              <w:spacing w:before="0" w:after="283"/>
              <w:jc w:val="left"/>
              <w:rPr>
                <w:sz w:val="4"/>
                <w:szCs w:val="4"/>
              </w:rPr>
            </w:pPr>
            <w:r>
              <w:rPr>
                <w:sz w:val="4"/>
                <w:szCs w:val="4"/>
              </w:rPr>
            </w:r>
          </w:p>
        </w:tc>
        <w:tc>
          <w:tcPr>
            <w:tcW w:w="524" w:type="dxa"/>
            <w:gridSpan w:val="4"/>
            <w:tcBorders/>
            <w:vAlign w:val="center"/>
          </w:tcPr>
          <w:p>
            <w:pPr>
              <w:pStyle w:val="TableContents"/>
              <w:bidi w:val="0"/>
              <w:spacing w:before="0" w:after="283"/>
              <w:jc w:val="left"/>
              <w:rPr>
                <w:sz w:val="4"/>
                <w:szCs w:val="4"/>
              </w:rPr>
            </w:pPr>
            <w:r>
              <w:rPr>
                <w:sz w:val="4"/>
                <w:szCs w:val="4"/>
              </w:rPr>
            </w:r>
          </w:p>
        </w:tc>
      </w:tr>
      <w:tr>
        <w:trPr/>
        <w:tc>
          <w:tcPr>
            <w:tcW w:w="148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6.1.</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Purchase for Investment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48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6.2.</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Source of Funds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48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6.3.</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Legends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48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6.4.</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Investment Experience; Access to Information</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48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6.5.</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Authorization</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48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6.6.</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Restricted Securities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48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6.7.</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No Public Market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48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6.8.</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Reliance</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48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6.9.</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Acknowledgment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1481" w:type="dxa"/>
            <w:tcBorders/>
            <w:vAlign w:val="center"/>
          </w:tcPr>
          <w:p>
            <w:pPr>
              <w:pStyle w:val="TableContents"/>
              <w:bidi w:val="0"/>
              <w:spacing w:before="0" w:after="283"/>
              <w:jc w:val="left"/>
              <w:rPr>
                <w:sz w:val="4"/>
                <w:szCs w:val="4"/>
              </w:rPr>
            </w:pPr>
            <w:r>
              <w:rPr>
                <w:sz w:val="4"/>
                <w:szCs w:val="4"/>
              </w:rPr>
            </w:r>
          </w:p>
        </w:tc>
        <w:tc>
          <w:tcPr>
            <w:tcW w:w="8200" w:type="dxa"/>
            <w:gridSpan w:val="2"/>
            <w:tcBorders/>
            <w:vAlign w:val="center"/>
          </w:tcPr>
          <w:p>
            <w:pPr>
              <w:pStyle w:val="TableContents"/>
              <w:bidi w:val="0"/>
              <w:spacing w:before="0" w:after="283"/>
              <w:jc w:val="left"/>
              <w:rPr>
                <w:sz w:val="4"/>
                <w:szCs w:val="4"/>
              </w:rPr>
            </w:pPr>
            <w:r>
              <w:rPr>
                <w:sz w:val="4"/>
                <w:szCs w:val="4"/>
              </w:rPr>
            </w:r>
          </w:p>
        </w:tc>
        <w:tc>
          <w:tcPr>
            <w:tcW w:w="524" w:type="dxa"/>
            <w:gridSpan w:val="4"/>
            <w:tcBorders/>
            <w:vAlign w:val="center"/>
          </w:tcPr>
          <w:p>
            <w:pPr>
              <w:pStyle w:val="TableContents"/>
              <w:bidi w:val="0"/>
              <w:spacing w:before="0" w:after="283"/>
              <w:jc w:val="left"/>
              <w:rPr>
                <w:sz w:val="4"/>
                <w:szCs w:val="4"/>
              </w:rPr>
            </w:pPr>
            <w:r>
              <w:rPr>
                <w:sz w:val="4"/>
                <w:szCs w:val="4"/>
              </w:rPr>
            </w:r>
          </w:p>
        </w:tc>
      </w:tr>
      <w:tr>
        <w:trPr/>
        <w:tc>
          <w:tcPr>
            <w:tcW w:w="1481" w:type="dxa"/>
            <w:tcBorders/>
          </w:tcPr>
          <w:p>
            <w:pPr>
              <w:pStyle w:val="TableContents"/>
              <w:bidi w:val="0"/>
              <w:spacing w:before="0" w:after="0"/>
              <w:jc w:val="left"/>
              <w:rPr>
                <w:rFonts w:ascii="Times New Roman" w:hAnsi="Times New Roman"/>
                <w:sz w:val="20"/>
              </w:rPr>
            </w:pPr>
            <w:r>
              <w:rPr>
                <w:rFonts w:ascii="Times New Roman" w:hAnsi="Times New Roman"/>
                <w:sz w:val="20"/>
              </w:rPr>
              <w:t>SECTION 7.</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INFORMATION AS TO COMPANY</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1481" w:type="dxa"/>
            <w:tcBorders/>
            <w:vAlign w:val="center"/>
          </w:tcPr>
          <w:p>
            <w:pPr>
              <w:pStyle w:val="TableContents"/>
              <w:bidi w:val="0"/>
              <w:spacing w:before="0" w:after="283"/>
              <w:jc w:val="left"/>
              <w:rPr>
                <w:sz w:val="4"/>
                <w:szCs w:val="4"/>
              </w:rPr>
            </w:pPr>
            <w:r>
              <w:rPr>
                <w:sz w:val="4"/>
                <w:szCs w:val="4"/>
              </w:rPr>
            </w:r>
          </w:p>
        </w:tc>
        <w:tc>
          <w:tcPr>
            <w:tcW w:w="8200" w:type="dxa"/>
            <w:gridSpan w:val="2"/>
            <w:tcBorders/>
            <w:vAlign w:val="center"/>
          </w:tcPr>
          <w:p>
            <w:pPr>
              <w:pStyle w:val="TableContents"/>
              <w:bidi w:val="0"/>
              <w:spacing w:before="0" w:after="283"/>
              <w:jc w:val="left"/>
              <w:rPr>
                <w:sz w:val="4"/>
                <w:szCs w:val="4"/>
              </w:rPr>
            </w:pPr>
            <w:r>
              <w:rPr>
                <w:sz w:val="4"/>
                <w:szCs w:val="4"/>
              </w:rPr>
            </w:r>
          </w:p>
        </w:tc>
        <w:tc>
          <w:tcPr>
            <w:tcW w:w="524" w:type="dxa"/>
            <w:gridSpan w:val="4"/>
            <w:tcBorders/>
            <w:vAlign w:val="center"/>
          </w:tcPr>
          <w:p>
            <w:pPr>
              <w:pStyle w:val="TableContents"/>
              <w:bidi w:val="0"/>
              <w:spacing w:before="0" w:after="283"/>
              <w:jc w:val="left"/>
              <w:rPr>
                <w:sz w:val="4"/>
                <w:szCs w:val="4"/>
              </w:rPr>
            </w:pPr>
            <w:r>
              <w:rPr>
                <w:sz w:val="4"/>
                <w:szCs w:val="4"/>
              </w:rPr>
            </w:r>
          </w:p>
        </w:tc>
      </w:tr>
      <w:tr>
        <w:trPr/>
        <w:tc>
          <w:tcPr>
            <w:tcW w:w="148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7.1.</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Financial and Business Information</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48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7.2.</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Visitation</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48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7.3.</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Electronic Delivery</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1481" w:type="dxa"/>
            <w:tcBorders/>
            <w:vAlign w:val="center"/>
          </w:tcPr>
          <w:p>
            <w:pPr>
              <w:pStyle w:val="TableContents"/>
              <w:bidi w:val="0"/>
              <w:spacing w:before="0" w:after="283"/>
              <w:jc w:val="left"/>
              <w:rPr>
                <w:sz w:val="4"/>
                <w:szCs w:val="4"/>
              </w:rPr>
            </w:pPr>
            <w:r>
              <w:rPr>
                <w:sz w:val="4"/>
                <w:szCs w:val="4"/>
              </w:rPr>
            </w:r>
          </w:p>
        </w:tc>
        <w:tc>
          <w:tcPr>
            <w:tcW w:w="8200" w:type="dxa"/>
            <w:gridSpan w:val="2"/>
            <w:tcBorders/>
            <w:vAlign w:val="center"/>
          </w:tcPr>
          <w:p>
            <w:pPr>
              <w:pStyle w:val="TableContents"/>
              <w:bidi w:val="0"/>
              <w:spacing w:before="0" w:after="283"/>
              <w:jc w:val="left"/>
              <w:rPr>
                <w:sz w:val="4"/>
                <w:szCs w:val="4"/>
              </w:rPr>
            </w:pPr>
            <w:r>
              <w:rPr>
                <w:sz w:val="4"/>
                <w:szCs w:val="4"/>
              </w:rPr>
            </w:r>
          </w:p>
        </w:tc>
        <w:tc>
          <w:tcPr>
            <w:tcW w:w="524" w:type="dxa"/>
            <w:gridSpan w:val="4"/>
            <w:tcBorders/>
            <w:vAlign w:val="center"/>
          </w:tcPr>
          <w:p>
            <w:pPr>
              <w:pStyle w:val="TableContents"/>
              <w:bidi w:val="0"/>
              <w:spacing w:before="0" w:after="283"/>
              <w:jc w:val="left"/>
              <w:rPr>
                <w:sz w:val="4"/>
                <w:szCs w:val="4"/>
              </w:rPr>
            </w:pPr>
            <w:r>
              <w:rPr>
                <w:sz w:val="4"/>
                <w:szCs w:val="4"/>
              </w:rPr>
            </w:r>
          </w:p>
        </w:tc>
      </w:tr>
      <w:tr>
        <w:trPr/>
        <w:tc>
          <w:tcPr>
            <w:tcW w:w="1481" w:type="dxa"/>
            <w:tcBorders/>
          </w:tcPr>
          <w:p>
            <w:pPr>
              <w:pStyle w:val="TableContents"/>
              <w:bidi w:val="0"/>
              <w:spacing w:before="0" w:after="0"/>
              <w:jc w:val="left"/>
              <w:rPr>
                <w:rFonts w:ascii="Times New Roman" w:hAnsi="Times New Roman"/>
                <w:sz w:val="20"/>
              </w:rPr>
            </w:pPr>
            <w:r>
              <w:rPr>
                <w:rFonts w:ascii="Times New Roman" w:hAnsi="Times New Roman"/>
                <w:sz w:val="20"/>
              </w:rPr>
              <w:t>SECTION 8.</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PAYMENT AND PREPAYMENT OF THE NOTES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1481" w:type="dxa"/>
            <w:tcBorders/>
            <w:vAlign w:val="center"/>
          </w:tcPr>
          <w:p>
            <w:pPr>
              <w:pStyle w:val="TableContents"/>
              <w:bidi w:val="0"/>
              <w:spacing w:before="0" w:after="283"/>
              <w:jc w:val="left"/>
              <w:rPr>
                <w:sz w:val="4"/>
                <w:szCs w:val="4"/>
              </w:rPr>
            </w:pPr>
            <w:r>
              <w:rPr>
                <w:sz w:val="4"/>
                <w:szCs w:val="4"/>
              </w:rPr>
            </w:r>
          </w:p>
        </w:tc>
        <w:tc>
          <w:tcPr>
            <w:tcW w:w="8200" w:type="dxa"/>
            <w:gridSpan w:val="2"/>
            <w:tcBorders/>
            <w:vAlign w:val="center"/>
          </w:tcPr>
          <w:p>
            <w:pPr>
              <w:pStyle w:val="TableContents"/>
              <w:bidi w:val="0"/>
              <w:spacing w:before="0" w:after="283"/>
              <w:jc w:val="left"/>
              <w:rPr>
                <w:sz w:val="4"/>
                <w:szCs w:val="4"/>
              </w:rPr>
            </w:pPr>
            <w:r>
              <w:rPr>
                <w:sz w:val="4"/>
                <w:szCs w:val="4"/>
              </w:rPr>
            </w:r>
          </w:p>
        </w:tc>
        <w:tc>
          <w:tcPr>
            <w:tcW w:w="524" w:type="dxa"/>
            <w:gridSpan w:val="4"/>
            <w:tcBorders/>
            <w:vAlign w:val="center"/>
          </w:tcPr>
          <w:p>
            <w:pPr>
              <w:pStyle w:val="TableContents"/>
              <w:bidi w:val="0"/>
              <w:spacing w:before="0" w:after="283"/>
              <w:jc w:val="left"/>
              <w:rPr>
                <w:sz w:val="4"/>
                <w:szCs w:val="4"/>
              </w:rPr>
            </w:pPr>
            <w:r>
              <w:rPr>
                <w:sz w:val="4"/>
                <w:szCs w:val="4"/>
              </w:rPr>
            </w:r>
          </w:p>
        </w:tc>
      </w:tr>
      <w:tr>
        <w:trPr/>
        <w:tc>
          <w:tcPr>
            <w:tcW w:w="148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8.1.</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Maturity</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48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8.2.</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Optional Prepayments with Prepayment Settlement Amount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48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8.3.</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Allocation of Partial Prepayments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48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8.4.</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Maturity; Surrender, Etc.</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48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8.5.</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Purchase of Notes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48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8.6.</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Prepayment Settlement Amount; Make-Whole Amount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48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8.7.</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Payments Due on Non-Business Days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48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8.8.</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Change of Control</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rHeight w:val="120" w:hRule="atLeast"/>
        </w:trPr>
        <w:tc>
          <w:tcPr>
            <w:tcW w:w="1481" w:type="dxa"/>
            <w:tcBorders/>
            <w:vAlign w:val="center"/>
          </w:tcPr>
          <w:p>
            <w:pPr>
              <w:pStyle w:val="TableContents"/>
              <w:bidi w:val="0"/>
              <w:spacing w:before="0" w:after="283"/>
              <w:jc w:val="left"/>
              <w:rPr>
                <w:sz w:val="4"/>
                <w:szCs w:val="4"/>
              </w:rPr>
            </w:pPr>
            <w:r>
              <w:rPr>
                <w:sz w:val="4"/>
                <w:szCs w:val="4"/>
              </w:rPr>
            </w:r>
          </w:p>
        </w:tc>
        <w:tc>
          <w:tcPr>
            <w:tcW w:w="8200" w:type="dxa"/>
            <w:gridSpan w:val="2"/>
            <w:tcBorders/>
            <w:vAlign w:val="center"/>
          </w:tcPr>
          <w:p>
            <w:pPr>
              <w:pStyle w:val="TableContents"/>
              <w:bidi w:val="0"/>
              <w:spacing w:before="0" w:after="283"/>
              <w:jc w:val="left"/>
              <w:rPr>
                <w:sz w:val="4"/>
                <w:szCs w:val="4"/>
              </w:rPr>
            </w:pPr>
            <w:r>
              <w:rPr>
                <w:sz w:val="4"/>
                <w:szCs w:val="4"/>
              </w:rPr>
            </w:r>
          </w:p>
        </w:tc>
        <w:tc>
          <w:tcPr>
            <w:tcW w:w="524" w:type="dxa"/>
            <w:gridSpan w:val="4"/>
            <w:tcBorders/>
            <w:vAlign w:val="center"/>
          </w:tcPr>
          <w:p>
            <w:pPr>
              <w:pStyle w:val="TableContents"/>
              <w:bidi w:val="0"/>
              <w:spacing w:before="0" w:after="283"/>
              <w:jc w:val="left"/>
              <w:rPr>
                <w:sz w:val="4"/>
                <w:szCs w:val="4"/>
              </w:rPr>
            </w:pPr>
            <w:r>
              <w:rPr>
                <w:sz w:val="4"/>
                <w:szCs w:val="4"/>
              </w:rPr>
            </w:r>
          </w:p>
        </w:tc>
      </w:tr>
      <w:tr>
        <w:trPr/>
        <w:tc>
          <w:tcPr>
            <w:tcW w:w="1481" w:type="dxa"/>
            <w:tcBorders/>
          </w:tcPr>
          <w:p>
            <w:pPr>
              <w:pStyle w:val="TableContents"/>
              <w:bidi w:val="0"/>
              <w:spacing w:before="0" w:after="0"/>
              <w:jc w:val="left"/>
              <w:rPr>
                <w:rFonts w:ascii="Times New Roman" w:hAnsi="Times New Roman"/>
                <w:sz w:val="20"/>
              </w:rPr>
            </w:pPr>
            <w:r>
              <w:rPr>
                <w:rFonts w:ascii="Times New Roman" w:hAnsi="Times New Roman"/>
                <w:sz w:val="20"/>
              </w:rPr>
              <w:t>SECTION 9.</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AFFIRMATIVE COVENANTS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120" w:hRule="atLeast"/>
        </w:trPr>
        <w:tc>
          <w:tcPr>
            <w:tcW w:w="1481" w:type="dxa"/>
            <w:tcBorders/>
            <w:vAlign w:val="center"/>
          </w:tcPr>
          <w:p>
            <w:pPr>
              <w:pStyle w:val="TableContents"/>
              <w:bidi w:val="0"/>
              <w:spacing w:before="0" w:after="283"/>
              <w:jc w:val="left"/>
              <w:rPr>
                <w:sz w:val="4"/>
                <w:szCs w:val="4"/>
              </w:rPr>
            </w:pPr>
            <w:r>
              <w:rPr>
                <w:sz w:val="4"/>
                <w:szCs w:val="4"/>
              </w:rPr>
            </w:r>
          </w:p>
        </w:tc>
        <w:tc>
          <w:tcPr>
            <w:tcW w:w="8200" w:type="dxa"/>
            <w:gridSpan w:val="2"/>
            <w:tcBorders/>
            <w:vAlign w:val="center"/>
          </w:tcPr>
          <w:p>
            <w:pPr>
              <w:pStyle w:val="TableContents"/>
              <w:bidi w:val="0"/>
              <w:spacing w:before="0" w:after="283"/>
              <w:jc w:val="left"/>
              <w:rPr>
                <w:sz w:val="4"/>
                <w:szCs w:val="4"/>
              </w:rPr>
            </w:pPr>
            <w:r>
              <w:rPr>
                <w:sz w:val="4"/>
                <w:szCs w:val="4"/>
              </w:rPr>
            </w:r>
          </w:p>
        </w:tc>
        <w:tc>
          <w:tcPr>
            <w:tcW w:w="524" w:type="dxa"/>
            <w:gridSpan w:val="4"/>
            <w:tcBorders/>
            <w:vAlign w:val="center"/>
          </w:tcPr>
          <w:p>
            <w:pPr>
              <w:pStyle w:val="TableContents"/>
              <w:bidi w:val="0"/>
              <w:spacing w:before="0" w:after="283"/>
              <w:jc w:val="left"/>
              <w:rPr>
                <w:sz w:val="4"/>
                <w:szCs w:val="4"/>
              </w:rPr>
            </w:pPr>
            <w:r>
              <w:rPr>
                <w:sz w:val="4"/>
                <w:szCs w:val="4"/>
              </w:rPr>
            </w:r>
          </w:p>
        </w:tc>
      </w:tr>
      <w:tr>
        <w:trPr/>
        <w:tc>
          <w:tcPr>
            <w:tcW w:w="148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9.1.</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Compliance with Laws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48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9.2.</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Insurance</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48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9.3.</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Maintenance of Properties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48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9.4.</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Payment of Taxes and Claims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48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9.5.</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Corporate Existence, Etc.</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48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9.6.</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Books and Records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48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9.7.</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Maintenance of Credit Rating</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48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9.8.</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DTC</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1481" w:type="dxa"/>
            <w:tcBorders/>
            <w:vAlign w:val="center"/>
          </w:tcPr>
          <w:p>
            <w:pPr>
              <w:pStyle w:val="TableContents"/>
              <w:bidi w:val="0"/>
              <w:spacing w:before="0" w:after="283"/>
              <w:jc w:val="left"/>
              <w:rPr>
                <w:sz w:val="4"/>
                <w:szCs w:val="4"/>
              </w:rPr>
            </w:pPr>
            <w:r>
              <w:rPr>
                <w:sz w:val="4"/>
                <w:szCs w:val="4"/>
              </w:rPr>
            </w:r>
          </w:p>
        </w:tc>
        <w:tc>
          <w:tcPr>
            <w:tcW w:w="8200" w:type="dxa"/>
            <w:gridSpan w:val="2"/>
            <w:tcBorders/>
            <w:vAlign w:val="center"/>
          </w:tcPr>
          <w:p>
            <w:pPr>
              <w:pStyle w:val="TableContents"/>
              <w:bidi w:val="0"/>
              <w:spacing w:before="0" w:after="283"/>
              <w:jc w:val="left"/>
              <w:rPr>
                <w:sz w:val="4"/>
                <w:szCs w:val="4"/>
              </w:rPr>
            </w:pPr>
            <w:r>
              <w:rPr>
                <w:sz w:val="4"/>
                <w:szCs w:val="4"/>
              </w:rPr>
            </w:r>
          </w:p>
        </w:tc>
        <w:tc>
          <w:tcPr>
            <w:tcW w:w="524" w:type="dxa"/>
            <w:gridSpan w:val="4"/>
            <w:tcBorders/>
            <w:vAlign w:val="center"/>
          </w:tcPr>
          <w:p>
            <w:pPr>
              <w:pStyle w:val="TableContents"/>
              <w:bidi w:val="0"/>
              <w:spacing w:before="0" w:after="283"/>
              <w:jc w:val="left"/>
              <w:rPr>
                <w:sz w:val="4"/>
                <w:szCs w:val="4"/>
              </w:rPr>
            </w:pPr>
            <w:r>
              <w:rPr>
                <w:sz w:val="4"/>
                <w:szCs w:val="4"/>
              </w:rPr>
            </w:r>
          </w:p>
        </w:tc>
      </w:tr>
      <w:tr>
        <w:trPr/>
        <w:tc>
          <w:tcPr>
            <w:tcW w:w="1481" w:type="dxa"/>
            <w:tcBorders/>
          </w:tcPr>
          <w:p>
            <w:pPr>
              <w:pStyle w:val="TableContents"/>
              <w:bidi w:val="0"/>
              <w:spacing w:before="0" w:after="0"/>
              <w:jc w:val="left"/>
              <w:rPr>
                <w:rFonts w:ascii="Times New Roman" w:hAnsi="Times New Roman"/>
                <w:sz w:val="20"/>
              </w:rPr>
            </w:pPr>
            <w:r>
              <w:rPr>
                <w:rFonts w:ascii="Times New Roman" w:hAnsi="Times New Roman"/>
                <w:sz w:val="20"/>
              </w:rPr>
              <w:t>SECTION 10.</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NEGATIVE COVENANTS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1481" w:type="dxa"/>
            <w:tcBorders/>
            <w:vAlign w:val="center"/>
          </w:tcPr>
          <w:p>
            <w:pPr>
              <w:pStyle w:val="TableContents"/>
              <w:bidi w:val="0"/>
              <w:spacing w:before="0" w:after="283"/>
              <w:jc w:val="left"/>
              <w:rPr>
                <w:sz w:val="4"/>
                <w:szCs w:val="4"/>
              </w:rPr>
            </w:pPr>
            <w:r>
              <w:rPr>
                <w:sz w:val="4"/>
                <w:szCs w:val="4"/>
              </w:rPr>
            </w:r>
          </w:p>
        </w:tc>
        <w:tc>
          <w:tcPr>
            <w:tcW w:w="8200" w:type="dxa"/>
            <w:gridSpan w:val="2"/>
            <w:tcBorders/>
            <w:vAlign w:val="center"/>
          </w:tcPr>
          <w:p>
            <w:pPr>
              <w:pStyle w:val="TableContents"/>
              <w:bidi w:val="0"/>
              <w:spacing w:before="0" w:after="283"/>
              <w:jc w:val="left"/>
              <w:rPr>
                <w:sz w:val="4"/>
                <w:szCs w:val="4"/>
              </w:rPr>
            </w:pPr>
            <w:r>
              <w:rPr>
                <w:sz w:val="4"/>
                <w:szCs w:val="4"/>
              </w:rPr>
            </w:r>
          </w:p>
        </w:tc>
        <w:tc>
          <w:tcPr>
            <w:tcW w:w="524" w:type="dxa"/>
            <w:gridSpan w:val="4"/>
            <w:tcBorders/>
            <w:vAlign w:val="center"/>
          </w:tcPr>
          <w:p>
            <w:pPr>
              <w:pStyle w:val="TableContents"/>
              <w:bidi w:val="0"/>
              <w:spacing w:before="0" w:after="283"/>
              <w:jc w:val="left"/>
              <w:rPr>
                <w:sz w:val="4"/>
                <w:szCs w:val="4"/>
              </w:rPr>
            </w:pPr>
            <w:r>
              <w:rPr>
                <w:sz w:val="4"/>
                <w:szCs w:val="4"/>
              </w:rPr>
            </w:r>
          </w:p>
        </w:tc>
      </w:tr>
      <w:tr>
        <w:trPr/>
        <w:tc>
          <w:tcPr>
            <w:tcW w:w="148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10.1.</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Transactions with Affiliates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48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10.2.</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Merger, Consolidation, Etc.</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48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10.3.</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Economic Sanctions, Etc.</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48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10.4.</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Liens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481"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10.5.</w:t>
            </w:r>
          </w:p>
        </w:tc>
        <w:tc>
          <w:tcPr>
            <w:tcW w:w="91" w:type="dxa"/>
            <w:tcBorders/>
            <w:vAlign w:val="bottom"/>
          </w:tcPr>
          <w:p>
            <w:pPr>
              <w:pStyle w:val="TableContents"/>
              <w:bidi w:val="0"/>
              <w:spacing w:before="0" w:after="283"/>
              <w:jc w:val="left"/>
              <w:rPr/>
            </w:pPr>
            <w:r>
              <w:rPr/>
              <w:t> </w:t>
            </w:r>
          </w:p>
        </w:tc>
        <w:tc>
          <w:tcPr>
            <w:tcW w:w="8109" w:type="dxa"/>
            <w:tcBorders/>
            <w:vAlign w:val="bottom"/>
          </w:tcPr>
          <w:p>
            <w:pPr>
              <w:pStyle w:val="TableContents"/>
              <w:bidi w:val="0"/>
              <w:spacing w:before="0" w:after="283"/>
              <w:jc w:val="left"/>
              <w:rPr/>
            </w:pPr>
            <w:r>
              <w:rPr/>
              <w:t>Consolidated Asset Coverage Ratio</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TABLE OF CONTENTS (continued) </w:t>
      </w:r>
    </w:p>
    <w:p>
      <w:pPr>
        <w:pStyle w:val="TextBody"/>
        <w:bidi w:val="0"/>
        <w:spacing w:before="0" w:after="0"/>
        <w:jc w:val="left"/>
        <w:rPr/>
      </w:pPr>
      <w:r>
        <w:rPr/>
        <w:t> </w:t>
      </w:r>
    </w:p>
    <w:tbl>
      <w:tblPr>
        <w:tblW w:w="10455" w:type="dxa"/>
        <w:jc w:val="center"/>
        <w:tblInd w:w="0" w:type="dxa"/>
        <w:tblLayout w:type="fixed"/>
        <w:tblCellMar>
          <w:top w:w="0" w:type="dxa"/>
          <w:left w:w="0" w:type="dxa"/>
          <w:bottom w:w="0" w:type="dxa"/>
          <w:right w:w="0" w:type="dxa"/>
        </w:tblCellMar>
      </w:tblPr>
      <w:tblGrid>
        <w:gridCol w:w="1085"/>
        <w:gridCol w:w="60"/>
        <w:gridCol w:w="8810"/>
        <w:gridCol w:w="120"/>
        <w:gridCol w:w="60"/>
        <w:gridCol w:w="260"/>
        <w:gridCol w:w="60"/>
      </w:tblGrid>
      <w:tr>
        <w:trPr/>
        <w:tc>
          <w:tcPr>
            <w:tcW w:w="10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8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60"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283"/>
              <w:jc w:val="left"/>
              <w:rPr/>
            </w:pPr>
            <w:r>
              <w:rPr/>
              <w:t>EVENTS OF DEFAULT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0" w:type="dxa"/>
            <w:tcBorders/>
            <w:vAlign w:val="bottom"/>
          </w:tcPr>
          <w:p>
            <w:pPr>
              <w:pStyle w:val="TableContents"/>
              <w:bidi w:val="0"/>
              <w:spacing w:before="0" w:after="283"/>
              <w:jc w:val="left"/>
              <w:rPr/>
            </w:pPr>
            <w:r>
              <w:rPr/>
              <w:t> </w:t>
            </w:r>
          </w:p>
        </w:tc>
      </w:tr>
      <w:tr>
        <w:trPr>
          <w:trHeight w:val="120" w:hRule="atLeast"/>
        </w:trPr>
        <w:tc>
          <w:tcPr>
            <w:tcW w:w="1085" w:type="dxa"/>
            <w:tcBorders/>
            <w:vAlign w:val="center"/>
          </w:tcPr>
          <w:p>
            <w:pPr>
              <w:pStyle w:val="TableContents"/>
              <w:bidi w:val="0"/>
              <w:spacing w:before="0" w:after="283"/>
              <w:jc w:val="left"/>
              <w:rPr>
                <w:sz w:val="4"/>
                <w:szCs w:val="4"/>
              </w:rPr>
            </w:pPr>
            <w:r>
              <w:rPr>
                <w:sz w:val="4"/>
                <w:szCs w:val="4"/>
              </w:rPr>
            </w:r>
          </w:p>
        </w:tc>
        <w:tc>
          <w:tcPr>
            <w:tcW w:w="887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60"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283"/>
              <w:jc w:val="left"/>
              <w:rPr/>
            </w:pPr>
            <w:r>
              <w:rPr/>
              <w:t>REMEDIES ON DEFAULT, ETC.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rHeight w:val="120" w:hRule="atLeast"/>
        </w:trPr>
        <w:tc>
          <w:tcPr>
            <w:tcW w:w="1085" w:type="dxa"/>
            <w:tcBorders/>
            <w:vAlign w:val="center"/>
          </w:tcPr>
          <w:p>
            <w:pPr>
              <w:pStyle w:val="TableContents"/>
              <w:bidi w:val="0"/>
              <w:spacing w:before="0" w:after="283"/>
              <w:jc w:val="left"/>
              <w:rPr>
                <w:sz w:val="4"/>
                <w:szCs w:val="4"/>
              </w:rPr>
            </w:pPr>
            <w:r>
              <w:rPr>
                <w:sz w:val="4"/>
                <w:szCs w:val="4"/>
              </w:rPr>
            </w:r>
          </w:p>
        </w:tc>
        <w:tc>
          <w:tcPr>
            <w:tcW w:w="887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12.1.</w:t>
            </w:r>
          </w:p>
        </w:tc>
        <w:tc>
          <w:tcPr>
            <w:tcW w:w="60"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283"/>
              <w:jc w:val="left"/>
              <w:rPr/>
            </w:pPr>
            <w:r>
              <w:rPr/>
              <w:t>Acceleration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12.2.</w:t>
            </w:r>
          </w:p>
        </w:tc>
        <w:tc>
          <w:tcPr>
            <w:tcW w:w="60"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283"/>
              <w:jc w:val="left"/>
              <w:rPr/>
            </w:pPr>
            <w:r>
              <w:rPr/>
              <w:t>Other Remedies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12.3.</w:t>
            </w:r>
          </w:p>
        </w:tc>
        <w:tc>
          <w:tcPr>
            <w:tcW w:w="60"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283"/>
              <w:jc w:val="left"/>
              <w:rPr/>
            </w:pPr>
            <w:r>
              <w:rPr/>
              <w:t>Rescission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12.4.</w:t>
            </w:r>
          </w:p>
        </w:tc>
        <w:tc>
          <w:tcPr>
            <w:tcW w:w="60"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283"/>
              <w:jc w:val="left"/>
              <w:rPr/>
            </w:pPr>
            <w:r>
              <w:rPr/>
              <w:t>No Waivers or Election of Remedies, Expenses, Etc.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r>
      <w:tr>
        <w:trPr>
          <w:trHeight w:val="120" w:hRule="atLeast"/>
        </w:trPr>
        <w:tc>
          <w:tcPr>
            <w:tcW w:w="1085" w:type="dxa"/>
            <w:tcBorders/>
            <w:vAlign w:val="center"/>
          </w:tcPr>
          <w:p>
            <w:pPr>
              <w:pStyle w:val="TableContents"/>
              <w:bidi w:val="0"/>
              <w:spacing w:before="0" w:after="283"/>
              <w:jc w:val="left"/>
              <w:rPr>
                <w:sz w:val="4"/>
                <w:szCs w:val="4"/>
              </w:rPr>
            </w:pPr>
            <w:r>
              <w:rPr>
                <w:sz w:val="4"/>
                <w:szCs w:val="4"/>
              </w:rPr>
            </w:r>
          </w:p>
        </w:tc>
        <w:tc>
          <w:tcPr>
            <w:tcW w:w="887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60"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283"/>
              <w:jc w:val="left"/>
              <w:rPr/>
            </w:pPr>
            <w:r>
              <w:rPr/>
              <w:t>REGISTRATION; EXCHANGE; SUBSTITUTION OF NOTES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r>
      <w:tr>
        <w:trPr>
          <w:trHeight w:val="120" w:hRule="atLeast"/>
        </w:trPr>
        <w:tc>
          <w:tcPr>
            <w:tcW w:w="1085" w:type="dxa"/>
            <w:tcBorders/>
            <w:vAlign w:val="center"/>
          </w:tcPr>
          <w:p>
            <w:pPr>
              <w:pStyle w:val="TableContents"/>
              <w:bidi w:val="0"/>
              <w:spacing w:before="0" w:after="283"/>
              <w:jc w:val="left"/>
              <w:rPr>
                <w:sz w:val="4"/>
                <w:szCs w:val="4"/>
              </w:rPr>
            </w:pPr>
            <w:r>
              <w:rPr>
                <w:sz w:val="4"/>
                <w:szCs w:val="4"/>
              </w:rPr>
            </w:r>
          </w:p>
        </w:tc>
        <w:tc>
          <w:tcPr>
            <w:tcW w:w="887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13.1.</w:t>
            </w:r>
          </w:p>
        </w:tc>
        <w:tc>
          <w:tcPr>
            <w:tcW w:w="60"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283"/>
              <w:jc w:val="left"/>
              <w:rPr/>
            </w:pPr>
            <w:r>
              <w:rPr/>
              <w:t>Registration of Notes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29</w:t>
            </w:r>
          </w:p>
        </w:tc>
        <w:tc>
          <w:tcPr>
            <w:tcW w:w="60" w:type="dxa"/>
            <w:tcBorders/>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13.2.</w:t>
            </w:r>
          </w:p>
        </w:tc>
        <w:tc>
          <w:tcPr>
            <w:tcW w:w="60"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283"/>
              <w:jc w:val="left"/>
              <w:rPr/>
            </w:pPr>
            <w:r>
              <w:rPr/>
              <w:t>Global Notes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0" w:type="dxa"/>
            <w:tcBorders/>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13.3.</w:t>
            </w:r>
          </w:p>
        </w:tc>
        <w:tc>
          <w:tcPr>
            <w:tcW w:w="60"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283"/>
              <w:jc w:val="left"/>
              <w:rPr/>
            </w:pPr>
            <w:r>
              <w:rPr/>
              <w:t>Transfer and Exchange of Notes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13.4.</w:t>
            </w:r>
          </w:p>
        </w:tc>
        <w:tc>
          <w:tcPr>
            <w:tcW w:w="60"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283"/>
              <w:jc w:val="left"/>
              <w:rPr/>
            </w:pPr>
            <w:r>
              <w:rPr/>
              <w:t>Replacement of Notes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r>
      <w:tr>
        <w:trPr>
          <w:trHeight w:val="120" w:hRule="atLeast"/>
        </w:trPr>
        <w:tc>
          <w:tcPr>
            <w:tcW w:w="1085" w:type="dxa"/>
            <w:tcBorders/>
            <w:vAlign w:val="center"/>
          </w:tcPr>
          <w:p>
            <w:pPr>
              <w:pStyle w:val="TableContents"/>
              <w:bidi w:val="0"/>
              <w:spacing w:before="0" w:after="283"/>
              <w:jc w:val="left"/>
              <w:rPr>
                <w:sz w:val="4"/>
                <w:szCs w:val="4"/>
              </w:rPr>
            </w:pPr>
            <w:r>
              <w:rPr>
                <w:sz w:val="4"/>
                <w:szCs w:val="4"/>
              </w:rPr>
            </w:r>
          </w:p>
        </w:tc>
        <w:tc>
          <w:tcPr>
            <w:tcW w:w="887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Times New Roman" w:hAnsi="Times New Roman"/>
                <w:sz w:val="20"/>
              </w:rPr>
            </w:pPr>
            <w:r>
              <w:rPr>
                <w:rFonts w:ascii="Times New Roman" w:hAnsi="Times New Roman"/>
                <w:sz w:val="20"/>
              </w:rPr>
              <w:t>SECTION 14.</w:t>
            </w:r>
          </w:p>
        </w:tc>
        <w:tc>
          <w:tcPr>
            <w:tcW w:w="60"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283"/>
              <w:jc w:val="left"/>
              <w:rPr/>
            </w:pPr>
            <w:r>
              <w:rPr/>
              <w:t>PAYMENTS ON NOTES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r>
      <w:tr>
        <w:trPr>
          <w:trHeight w:val="120" w:hRule="atLeast"/>
        </w:trPr>
        <w:tc>
          <w:tcPr>
            <w:tcW w:w="1085" w:type="dxa"/>
            <w:tcBorders/>
            <w:vAlign w:val="center"/>
          </w:tcPr>
          <w:p>
            <w:pPr>
              <w:pStyle w:val="TableContents"/>
              <w:bidi w:val="0"/>
              <w:spacing w:before="0" w:after="283"/>
              <w:jc w:val="left"/>
              <w:rPr>
                <w:sz w:val="4"/>
                <w:szCs w:val="4"/>
              </w:rPr>
            </w:pPr>
            <w:r>
              <w:rPr>
                <w:sz w:val="4"/>
                <w:szCs w:val="4"/>
              </w:rPr>
            </w:r>
          </w:p>
        </w:tc>
        <w:tc>
          <w:tcPr>
            <w:tcW w:w="887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14.1.</w:t>
            </w:r>
          </w:p>
        </w:tc>
        <w:tc>
          <w:tcPr>
            <w:tcW w:w="60"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283"/>
              <w:jc w:val="left"/>
              <w:rPr/>
            </w:pPr>
            <w:r>
              <w:rPr/>
              <w:t>Place of Payment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14.2.</w:t>
            </w:r>
          </w:p>
        </w:tc>
        <w:tc>
          <w:tcPr>
            <w:tcW w:w="60"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283"/>
              <w:jc w:val="left"/>
              <w:rPr/>
            </w:pPr>
            <w:r>
              <w:rPr/>
              <w:t>Payment by Wire Transfer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14.3.</w:t>
            </w:r>
          </w:p>
        </w:tc>
        <w:tc>
          <w:tcPr>
            <w:tcW w:w="60"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283"/>
              <w:jc w:val="left"/>
              <w:rPr/>
            </w:pPr>
            <w:r>
              <w:rPr/>
              <w:t>Tax Forms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33</w:t>
            </w:r>
          </w:p>
        </w:tc>
        <w:tc>
          <w:tcPr>
            <w:tcW w:w="60" w:type="dxa"/>
            <w:tcBorders/>
            <w:vAlign w:val="bottom"/>
          </w:tcPr>
          <w:p>
            <w:pPr>
              <w:pStyle w:val="TableContents"/>
              <w:bidi w:val="0"/>
              <w:spacing w:before="0" w:after="283"/>
              <w:jc w:val="left"/>
              <w:rPr/>
            </w:pPr>
            <w:r>
              <w:rPr/>
              <w:t> </w:t>
            </w:r>
          </w:p>
        </w:tc>
      </w:tr>
      <w:tr>
        <w:trPr>
          <w:trHeight w:val="120" w:hRule="atLeast"/>
        </w:trPr>
        <w:tc>
          <w:tcPr>
            <w:tcW w:w="1085" w:type="dxa"/>
            <w:tcBorders/>
            <w:vAlign w:val="center"/>
          </w:tcPr>
          <w:p>
            <w:pPr>
              <w:pStyle w:val="TableContents"/>
              <w:bidi w:val="0"/>
              <w:spacing w:before="0" w:after="283"/>
              <w:jc w:val="left"/>
              <w:rPr>
                <w:sz w:val="4"/>
                <w:szCs w:val="4"/>
              </w:rPr>
            </w:pPr>
            <w:r>
              <w:rPr>
                <w:sz w:val="4"/>
                <w:szCs w:val="4"/>
              </w:rPr>
            </w:r>
          </w:p>
        </w:tc>
        <w:tc>
          <w:tcPr>
            <w:tcW w:w="887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Times New Roman" w:hAnsi="Times New Roman"/>
                <w:sz w:val="20"/>
              </w:rPr>
            </w:pPr>
            <w:r>
              <w:rPr>
                <w:rFonts w:ascii="Times New Roman" w:hAnsi="Times New Roman"/>
                <w:sz w:val="20"/>
              </w:rPr>
              <w:t>SECTION 15.</w:t>
            </w:r>
          </w:p>
        </w:tc>
        <w:tc>
          <w:tcPr>
            <w:tcW w:w="60"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283"/>
              <w:jc w:val="left"/>
              <w:rPr/>
            </w:pPr>
            <w:r>
              <w:rPr/>
              <w:t>EXPENSES, ETC.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r>
      <w:tr>
        <w:trPr>
          <w:trHeight w:val="120" w:hRule="atLeast"/>
        </w:trPr>
        <w:tc>
          <w:tcPr>
            <w:tcW w:w="1085" w:type="dxa"/>
            <w:tcBorders/>
            <w:vAlign w:val="center"/>
          </w:tcPr>
          <w:p>
            <w:pPr>
              <w:pStyle w:val="TableContents"/>
              <w:bidi w:val="0"/>
              <w:spacing w:before="0" w:after="283"/>
              <w:jc w:val="left"/>
              <w:rPr>
                <w:sz w:val="4"/>
                <w:szCs w:val="4"/>
              </w:rPr>
            </w:pPr>
            <w:r>
              <w:rPr>
                <w:sz w:val="4"/>
                <w:szCs w:val="4"/>
              </w:rPr>
            </w:r>
          </w:p>
        </w:tc>
        <w:tc>
          <w:tcPr>
            <w:tcW w:w="887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15.1.</w:t>
            </w:r>
          </w:p>
        </w:tc>
        <w:tc>
          <w:tcPr>
            <w:tcW w:w="60"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283"/>
              <w:jc w:val="left"/>
              <w:rPr/>
            </w:pPr>
            <w:r>
              <w:rPr/>
              <w:t>Transaction Expenses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0" w:type="dxa"/>
            <w:tcBorders/>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15.2.</w:t>
            </w:r>
          </w:p>
        </w:tc>
        <w:tc>
          <w:tcPr>
            <w:tcW w:w="60"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283"/>
              <w:jc w:val="left"/>
              <w:rPr/>
            </w:pPr>
            <w:r>
              <w:rPr/>
              <w:t>Certain Taxes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15.3.</w:t>
            </w:r>
          </w:p>
        </w:tc>
        <w:tc>
          <w:tcPr>
            <w:tcW w:w="60"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283"/>
              <w:jc w:val="left"/>
              <w:rPr/>
            </w:pPr>
            <w:r>
              <w:rPr/>
              <w:t>Survival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r>
      <w:tr>
        <w:trPr>
          <w:trHeight w:val="120" w:hRule="atLeast"/>
        </w:trPr>
        <w:tc>
          <w:tcPr>
            <w:tcW w:w="1085" w:type="dxa"/>
            <w:tcBorders/>
            <w:vAlign w:val="center"/>
          </w:tcPr>
          <w:p>
            <w:pPr>
              <w:pStyle w:val="TableContents"/>
              <w:bidi w:val="0"/>
              <w:spacing w:before="0" w:after="283"/>
              <w:jc w:val="left"/>
              <w:rPr>
                <w:sz w:val="4"/>
                <w:szCs w:val="4"/>
              </w:rPr>
            </w:pPr>
            <w:r>
              <w:rPr>
                <w:sz w:val="4"/>
                <w:szCs w:val="4"/>
              </w:rPr>
            </w:r>
          </w:p>
        </w:tc>
        <w:tc>
          <w:tcPr>
            <w:tcW w:w="887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Times New Roman" w:hAnsi="Times New Roman"/>
                <w:sz w:val="20"/>
              </w:rPr>
            </w:pPr>
            <w:r>
              <w:rPr>
                <w:rFonts w:ascii="Times New Roman" w:hAnsi="Times New Roman"/>
                <w:sz w:val="20"/>
              </w:rPr>
              <w:t>SECTION 16.</w:t>
            </w:r>
          </w:p>
        </w:tc>
        <w:tc>
          <w:tcPr>
            <w:tcW w:w="60"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283"/>
              <w:jc w:val="left"/>
              <w:rPr/>
            </w:pPr>
            <w:r>
              <w:rPr/>
              <w:t>SURVIVAL OF REPRESENTATIONS AND WARRANTIES; ENTIRE AGREEMENT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r>
      <w:tr>
        <w:trPr>
          <w:trHeight w:val="120" w:hRule="atLeast"/>
        </w:trPr>
        <w:tc>
          <w:tcPr>
            <w:tcW w:w="1085" w:type="dxa"/>
            <w:tcBorders/>
            <w:vAlign w:val="center"/>
          </w:tcPr>
          <w:p>
            <w:pPr>
              <w:pStyle w:val="TableContents"/>
              <w:bidi w:val="0"/>
              <w:spacing w:before="0" w:after="283"/>
              <w:jc w:val="left"/>
              <w:rPr>
                <w:sz w:val="4"/>
                <w:szCs w:val="4"/>
              </w:rPr>
            </w:pPr>
            <w:r>
              <w:rPr>
                <w:sz w:val="4"/>
                <w:szCs w:val="4"/>
              </w:rPr>
            </w:r>
          </w:p>
        </w:tc>
        <w:tc>
          <w:tcPr>
            <w:tcW w:w="887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Times New Roman" w:hAnsi="Times New Roman"/>
                <w:sz w:val="20"/>
              </w:rPr>
            </w:pPr>
            <w:r>
              <w:rPr>
                <w:rFonts w:ascii="Times New Roman" w:hAnsi="Times New Roman"/>
                <w:sz w:val="20"/>
              </w:rPr>
              <w:t>SECTION 17.</w:t>
            </w:r>
          </w:p>
        </w:tc>
        <w:tc>
          <w:tcPr>
            <w:tcW w:w="60"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283"/>
              <w:jc w:val="left"/>
              <w:rPr/>
            </w:pPr>
            <w:r>
              <w:rPr/>
              <w:t>AMENDMENT AND WAIVER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r>
      <w:tr>
        <w:trPr>
          <w:trHeight w:val="120" w:hRule="atLeast"/>
        </w:trPr>
        <w:tc>
          <w:tcPr>
            <w:tcW w:w="1085" w:type="dxa"/>
            <w:tcBorders/>
            <w:vAlign w:val="center"/>
          </w:tcPr>
          <w:p>
            <w:pPr>
              <w:pStyle w:val="TableContents"/>
              <w:bidi w:val="0"/>
              <w:spacing w:before="0" w:after="283"/>
              <w:jc w:val="left"/>
              <w:rPr>
                <w:sz w:val="4"/>
                <w:szCs w:val="4"/>
              </w:rPr>
            </w:pPr>
            <w:r>
              <w:rPr>
                <w:sz w:val="4"/>
                <w:szCs w:val="4"/>
              </w:rPr>
            </w:r>
          </w:p>
        </w:tc>
        <w:tc>
          <w:tcPr>
            <w:tcW w:w="887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17.1.</w:t>
            </w:r>
          </w:p>
        </w:tc>
        <w:tc>
          <w:tcPr>
            <w:tcW w:w="60"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283"/>
              <w:jc w:val="left"/>
              <w:rPr/>
            </w:pPr>
            <w:r>
              <w:rPr/>
              <w:t>Requirements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0" w:type="dxa"/>
            <w:tcBorders/>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17.2.</w:t>
            </w:r>
          </w:p>
        </w:tc>
        <w:tc>
          <w:tcPr>
            <w:tcW w:w="60"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283"/>
              <w:jc w:val="left"/>
              <w:rPr/>
            </w:pPr>
            <w:r>
              <w:rPr/>
              <w:t>Solicitation of Holders of Notes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17.3.</w:t>
            </w:r>
          </w:p>
        </w:tc>
        <w:tc>
          <w:tcPr>
            <w:tcW w:w="60"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283"/>
              <w:jc w:val="left"/>
              <w:rPr/>
            </w:pPr>
            <w:r>
              <w:rPr/>
              <w:t>Binding Effect, Etc.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r>
      <w:tr>
        <w:trPr/>
        <w:tc>
          <w:tcPr>
            <w:tcW w:w="1085"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17.4.</w:t>
            </w:r>
          </w:p>
        </w:tc>
        <w:tc>
          <w:tcPr>
            <w:tcW w:w="60"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283"/>
              <w:jc w:val="left"/>
              <w:rPr/>
            </w:pPr>
            <w:r>
              <w:rPr/>
              <w:t>Notes Held by Company, Etc.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rHeight w:val="120" w:hRule="atLeast"/>
        </w:trPr>
        <w:tc>
          <w:tcPr>
            <w:tcW w:w="1085" w:type="dxa"/>
            <w:tcBorders/>
            <w:vAlign w:val="center"/>
          </w:tcPr>
          <w:p>
            <w:pPr>
              <w:pStyle w:val="TableContents"/>
              <w:bidi w:val="0"/>
              <w:spacing w:before="0" w:after="283"/>
              <w:jc w:val="left"/>
              <w:rPr>
                <w:sz w:val="4"/>
                <w:szCs w:val="4"/>
              </w:rPr>
            </w:pPr>
            <w:r>
              <w:rPr>
                <w:sz w:val="4"/>
                <w:szCs w:val="4"/>
              </w:rPr>
            </w:r>
          </w:p>
        </w:tc>
        <w:tc>
          <w:tcPr>
            <w:tcW w:w="887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Times New Roman" w:hAnsi="Times New Roman"/>
                <w:sz w:val="20"/>
              </w:rPr>
            </w:pPr>
            <w:r>
              <w:rPr>
                <w:rFonts w:ascii="Times New Roman" w:hAnsi="Times New Roman"/>
                <w:sz w:val="20"/>
              </w:rPr>
              <w:t>SECTION 18.</w:t>
            </w:r>
          </w:p>
        </w:tc>
        <w:tc>
          <w:tcPr>
            <w:tcW w:w="60"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283"/>
              <w:jc w:val="left"/>
              <w:rPr/>
            </w:pPr>
            <w:r>
              <w:rPr/>
              <w:t>NOTICES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rHeight w:val="120" w:hRule="atLeast"/>
        </w:trPr>
        <w:tc>
          <w:tcPr>
            <w:tcW w:w="1085" w:type="dxa"/>
            <w:tcBorders/>
            <w:vAlign w:val="center"/>
          </w:tcPr>
          <w:p>
            <w:pPr>
              <w:pStyle w:val="TableContents"/>
              <w:bidi w:val="0"/>
              <w:spacing w:before="0" w:after="283"/>
              <w:jc w:val="left"/>
              <w:rPr>
                <w:sz w:val="4"/>
                <w:szCs w:val="4"/>
              </w:rPr>
            </w:pPr>
            <w:r>
              <w:rPr>
                <w:sz w:val="4"/>
                <w:szCs w:val="4"/>
              </w:rPr>
            </w:r>
          </w:p>
        </w:tc>
        <w:tc>
          <w:tcPr>
            <w:tcW w:w="887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Times New Roman" w:hAnsi="Times New Roman"/>
                <w:sz w:val="20"/>
              </w:rPr>
            </w:pPr>
            <w:r>
              <w:rPr>
                <w:rFonts w:ascii="Times New Roman" w:hAnsi="Times New Roman"/>
                <w:sz w:val="20"/>
              </w:rPr>
              <w:t>SECTION 19.</w:t>
            </w:r>
          </w:p>
        </w:tc>
        <w:tc>
          <w:tcPr>
            <w:tcW w:w="60"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283"/>
              <w:jc w:val="left"/>
              <w:rPr/>
            </w:pPr>
            <w:r>
              <w:rPr/>
              <w:t>REPRODUCTION OF DOCUMENTS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r>
      <w:tr>
        <w:trPr>
          <w:trHeight w:val="120" w:hRule="atLeast"/>
        </w:trPr>
        <w:tc>
          <w:tcPr>
            <w:tcW w:w="1085" w:type="dxa"/>
            <w:tcBorders/>
            <w:vAlign w:val="center"/>
          </w:tcPr>
          <w:p>
            <w:pPr>
              <w:pStyle w:val="TableContents"/>
              <w:bidi w:val="0"/>
              <w:spacing w:before="0" w:after="283"/>
              <w:jc w:val="left"/>
              <w:rPr>
                <w:sz w:val="4"/>
                <w:szCs w:val="4"/>
              </w:rPr>
            </w:pPr>
            <w:r>
              <w:rPr>
                <w:sz w:val="4"/>
                <w:szCs w:val="4"/>
              </w:rPr>
            </w:r>
          </w:p>
        </w:tc>
        <w:tc>
          <w:tcPr>
            <w:tcW w:w="887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Times New Roman" w:hAnsi="Times New Roman"/>
                <w:sz w:val="20"/>
              </w:rPr>
            </w:pPr>
            <w:r>
              <w:rPr>
                <w:rFonts w:ascii="Times New Roman" w:hAnsi="Times New Roman"/>
                <w:sz w:val="20"/>
              </w:rPr>
              <w:t>SECTION 20.</w:t>
            </w:r>
          </w:p>
        </w:tc>
        <w:tc>
          <w:tcPr>
            <w:tcW w:w="60"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283"/>
              <w:jc w:val="left"/>
              <w:rPr/>
            </w:pPr>
            <w:r>
              <w:rPr/>
              <w:t>CONFIDENTIAL INFORMATION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38</w:t>
            </w:r>
          </w:p>
        </w:tc>
        <w:tc>
          <w:tcPr>
            <w:tcW w:w="60" w:type="dxa"/>
            <w:tcBorders/>
            <w:vAlign w:val="bottom"/>
          </w:tcPr>
          <w:p>
            <w:pPr>
              <w:pStyle w:val="TableContents"/>
              <w:bidi w:val="0"/>
              <w:spacing w:before="0" w:after="283"/>
              <w:jc w:val="left"/>
              <w:rPr/>
            </w:pPr>
            <w:r>
              <w:rPr/>
              <w:t> </w:t>
            </w:r>
          </w:p>
        </w:tc>
      </w:tr>
      <w:tr>
        <w:trPr>
          <w:trHeight w:val="120" w:hRule="atLeast"/>
        </w:trPr>
        <w:tc>
          <w:tcPr>
            <w:tcW w:w="1085" w:type="dxa"/>
            <w:tcBorders/>
            <w:vAlign w:val="center"/>
          </w:tcPr>
          <w:p>
            <w:pPr>
              <w:pStyle w:val="TableContents"/>
              <w:bidi w:val="0"/>
              <w:spacing w:before="0" w:after="283"/>
              <w:jc w:val="left"/>
              <w:rPr>
                <w:sz w:val="4"/>
                <w:szCs w:val="4"/>
              </w:rPr>
            </w:pPr>
            <w:r>
              <w:rPr>
                <w:sz w:val="4"/>
                <w:szCs w:val="4"/>
              </w:rPr>
            </w:r>
          </w:p>
        </w:tc>
        <w:tc>
          <w:tcPr>
            <w:tcW w:w="8870"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085"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60"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283"/>
              <w:jc w:val="left"/>
              <w:rPr/>
            </w:pPr>
            <w:r>
              <w:rPr/>
              <w:t>SUBSTITUTION OF PURCHASER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39</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630"/>
        <w:gridCol w:w="102"/>
        <w:gridCol w:w="7937"/>
        <w:gridCol w:w="150"/>
        <w:gridCol w:w="60"/>
        <w:gridCol w:w="262"/>
        <w:gridCol w:w="64"/>
      </w:tblGrid>
      <w:tr>
        <w:trPr/>
        <w:tc>
          <w:tcPr>
            <w:tcW w:w="163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7937"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630"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102" w:type="dxa"/>
            <w:tcBorders/>
            <w:vAlign w:val="bottom"/>
          </w:tcPr>
          <w:p>
            <w:pPr>
              <w:pStyle w:val="TableContents"/>
              <w:bidi w:val="0"/>
              <w:spacing w:before="0" w:after="283"/>
              <w:jc w:val="left"/>
              <w:rPr/>
            </w:pPr>
            <w:r>
              <w:rPr/>
              <w:t> </w:t>
            </w:r>
          </w:p>
        </w:tc>
        <w:tc>
          <w:tcPr>
            <w:tcW w:w="7937" w:type="dxa"/>
            <w:tcBorders/>
            <w:vAlign w:val="bottom"/>
          </w:tcPr>
          <w:p>
            <w:pPr>
              <w:pStyle w:val="TableContents"/>
              <w:bidi w:val="0"/>
              <w:spacing w:before="0" w:after="283"/>
              <w:jc w:val="left"/>
              <w:rPr/>
            </w:pPr>
            <w:r>
              <w:rPr/>
              <w:t>MISCELLANEOUS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rHeight w:val="120" w:hRule="atLeast"/>
        </w:trPr>
        <w:tc>
          <w:tcPr>
            <w:tcW w:w="1630" w:type="dxa"/>
            <w:tcBorders/>
            <w:vAlign w:val="center"/>
          </w:tcPr>
          <w:p>
            <w:pPr>
              <w:pStyle w:val="TableContents"/>
              <w:bidi w:val="0"/>
              <w:spacing w:before="0" w:after="283"/>
              <w:jc w:val="left"/>
              <w:rPr>
                <w:sz w:val="4"/>
                <w:szCs w:val="4"/>
              </w:rPr>
            </w:pPr>
            <w:r>
              <w:rPr>
                <w:sz w:val="4"/>
                <w:szCs w:val="4"/>
              </w:rPr>
            </w:r>
          </w:p>
        </w:tc>
        <w:tc>
          <w:tcPr>
            <w:tcW w:w="8039" w:type="dxa"/>
            <w:gridSpan w:val="2"/>
            <w:tcBorders/>
            <w:vAlign w:val="center"/>
          </w:tcPr>
          <w:p>
            <w:pPr>
              <w:pStyle w:val="TableContents"/>
              <w:bidi w:val="0"/>
              <w:spacing w:before="0" w:after="283"/>
              <w:jc w:val="left"/>
              <w:rPr>
                <w:sz w:val="4"/>
                <w:szCs w:val="4"/>
              </w:rPr>
            </w:pPr>
            <w:r>
              <w:rPr>
                <w:sz w:val="4"/>
                <w:szCs w:val="4"/>
              </w:rPr>
            </w:r>
          </w:p>
        </w:tc>
        <w:tc>
          <w:tcPr>
            <w:tcW w:w="536" w:type="dxa"/>
            <w:gridSpan w:val="4"/>
            <w:tcBorders/>
            <w:vAlign w:val="center"/>
          </w:tcPr>
          <w:p>
            <w:pPr>
              <w:pStyle w:val="TableContents"/>
              <w:bidi w:val="0"/>
              <w:spacing w:before="0" w:after="283"/>
              <w:jc w:val="left"/>
              <w:rPr>
                <w:sz w:val="4"/>
                <w:szCs w:val="4"/>
              </w:rPr>
            </w:pPr>
            <w:r>
              <w:rPr>
                <w:sz w:val="4"/>
                <w:szCs w:val="4"/>
              </w:rPr>
            </w:r>
          </w:p>
        </w:tc>
      </w:tr>
      <w:tr>
        <w:trPr/>
        <w:tc>
          <w:tcPr>
            <w:tcW w:w="163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22.1.</w:t>
            </w:r>
          </w:p>
        </w:tc>
        <w:tc>
          <w:tcPr>
            <w:tcW w:w="102" w:type="dxa"/>
            <w:tcBorders/>
            <w:vAlign w:val="bottom"/>
          </w:tcPr>
          <w:p>
            <w:pPr>
              <w:pStyle w:val="TableContents"/>
              <w:bidi w:val="0"/>
              <w:spacing w:before="0" w:after="283"/>
              <w:jc w:val="left"/>
              <w:rPr/>
            </w:pPr>
            <w:r>
              <w:rPr/>
              <w:t> </w:t>
            </w:r>
          </w:p>
        </w:tc>
        <w:tc>
          <w:tcPr>
            <w:tcW w:w="7937" w:type="dxa"/>
            <w:tcBorders/>
            <w:vAlign w:val="bottom"/>
          </w:tcPr>
          <w:p>
            <w:pPr>
              <w:pStyle w:val="TableContents"/>
              <w:bidi w:val="0"/>
              <w:spacing w:before="0" w:after="283"/>
              <w:jc w:val="left"/>
              <w:rPr/>
            </w:pPr>
            <w:r>
              <w:rPr/>
              <w:t>Successors and Assigns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163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22.2.</w:t>
            </w:r>
          </w:p>
        </w:tc>
        <w:tc>
          <w:tcPr>
            <w:tcW w:w="102" w:type="dxa"/>
            <w:tcBorders/>
            <w:vAlign w:val="bottom"/>
          </w:tcPr>
          <w:p>
            <w:pPr>
              <w:pStyle w:val="TableContents"/>
              <w:bidi w:val="0"/>
              <w:spacing w:before="0" w:after="283"/>
              <w:jc w:val="left"/>
              <w:rPr/>
            </w:pPr>
            <w:r>
              <w:rPr/>
              <w:t> </w:t>
            </w:r>
          </w:p>
        </w:tc>
        <w:tc>
          <w:tcPr>
            <w:tcW w:w="7937" w:type="dxa"/>
            <w:tcBorders/>
            <w:vAlign w:val="bottom"/>
          </w:tcPr>
          <w:p>
            <w:pPr>
              <w:pStyle w:val="TableContents"/>
              <w:bidi w:val="0"/>
              <w:spacing w:before="0" w:after="283"/>
              <w:jc w:val="left"/>
              <w:rPr/>
            </w:pPr>
            <w:r>
              <w:rPr/>
              <w:t>Accounting Terms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163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22.3.</w:t>
            </w:r>
          </w:p>
        </w:tc>
        <w:tc>
          <w:tcPr>
            <w:tcW w:w="102" w:type="dxa"/>
            <w:tcBorders/>
            <w:vAlign w:val="bottom"/>
          </w:tcPr>
          <w:p>
            <w:pPr>
              <w:pStyle w:val="TableContents"/>
              <w:bidi w:val="0"/>
              <w:spacing w:before="0" w:after="283"/>
              <w:jc w:val="left"/>
              <w:rPr/>
            </w:pPr>
            <w:r>
              <w:rPr/>
              <w:t> </w:t>
            </w:r>
          </w:p>
        </w:tc>
        <w:tc>
          <w:tcPr>
            <w:tcW w:w="7937" w:type="dxa"/>
            <w:tcBorders/>
            <w:vAlign w:val="bottom"/>
          </w:tcPr>
          <w:p>
            <w:pPr>
              <w:pStyle w:val="TableContents"/>
              <w:bidi w:val="0"/>
              <w:spacing w:before="0" w:after="283"/>
              <w:jc w:val="left"/>
              <w:rPr/>
            </w:pPr>
            <w:r>
              <w:rPr/>
              <w:t>Severability</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163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22.4.</w:t>
            </w:r>
          </w:p>
        </w:tc>
        <w:tc>
          <w:tcPr>
            <w:tcW w:w="102" w:type="dxa"/>
            <w:tcBorders/>
            <w:vAlign w:val="bottom"/>
          </w:tcPr>
          <w:p>
            <w:pPr>
              <w:pStyle w:val="TableContents"/>
              <w:bidi w:val="0"/>
              <w:spacing w:before="0" w:after="283"/>
              <w:jc w:val="left"/>
              <w:rPr/>
            </w:pPr>
            <w:r>
              <w:rPr/>
              <w:t> </w:t>
            </w:r>
          </w:p>
        </w:tc>
        <w:tc>
          <w:tcPr>
            <w:tcW w:w="7937" w:type="dxa"/>
            <w:tcBorders/>
            <w:vAlign w:val="bottom"/>
          </w:tcPr>
          <w:p>
            <w:pPr>
              <w:pStyle w:val="TableContents"/>
              <w:bidi w:val="0"/>
              <w:spacing w:before="0" w:after="283"/>
              <w:jc w:val="left"/>
              <w:rPr/>
            </w:pPr>
            <w:r>
              <w:rPr/>
              <w:t>Construction, Etc.</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163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22.5.</w:t>
            </w:r>
          </w:p>
        </w:tc>
        <w:tc>
          <w:tcPr>
            <w:tcW w:w="102" w:type="dxa"/>
            <w:tcBorders/>
            <w:vAlign w:val="bottom"/>
          </w:tcPr>
          <w:p>
            <w:pPr>
              <w:pStyle w:val="TableContents"/>
              <w:bidi w:val="0"/>
              <w:spacing w:before="0" w:after="283"/>
              <w:jc w:val="left"/>
              <w:rPr/>
            </w:pPr>
            <w:r>
              <w:rPr/>
              <w:t> </w:t>
            </w:r>
          </w:p>
        </w:tc>
        <w:tc>
          <w:tcPr>
            <w:tcW w:w="7937" w:type="dxa"/>
            <w:tcBorders/>
            <w:vAlign w:val="bottom"/>
          </w:tcPr>
          <w:p>
            <w:pPr>
              <w:pStyle w:val="TableContents"/>
              <w:bidi w:val="0"/>
              <w:spacing w:before="0" w:after="283"/>
              <w:jc w:val="left"/>
              <w:rPr/>
            </w:pPr>
            <w:r>
              <w:rPr/>
              <w:t>Counterparts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163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22.6.</w:t>
            </w:r>
          </w:p>
        </w:tc>
        <w:tc>
          <w:tcPr>
            <w:tcW w:w="102" w:type="dxa"/>
            <w:tcBorders/>
            <w:vAlign w:val="bottom"/>
          </w:tcPr>
          <w:p>
            <w:pPr>
              <w:pStyle w:val="TableContents"/>
              <w:bidi w:val="0"/>
              <w:spacing w:before="0" w:after="283"/>
              <w:jc w:val="left"/>
              <w:rPr/>
            </w:pPr>
            <w:r>
              <w:rPr/>
              <w:t> </w:t>
            </w:r>
          </w:p>
        </w:tc>
        <w:tc>
          <w:tcPr>
            <w:tcW w:w="7937" w:type="dxa"/>
            <w:tcBorders/>
            <w:vAlign w:val="bottom"/>
          </w:tcPr>
          <w:p>
            <w:pPr>
              <w:pStyle w:val="TableContents"/>
              <w:bidi w:val="0"/>
              <w:spacing w:before="0" w:after="283"/>
              <w:jc w:val="left"/>
              <w:rPr/>
            </w:pPr>
            <w:r>
              <w:rPr/>
              <w:t>Governing Law</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1630" w:type="dxa"/>
            <w:tcBorders/>
          </w:tcPr>
          <w:p>
            <w:pPr>
              <w:pStyle w:val="TableContents"/>
              <w:bidi w:val="0"/>
              <w:spacing w:before="0" w:after="0"/>
              <w:jc w:val="left"/>
              <w:rPr>
                <w:rFonts w:ascii="Times New Roman" w:hAnsi="Times New Roman"/>
                <w:b/>
                <w:sz w:val="20"/>
              </w:rPr>
            </w:pPr>
            <w:r>
              <w:rPr>
                <w:rFonts w:ascii="Times New Roman" w:hAnsi="Times New Roman"/>
                <w:b/>
                <w:sz w:val="20"/>
              </w:rPr>
              <w:t>Section 22.7.</w:t>
            </w:r>
          </w:p>
        </w:tc>
        <w:tc>
          <w:tcPr>
            <w:tcW w:w="102" w:type="dxa"/>
            <w:tcBorders/>
            <w:vAlign w:val="bottom"/>
          </w:tcPr>
          <w:p>
            <w:pPr>
              <w:pStyle w:val="TableContents"/>
              <w:bidi w:val="0"/>
              <w:spacing w:before="0" w:after="283"/>
              <w:jc w:val="left"/>
              <w:rPr/>
            </w:pPr>
            <w:r>
              <w:rPr/>
              <w:t> </w:t>
            </w:r>
          </w:p>
        </w:tc>
        <w:tc>
          <w:tcPr>
            <w:tcW w:w="7937" w:type="dxa"/>
            <w:tcBorders/>
            <w:vAlign w:val="bottom"/>
          </w:tcPr>
          <w:p>
            <w:pPr>
              <w:pStyle w:val="TableContents"/>
              <w:bidi w:val="0"/>
              <w:spacing w:before="0" w:after="283"/>
              <w:jc w:val="left"/>
              <w:rPr/>
            </w:pPr>
            <w:r>
              <w:rPr/>
              <w:t>Jurisdiction and Process; Waiver of Jury Trial</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324"/>
        <w:gridCol w:w="126"/>
        <w:gridCol w:w="614"/>
        <w:gridCol w:w="126"/>
        <w:gridCol w:w="7015"/>
      </w:tblGrid>
      <w:tr>
        <w:trPr/>
        <w:tc>
          <w:tcPr>
            <w:tcW w:w="232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015" w:type="dxa"/>
            <w:tcBorders/>
            <w:vAlign w:val="center"/>
          </w:tcPr>
          <w:p>
            <w:pPr>
              <w:pStyle w:val="TableContents"/>
              <w:bidi w:val="0"/>
              <w:spacing w:before="0" w:after="283"/>
              <w:jc w:val="left"/>
              <w:rPr>
                <w:sz w:val="4"/>
                <w:szCs w:val="4"/>
              </w:rPr>
            </w:pPr>
            <w:r>
              <w:rPr>
                <w:sz w:val="4"/>
                <w:szCs w:val="4"/>
              </w:rPr>
            </w:r>
          </w:p>
        </w:tc>
      </w:tr>
      <w:tr>
        <w:trPr/>
        <w:tc>
          <w:tcPr>
            <w:tcW w:w="2324" w:type="dxa"/>
            <w:tcBorders/>
          </w:tcPr>
          <w:p>
            <w:pPr>
              <w:pStyle w:val="TableContents"/>
              <w:bidi w:val="0"/>
              <w:spacing w:before="0" w:after="283"/>
              <w:jc w:val="left"/>
              <w:rPr/>
            </w:pPr>
            <w:r>
              <w:rPr/>
              <w:t>S</w:t>
            </w:r>
            <w:r>
              <w:rPr>
                <w:sz w:val="20"/>
              </w:rPr>
              <w:t>CHEDULE</w:t>
            </w:r>
            <w:r>
              <w:rPr/>
              <w:t xml:space="preserve"> A</w:t>
            </w:r>
          </w:p>
        </w:tc>
        <w:tc>
          <w:tcPr>
            <w:tcW w:w="126" w:type="dxa"/>
            <w:tcBorders/>
            <w:vAlign w:val="bottom"/>
          </w:tcPr>
          <w:p>
            <w:pPr>
              <w:pStyle w:val="TableContents"/>
              <w:bidi w:val="0"/>
              <w:spacing w:before="0" w:after="283"/>
              <w:jc w:val="left"/>
              <w:rPr/>
            </w:pPr>
            <w:r>
              <w:rPr/>
              <w:t>  </w:t>
            </w:r>
          </w:p>
        </w:tc>
        <w:tc>
          <w:tcPr>
            <w:tcW w:w="614" w:type="dxa"/>
            <w:tcBorders/>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7015" w:type="dxa"/>
            <w:tcBorders/>
          </w:tcPr>
          <w:p>
            <w:pPr>
              <w:pStyle w:val="TableContents"/>
              <w:bidi w:val="0"/>
              <w:spacing w:before="0" w:after="283"/>
              <w:jc w:val="left"/>
              <w:rPr/>
            </w:pPr>
            <w:r>
              <w:rPr/>
              <w:t>Defined Terms</w:t>
            </w:r>
          </w:p>
        </w:tc>
      </w:tr>
      <w:tr>
        <w:trPr>
          <w:trHeight w:val="120" w:hRule="atLeast"/>
        </w:trPr>
        <w:tc>
          <w:tcPr>
            <w:tcW w:w="2324" w:type="dxa"/>
            <w:tcBorders/>
            <w:vAlign w:val="center"/>
          </w:tcPr>
          <w:p>
            <w:pPr>
              <w:pStyle w:val="TableContents"/>
              <w:bidi w:val="0"/>
              <w:spacing w:before="0" w:after="283"/>
              <w:jc w:val="left"/>
              <w:rPr>
                <w:sz w:val="4"/>
                <w:szCs w:val="4"/>
              </w:rPr>
            </w:pPr>
            <w:r>
              <w:rPr>
                <w:sz w:val="4"/>
                <w:szCs w:val="4"/>
              </w:rPr>
            </w:r>
          </w:p>
        </w:tc>
        <w:tc>
          <w:tcPr>
            <w:tcW w:w="740" w:type="dxa"/>
            <w:gridSpan w:val="2"/>
            <w:tcBorders/>
            <w:vAlign w:val="center"/>
          </w:tcPr>
          <w:p>
            <w:pPr>
              <w:pStyle w:val="TableContents"/>
              <w:bidi w:val="0"/>
              <w:spacing w:before="0" w:after="283"/>
              <w:jc w:val="left"/>
              <w:rPr>
                <w:sz w:val="4"/>
                <w:szCs w:val="4"/>
              </w:rPr>
            </w:pPr>
            <w:r>
              <w:rPr>
                <w:sz w:val="4"/>
                <w:szCs w:val="4"/>
              </w:rPr>
            </w:r>
          </w:p>
        </w:tc>
        <w:tc>
          <w:tcPr>
            <w:tcW w:w="7141" w:type="dxa"/>
            <w:gridSpan w:val="2"/>
            <w:tcBorders/>
            <w:vAlign w:val="center"/>
          </w:tcPr>
          <w:p>
            <w:pPr>
              <w:pStyle w:val="TableContents"/>
              <w:bidi w:val="0"/>
              <w:spacing w:before="0" w:after="283"/>
              <w:jc w:val="left"/>
              <w:rPr>
                <w:sz w:val="4"/>
                <w:szCs w:val="4"/>
              </w:rPr>
            </w:pPr>
            <w:r>
              <w:rPr>
                <w:sz w:val="4"/>
                <w:szCs w:val="4"/>
              </w:rPr>
            </w:r>
          </w:p>
        </w:tc>
      </w:tr>
      <w:tr>
        <w:trPr/>
        <w:tc>
          <w:tcPr>
            <w:tcW w:w="2324" w:type="dxa"/>
            <w:tcBorders/>
          </w:tcPr>
          <w:p>
            <w:pPr>
              <w:pStyle w:val="TableContents"/>
              <w:bidi w:val="0"/>
              <w:spacing w:before="0" w:after="283"/>
              <w:jc w:val="left"/>
              <w:rPr/>
            </w:pPr>
            <w:r>
              <w:rPr/>
              <w:t>S</w:t>
            </w:r>
            <w:r>
              <w:rPr>
                <w:sz w:val="20"/>
              </w:rPr>
              <w:t>CHEDULE</w:t>
            </w:r>
            <w:r>
              <w:rPr/>
              <w:t xml:space="preserve"> 1.1</w:t>
            </w:r>
          </w:p>
        </w:tc>
        <w:tc>
          <w:tcPr>
            <w:tcW w:w="126" w:type="dxa"/>
            <w:tcBorders/>
            <w:vAlign w:val="bottom"/>
          </w:tcPr>
          <w:p>
            <w:pPr>
              <w:pStyle w:val="TableContents"/>
              <w:bidi w:val="0"/>
              <w:spacing w:before="0" w:after="283"/>
              <w:jc w:val="left"/>
              <w:rPr/>
            </w:pPr>
            <w:r>
              <w:rPr/>
              <w:t>  </w:t>
            </w:r>
          </w:p>
        </w:tc>
        <w:tc>
          <w:tcPr>
            <w:tcW w:w="614" w:type="dxa"/>
            <w:tcBorders/>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7015" w:type="dxa"/>
            <w:tcBorders/>
          </w:tcPr>
          <w:p>
            <w:pPr>
              <w:pStyle w:val="TableContents"/>
              <w:bidi w:val="0"/>
              <w:spacing w:before="0" w:after="283"/>
              <w:jc w:val="left"/>
              <w:rPr/>
            </w:pPr>
            <w:r>
              <w:rPr/>
              <w:t>Form of 8.00% Senior Unsecured Note due September 1, 2031</w:t>
            </w:r>
          </w:p>
        </w:tc>
      </w:tr>
      <w:tr>
        <w:trPr>
          <w:trHeight w:val="120" w:hRule="atLeast"/>
        </w:trPr>
        <w:tc>
          <w:tcPr>
            <w:tcW w:w="2324" w:type="dxa"/>
            <w:tcBorders/>
            <w:vAlign w:val="center"/>
          </w:tcPr>
          <w:p>
            <w:pPr>
              <w:pStyle w:val="TableContents"/>
              <w:bidi w:val="0"/>
              <w:spacing w:before="0" w:after="283"/>
              <w:jc w:val="left"/>
              <w:rPr>
                <w:sz w:val="4"/>
                <w:szCs w:val="4"/>
              </w:rPr>
            </w:pPr>
            <w:r>
              <w:rPr>
                <w:sz w:val="4"/>
                <w:szCs w:val="4"/>
              </w:rPr>
            </w:r>
          </w:p>
        </w:tc>
        <w:tc>
          <w:tcPr>
            <w:tcW w:w="740" w:type="dxa"/>
            <w:gridSpan w:val="2"/>
            <w:tcBorders/>
            <w:vAlign w:val="center"/>
          </w:tcPr>
          <w:p>
            <w:pPr>
              <w:pStyle w:val="TableContents"/>
              <w:bidi w:val="0"/>
              <w:spacing w:before="0" w:after="283"/>
              <w:jc w:val="left"/>
              <w:rPr>
                <w:sz w:val="4"/>
                <w:szCs w:val="4"/>
              </w:rPr>
            </w:pPr>
            <w:r>
              <w:rPr>
                <w:sz w:val="4"/>
                <w:szCs w:val="4"/>
              </w:rPr>
            </w:r>
          </w:p>
        </w:tc>
        <w:tc>
          <w:tcPr>
            <w:tcW w:w="7141" w:type="dxa"/>
            <w:gridSpan w:val="2"/>
            <w:tcBorders/>
            <w:vAlign w:val="center"/>
          </w:tcPr>
          <w:p>
            <w:pPr>
              <w:pStyle w:val="TableContents"/>
              <w:bidi w:val="0"/>
              <w:spacing w:before="0" w:after="283"/>
              <w:jc w:val="left"/>
              <w:rPr>
                <w:sz w:val="4"/>
                <w:szCs w:val="4"/>
              </w:rPr>
            </w:pPr>
            <w:r>
              <w:rPr>
                <w:sz w:val="4"/>
                <w:szCs w:val="4"/>
              </w:rPr>
            </w:r>
          </w:p>
        </w:tc>
      </w:tr>
      <w:tr>
        <w:trPr/>
        <w:tc>
          <w:tcPr>
            <w:tcW w:w="2324" w:type="dxa"/>
            <w:tcBorders/>
          </w:tcPr>
          <w:p>
            <w:pPr>
              <w:pStyle w:val="TableContents"/>
              <w:bidi w:val="0"/>
              <w:spacing w:before="0" w:after="283"/>
              <w:jc w:val="left"/>
              <w:rPr/>
            </w:pPr>
            <w:r>
              <w:rPr/>
              <w:t>S</w:t>
            </w:r>
            <w:r>
              <w:rPr>
                <w:sz w:val="20"/>
              </w:rPr>
              <w:t>CHEDULE</w:t>
            </w:r>
            <w:r>
              <w:rPr/>
              <w:t xml:space="preserve"> 1.2</w:t>
            </w:r>
          </w:p>
        </w:tc>
        <w:tc>
          <w:tcPr>
            <w:tcW w:w="126" w:type="dxa"/>
            <w:tcBorders/>
            <w:vAlign w:val="bottom"/>
          </w:tcPr>
          <w:p>
            <w:pPr>
              <w:pStyle w:val="TableContents"/>
              <w:bidi w:val="0"/>
              <w:spacing w:before="0" w:after="283"/>
              <w:jc w:val="left"/>
              <w:rPr/>
            </w:pPr>
            <w:r>
              <w:rPr/>
              <w:t>  </w:t>
            </w:r>
          </w:p>
        </w:tc>
        <w:tc>
          <w:tcPr>
            <w:tcW w:w="614" w:type="dxa"/>
            <w:tcBorders/>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7015" w:type="dxa"/>
            <w:tcBorders/>
          </w:tcPr>
          <w:p>
            <w:pPr>
              <w:pStyle w:val="TableContents"/>
              <w:bidi w:val="0"/>
              <w:spacing w:before="0" w:after="283"/>
              <w:jc w:val="left"/>
              <w:rPr/>
            </w:pPr>
            <w:r>
              <w:rPr/>
              <w:t>Form of 7.25% Senior Unsecured Note due September 30, 2029</w:t>
            </w:r>
          </w:p>
        </w:tc>
      </w:tr>
      <w:tr>
        <w:trPr>
          <w:trHeight w:val="120" w:hRule="atLeast"/>
        </w:trPr>
        <w:tc>
          <w:tcPr>
            <w:tcW w:w="2324" w:type="dxa"/>
            <w:tcBorders/>
            <w:vAlign w:val="center"/>
          </w:tcPr>
          <w:p>
            <w:pPr>
              <w:pStyle w:val="TableContents"/>
              <w:bidi w:val="0"/>
              <w:spacing w:before="0" w:after="283"/>
              <w:jc w:val="left"/>
              <w:rPr>
                <w:sz w:val="4"/>
                <w:szCs w:val="4"/>
              </w:rPr>
            </w:pPr>
            <w:r>
              <w:rPr>
                <w:sz w:val="4"/>
                <w:szCs w:val="4"/>
              </w:rPr>
            </w:r>
          </w:p>
        </w:tc>
        <w:tc>
          <w:tcPr>
            <w:tcW w:w="740" w:type="dxa"/>
            <w:gridSpan w:val="2"/>
            <w:tcBorders/>
            <w:vAlign w:val="center"/>
          </w:tcPr>
          <w:p>
            <w:pPr>
              <w:pStyle w:val="TableContents"/>
              <w:bidi w:val="0"/>
              <w:spacing w:before="0" w:after="283"/>
              <w:jc w:val="left"/>
              <w:rPr>
                <w:sz w:val="4"/>
                <w:szCs w:val="4"/>
              </w:rPr>
            </w:pPr>
            <w:r>
              <w:rPr>
                <w:sz w:val="4"/>
                <w:szCs w:val="4"/>
              </w:rPr>
            </w:r>
          </w:p>
        </w:tc>
        <w:tc>
          <w:tcPr>
            <w:tcW w:w="7141" w:type="dxa"/>
            <w:gridSpan w:val="2"/>
            <w:tcBorders/>
            <w:vAlign w:val="center"/>
          </w:tcPr>
          <w:p>
            <w:pPr>
              <w:pStyle w:val="TableContents"/>
              <w:bidi w:val="0"/>
              <w:spacing w:before="0" w:after="283"/>
              <w:jc w:val="left"/>
              <w:rPr>
                <w:sz w:val="4"/>
                <w:szCs w:val="4"/>
              </w:rPr>
            </w:pPr>
            <w:r>
              <w:rPr>
                <w:sz w:val="4"/>
                <w:szCs w:val="4"/>
              </w:rPr>
            </w:r>
          </w:p>
        </w:tc>
      </w:tr>
      <w:tr>
        <w:trPr/>
        <w:tc>
          <w:tcPr>
            <w:tcW w:w="2324" w:type="dxa"/>
            <w:tcBorders/>
          </w:tcPr>
          <w:p>
            <w:pPr>
              <w:pStyle w:val="TableContents"/>
              <w:bidi w:val="0"/>
              <w:spacing w:before="0" w:after="283"/>
              <w:jc w:val="left"/>
              <w:rPr/>
            </w:pPr>
            <w:r>
              <w:rPr/>
              <w:t>S</w:t>
            </w:r>
            <w:r>
              <w:rPr>
                <w:sz w:val="20"/>
              </w:rPr>
              <w:t>CHEDULE</w:t>
            </w:r>
            <w:r>
              <w:rPr/>
              <w:t xml:space="preserve"> 4.4</w:t>
            </w:r>
          </w:p>
        </w:tc>
        <w:tc>
          <w:tcPr>
            <w:tcW w:w="126" w:type="dxa"/>
            <w:tcBorders/>
            <w:vAlign w:val="bottom"/>
          </w:tcPr>
          <w:p>
            <w:pPr>
              <w:pStyle w:val="TableContents"/>
              <w:bidi w:val="0"/>
              <w:spacing w:before="0" w:after="283"/>
              <w:jc w:val="left"/>
              <w:rPr/>
            </w:pPr>
            <w:r>
              <w:rPr/>
              <w:t>  </w:t>
            </w:r>
          </w:p>
        </w:tc>
        <w:tc>
          <w:tcPr>
            <w:tcW w:w="614" w:type="dxa"/>
            <w:tcBorders/>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7015" w:type="dxa"/>
            <w:tcBorders/>
          </w:tcPr>
          <w:p>
            <w:pPr>
              <w:pStyle w:val="TableContents"/>
              <w:bidi w:val="0"/>
              <w:spacing w:before="0" w:after="283"/>
              <w:jc w:val="left"/>
              <w:rPr/>
            </w:pPr>
            <w:r>
              <w:rPr/>
              <w:t>Form of Opinion of Special Counsel for the Company</w:t>
            </w:r>
          </w:p>
        </w:tc>
      </w:tr>
      <w:tr>
        <w:trPr>
          <w:trHeight w:val="120" w:hRule="atLeast"/>
        </w:trPr>
        <w:tc>
          <w:tcPr>
            <w:tcW w:w="2324" w:type="dxa"/>
            <w:tcBorders/>
            <w:vAlign w:val="center"/>
          </w:tcPr>
          <w:p>
            <w:pPr>
              <w:pStyle w:val="TableContents"/>
              <w:bidi w:val="0"/>
              <w:spacing w:before="0" w:after="283"/>
              <w:jc w:val="left"/>
              <w:rPr>
                <w:sz w:val="4"/>
                <w:szCs w:val="4"/>
              </w:rPr>
            </w:pPr>
            <w:r>
              <w:rPr>
                <w:sz w:val="4"/>
                <w:szCs w:val="4"/>
              </w:rPr>
            </w:r>
          </w:p>
        </w:tc>
        <w:tc>
          <w:tcPr>
            <w:tcW w:w="740" w:type="dxa"/>
            <w:gridSpan w:val="2"/>
            <w:tcBorders/>
            <w:vAlign w:val="center"/>
          </w:tcPr>
          <w:p>
            <w:pPr>
              <w:pStyle w:val="TableContents"/>
              <w:bidi w:val="0"/>
              <w:spacing w:before="0" w:after="283"/>
              <w:jc w:val="left"/>
              <w:rPr>
                <w:sz w:val="4"/>
                <w:szCs w:val="4"/>
              </w:rPr>
            </w:pPr>
            <w:r>
              <w:rPr>
                <w:sz w:val="4"/>
                <w:szCs w:val="4"/>
              </w:rPr>
            </w:r>
          </w:p>
        </w:tc>
        <w:tc>
          <w:tcPr>
            <w:tcW w:w="7141" w:type="dxa"/>
            <w:gridSpan w:val="2"/>
            <w:tcBorders/>
            <w:vAlign w:val="center"/>
          </w:tcPr>
          <w:p>
            <w:pPr>
              <w:pStyle w:val="TableContents"/>
              <w:bidi w:val="0"/>
              <w:spacing w:before="0" w:after="283"/>
              <w:jc w:val="left"/>
              <w:rPr>
                <w:sz w:val="4"/>
                <w:szCs w:val="4"/>
              </w:rPr>
            </w:pPr>
            <w:r>
              <w:rPr>
                <w:sz w:val="4"/>
                <w:szCs w:val="4"/>
              </w:rPr>
            </w:r>
          </w:p>
        </w:tc>
      </w:tr>
      <w:tr>
        <w:trPr/>
        <w:tc>
          <w:tcPr>
            <w:tcW w:w="2324" w:type="dxa"/>
            <w:tcBorders/>
          </w:tcPr>
          <w:p>
            <w:pPr>
              <w:pStyle w:val="TableContents"/>
              <w:bidi w:val="0"/>
              <w:spacing w:before="0" w:after="283"/>
              <w:jc w:val="left"/>
              <w:rPr/>
            </w:pPr>
            <w:r>
              <w:rPr/>
              <w:t>S</w:t>
            </w:r>
            <w:r>
              <w:rPr>
                <w:sz w:val="20"/>
              </w:rPr>
              <w:t>CHEDULE</w:t>
            </w:r>
            <w:r>
              <w:rPr/>
              <w:t xml:space="preserve"> 5.3</w:t>
            </w:r>
          </w:p>
        </w:tc>
        <w:tc>
          <w:tcPr>
            <w:tcW w:w="126" w:type="dxa"/>
            <w:tcBorders/>
            <w:vAlign w:val="bottom"/>
          </w:tcPr>
          <w:p>
            <w:pPr>
              <w:pStyle w:val="TableContents"/>
              <w:bidi w:val="0"/>
              <w:spacing w:before="0" w:after="283"/>
              <w:jc w:val="left"/>
              <w:rPr/>
            </w:pPr>
            <w:r>
              <w:rPr/>
              <w:t>  </w:t>
            </w:r>
          </w:p>
        </w:tc>
        <w:tc>
          <w:tcPr>
            <w:tcW w:w="614" w:type="dxa"/>
            <w:tcBorders/>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7015" w:type="dxa"/>
            <w:tcBorders/>
          </w:tcPr>
          <w:p>
            <w:pPr>
              <w:pStyle w:val="TableContents"/>
              <w:bidi w:val="0"/>
              <w:spacing w:before="0" w:after="283"/>
              <w:jc w:val="left"/>
              <w:rPr/>
            </w:pPr>
            <w:r>
              <w:rPr/>
              <w:t>Disclosure Materials</w:t>
            </w:r>
          </w:p>
        </w:tc>
      </w:tr>
      <w:tr>
        <w:trPr>
          <w:trHeight w:val="120" w:hRule="atLeast"/>
        </w:trPr>
        <w:tc>
          <w:tcPr>
            <w:tcW w:w="2324" w:type="dxa"/>
            <w:tcBorders/>
            <w:vAlign w:val="center"/>
          </w:tcPr>
          <w:p>
            <w:pPr>
              <w:pStyle w:val="TableContents"/>
              <w:bidi w:val="0"/>
              <w:spacing w:before="0" w:after="283"/>
              <w:jc w:val="left"/>
              <w:rPr>
                <w:sz w:val="4"/>
                <w:szCs w:val="4"/>
              </w:rPr>
            </w:pPr>
            <w:r>
              <w:rPr>
                <w:sz w:val="4"/>
                <w:szCs w:val="4"/>
              </w:rPr>
            </w:r>
          </w:p>
        </w:tc>
        <w:tc>
          <w:tcPr>
            <w:tcW w:w="740" w:type="dxa"/>
            <w:gridSpan w:val="2"/>
            <w:tcBorders/>
            <w:vAlign w:val="center"/>
          </w:tcPr>
          <w:p>
            <w:pPr>
              <w:pStyle w:val="TableContents"/>
              <w:bidi w:val="0"/>
              <w:spacing w:before="0" w:after="283"/>
              <w:jc w:val="left"/>
              <w:rPr>
                <w:sz w:val="4"/>
                <w:szCs w:val="4"/>
              </w:rPr>
            </w:pPr>
            <w:r>
              <w:rPr>
                <w:sz w:val="4"/>
                <w:szCs w:val="4"/>
              </w:rPr>
            </w:r>
          </w:p>
        </w:tc>
        <w:tc>
          <w:tcPr>
            <w:tcW w:w="7141" w:type="dxa"/>
            <w:gridSpan w:val="2"/>
            <w:tcBorders/>
            <w:vAlign w:val="center"/>
          </w:tcPr>
          <w:p>
            <w:pPr>
              <w:pStyle w:val="TableContents"/>
              <w:bidi w:val="0"/>
              <w:spacing w:before="0" w:after="283"/>
              <w:jc w:val="left"/>
              <w:rPr>
                <w:sz w:val="4"/>
                <w:szCs w:val="4"/>
              </w:rPr>
            </w:pPr>
            <w:r>
              <w:rPr>
                <w:sz w:val="4"/>
                <w:szCs w:val="4"/>
              </w:rPr>
            </w:r>
          </w:p>
        </w:tc>
      </w:tr>
      <w:tr>
        <w:trPr/>
        <w:tc>
          <w:tcPr>
            <w:tcW w:w="2324" w:type="dxa"/>
            <w:tcBorders/>
          </w:tcPr>
          <w:p>
            <w:pPr>
              <w:pStyle w:val="TableContents"/>
              <w:bidi w:val="0"/>
              <w:spacing w:before="0" w:after="283"/>
              <w:jc w:val="left"/>
              <w:rPr/>
            </w:pPr>
            <w:r>
              <w:rPr/>
              <w:t>S</w:t>
            </w:r>
            <w:r>
              <w:rPr>
                <w:sz w:val="20"/>
              </w:rPr>
              <w:t>CHEDULE</w:t>
            </w:r>
            <w:r>
              <w:rPr/>
              <w:t xml:space="preserve"> 5.4</w:t>
            </w:r>
          </w:p>
        </w:tc>
        <w:tc>
          <w:tcPr>
            <w:tcW w:w="126" w:type="dxa"/>
            <w:tcBorders/>
            <w:vAlign w:val="bottom"/>
          </w:tcPr>
          <w:p>
            <w:pPr>
              <w:pStyle w:val="TableContents"/>
              <w:bidi w:val="0"/>
              <w:spacing w:before="0" w:after="283"/>
              <w:jc w:val="left"/>
              <w:rPr/>
            </w:pPr>
            <w:r>
              <w:rPr/>
              <w:t>  </w:t>
            </w:r>
          </w:p>
        </w:tc>
        <w:tc>
          <w:tcPr>
            <w:tcW w:w="614" w:type="dxa"/>
            <w:tcBorders/>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7015" w:type="dxa"/>
            <w:tcBorders/>
          </w:tcPr>
          <w:p>
            <w:pPr>
              <w:pStyle w:val="TableContents"/>
              <w:bidi w:val="0"/>
              <w:spacing w:before="0" w:after="283"/>
              <w:jc w:val="left"/>
              <w:rPr/>
            </w:pPr>
            <w:r>
              <w:rPr/>
              <w:t>Subsidiaries of the Company and Ownership of Subsidiary Stock</w:t>
            </w:r>
          </w:p>
        </w:tc>
      </w:tr>
      <w:tr>
        <w:trPr>
          <w:trHeight w:val="120" w:hRule="atLeast"/>
        </w:trPr>
        <w:tc>
          <w:tcPr>
            <w:tcW w:w="2324" w:type="dxa"/>
            <w:tcBorders/>
            <w:vAlign w:val="center"/>
          </w:tcPr>
          <w:p>
            <w:pPr>
              <w:pStyle w:val="TableContents"/>
              <w:bidi w:val="0"/>
              <w:spacing w:before="0" w:after="283"/>
              <w:jc w:val="left"/>
              <w:rPr>
                <w:sz w:val="4"/>
                <w:szCs w:val="4"/>
              </w:rPr>
            </w:pPr>
            <w:r>
              <w:rPr>
                <w:sz w:val="4"/>
                <w:szCs w:val="4"/>
              </w:rPr>
            </w:r>
          </w:p>
        </w:tc>
        <w:tc>
          <w:tcPr>
            <w:tcW w:w="740" w:type="dxa"/>
            <w:gridSpan w:val="2"/>
            <w:tcBorders/>
            <w:vAlign w:val="center"/>
          </w:tcPr>
          <w:p>
            <w:pPr>
              <w:pStyle w:val="TableContents"/>
              <w:bidi w:val="0"/>
              <w:spacing w:before="0" w:after="283"/>
              <w:jc w:val="left"/>
              <w:rPr>
                <w:sz w:val="4"/>
                <w:szCs w:val="4"/>
              </w:rPr>
            </w:pPr>
            <w:r>
              <w:rPr>
                <w:sz w:val="4"/>
                <w:szCs w:val="4"/>
              </w:rPr>
            </w:r>
          </w:p>
        </w:tc>
        <w:tc>
          <w:tcPr>
            <w:tcW w:w="7141" w:type="dxa"/>
            <w:gridSpan w:val="2"/>
            <w:tcBorders/>
            <w:vAlign w:val="center"/>
          </w:tcPr>
          <w:p>
            <w:pPr>
              <w:pStyle w:val="TableContents"/>
              <w:bidi w:val="0"/>
              <w:spacing w:before="0" w:after="283"/>
              <w:jc w:val="left"/>
              <w:rPr>
                <w:sz w:val="4"/>
                <w:szCs w:val="4"/>
              </w:rPr>
            </w:pPr>
            <w:r>
              <w:rPr>
                <w:sz w:val="4"/>
                <w:szCs w:val="4"/>
              </w:rPr>
            </w:r>
          </w:p>
        </w:tc>
      </w:tr>
      <w:tr>
        <w:trPr/>
        <w:tc>
          <w:tcPr>
            <w:tcW w:w="2324" w:type="dxa"/>
            <w:tcBorders/>
          </w:tcPr>
          <w:p>
            <w:pPr>
              <w:pStyle w:val="TableContents"/>
              <w:bidi w:val="0"/>
              <w:spacing w:before="0" w:after="283"/>
              <w:jc w:val="left"/>
              <w:rPr/>
            </w:pPr>
            <w:r>
              <w:rPr/>
              <w:t>S</w:t>
            </w:r>
            <w:r>
              <w:rPr>
                <w:sz w:val="20"/>
              </w:rPr>
              <w:t>CHEDULE</w:t>
            </w:r>
            <w:r>
              <w:rPr/>
              <w:t xml:space="preserve"> 5.5</w:t>
            </w:r>
          </w:p>
        </w:tc>
        <w:tc>
          <w:tcPr>
            <w:tcW w:w="126" w:type="dxa"/>
            <w:tcBorders/>
            <w:vAlign w:val="bottom"/>
          </w:tcPr>
          <w:p>
            <w:pPr>
              <w:pStyle w:val="TableContents"/>
              <w:bidi w:val="0"/>
              <w:spacing w:before="0" w:after="283"/>
              <w:jc w:val="left"/>
              <w:rPr/>
            </w:pPr>
            <w:r>
              <w:rPr/>
              <w:t>  </w:t>
            </w:r>
          </w:p>
        </w:tc>
        <w:tc>
          <w:tcPr>
            <w:tcW w:w="614" w:type="dxa"/>
            <w:tcBorders/>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7015" w:type="dxa"/>
            <w:tcBorders/>
          </w:tcPr>
          <w:p>
            <w:pPr>
              <w:pStyle w:val="TableContents"/>
              <w:bidi w:val="0"/>
              <w:spacing w:before="0" w:after="283"/>
              <w:jc w:val="left"/>
              <w:rPr/>
            </w:pPr>
            <w:r>
              <w:rPr/>
              <w:t>Financial Statements</w:t>
            </w:r>
          </w:p>
        </w:tc>
      </w:tr>
      <w:tr>
        <w:trPr>
          <w:trHeight w:val="120" w:hRule="atLeast"/>
        </w:trPr>
        <w:tc>
          <w:tcPr>
            <w:tcW w:w="2324" w:type="dxa"/>
            <w:tcBorders/>
            <w:vAlign w:val="center"/>
          </w:tcPr>
          <w:p>
            <w:pPr>
              <w:pStyle w:val="TableContents"/>
              <w:bidi w:val="0"/>
              <w:spacing w:before="0" w:after="283"/>
              <w:jc w:val="left"/>
              <w:rPr>
                <w:sz w:val="4"/>
                <w:szCs w:val="4"/>
              </w:rPr>
            </w:pPr>
            <w:r>
              <w:rPr>
                <w:sz w:val="4"/>
                <w:szCs w:val="4"/>
              </w:rPr>
            </w:r>
          </w:p>
        </w:tc>
        <w:tc>
          <w:tcPr>
            <w:tcW w:w="740" w:type="dxa"/>
            <w:gridSpan w:val="2"/>
            <w:tcBorders/>
            <w:vAlign w:val="center"/>
          </w:tcPr>
          <w:p>
            <w:pPr>
              <w:pStyle w:val="TableContents"/>
              <w:bidi w:val="0"/>
              <w:spacing w:before="0" w:after="283"/>
              <w:jc w:val="left"/>
              <w:rPr>
                <w:sz w:val="4"/>
                <w:szCs w:val="4"/>
              </w:rPr>
            </w:pPr>
            <w:r>
              <w:rPr>
                <w:sz w:val="4"/>
                <w:szCs w:val="4"/>
              </w:rPr>
            </w:r>
          </w:p>
        </w:tc>
        <w:tc>
          <w:tcPr>
            <w:tcW w:w="7141" w:type="dxa"/>
            <w:gridSpan w:val="2"/>
            <w:tcBorders/>
            <w:vAlign w:val="center"/>
          </w:tcPr>
          <w:p>
            <w:pPr>
              <w:pStyle w:val="TableContents"/>
              <w:bidi w:val="0"/>
              <w:spacing w:before="0" w:after="283"/>
              <w:jc w:val="left"/>
              <w:rPr>
                <w:sz w:val="4"/>
                <w:szCs w:val="4"/>
              </w:rPr>
            </w:pPr>
            <w:r>
              <w:rPr>
                <w:sz w:val="4"/>
                <w:szCs w:val="4"/>
              </w:rPr>
            </w:r>
          </w:p>
        </w:tc>
      </w:tr>
      <w:tr>
        <w:trPr/>
        <w:tc>
          <w:tcPr>
            <w:tcW w:w="2324" w:type="dxa"/>
            <w:tcBorders/>
          </w:tcPr>
          <w:p>
            <w:pPr>
              <w:pStyle w:val="TableContents"/>
              <w:bidi w:val="0"/>
              <w:spacing w:before="0" w:after="283"/>
              <w:jc w:val="left"/>
              <w:rPr/>
            </w:pPr>
            <w:r>
              <w:rPr/>
              <w:t>S</w:t>
            </w:r>
            <w:r>
              <w:rPr>
                <w:sz w:val="20"/>
              </w:rPr>
              <w:t>CHEDULE</w:t>
            </w:r>
            <w:r>
              <w:rPr/>
              <w:t xml:space="preserve"> 5.15</w:t>
            </w:r>
          </w:p>
        </w:tc>
        <w:tc>
          <w:tcPr>
            <w:tcW w:w="126" w:type="dxa"/>
            <w:tcBorders/>
            <w:vAlign w:val="bottom"/>
          </w:tcPr>
          <w:p>
            <w:pPr>
              <w:pStyle w:val="TableContents"/>
              <w:bidi w:val="0"/>
              <w:spacing w:before="0" w:after="283"/>
              <w:jc w:val="left"/>
              <w:rPr/>
            </w:pPr>
            <w:r>
              <w:rPr/>
              <w:t>  </w:t>
            </w:r>
          </w:p>
        </w:tc>
        <w:tc>
          <w:tcPr>
            <w:tcW w:w="614" w:type="dxa"/>
            <w:tcBorders/>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7015" w:type="dxa"/>
            <w:tcBorders/>
          </w:tcPr>
          <w:p>
            <w:pPr>
              <w:pStyle w:val="TableContents"/>
              <w:bidi w:val="0"/>
              <w:spacing w:before="0" w:after="283"/>
              <w:jc w:val="left"/>
              <w:rPr/>
            </w:pPr>
            <w:r>
              <w:rPr/>
              <w:t>Existing Indebtedness</w:t>
            </w:r>
          </w:p>
        </w:tc>
      </w:tr>
      <w:tr>
        <w:trPr>
          <w:trHeight w:val="120" w:hRule="atLeast"/>
        </w:trPr>
        <w:tc>
          <w:tcPr>
            <w:tcW w:w="2324" w:type="dxa"/>
            <w:tcBorders/>
            <w:vAlign w:val="center"/>
          </w:tcPr>
          <w:p>
            <w:pPr>
              <w:pStyle w:val="TableContents"/>
              <w:bidi w:val="0"/>
              <w:spacing w:before="0" w:after="283"/>
              <w:jc w:val="left"/>
              <w:rPr>
                <w:sz w:val="4"/>
                <w:szCs w:val="4"/>
              </w:rPr>
            </w:pPr>
            <w:r>
              <w:rPr>
                <w:sz w:val="4"/>
                <w:szCs w:val="4"/>
              </w:rPr>
            </w:r>
          </w:p>
        </w:tc>
        <w:tc>
          <w:tcPr>
            <w:tcW w:w="740" w:type="dxa"/>
            <w:gridSpan w:val="2"/>
            <w:tcBorders/>
            <w:vAlign w:val="center"/>
          </w:tcPr>
          <w:p>
            <w:pPr>
              <w:pStyle w:val="TableContents"/>
              <w:bidi w:val="0"/>
              <w:spacing w:before="0" w:after="283"/>
              <w:jc w:val="left"/>
              <w:rPr>
                <w:sz w:val="4"/>
                <w:szCs w:val="4"/>
              </w:rPr>
            </w:pPr>
            <w:r>
              <w:rPr>
                <w:sz w:val="4"/>
                <w:szCs w:val="4"/>
              </w:rPr>
            </w:r>
          </w:p>
        </w:tc>
        <w:tc>
          <w:tcPr>
            <w:tcW w:w="7141" w:type="dxa"/>
            <w:gridSpan w:val="2"/>
            <w:tcBorders/>
            <w:vAlign w:val="center"/>
          </w:tcPr>
          <w:p>
            <w:pPr>
              <w:pStyle w:val="TableContents"/>
              <w:bidi w:val="0"/>
              <w:spacing w:before="0" w:after="283"/>
              <w:jc w:val="left"/>
              <w:rPr>
                <w:sz w:val="4"/>
                <w:szCs w:val="4"/>
              </w:rPr>
            </w:pPr>
            <w:r>
              <w:rPr>
                <w:sz w:val="4"/>
                <w:szCs w:val="4"/>
              </w:rPr>
            </w:r>
          </w:p>
        </w:tc>
      </w:tr>
      <w:tr>
        <w:trPr/>
        <w:tc>
          <w:tcPr>
            <w:tcW w:w="2324" w:type="dxa"/>
            <w:tcBorders/>
          </w:tcPr>
          <w:p>
            <w:pPr>
              <w:pStyle w:val="TableContents"/>
              <w:bidi w:val="0"/>
              <w:spacing w:before="0" w:after="283"/>
              <w:jc w:val="left"/>
              <w:rPr/>
            </w:pPr>
            <w:r>
              <w:rPr/>
              <w:t>P</w:t>
            </w:r>
            <w:r>
              <w:rPr>
                <w:sz w:val="20"/>
              </w:rPr>
              <w:t>URCHASER</w:t>
            </w:r>
            <w:r>
              <w:rPr/>
              <w:t> S</w:t>
            </w:r>
            <w:r>
              <w:rPr>
                <w:sz w:val="20"/>
              </w:rPr>
              <w:t>CHEDULE</w:t>
            </w:r>
          </w:p>
        </w:tc>
        <w:tc>
          <w:tcPr>
            <w:tcW w:w="126" w:type="dxa"/>
            <w:tcBorders/>
            <w:vAlign w:val="bottom"/>
          </w:tcPr>
          <w:p>
            <w:pPr>
              <w:pStyle w:val="TableContents"/>
              <w:bidi w:val="0"/>
              <w:spacing w:before="0" w:after="283"/>
              <w:jc w:val="left"/>
              <w:rPr/>
            </w:pPr>
            <w:r>
              <w:rPr/>
              <w:t>  </w:t>
            </w:r>
          </w:p>
        </w:tc>
        <w:tc>
          <w:tcPr>
            <w:tcW w:w="614" w:type="dxa"/>
            <w:tcBorders/>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7015" w:type="dxa"/>
            <w:tcBorders/>
          </w:tcPr>
          <w:p>
            <w:pPr>
              <w:pStyle w:val="TableContents"/>
              <w:bidi w:val="0"/>
              <w:spacing w:before="0" w:after="283"/>
              <w:jc w:val="left"/>
              <w:rPr/>
            </w:pPr>
            <w:r>
              <w:rPr/>
              <w:t>Information Relating to the Purchasers</w:t>
            </w:r>
          </w:p>
        </w:tc>
      </w:tr>
      <w:tr>
        <w:trPr>
          <w:trHeight w:val="120" w:hRule="atLeast"/>
        </w:trPr>
        <w:tc>
          <w:tcPr>
            <w:tcW w:w="2324" w:type="dxa"/>
            <w:tcBorders/>
            <w:vAlign w:val="center"/>
          </w:tcPr>
          <w:p>
            <w:pPr>
              <w:pStyle w:val="TableContents"/>
              <w:bidi w:val="0"/>
              <w:spacing w:before="0" w:after="283"/>
              <w:jc w:val="left"/>
              <w:rPr>
                <w:sz w:val="4"/>
                <w:szCs w:val="4"/>
              </w:rPr>
            </w:pPr>
            <w:r>
              <w:rPr>
                <w:sz w:val="4"/>
                <w:szCs w:val="4"/>
              </w:rPr>
            </w:r>
          </w:p>
        </w:tc>
        <w:tc>
          <w:tcPr>
            <w:tcW w:w="740" w:type="dxa"/>
            <w:gridSpan w:val="2"/>
            <w:tcBorders/>
            <w:vAlign w:val="center"/>
          </w:tcPr>
          <w:p>
            <w:pPr>
              <w:pStyle w:val="TableContents"/>
              <w:bidi w:val="0"/>
              <w:spacing w:before="0" w:after="283"/>
              <w:jc w:val="left"/>
              <w:rPr>
                <w:sz w:val="4"/>
                <w:szCs w:val="4"/>
              </w:rPr>
            </w:pPr>
            <w:r>
              <w:rPr>
                <w:sz w:val="4"/>
                <w:szCs w:val="4"/>
              </w:rPr>
            </w:r>
          </w:p>
        </w:tc>
        <w:tc>
          <w:tcPr>
            <w:tcW w:w="7141" w:type="dxa"/>
            <w:gridSpan w:val="2"/>
            <w:tcBorders/>
            <w:vAlign w:val="center"/>
          </w:tcPr>
          <w:p>
            <w:pPr>
              <w:pStyle w:val="TableContents"/>
              <w:bidi w:val="0"/>
              <w:spacing w:before="0" w:after="283"/>
              <w:jc w:val="left"/>
              <w:rPr>
                <w:sz w:val="4"/>
                <w:szCs w:val="4"/>
              </w:rPr>
            </w:pPr>
            <w:r>
              <w:rPr>
                <w:sz w:val="4"/>
                <w:szCs w:val="4"/>
              </w:rPr>
            </w:r>
          </w:p>
        </w:tc>
      </w:tr>
      <w:tr>
        <w:trPr/>
        <w:tc>
          <w:tcPr>
            <w:tcW w:w="2324" w:type="dxa"/>
            <w:tcBorders/>
          </w:tcPr>
          <w:p>
            <w:pPr>
              <w:pStyle w:val="TableContents"/>
              <w:bidi w:val="0"/>
              <w:spacing w:before="0" w:after="283"/>
              <w:jc w:val="left"/>
              <w:rPr/>
            </w:pPr>
            <w:r>
              <w:rPr/>
              <w:t>E</w:t>
            </w:r>
            <w:r>
              <w:rPr>
                <w:sz w:val="20"/>
              </w:rPr>
              <w:t>XHIBIT</w:t>
            </w:r>
            <w:r>
              <w:rPr/>
              <w:t xml:space="preserve"> A</w:t>
            </w:r>
          </w:p>
        </w:tc>
        <w:tc>
          <w:tcPr>
            <w:tcW w:w="126" w:type="dxa"/>
            <w:tcBorders/>
            <w:vAlign w:val="bottom"/>
          </w:tcPr>
          <w:p>
            <w:pPr>
              <w:pStyle w:val="TableContents"/>
              <w:bidi w:val="0"/>
              <w:spacing w:before="0" w:after="283"/>
              <w:jc w:val="left"/>
              <w:rPr/>
            </w:pPr>
            <w:r>
              <w:rPr/>
              <w:t>  </w:t>
            </w:r>
          </w:p>
        </w:tc>
        <w:tc>
          <w:tcPr>
            <w:tcW w:w="614" w:type="dxa"/>
            <w:tcBorders/>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7015" w:type="dxa"/>
            <w:tcBorders/>
          </w:tcPr>
          <w:p>
            <w:pPr>
              <w:pStyle w:val="TableContents"/>
              <w:bidi w:val="0"/>
              <w:spacing w:before="0" w:after="283"/>
              <w:jc w:val="left"/>
              <w:rPr/>
            </w:pPr>
            <w:r>
              <w:rPr/>
              <w:t>Registration Rights Agreement (2029 Notes-2)</w:t>
            </w:r>
          </w:p>
        </w:tc>
      </w:tr>
      <w:tr>
        <w:trPr>
          <w:trHeight w:val="120" w:hRule="atLeast"/>
        </w:trPr>
        <w:tc>
          <w:tcPr>
            <w:tcW w:w="2324" w:type="dxa"/>
            <w:tcBorders/>
            <w:vAlign w:val="center"/>
          </w:tcPr>
          <w:p>
            <w:pPr>
              <w:pStyle w:val="TableContents"/>
              <w:bidi w:val="0"/>
              <w:spacing w:before="0" w:after="283"/>
              <w:jc w:val="left"/>
              <w:rPr>
                <w:sz w:val="4"/>
                <w:szCs w:val="4"/>
              </w:rPr>
            </w:pPr>
            <w:r>
              <w:rPr>
                <w:sz w:val="4"/>
                <w:szCs w:val="4"/>
              </w:rPr>
            </w:r>
          </w:p>
        </w:tc>
        <w:tc>
          <w:tcPr>
            <w:tcW w:w="740" w:type="dxa"/>
            <w:gridSpan w:val="2"/>
            <w:tcBorders/>
            <w:vAlign w:val="center"/>
          </w:tcPr>
          <w:p>
            <w:pPr>
              <w:pStyle w:val="TableContents"/>
              <w:bidi w:val="0"/>
              <w:spacing w:before="0" w:after="283"/>
              <w:jc w:val="left"/>
              <w:rPr>
                <w:sz w:val="4"/>
                <w:szCs w:val="4"/>
              </w:rPr>
            </w:pPr>
            <w:r>
              <w:rPr>
                <w:sz w:val="4"/>
                <w:szCs w:val="4"/>
              </w:rPr>
            </w:r>
          </w:p>
        </w:tc>
        <w:tc>
          <w:tcPr>
            <w:tcW w:w="7141" w:type="dxa"/>
            <w:gridSpan w:val="2"/>
            <w:tcBorders/>
            <w:vAlign w:val="center"/>
          </w:tcPr>
          <w:p>
            <w:pPr>
              <w:pStyle w:val="TableContents"/>
              <w:bidi w:val="0"/>
              <w:spacing w:before="0" w:after="283"/>
              <w:jc w:val="left"/>
              <w:rPr>
                <w:sz w:val="4"/>
                <w:szCs w:val="4"/>
              </w:rPr>
            </w:pPr>
            <w:r>
              <w:rPr>
                <w:sz w:val="4"/>
                <w:szCs w:val="4"/>
              </w:rPr>
            </w:r>
          </w:p>
        </w:tc>
      </w:tr>
      <w:tr>
        <w:trPr/>
        <w:tc>
          <w:tcPr>
            <w:tcW w:w="2324" w:type="dxa"/>
            <w:tcBorders/>
          </w:tcPr>
          <w:p>
            <w:pPr>
              <w:pStyle w:val="TableContents"/>
              <w:bidi w:val="0"/>
              <w:spacing w:before="0" w:after="283"/>
              <w:jc w:val="left"/>
              <w:rPr/>
            </w:pPr>
            <w:r>
              <w:rPr/>
              <w:t>E</w:t>
            </w:r>
            <w:r>
              <w:rPr>
                <w:sz w:val="20"/>
              </w:rPr>
              <w:t>XHIBIT</w:t>
            </w:r>
            <w:r>
              <w:rPr/>
              <w:t xml:space="preserve"> B</w:t>
            </w:r>
          </w:p>
        </w:tc>
        <w:tc>
          <w:tcPr>
            <w:tcW w:w="126" w:type="dxa"/>
            <w:tcBorders/>
            <w:vAlign w:val="bottom"/>
          </w:tcPr>
          <w:p>
            <w:pPr>
              <w:pStyle w:val="TableContents"/>
              <w:bidi w:val="0"/>
              <w:spacing w:before="0" w:after="283"/>
              <w:jc w:val="left"/>
              <w:rPr/>
            </w:pPr>
            <w:r>
              <w:rPr/>
              <w:t>  </w:t>
            </w:r>
          </w:p>
        </w:tc>
        <w:tc>
          <w:tcPr>
            <w:tcW w:w="614" w:type="dxa"/>
            <w:tcBorders/>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7015" w:type="dxa"/>
            <w:tcBorders/>
          </w:tcPr>
          <w:p>
            <w:pPr>
              <w:pStyle w:val="TableContents"/>
              <w:bidi w:val="0"/>
              <w:spacing w:before="0" w:after="283"/>
              <w:jc w:val="left"/>
              <w:rPr/>
            </w:pPr>
            <w:r>
              <w:rPr/>
              <w:t>Registration Rights Agreement (2031 Notes)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PennantPark Investment Corporation </w:t>
      </w:r>
    </w:p>
    <w:p>
      <w:pPr>
        <w:pStyle w:val="TextBody"/>
        <w:bidi w:val="0"/>
        <w:spacing w:before="120" w:after="0"/>
        <w:jc w:val="center"/>
        <w:rPr>
          <w:rFonts w:ascii="Times New Roman" w:hAnsi="Times New Roman"/>
          <w:sz w:val="20"/>
        </w:rPr>
      </w:pPr>
      <w:r>
        <w:rPr>
          <w:rFonts w:ascii="Times New Roman" w:hAnsi="Times New Roman"/>
          <w:sz w:val="20"/>
        </w:rPr>
        <w:t xml:space="preserve">$62,000,000 8% Senior Notes due September 1, 2031 </w:t>
      </w:r>
    </w:p>
    <w:p>
      <w:pPr>
        <w:pStyle w:val="TextBody"/>
        <w:bidi w:val="0"/>
        <w:spacing w:before="120" w:after="0"/>
        <w:jc w:val="center"/>
        <w:rPr>
          <w:rFonts w:ascii="Times New Roman" w:hAnsi="Times New Roman"/>
          <w:sz w:val="20"/>
        </w:rPr>
      </w:pPr>
      <w:r>
        <w:rPr>
          <w:rFonts w:ascii="Times New Roman" w:hAnsi="Times New Roman"/>
          <w:sz w:val="20"/>
        </w:rPr>
        <w:t xml:space="preserve">$2,000,000 7.25% Senior Notes due September 30, 2029 </w:t>
      </w:r>
    </w:p>
    <w:p>
      <w:pPr>
        <w:pStyle w:val="TextBody"/>
        <w:bidi w:val="0"/>
        <w:spacing w:before="240" w:after="0"/>
        <w:jc w:val="right"/>
        <w:rPr>
          <w:rFonts w:ascii="Times New Roman" w:hAnsi="Times New Roman"/>
          <w:b/>
          <w:sz w:val="20"/>
        </w:rPr>
      </w:pPr>
      <w:r>
        <w:rPr>
          <w:rFonts w:ascii="Times New Roman" w:hAnsi="Times New Roman"/>
          <w:b/>
          <w:sz w:val="20"/>
        </w:rPr>
        <w:t xml:space="preserve">September 1, 2026 </w:t>
      </w:r>
    </w:p>
    <w:p>
      <w:pPr>
        <w:pStyle w:val="TextBody"/>
        <w:bidi w:val="0"/>
        <w:spacing w:before="240" w:after="0"/>
        <w:jc w:val="left"/>
        <w:rPr>
          <w:rFonts w:ascii="Times New Roman" w:hAnsi="Times New Roman"/>
          <w:sz w:val="20"/>
        </w:rPr>
      </w:pPr>
      <w:r>
        <w:rPr>
          <w:rFonts w:ascii="Times New Roman" w:hAnsi="Times New Roman"/>
          <w:sz w:val="20"/>
        </w:rPr>
        <w:t xml:space="preserve">TO THE PURCHASERS LISTED IN </w:t>
      </w:r>
    </w:p>
    <w:p>
      <w:pPr>
        <w:pStyle w:val="TextBody"/>
        <w:bidi w:val="0"/>
        <w:spacing w:before="0" w:after="0"/>
        <w:jc w:val="left"/>
        <w:rPr>
          <w:rFonts w:ascii="Times New Roman" w:hAnsi="Times New Roman"/>
          <w:sz w:val="20"/>
        </w:rPr>
      </w:pPr>
      <w:r>
        <w:rPr>
          <w:rFonts w:ascii="Times New Roman" w:hAnsi="Times New Roman"/>
          <w:sz w:val="20"/>
        </w:rPr>
        <w:t xml:space="preserve">THE PURCHASER SCHEDULE HERETO: </w:t>
      </w:r>
    </w:p>
    <w:p>
      <w:pPr>
        <w:pStyle w:val="TextBody"/>
        <w:bidi w:val="0"/>
        <w:spacing w:before="12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PennantPark Investment Corporation, a Maryland corporation (the “</w:t>
      </w:r>
      <w:r>
        <w:rPr>
          <w:rFonts w:ascii="Times New Roman" w:hAnsi="Times New Roman"/>
          <w:b/>
          <w:sz w:val="20"/>
        </w:rPr>
        <w:t>Company</w:t>
      </w:r>
      <w:r>
        <w:rPr>
          <w:rFonts w:ascii="Times New Roman" w:hAnsi="Times New Roman"/>
          <w:sz w:val="20"/>
        </w:rPr>
        <w:t xml:space="preserve">”), agrees with the Purchasers as follows: </w:t>
      </w:r>
    </w:p>
    <w:p>
      <w:pPr>
        <w:pStyle w:val="TextBody"/>
        <w:bidi w:val="0"/>
        <w:spacing w:before="120" w:after="0"/>
        <w:jc w:val="left"/>
        <w:rPr>
          <w:rFonts w:ascii="Times New Roman" w:hAnsi="Times New Roman"/>
          <w:sz w:val="20"/>
        </w:rPr>
      </w:pPr>
      <w:r>
        <w:rPr>
          <w:rFonts w:ascii="Times New Roman" w:hAnsi="Times New Roman"/>
          <w:b/>
          <w:sz w:val="20"/>
        </w:rPr>
        <w:t>Section 1. AUTHORIZATION OF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w:t>
      </w:r>
      <w:r>
        <w:rPr>
          <w:rFonts w:ascii="Times New Roman" w:hAnsi="Times New Roman"/>
          <w:b/>
          <w:sz w:val="20"/>
        </w:rPr>
        <w:t>Authorization of the Notes</w:t>
      </w:r>
      <w:r>
        <w:rPr>
          <w:rFonts w:ascii="Times New Roman" w:hAnsi="Times New Roman"/>
          <w:sz w:val="20"/>
        </w:rPr>
        <w:t>. The Company will authorize the issue and sale of (i) $62,000,000 aggregate principal amount of its 8.00% Senior Unsecured Notes due September 1, 2031 (the “</w:t>
      </w:r>
      <w:r>
        <w:rPr>
          <w:rFonts w:ascii="Times New Roman" w:hAnsi="Times New Roman"/>
          <w:b/>
          <w:sz w:val="20"/>
        </w:rPr>
        <w:t>2031 Notes</w:t>
      </w:r>
      <w:r>
        <w:rPr>
          <w:rFonts w:ascii="Times New Roman" w:hAnsi="Times New Roman"/>
          <w:sz w:val="20"/>
        </w:rPr>
        <w:t>”) and (ii) $2,000,000 aggregate principal amount of its 7.25% Senior Unsecured Notes due September 30, 2029 (the “</w:t>
      </w:r>
      <w:r>
        <w:rPr>
          <w:rFonts w:ascii="Times New Roman" w:hAnsi="Times New Roman"/>
          <w:b/>
          <w:sz w:val="20"/>
        </w:rPr>
        <w:t>2029 Notes-2</w:t>
      </w:r>
      <w:r>
        <w:rPr>
          <w:rFonts w:ascii="Times New Roman" w:hAnsi="Times New Roman"/>
          <w:sz w:val="20"/>
        </w:rPr>
        <w:t>” and, together with the 2031 Notes, the “</w:t>
      </w:r>
      <w:r>
        <w:rPr>
          <w:rFonts w:ascii="Times New Roman" w:hAnsi="Times New Roman"/>
          <w:b/>
          <w:sz w:val="20"/>
        </w:rPr>
        <w:t>Notes</w:t>
      </w:r>
      <w:r>
        <w:rPr>
          <w:rFonts w:ascii="Times New Roman" w:hAnsi="Times New Roman"/>
          <w:sz w:val="20"/>
        </w:rPr>
        <w:t xml:space="preserve">”). Each of the 2031 Notes and 2029 Notes-2 shall be substantially in the form set out in Schedule 1.1 and 1.2, respectively. Certain capitalized and other terms used in this Agreement are defined in Schedule A and, for purposes of this Agreement, the rules of construction set forth in Section 22.4 shall govern.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w:t>
      </w:r>
      <w:r>
        <w:rPr>
          <w:rFonts w:ascii="Times New Roman" w:hAnsi="Times New Roman"/>
          <w:b/>
          <w:sz w:val="20"/>
        </w:rPr>
        <w:t>Ranking of the Notes</w:t>
      </w:r>
      <w:r>
        <w:rPr>
          <w:rFonts w:ascii="Times New Roman" w:hAnsi="Times New Roman"/>
          <w:sz w:val="20"/>
        </w:rPr>
        <w:t>. The Notes will be the Company’s direct unsecured obligations and will rank: (a) </w:t>
      </w:r>
      <w:r>
        <w:rPr>
          <w:rFonts w:ascii="Times New Roman" w:hAnsi="Times New Roman"/>
          <w:i/>
          <w:sz w:val="20"/>
        </w:rPr>
        <w:t>pari passu</w:t>
      </w:r>
      <w:r>
        <w:rPr>
          <w:rFonts w:ascii="Times New Roman" w:hAnsi="Times New Roman"/>
          <w:sz w:val="20"/>
        </w:rPr>
        <w:t xml:space="preserve"> with the Company’s other outstanding and future unsecured, unsubordinated Indebtedness; (b) senior to any of the Company’s future Indebtedness that is expressly subordinated to the Notes; (c) effectively subordinated to all of the Company’s existing and future secured Indebtedness (including Indebtedness that is initially unsecured in respect of which the Company has granted or subsequently grants security), to the extent of the value of the assets securing such Indebtedness; and (d) structurally subordinated to all existing and future Indebtedness and other obligations of any of the Subsidiaries. </w:t>
      </w:r>
    </w:p>
    <w:p>
      <w:pPr>
        <w:pStyle w:val="TextBody"/>
        <w:bidi w:val="0"/>
        <w:spacing w:before="240" w:after="0"/>
        <w:jc w:val="left"/>
        <w:rPr>
          <w:rFonts w:ascii="Times New Roman" w:hAnsi="Times New Roman"/>
          <w:sz w:val="20"/>
        </w:rPr>
      </w:pPr>
      <w:r>
        <w:rPr>
          <w:rFonts w:ascii="Times New Roman" w:hAnsi="Times New Roman"/>
          <w:b/>
          <w:sz w:val="20"/>
        </w:rPr>
        <w:t>Section 2. SALE AND PURCHASE OF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of this Agreement, the Company will issue and sell to each Purchaser and each Purchaser will purchase from the Company, at the Closing provided for in Section 3, Notes in the principal amount specified opposite such Purchaser’s name in the Purchaser Schedule at the purchase price of 98.00% of the principal amount of the 2031 Notes and 100% of the principal amount of the 2029 Notes-2, respectively. The Purchasers’ obligations hereunder are several and not joint obligations and no Purchaser shall have any liability to any Person for the performance or non-performance of any obligation by any other Purchaser 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 3. CLOSING.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This Agreement shall be executed and delivered in advance of the Closing at the offices of Dechert LLP, Three Bryant Park, 1095 Avenue of the Americas, New York, NY, United States of America 10036, on September 1, 2026 (the “</w:t>
      </w:r>
      <w:r>
        <w:rPr>
          <w:rFonts w:ascii="Times New Roman" w:hAnsi="Times New Roman"/>
          <w:b/>
          <w:sz w:val="20"/>
        </w:rPr>
        <w:t>Execution Date</w:t>
      </w:r>
      <w:r>
        <w:rPr>
          <w:rFonts w:ascii="Times New Roman" w:hAnsi="Times New Roman"/>
          <w:sz w:val="20"/>
        </w:rPr>
        <w:t>”). The sale and purchase of the Notes to be purchased by each Purchaser shall occur at the offices of Dechert LLP, Three Bryant Park, 1095 Avenue of the Americas, New York, NY, United States of America 10036, at 10:00 a.m., New York City time, at a closing (the “</w:t>
      </w:r>
      <w:r>
        <w:rPr>
          <w:rFonts w:ascii="Times New Roman" w:hAnsi="Times New Roman"/>
          <w:b/>
          <w:sz w:val="20"/>
        </w:rPr>
        <w:t>Closing</w:t>
      </w:r>
      <w:r>
        <w:rPr>
          <w:rFonts w:ascii="Times New Roman" w:hAnsi="Times New Roman"/>
          <w:sz w:val="20"/>
        </w:rPr>
        <w:t>”) on September 1, 2026 or on such other Business Day thereafter as may be agreed upon by the Company and the Purchaser. The Notes shall initially be issued as Global Notes that are settled through the book-entry system of the Depository Trust Company (“</w:t>
      </w:r>
      <w:r>
        <w:rPr>
          <w:rFonts w:ascii="Times New Roman" w:hAnsi="Times New Roman"/>
          <w:b/>
          <w:sz w:val="20"/>
        </w:rPr>
        <w:t>DTC</w:t>
      </w:r>
      <w:r>
        <w:rPr>
          <w:rFonts w:ascii="Times New Roman" w:hAnsi="Times New Roman"/>
          <w:sz w:val="20"/>
        </w:rPr>
        <w:t xml:space="preserve">”) and the certificates for the Notes shall be registered in the name of Cede &amp; Co., as nominee for DTC, and shall be made available for inspection on the Business Day preceding the date of the Closing. Upon receipt of the purchase price from each Purchaser, Raymond James &amp; Associates, Inc., as settlement agent, will cause the delivery of such funds to the Company, pursuant to written instructions from the Company. Immediately following the Company’s receipt of all such funds, the Notes purchased by each Purchaser (as set forth on the Purchaser Schedule hereto) will be issued by the Company and delivered by electronic book-entry through the facilities of DTC to the DTC participants and to the account numbers at such DTC participants specified by each Purchaser on its respective Purchaser Schedule purchaser questionnaire and will be released at the Closing. If at the Closing the Company shall fail to tender such Notes to any Purchaser as provided above in this Section 3, or any of the conditions specified in Section 4 shall not have been fulfilled to such Purchaser’s satisfaction, such Purchaser shall, at its election, be relieved of all further obligations under this Agreement, without thereby waiving any rights such Purchaser may have by reason of such failure by the Company to tender such Notes or any of the conditions specified in Section 4 not having been fulfilled to such Purchaser’s satisfaction. </w:t>
      </w:r>
    </w:p>
    <w:p>
      <w:pPr>
        <w:pStyle w:val="TextBody"/>
        <w:bidi w:val="0"/>
        <w:spacing w:before="240" w:after="0"/>
        <w:jc w:val="left"/>
        <w:rPr>
          <w:rFonts w:ascii="Times New Roman" w:hAnsi="Times New Roman"/>
          <w:sz w:val="20"/>
        </w:rPr>
      </w:pPr>
      <w:r>
        <w:rPr>
          <w:rFonts w:ascii="Times New Roman" w:hAnsi="Times New Roman"/>
          <w:b/>
          <w:sz w:val="20"/>
        </w:rPr>
        <w:t>Section 4. CONDITIONS TO CLOSING.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Purchaser’s obligation to purchase and pay for the 2031 Notes and/or the 2029 Notes-2, as applicable, to be sold to such Purchaser at the Closing is subject to the fulfillment to such Purchaser’s satisfaction, prior to or at the Closing, of the following conditions: </w:t>
      </w:r>
    </w:p>
    <w:p>
      <w:pPr>
        <w:pStyle w:val="TextBody"/>
        <w:bidi w:val="0"/>
        <w:spacing w:before="12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w:t>
      </w:r>
      <w:r>
        <w:rPr>
          <w:rFonts w:ascii="Times New Roman" w:hAnsi="Times New Roman"/>
          <w:sz w:val="20"/>
        </w:rPr>
        <w:t xml:space="preserve"> </w:t>
      </w:r>
      <w:r>
        <w:rPr>
          <w:rFonts w:ascii="Times New Roman" w:hAnsi="Times New Roman"/>
          <w:b/>
          <w:sz w:val="20"/>
        </w:rPr>
        <w:t>Representations and Warranties</w:t>
      </w:r>
      <w:r>
        <w:rPr>
          <w:rFonts w:ascii="Times New Roman" w:hAnsi="Times New Roman"/>
          <w:sz w:val="20"/>
        </w:rPr>
        <w:t xml:space="preserve">. The representations and warranties of the Company in this Agreement shall be correct when made and at the Closing.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4.2.</w:t>
      </w:r>
      <w:r>
        <w:rPr>
          <w:rFonts w:ascii="Times New Roman" w:hAnsi="Times New Roman"/>
          <w:sz w:val="20"/>
        </w:rPr>
        <w:t xml:space="preserve"> </w:t>
      </w:r>
      <w:r>
        <w:rPr>
          <w:rFonts w:ascii="Times New Roman" w:hAnsi="Times New Roman"/>
          <w:b/>
          <w:sz w:val="20"/>
        </w:rPr>
        <w:t>Performance; No Default</w:t>
      </w:r>
      <w:r>
        <w:rPr>
          <w:rFonts w:ascii="Times New Roman" w:hAnsi="Times New Roman"/>
          <w:sz w:val="20"/>
        </w:rPr>
        <w:t xml:space="preserve">. The Company shall have performed and complied with all agreements and conditions contained in this Agreement required to be performed or complied with by it prior to or at the Closing. Before and after giving effect to the issue and sale of the Notes (and the application of the proceeds thereof as contemplated by Section 5.14), no Default or Event of Default shall have occurred and be continuing.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4.3.</w:t>
      </w:r>
      <w:r>
        <w:rPr>
          <w:rFonts w:ascii="Times New Roman" w:hAnsi="Times New Roman"/>
          <w:sz w:val="20"/>
        </w:rPr>
        <w:t xml:space="preserve"> </w:t>
      </w:r>
      <w:r>
        <w:rPr>
          <w:rFonts w:ascii="Times New Roman" w:hAnsi="Times New Roman"/>
          <w:b/>
          <w:sz w:val="20"/>
        </w:rPr>
        <w:t>Compliance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Officer’s Certificate</w:t>
      </w:r>
      <w:r>
        <w:rPr>
          <w:rFonts w:ascii="Times New Roman" w:hAnsi="Times New Roman"/>
          <w:sz w:val="20"/>
        </w:rPr>
        <w:t xml:space="preserve">. The Company shall have delivered to the Purchasers an Officer’s Certificate, dated the date of the Closing, certifying that the conditions specified in Sections 4.1, 4.2 and 4.9 have been fulfilled.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Secretary’s Certificate</w:t>
      </w:r>
      <w:r>
        <w:rPr>
          <w:rFonts w:ascii="Times New Roman" w:hAnsi="Times New Roman"/>
          <w:sz w:val="20"/>
        </w:rPr>
        <w:t xml:space="preserve">. The Company shall have delivered to the Purchasers a certificate of its Secretary or Assistant Secretary, dated the date of the Closing, certifying as to (i) the resolutions attached thereto and other corporate proceedings relating to the authorization, execution and delivery of the Notes and this Agreement and (ii) the Company’s organizational documents as then in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4.4.</w:t>
      </w:r>
      <w:r>
        <w:rPr>
          <w:rFonts w:ascii="Times New Roman" w:hAnsi="Times New Roman"/>
          <w:sz w:val="20"/>
        </w:rPr>
        <w:t xml:space="preserve"> </w:t>
      </w:r>
      <w:r>
        <w:rPr>
          <w:rFonts w:ascii="Times New Roman" w:hAnsi="Times New Roman"/>
          <w:b/>
          <w:sz w:val="20"/>
        </w:rPr>
        <w:t>Opinions of Counsel</w:t>
      </w:r>
      <w:r>
        <w:rPr>
          <w:rFonts w:ascii="Times New Roman" w:hAnsi="Times New Roman"/>
          <w:sz w:val="20"/>
        </w:rPr>
        <w:t xml:space="preserve">. The Purchasers shall have received opinions in form and substance satisfactory to the Purchasers, dated the date of the Closing from Dechert LLP, counsel for the Company, covering the matters set forth in Schedule 4.4 and covering such other matters incident to the transactions contemplated hereby as the Purchasers or their counsel may reasonably request (and the Company hereby instructs its counsel to deliver such opinion to the Purchasers).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4.5.</w:t>
      </w:r>
      <w:r>
        <w:rPr>
          <w:rFonts w:ascii="Times New Roman" w:hAnsi="Times New Roman"/>
          <w:sz w:val="20"/>
        </w:rPr>
        <w:t xml:space="preserve"> </w:t>
      </w:r>
      <w:r>
        <w:rPr>
          <w:rFonts w:ascii="Times New Roman" w:hAnsi="Times New Roman"/>
          <w:b/>
          <w:sz w:val="20"/>
        </w:rPr>
        <w:t>Purchase Permitted By Applicable Law, Etc</w:t>
      </w:r>
      <w:r>
        <w:rPr>
          <w:rFonts w:ascii="Times New Roman" w:hAnsi="Times New Roman"/>
          <w:sz w:val="20"/>
        </w:rPr>
        <w:t xml:space="preserve">. On the date of the Closing, such Purchaser’s purchase of the 2031 Notes and/or the 2029 Notes-2 shall, in each case, (a) be permitted by the laws and regulations of each jurisdiction to which such Purchaser is subject, without recourse to provisions (such as section 1405(a)(8) of the New York Insurance Law) permitting limited investments by insurance companies without restriction as to the character of the particular investment, (b) not violate any applicable law or regulation (including Regulation T, U or X of the Board of Governors of the Federal Reserve System) and (c) not subject such Purchaser to any Tax, penalty or liability under or pursuant to any applicable law or regulation, which law or regulation was not in effect on the date hereof. If requested by such Purchaser, such Purchaser shall have received an Officer’s Certificate certifying as to such matters of fact as such Purchaser may reasonably specify to enable such Purchaser to determine whether such purchase is so permitted.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4.6.</w:t>
      </w:r>
      <w:r>
        <w:rPr>
          <w:rFonts w:ascii="Times New Roman" w:hAnsi="Times New Roman"/>
          <w:sz w:val="20"/>
        </w:rPr>
        <w:t xml:space="preserve"> </w:t>
      </w:r>
      <w:r>
        <w:rPr>
          <w:rFonts w:ascii="Times New Roman" w:hAnsi="Times New Roman"/>
          <w:b/>
          <w:sz w:val="20"/>
        </w:rPr>
        <w:t>Sale of Other Notes</w:t>
      </w:r>
      <w:r>
        <w:rPr>
          <w:rFonts w:ascii="Times New Roman" w:hAnsi="Times New Roman"/>
          <w:sz w:val="20"/>
        </w:rPr>
        <w:t xml:space="preserve">. Contemporaneously with the Closing, the Company shall sell to each other Purchaser and each other Purchaser shall purchase the Notes to be purchased by it at the Closing as specified in the Purchaser Schedule.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4.7.</w:t>
      </w:r>
      <w:r>
        <w:rPr>
          <w:rFonts w:ascii="Times New Roman" w:hAnsi="Times New Roman"/>
          <w:sz w:val="20"/>
        </w:rPr>
        <w:t xml:space="preserve"> </w:t>
      </w:r>
      <w:r>
        <w:rPr>
          <w:rFonts w:ascii="Times New Roman" w:hAnsi="Times New Roman"/>
          <w:b/>
          <w:sz w:val="20"/>
        </w:rPr>
        <w:t>Registration Rights Agreements</w:t>
      </w:r>
      <w:r>
        <w:rPr>
          <w:rFonts w:ascii="Times New Roman" w:hAnsi="Times New Roman"/>
          <w:sz w:val="20"/>
        </w:rPr>
        <w:t>. Contemporaneously with the Closing, the Company shall enter into (i) a Registration Rights Agreement with the Purchasers (the “</w:t>
      </w:r>
      <w:r>
        <w:rPr>
          <w:rFonts w:ascii="Times New Roman" w:hAnsi="Times New Roman"/>
          <w:b/>
          <w:sz w:val="20"/>
        </w:rPr>
        <w:t>2029 Notes-2 Registration Rights Agreement</w:t>
      </w:r>
      <w:r>
        <w:rPr>
          <w:rFonts w:ascii="Times New Roman" w:hAnsi="Times New Roman"/>
          <w:sz w:val="20"/>
        </w:rPr>
        <w:t>”) in substantially the form attached hereto as Exhibit A and (ii) a Registration Rights Agreement with the Purchasers (the “</w:t>
      </w:r>
      <w:r>
        <w:rPr>
          <w:rFonts w:ascii="Times New Roman" w:hAnsi="Times New Roman"/>
          <w:b/>
          <w:sz w:val="20"/>
        </w:rPr>
        <w:t>2031 Notes Registration Rights Agreement</w:t>
      </w:r>
      <w:r>
        <w:rPr>
          <w:rFonts w:ascii="Times New Roman" w:hAnsi="Times New Roman"/>
          <w:sz w:val="20"/>
        </w:rPr>
        <w:t>”, and together with the 2029 Notes-2 Registration Rights Agreement, the “</w:t>
      </w:r>
      <w:r>
        <w:rPr>
          <w:rFonts w:ascii="Times New Roman" w:hAnsi="Times New Roman"/>
          <w:b/>
          <w:sz w:val="20"/>
        </w:rPr>
        <w:t>Registration Rights Agreements</w:t>
      </w:r>
      <w:r>
        <w:rPr>
          <w:rFonts w:ascii="Times New Roman" w:hAnsi="Times New Roman"/>
          <w:sz w:val="20"/>
        </w:rPr>
        <w:t xml:space="preserve">”) in substantially the form attached hereto as Exhibit B.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4.8.</w:t>
      </w:r>
      <w:r>
        <w:rPr>
          <w:rFonts w:ascii="Times New Roman" w:hAnsi="Times New Roman"/>
          <w:sz w:val="20"/>
        </w:rPr>
        <w:t xml:space="preserve"> </w:t>
      </w:r>
      <w:r>
        <w:rPr>
          <w:rFonts w:ascii="Times New Roman" w:hAnsi="Times New Roman"/>
          <w:b/>
          <w:sz w:val="20"/>
        </w:rPr>
        <w:t>CUSIP Number</w:t>
      </w:r>
      <w:r>
        <w:rPr>
          <w:rFonts w:ascii="Times New Roman" w:hAnsi="Times New Roman"/>
          <w:sz w:val="20"/>
        </w:rPr>
        <w:t xml:space="preserve">. A CUSIP number shall have been obtained for any Global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4.9.</w:t>
      </w:r>
      <w:r>
        <w:rPr>
          <w:rFonts w:ascii="Times New Roman" w:hAnsi="Times New Roman"/>
          <w:sz w:val="20"/>
        </w:rPr>
        <w:t xml:space="preserve"> </w:t>
      </w:r>
      <w:r>
        <w:rPr>
          <w:rFonts w:ascii="Times New Roman" w:hAnsi="Times New Roman"/>
          <w:b/>
          <w:sz w:val="20"/>
        </w:rPr>
        <w:t>Changes in Corporate Structure</w:t>
      </w:r>
      <w:r>
        <w:rPr>
          <w:rFonts w:ascii="Times New Roman" w:hAnsi="Times New Roman"/>
          <w:sz w:val="20"/>
        </w:rPr>
        <w:t xml:space="preserve">. The Company shall not have changed its jurisdiction of incorporation or organization, as applicable, or been a party to any merger or consolidation or succeeded to all or any substantial part of the liabilities of any other entity, at any time following the date of the most recent financial statements referred to in Schedule 5.5.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4.10.</w:t>
      </w:r>
      <w:r>
        <w:rPr>
          <w:rFonts w:ascii="Times New Roman" w:hAnsi="Times New Roman"/>
          <w:sz w:val="20"/>
        </w:rPr>
        <w:t xml:space="preserve"> </w:t>
      </w:r>
      <w:r>
        <w:rPr>
          <w:rFonts w:ascii="Times New Roman" w:hAnsi="Times New Roman"/>
          <w:b/>
          <w:sz w:val="20"/>
        </w:rPr>
        <w:t>Proceedings and Documents</w:t>
      </w:r>
      <w:r>
        <w:rPr>
          <w:rFonts w:ascii="Times New Roman" w:hAnsi="Times New Roman"/>
          <w:sz w:val="20"/>
        </w:rPr>
        <w:t xml:space="preserve">. All corporate and other proceedings in connection with the transactions contemplated by this Agreement and all documents and instruments incident to such transactions shall be satisfactory to the Purchasers, and the Purchasers shall have received all such counterpart originals or certified or other copies of such documents as the Purchasers may reasonably request. </w:t>
      </w:r>
    </w:p>
    <w:p>
      <w:pPr>
        <w:pStyle w:val="TextBody"/>
        <w:bidi w:val="0"/>
        <w:spacing w:before="240" w:after="0"/>
        <w:jc w:val="left"/>
        <w:rPr>
          <w:rFonts w:ascii="Times New Roman" w:hAnsi="Times New Roman"/>
          <w:sz w:val="20"/>
        </w:rPr>
      </w:pPr>
      <w:r>
        <w:rPr>
          <w:rFonts w:ascii="Times New Roman" w:hAnsi="Times New Roman"/>
          <w:b/>
          <w:sz w:val="20"/>
        </w:rPr>
        <w:t>Section 5. REPRESENTATIONS AND WARRANTIES OF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represents and warrants to the Purchaser that: </w:t>
      </w:r>
    </w:p>
    <w:p>
      <w:pPr>
        <w:pStyle w:val="TextBody"/>
        <w:bidi w:val="0"/>
        <w:spacing w:before="12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w:t>
      </w:r>
      <w:r>
        <w:rPr>
          <w:rFonts w:ascii="Times New Roman" w:hAnsi="Times New Roman"/>
          <w:sz w:val="20"/>
        </w:rPr>
        <w:t xml:space="preserve"> </w:t>
      </w:r>
      <w:r>
        <w:rPr>
          <w:rFonts w:ascii="Times New Roman" w:hAnsi="Times New Roman"/>
          <w:b/>
          <w:sz w:val="20"/>
        </w:rPr>
        <w:t>Organization; Power and Authority</w:t>
      </w:r>
      <w:r>
        <w:rPr>
          <w:rFonts w:ascii="Times New Roman" w:hAnsi="Times New Roman"/>
          <w:sz w:val="20"/>
        </w:rPr>
        <w:t xml:space="preserve">. The Company is a corporation duly organized, validly existing and in good standing under the laws of the State of Maryland, and is duly qualified as a foreign corporation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The Company has the corporate power and authority to own or hold under lease the properties it purports to own or hold under lease, to transact the business it transacts and proposes to transact (except where the failure to do so would not, individually or in the aggregate, reasonably be expected to have a Material Adverse Effect), to execute and deliver this Agreement and the Notes and to perform the provisions hereof and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5.2.</w:t>
      </w:r>
      <w:r>
        <w:rPr>
          <w:rFonts w:ascii="Times New Roman" w:hAnsi="Times New Roman"/>
          <w:sz w:val="20"/>
        </w:rPr>
        <w:t xml:space="preserve"> </w:t>
      </w:r>
      <w:r>
        <w:rPr>
          <w:rFonts w:ascii="Times New Roman" w:hAnsi="Times New Roman"/>
          <w:b/>
          <w:sz w:val="20"/>
        </w:rPr>
        <w:t>Authorization, Etc</w:t>
      </w:r>
      <w:r>
        <w:rPr>
          <w:rFonts w:ascii="Times New Roman" w:hAnsi="Times New Roman"/>
          <w:sz w:val="20"/>
        </w:rPr>
        <w:t xml:space="preserve">. This Agreement and the Notes have been duly authorized by all necessary corporate action on the part of the Company, and this Agreement constitutes, and upon execution and delivery thereof each Note will constitute, a legal, valid and binding obligation of the Company enforceable against the Company in accordance with its terms, except as such enforceability may be limited by (i) applicable bankruptcy, insolvency, reorganization, moratorium, liquidation or other similar laws relating to or affecting generally the enforcement of creditors’ rights and remedies and (ii) general principles of equity (regardless of whether such enforceability is considered in a proceeding in equity, including, without limitation, fraudulent conveyance or public policy, or at law).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5.3.</w:t>
      </w:r>
      <w:r>
        <w:rPr>
          <w:rFonts w:ascii="Times New Roman" w:hAnsi="Times New Roman"/>
          <w:sz w:val="20"/>
        </w:rPr>
        <w:t xml:space="preserve"> </w:t>
      </w:r>
      <w:r>
        <w:rPr>
          <w:rFonts w:ascii="Times New Roman" w:hAnsi="Times New Roman"/>
          <w:b/>
          <w:sz w:val="20"/>
        </w:rPr>
        <w:t>Disclosure</w:t>
      </w:r>
      <w:r>
        <w:rPr>
          <w:rFonts w:ascii="Times New Roman" w:hAnsi="Times New Roman"/>
          <w:sz w:val="20"/>
        </w:rPr>
        <w:t>. (a) This Agreement, the financial statements listed in Schedule 5.5 and the documents, certificates or other writings delivered to the Purchasers by or on behalf of the Company (other than financial projections, pro forma financial information and other forward-looking information referenced in Section 5.3(b), information relating to third parties and information of a general economic or general or specific industry nature) prior to September 1, 2026 in connection with the transactions contemplated hereby and identified in Schedule 5.3 (this Agreement and such documents, certificates or other writings and such financial statements delivered to the Purchasers being referred to, collectively, as the “</w:t>
      </w:r>
      <w:r>
        <w:rPr>
          <w:rFonts w:ascii="Times New Roman" w:hAnsi="Times New Roman"/>
          <w:b/>
          <w:sz w:val="20"/>
        </w:rPr>
        <w:t>Disclosure Documents</w:t>
      </w:r>
      <w:r>
        <w:rPr>
          <w:rFonts w:ascii="Times New Roman" w:hAnsi="Times New Roman"/>
          <w:sz w:val="20"/>
        </w:rPr>
        <w:t xml:space="preserve">”), taken as a whole, did not as of September 1, 2026, and, after taking into account all updates thereto and the same having been delivered to the Purchasers, do not, as of the date of Closing, contain any untrue statement of a material fact or omit to state any material fact necessary to make the statements therein not misleading in light of the circumstances under which they were made. Except as disclosed in the Disclosure Documents, since June 30, 2026, there has been no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financial condition, operations, business or properties of the Company or any Subsidiary except changes that would not, individually or in the aggregate, reasonably be expected to have a Material Adverse Effect. There is no fact known to the Company that would reasonably be expected to have a Material Adverse Effect that has not been set forth herein or in the Disclosure Documents. </w:t>
      </w:r>
    </w:p>
    <w:p>
      <w:pPr>
        <w:pStyle w:val="TextBody"/>
        <w:bidi w:val="0"/>
        <w:spacing w:before="240" w:after="0"/>
        <w:jc w:val="left"/>
        <w:rPr>
          <w:rFonts w:ascii="Times New Roman" w:hAnsi="Times New Roman"/>
          <w:sz w:val="20"/>
        </w:rPr>
      </w:pPr>
      <w:r>
        <w:rPr>
          <w:rFonts w:ascii="Times New Roman" w:hAnsi="Times New Roman"/>
          <w:sz w:val="20"/>
        </w:rPr>
        <w:t xml:space="preserve">(b) All financial projections, pro forma financial information and other forward-looking information which has been delivered to the Purchasers by or on behalf of the Company in connection with the transactions contemplated by this Agreement are based upon good faith assumptions and, in the case of financial projections and pro forma financial information of the Company, good faith estimates, in each case, believed to be reasonable at the time made, it being recognized that (i) such financial information as it relates to future events is subject to significant and inherent uncertainty and contingencies (many of which are beyond the control of the Company) and that no assurance can be given that such financial information will be realized, and are therefore not to be viewed as fact, and (ii) actual results during the period or periods covered by such financial information may materially differ from the results set forth therein.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5.4.</w:t>
      </w:r>
      <w:r>
        <w:rPr>
          <w:rFonts w:ascii="Times New Roman" w:hAnsi="Times New Roman"/>
          <w:sz w:val="20"/>
        </w:rPr>
        <w:t xml:space="preserve"> </w:t>
      </w:r>
      <w:r>
        <w:rPr>
          <w:rFonts w:ascii="Times New Roman" w:hAnsi="Times New Roman"/>
          <w:b/>
          <w:sz w:val="20"/>
        </w:rPr>
        <w:t>Organization and Ownership of Shares of Subsidiaries; Affiliates</w:t>
      </w:r>
      <w:r>
        <w:rPr>
          <w:rFonts w:ascii="Times New Roman" w:hAnsi="Times New Roman"/>
          <w:sz w:val="20"/>
        </w:rPr>
        <w:t xml:space="preserve">. (a) Schedule 5.4 contains (except as noted therein) complete and correct lists of (i) the Company’s Subsidiaries, showing, as to each Subsidiary, the name thereof, the jurisdiction of its organization, the percentage of shares of each class of its capital stock or similar equity interests outstanding owned by the Company and each other Subsidiary and (ii) the Company’s directors and senior officers. </w:t>
      </w:r>
    </w:p>
    <w:p>
      <w:pPr>
        <w:pStyle w:val="TextBody"/>
        <w:bidi w:val="0"/>
        <w:spacing w:before="240" w:after="0"/>
        <w:jc w:val="left"/>
        <w:rPr>
          <w:rFonts w:ascii="Times New Roman" w:hAnsi="Times New Roman"/>
          <w:sz w:val="20"/>
        </w:rPr>
      </w:pPr>
      <w:r>
        <w:rPr>
          <w:rFonts w:ascii="Times New Roman" w:hAnsi="Times New Roman"/>
          <w:sz w:val="20"/>
        </w:rPr>
        <w:t xml:space="preserve">(b) All of the outstanding shares of capital stock or similar equity interests of each Subsidiary shown in Schedule 5.4 as being owned by the Company and its Subsidiaries have been validly issued, are fully paid and non-assessable and are owned by the Company or another Subsidiary free and clear of any Lien that is prohibited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Each Subsidiary is a corporation or other legal entity duly organized, validly existing and, where applicable, in good standing under the laws of its jurisdiction of organization, and is duly qualified as a foreign corporation or other legal entity and, where applicable, is in good standing in each jurisdiction in which such qualification is required by law, other than those jurisdictions where the failure to be so qualified or in good standing would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 except where the failure to have such power or authority would not,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No Subsidiary is subject to any legal, regulatory, contractual or other restriction (other than the agreements listed on Schedule 5.4 and customary limitations imposed by corporate law or similar statutes) restricting the ability of such Subsidiary to pay dividends out of profits or make any other similar distributions of profits to the Company or any of its Subsidiaries that owns outstanding shares of capital stock or similar equity interests of such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5.5.</w:t>
      </w:r>
      <w:r>
        <w:rPr>
          <w:rFonts w:ascii="Times New Roman" w:hAnsi="Times New Roman"/>
          <w:sz w:val="20"/>
        </w:rPr>
        <w:t xml:space="preserve"> </w:t>
      </w:r>
      <w:r>
        <w:rPr>
          <w:rFonts w:ascii="Times New Roman" w:hAnsi="Times New Roman"/>
          <w:b/>
          <w:sz w:val="20"/>
        </w:rPr>
        <w:t>Financial Statements; Material Liabilities</w:t>
      </w:r>
      <w:r>
        <w:rPr>
          <w:rFonts w:ascii="Times New Roman" w:hAnsi="Times New Roman"/>
          <w:sz w:val="20"/>
        </w:rPr>
        <w:t xml:space="preserve">. The Company has delivered to the Purchasers copies of the financial statements of the Company and its Subsidiaries listed on Schedule 5.5. All of such financial statements (including in each case the related schedules and notes, but excluding all financial projections, pro forma financial information and other forward-looking information) fairly present in all material respects the consolidated financial position of the Company and its Subsidiaries as of the respective dates specified in Schedule 5.5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year-end adjustments). For purposes of this Section 5.5, financial statements of the Company that have been filed with the SEC on EDGAR shall be deemed to have been “delivered” to the Purchasers.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5.6.</w:t>
      </w:r>
      <w:r>
        <w:rPr>
          <w:rFonts w:ascii="Times New Roman" w:hAnsi="Times New Roman"/>
          <w:sz w:val="20"/>
        </w:rPr>
        <w:t xml:space="preserve"> </w:t>
      </w:r>
      <w:r>
        <w:rPr>
          <w:rFonts w:ascii="Times New Roman" w:hAnsi="Times New Roman"/>
          <w:b/>
          <w:sz w:val="20"/>
        </w:rPr>
        <w:t>Compliance with Laws</w:t>
      </w:r>
      <w:r>
        <w:rPr>
          <w:rFonts w:ascii="Times New Roman" w:hAnsi="Times New Roman"/>
          <w:sz w:val="20"/>
        </w:rPr>
        <w:t xml:space="preserve">. The execution, delivery and performance by the Company of this Agreement and the Notes will not (i) contravene, result in any breach of, or constitute a default under, or result in the creation of any Lien in respect of any property of the Company or any Subsidiary under, any indenture, mortgage, deed of trust, loan, purchase or credit agreement, lease, corporate charter, regulations or by-laws, shareholders agreement or any other agreement or instrument to which the Company or any Subsidiary is bound or by which the Company or any Subsidiary or any of their respective properties may be bound or affected, (ii) conflict with or result in a breach of any of the terms, conditions or provisions of any order, judgment, decree or ruling of any court, arbitrator or Governmental Authority applicable to the Company or any Subsidiary or (iii) violate any provision of any statute or other rule or regulation of any Governmental Authority applicable to the Company or any Subsidiary, in each case, except where any of the foregoing, individually or in the aggregate, would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5.7.</w:t>
      </w:r>
      <w:r>
        <w:rPr>
          <w:rFonts w:ascii="Times New Roman" w:hAnsi="Times New Roman"/>
          <w:sz w:val="20"/>
        </w:rPr>
        <w:t xml:space="preserve"> </w:t>
      </w:r>
      <w:r>
        <w:rPr>
          <w:rFonts w:ascii="Times New Roman" w:hAnsi="Times New Roman"/>
          <w:b/>
          <w:sz w:val="20"/>
        </w:rPr>
        <w:t>Governmental Authorizations, Etc</w:t>
      </w:r>
      <w:r>
        <w:rPr>
          <w:rFonts w:ascii="Times New Roman" w:hAnsi="Times New Roman"/>
          <w:sz w:val="20"/>
        </w:rPr>
        <w:t xml:space="preserve">. No consent, approval or authorization of, or registration, filing or declaration with, any Governmental Authority is required in connection with the execution, delivery or performance by the Company of this Agreement or the Notes, other than (i) any filing required under the Securities Exchange Act of 1934, as amended (the “Exchange Act”), or the rules or regulations promulgated thereunder on Form 8-K, Form 10-Q or Form 10-K which filings have been made or will be made, or (ii) such as have been obtained or made and are or will be in full force and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5.8.</w:t>
      </w:r>
      <w:r>
        <w:rPr>
          <w:rFonts w:ascii="Times New Roman" w:hAnsi="Times New Roman"/>
          <w:sz w:val="20"/>
        </w:rPr>
        <w:t xml:space="preserve"> </w:t>
      </w:r>
      <w:r>
        <w:rPr>
          <w:rFonts w:ascii="Times New Roman" w:hAnsi="Times New Roman"/>
          <w:b/>
          <w:sz w:val="20"/>
        </w:rPr>
        <w:t>Litigation; Observance of Agreements, Statutes and Orders</w:t>
      </w:r>
      <w:r>
        <w:rPr>
          <w:rFonts w:ascii="Times New Roman" w:hAnsi="Times New Roman"/>
          <w:sz w:val="20"/>
        </w:rPr>
        <w:t xml:space="preserve">. (a) There are no actions, suits, investigations or proceedings pending or, to the knowledge of the Company, threatened in writing against or affecting the Company or any Subsidiary or any property of the Company or any Subsidiary in any court or before any arbitrator of any kind or before or by any Governmental Authority that would,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Neither the Company nor any Subsidiary is (i) in default under any agreement or instrument to which it is a party or by which it is bound, (ii) in violation of any order, judgment, decree or ruling of any court, any arbitrator of any kind or any Governmental Authority or (iii) in violation of any applicable law, ordinance, rule or regulation of any Governmental Authority (including Environmental Laws, the USA PATRIOT Act or any of the other laws and regulations that are referred to in Section 5.16), which default or violation would, individually or in the aggregate,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5.9.</w:t>
      </w:r>
      <w:r>
        <w:rPr>
          <w:rFonts w:ascii="Times New Roman" w:hAnsi="Times New Roman"/>
          <w:sz w:val="20"/>
        </w:rPr>
        <w:t xml:space="preserve"> </w:t>
      </w:r>
      <w:r>
        <w:rPr>
          <w:rFonts w:ascii="Times New Roman" w:hAnsi="Times New Roman"/>
          <w:b/>
          <w:sz w:val="20"/>
        </w:rPr>
        <w:t>Taxes</w:t>
      </w:r>
      <w:r>
        <w:rPr>
          <w:rFonts w:ascii="Times New Roman" w:hAnsi="Times New Roman"/>
          <w:sz w:val="20"/>
        </w:rPr>
        <w:t xml:space="preserve">. The Company and its Subsidiaries have filed all federal and state income and other Material Tax returns that are required to have been filed in any jurisdiction, and have paid all Taxes shown to be due and payable on such returns and all other Taxes levied upon them or their properties, assets, income or franchises, to the extent such Taxes have become due and payable and before they have become delinquent, except for any Taxes (i) the nonpayment of which would not, individually or in the aggregate, reasonably be expected to have a Material Adverse Effect or (ii) the amount, applicability or validity of which is currently being contested in good faith by appropriate proceedings and with respect to which the Company or a Subsidiary, as the case may be, has established adequate reserves in accordance with GAAP.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5.10.</w:t>
      </w:r>
      <w:r>
        <w:rPr>
          <w:rFonts w:ascii="Times New Roman" w:hAnsi="Times New Roman"/>
          <w:sz w:val="20"/>
        </w:rPr>
        <w:t xml:space="preserve"> </w:t>
      </w:r>
      <w:r>
        <w:rPr>
          <w:rFonts w:ascii="Times New Roman" w:hAnsi="Times New Roman"/>
          <w:b/>
          <w:sz w:val="20"/>
        </w:rPr>
        <w:t>Title to Property</w:t>
      </w:r>
      <w:r>
        <w:rPr>
          <w:rFonts w:ascii="Times New Roman" w:hAnsi="Times New Roman"/>
          <w:sz w:val="20"/>
        </w:rPr>
        <w:t xml:space="preserve">. The Company and its Subsidiaries have good and sufficient title to their respective properties that individually or in the aggregate are Material, including all such properties reflected in the most recent audited balance sheet referred to in Section 5.5 or purported to have been acquired by the Company or any Subsidiary after such date (except as sold or otherwise disposed of in the ordinary course of business or otherwise as permitted by this Agreement), in each case free and clear of Liens prohibited by this Agreement, except for minor defects in title that do not interfere with its ability to conduct its business, taken as a whole, as currently conducted or to utilize such properties for their intended purposes.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5.11.</w:t>
      </w:r>
      <w:r>
        <w:rPr>
          <w:rFonts w:ascii="Times New Roman" w:hAnsi="Times New Roman"/>
          <w:sz w:val="20"/>
        </w:rPr>
        <w:t xml:space="preserve"> </w:t>
      </w:r>
      <w:r>
        <w:rPr>
          <w:rFonts w:ascii="Times New Roman" w:hAnsi="Times New Roman"/>
          <w:b/>
          <w:sz w:val="20"/>
        </w:rPr>
        <w:t>Licenses, Permits, Etc</w:t>
      </w:r>
      <w:r>
        <w:rPr>
          <w:rFonts w:ascii="Times New Roman" w:hAnsi="Times New Roman"/>
          <w:sz w:val="20"/>
        </w:rPr>
        <w:t xml:space="preserve">. (a) The Company and its Subsidiaries own or possess all licenses, permits, franchises, authorizations, patents, copyrights, proprietary software, service marks, trademarks and trade names, or rights thereto, that individually or in the aggregate are Material, without known conflict with the rights of others, except for any such conflicts that, individually or in the aggregate, would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To the knowledge of the Company, no product or service of the Company or any of its Subsidiaries infringes in any material respect any license, permit, franchise, authorization, patent, copyright, proprietary software, service mark, trademark, trade name or other right owned by any other Person, except for any such infringements that, individually or in the aggregate, would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To the knowledge of the Company, there is no Material violation by any Person of any right of the Company or any of its Subsidiaries with respect to any license, permit, franchise, authorization, patent, copyright, proprietary software, service mark, trademark, trade name or other right owned or used by the Company or any of its Subsidiaries.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5.12.</w:t>
      </w:r>
      <w:r>
        <w:rPr>
          <w:rFonts w:ascii="Times New Roman" w:hAnsi="Times New Roman"/>
          <w:sz w:val="20"/>
        </w:rPr>
        <w:t xml:space="preserve"> </w:t>
      </w:r>
      <w:r>
        <w:rPr>
          <w:rFonts w:ascii="Times New Roman" w:hAnsi="Times New Roman"/>
          <w:b/>
          <w:sz w:val="20"/>
        </w:rPr>
        <w:t>Compliance with Employee Benefit Plans</w:t>
      </w:r>
      <w:r>
        <w:rPr>
          <w:rFonts w:ascii="Times New Roman" w:hAnsi="Times New Roman"/>
          <w:sz w:val="20"/>
        </w:rPr>
        <w:t xml:space="preserve">. (a) The Company and each ERISA Affiliate have operated and administered each Plan in compliance with all applicable laws except for such instances of noncompliance as have not resulted in and would not, individually or in the aggregate, reasonably be expected to result in a Material Adverse Effect. Neither the Company nor any ERISA Affiliate has incurred any liability pursuant to Title I or IV of ERISA or the penalty or excise tax provisions of the Code relating to employee benefit plans (as defined in section 3 of ERISA), and no event, transaction or condition has occurred or exists that could,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individually or in the aggregate,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section 430(k) of the Code or to any such penalty or excise tax provisions under the Code or federal law or section 4068 of ERISA or by the granting of a security interest in connection with the amendment of a Plan, other than such liabilities or Liens as would not, individually or in the aggregate,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(b) The present value of the aggregate benefit liabilities under each of the Plans (other than Multiemployer Plans), determined as of the end of such Plan’s most recently ended plan year on the basis of the actuarial assumptions specified for funding purposes in such Plan’s most recent actuarial valuation report, did not exceed the aggregate current value of the assets of such Plan allocable to such benefit liabilities by an amount that has resulted in or could, individually or in the aggregate, reasonably be expected to result in a Material Adverse Effect. The term “</w:t>
      </w:r>
      <w:r>
        <w:rPr>
          <w:rFonts w:ascii="Times New Roman" w:hAnsi="Times New Roman"/>
          <w:b/>
          <w:sz w:val="20"/>
        </w:rPr>
        <w:t>benefit liabilities</w:t>
      </w:r>
      <w:r>
        <w:rPr>
          <w:rFonts w:ascii="Times New Roman" w:hAnsi="Times New Roman"/>
          <w:sz w:val="20"/>
        </w:rPr>
        <w:t>” has the meaning specified in section 4001 of ERISA and the terms “</w:t>
      </w:r>
      <w:r>
        <w:rPr>
          <w:rFonts w:ascii="Times New Roman" w:hAnsi="Times New Roman"/>
          <w:b/>
          <w:sz w:val="20"/>
        </w:rPr>
        <w:t>current value</w:t>
      </w:r>
      <w:r>
        <w:rPr>
          <w:rFonts w:ascii="Times New Roman" w:hAnsi="Times New Roman"/>
          <w:sz w:val="20"/>
        </w:rPr>
        <w:t>” and “</w:t>
      </w:r>
      <w:r>
        <w:rPr>
          <w:rFonts w:ascii="Times New Roman" w:hAnsi="Times New Roman"/>
          <w:b/>
          <w:sz w:val="20"/>
        </w:rPr>
        <w:t>present value</w:t>
      </w:r>
      <w:r>
        <w:rPr>
          <w:rFonts w:ascii="Times New Roman" w:hAnsi="Times New Roman"/>
          <w:sz w:val="20"/>
        </w:rPr>
        <w:t xml:space="preserve">” have the meaning specified in section 3 of ERISA. </w:t>
      </w:r>
    </w:p>
    <w:p>
      <w:pPr>
        <w:pStyle w:val="TextBody"/>
        <w:bidi w:val="0"/>
        <w:spacing w:before="240" w:after="0"/>
        <w:jc w:val="left"/>
        <w:rPr>
          <w:rFonts w:ascii="Times New Roman" w:hAnsi="Times New Roman"/>
          <w:sz w:val="20"/>
        </w:rPr>
      </w:pPr>
      <w:r>
        <w:rPr>
          <w:rFonts w:ascii="Times New Roman" w:hAnsi="Times New Roman"/>
          <w:sz w:val="20"/>
        </w:rPr>
        <w:t xml:space="preserve">(c) The Company and its ERISA Affiliates have not incurred withdrawal liabilities (and are not subject to contingent withdrawal liabilities) under section 4201 or 4204 of ERISA in respect of Multiemployer Plans that individually or in the aggregate have resulted in or would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The expected postretirement benefit obligation (determined as of the last day of the Company’s most recently ended fiscal year in accordance with Financial Accounting Standards Board Accounting Standards Codification Topic 715-60, without regard to liabilities attributable to continuation coverage mandated by section 4980B of the Code) of the Company and its Subsidiaries is not reasonably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The execution and delivery of this Agreement and the issuance and sale of the Notes hereunder will not involve any transaction that is subject to the prohibitions of section 406 of ERISA or in connection with which a tax could be imposed pursuant to section 4975(c)(1)(A)-(D) of the Code. The representation by the Company to the Purchaser in the first sentence of this Section 5.12(d) is made in reliance upon and subject to the accuracy of the Purchaser’s representation in Section 6.2 as to the sources of the funds to be used to pay the purchase price of the Notes to be purchased by such Purchaser. </w:t>
      </w:r>
    </w:p>
    <w:p>
      <w:pPr>
        <w:pStyle w:val="TextBody"/>
        <w:bidi w:val="0"/>
        <w:spacing w:before="240" w:after="0"/>
        <w:jc w:val="left"/>
        <w:rPr>
          <w:rFonts w:ascii="Times New Roman" w:hAnsi="Times New Roman"/>
          <w:sz w:val="20"/>
        </w:rPr>
      </w:pPr>
      <w:r>
        <w:rPr>
          <w:rFonts w:ascii="Times New Roman" w:hAnsi="Times New Roman"/>
          <w:sz w:val="20"/>
        </w:rPr>
        <w:t xml:space="preserve">(f) The Company and its Subsidiaries do not have any Non-U.S. Plans that could, individually or in the aggregate,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5.13.</w:t>
      </w:r>
      <w:r>
        <w:rPr>
          <w:rFonts w:ascii="Times New Roman" w:hAnsi="Times New Roman"/>
          <w:sz w:val="20"/>
        </w:rPr>
        <w:t xml:space="preserve"> </w:t>
      </w:r>
      <w:r>
        <w:rPr>
          <w:rFonts w:ascii="Times New Roman" w:hAnsi="Times New Roman"/>
          <w:b/>
          <w:sz w:val="20"/>
        </w:rPr>
        <w:t>Private Offering by the Company</w:t>
      </w:r>
      <w:r>
        <w:rPr>
          <w:rFonts w:ascii="Times New Roman" w:hAnsi="Times New Roman"/>
          <w:sz w:val="20"/>
        </w:rPr>
        <w:t xml:space="preserve">. Neither the Company nor anyone acting on its behalf has offered either the 2031 Notes or the 2029 Notes-2 or any similar Securities for sale to, or solicited any offer to buy either the 2031 Notes or the 2029 Notes-2 or any similar Securities from, or otherwise approached or negotiated in respect thereof with, any Person other than the Purchasers and not more than thirty-five (35) other Institutional Investors, each of which has been offered each of the 2031 Notes and the 2029 Notes-2 at a private sale for investment. Neither the Company nor anyone acting on its behalf has taken, or will take, any action that would subject the issuance or sale of either the 2031 Notes or the 2029 Notes-2 to the registration requirements of section 5 of the Securities Act or to the registration requirements of any Securities or blue sky laws of any applicable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5.14.</w:t>
      </w:r>
      <w:r>
        <w:rPr>
          <w:rFonts w:ascii="Times New Roman" w:hAnsi="Times New Roman"/>
          <w:sz w:val="20"/>
        </w:rPr>
        <w:t xml:space="preserve"> </w:t>
      </w:r>
      <w:r>
        <w:rPr>
          <w:rFonts w:ascii="Times New Roman" w:hAnsi="Times New Roman"/>
          <w:b/>
          <w:sz w:val="20"/>
        </w:rPr>
        <w:t>Use of Proceeds; Margin Regulations</w:t>
      </w:r>
      <w:r>
        <w:rPr>
          <w:rFonts w:ascii="Times New Roman" w:hAnsi="Times New Roman"/>
          <w:sz w:val="20"/>
        </w:rPr>
        <w:t>. The Company will apply the proceeds of the sale of the Notes hereunder for the repayment of the Company’s 4.00% Notes due November 2026, the partial payments of amounts drawn under the Truist Credit Facility and for general corporate purposes. No part of the proceeds from the sale of the Notes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Margin stock does not constitute more than 25% of the value of the consolidated assets of the Company and its Subsidiaries and the Company does not have any present intention that margin stock will constitute more than 25% of the value of such assets. As used in this Section, the terms “</w:t>
      </w:r>
      <w:r>
        <w:rPr>
          <w:rFonts w:ascii="Times New Roman" w:hAnsi="Times New Roman"/>
          <w:b/>
          <w:sz w:val="20"/>
        </w:rPr>
        <w:t>margin stock</w:t>
      </w:r>
      <w:r>
        <w:rPr>
          <w:rFonts w:ascii="Times New Roman" w:hAnsi="Times New Roman"/>
          <w:sz w:val="20"/>
        </w:rPr>
        <w:t>” and “</w:t>
      </w:r>
      <w:r>
        <w:rPr>
          <w:rFonts w:ascii="Times New Roman" w:hAnsi="Times New Roman"/>
          <w:b/>
          <w:sz w:val="20"/>
        </w:rPr>
        <w:t>purpose of buying or carrying</w:t>
      </w:r>
      <w:r>
        <w:rPr>
          <w:rFonts w:ascii="Times New Roman" w:hAnsi="Times New Roman"/>
          <w:sz w:val="20"/>
        </w:rPr>
        <w:t xml:space="preserve">” shall have the meanings assigned to them in said Regulation U.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5.15.</w:t>
      </w:r>
      <w:r>
        <w:rPr>
          <w:rFonts w:ascii="Times New Roman" w:hAnsi="Times New Roman"/>
          <w:sz w:val="20"/>
        </w:rPr>
        <w:t xml:space="preserve"> </w:t>
      </w:r>
      <w:r>
        <w:rPr>
          <w:rFonts w:ascii="Times New Roman" w:hAnsi="Times New Roman"/>
          <w:b/>
          <w:sz w:val="20"/>
        </w:rPr>
        <w:t>Existing Indebtedness; Future Liens.</w:t>
      </w:r>
      <w:r>
        <w:rPr>
          <w:rFonts w:ascii="Times New Roman" w:hAnsi="Times New Roman"/>
          <w:sz w:val="20"/>
        </w:rPr>
        <w:t xml:space="preserve"> (a) Except as described therein, Schedule 5.15 sets forth a complete and correct list of all outstanding Material Indebtedness of the Company and its Subsidiaries as of September 1, 2026, since which date there has been no Material change in the amounts, interest rates, sinking funds, installment payments or maturities of the Material Indebtedness of the Company or its Subsidiaries. As of September 1, 2026, neither the Company nor any Subsidiary is in default and no waiver of default is currently in effect, in the payment of any principal or interest on any Material Indebtedness of the Company or such Subsidiary and, to the knowledge of the Company, no event or condition exists with respect to any Material Indebtedness of the Company or any Subsidiary that would permit (or that with notice or the lapse of time, or both, would permit) one or more Persons to cause such Material Indebtedness to become due and payable before its stated maturity or before its regularly scheduled dates of payment. </w:t>
      </w:r>
    </w:p>
    <w:p>
      <w:pPr>
        <w:pStyle w:val="TextBody"/>
        <w:bidi w:val="0"/>
        <w:spacing w:before="240" w:after="0"/>
        <w:jc w:val="left"/>
        <w:rPr>
          <w:rFonts w:ascii="Times New Roman" w:hAnsi="Times New Roman"/>
          <w:sz w:val="20"/>
        </w:rPr>
      </w:pPr>
      <w:r>
        <w:rPr>
          <w:rFonts w:ascii="Times New Roman" w:hAnsi="Times New Roman"/>
          <w:sz w:val="20"/>
        </w:rPr>
        <w:t xml:space="preserve">(b) Except as disclosed in Schedule 5.15, neither the Company nor any Subsidiary has agreed or consented to cause or permit any of its property, whether now owned or hereafter acquired, to be subject to a Lien that secures Material Indebtedness or to cause or permit in the future (upon the happening of a contingency or otherwise) any of its property, whether now owned or hereafter acquired, to be subject to a Lien that secures Material Indebtedness. </w:t>
      </w:r>
    </w:p>
    <w:p>
      <w:pPr>
        <w:pStyle w:val="TextBody"/>
        <w:bidi w:val="0"/>
        <w:spacing w:before="240" w:after="0"/>
        <w:jc w:val="left"/>
        <w:rPr>
          <w:rFonts w:ascii="Times New Roman" w:hAnsi="Times New Roman"/>
          <w:sz w:val="20"/>
        </w:rPr>
      </w:pPr>
      <w:r>
        <w:rPr>
          <w:rFonts w:ascii="Times New Roman" w:hAnsi="Times New Roman"/>
          <w:sz w:val="20"/>
        </w:rPr>
        <w:t xml:space="preserve">(c) Neither the Company nor any Subsidiary is a party to, or otherwise subject to any provision contained in, any instrument evidencing Material Indebtedness of the Company or such Subsidiary, any agreement relating thereto or any other agreement (including its charter or any other organizational document) which limits the amount of, or otherwise imposes restrictions on the incurring of, Material Indebtedness of the Company, except as disclosed in Schedule 5.15.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5.16.</w:t>
      </w:r>
      <w:r>
        <w:rPr>
          <w:rFonts w:ascii="Times New Roman" w:hAnsi="Times New Roman"/>
          <w:sz w:val="20"/>
        </w:rPr>
        <w:t xml:space="preserve"> </w:t>
      </w:r>
      <w:r>
        <w:rPr>
          <w:rFonts w:ascii="Times New Roman" w:hAnsi="Times New Roman"/>
          <w:b/>
          <w:sz w:val="20"/>
        </w:rPr>
        <w:t>Foreign Assets Control Regulations, Etc</w:t>
      </w:r>
      <w:r>
        <w:rPr>
          <w:rFonts w:ascii="Times New Roman" w:hAnsi="Times New Roman"/>
          <w:sz w:val="20"/>
        </w:rPr>
        <w:t xml:space="preserve">. (a) Neither the Company nor any Subsidiary (i) is a Blocked Person, (ii) has been notified that its name appears on a State Sanctions List, or (iii) is a target of sanctions that have been imposed by the United Nations or the European Union.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Neither the Company nor any Subsidiary (i) has, in the past five (5) years, violated in any material respect any applicable U.S. Economic Sanctions Laws, Anti-Money Laundering Laws or Anti-Corruption Laws or (ii) to the Company’s knowledge, is under investigation by any Governmental Authority for possible violation of any U.S. Economic Sanctions Laws, Anti-Money Laundering Laws or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(c) No part of the proceeds from the sale of the Notes hereunder: </w:t>
      </w:r>
    </w:p>
    <w:p>
      <w:pPr>
        <w:pStyle w:val="TextBody"/>
        <w:bidi w:val="0"/>
        <w:spacing w:before="120" w:after="0"/>
        <w:jc w:val="left"/>
        <w:rPr>
          <w:rFonts w:ascii="Times New Roman" w:hAnsi="Times New Roman"/>
          <w:sz w:val="20"/>
        </w:rPr>
      </w:pPr>
      <w:r>
        <w:rPr>
          <w:rFonts w:ascii="Times New Roman" w:hAnsi="Times New Roman"/>
          <w:sz w:val="20"/>
        </w:rPr>
        <w:t xml:space="preserve">(i) constitutes or will constitute funds obtained on behalf of any Blocked Person or will otherwise be used by the Company or any Subsidiary, directly or knowingly indirectly, (A) in connection with any investment in, or any transactions or dealings with, any Blocked Person in violation of U.S. Economic Sanctions Laws, (B) for any purpose that would cause the Purchaser to be in violation of any U.S. Economic Sanctions Laws, or (C) otherwise in violation of any U.S. Economic Sanctions Laws; </w:t>
      </w:r>
    </w:p>
    <w:p>
      <w:pPr>
        <w:pStyle w:val="TextBody"/>
        <w:bidi w:val="0"/>
        <w:spacing w:before="120" w:after="0"/>
        <w:jc w:val="left"/>
        <w:rPr>
          <w:rFonts w:ascii="Times New Roman" w:hAnsi="Times New Roman"/>
          <w:sz w:val="20"/>
        </w:rPr>
      </w:pPr>
      <w:r>
        <w:rPr>
          <w:rFonts w:ascii="Times New Roman" w:hAnsi="Times New Roman"/>
          <w:sz w:val="20"/>
        </w:rPr>
        <w:t xml:space="preserve">(ii) will be used, directly or knowingly indirectly, in violation of, or cause the Purchaser to be in violation of, any applicable Anti-Money Laundering Laws; or </w:t>
      </w:r>
    </w:p>
    <w:p>
      <w:pPr>
        <w:pStyle w:val="TextBody"/>
        <w:bidi w:val="0"/>
        <w:spacing w:before="120" w:after="0"/>
        <w:jc w:val="left"/>
        <w:rPr>
          <w:rFonts w:ascii="Times New Roman" w:hAnsi="Times New Roman"/>
          <w:sz w:val="20"/>
        </w:rPr>
      </w:pPr>
      <w:r>
        <w:rPr>
          <w:rFonts w:ascii="Times New Roman" w:hAnsi="Times New Roman"/>
          <w:sz w:val="20"/>
        </w:rPr>
        <w:t xml:space="preserve">(iii) will be used, directly or knowingly indirectly, for the purpose of making any improper payments, including bribes, to any Governmental Official or commercial counterparty in order to obtain, retain or direct business or obtain any improper advantage, in each case which would be in violation of, or cause the Purchaser to be in violation of, any applicable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(d) The Company has established procedures and controls which it reasonably believes are adequate (and otherwise comply with applicable law) to promote compliance with all applicable U.S. Economic Sanctions Laws, Anti-Money Laundering Laws and Anti-Corruption Laws.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5.17.</w:t>
      </w:r>
      <w:r>
        <w:rPr>
          <w:rFonts w:ascii="Times New Roman" w:hAnsi="Times New Roman"/>
          <w:sz w:val="20"/>
        </w:rPr>
        <w:t xml:space="preserve"> </w:t>
      </w:r>
      <w:r>
        <w:rPr>
          <w:rFonts w:ascii="Times New Roman" w:hAnsi="Times New Roman"/>
          <w:b/>
          <w:sz w:val="20"/>
        </w:rPr>
        <w:t>Registration Rights Agreements</w:t>
      </w:r>
      <w:r>
        <w:rPr>
          <w:rFonts w:ascii="Times New Roman" w:hAnsi="Times New Roman"/>
          <w:sz w:val="20"/>
        </w:rPr>
        <w:t xml:space="preserve">. The Registration Rights Agreements have been duly authorized, and, when executed and delivered by the Company and each Purchaser, will be duly executed and delivered by the Company and will constitute a valid and binding obligation of the Company, enforceable against the Company in accordance with its terms, except as the enforcement thereof may be subject to (i) applicable bankruptcy, insolvency, reorganization, moratorium or other similar laws now or thereafter in effect relating to creditors’ rights generally and (ii) general principles of equity (regardless of whether enforcement is considered in a proceeding in equity or law).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5.18.</w:t>
      </w:r>
      <w:r>
        <w:rPr>
          <w:rFonts w:ascii="Times New Roman" w:hAnsi="Times New Roman"/>
          <w:sz w:val="20"/>
        </w:rPr>
        <w:t xml:space="preserve"> </w:t>
      </w:r>
      <w:r>
        <w:rPr>
          <w:rFonts w:ascii="Times New Roman" w:hAnsi="Times New Roman"/>
          <w:b/>
          <w:sz w:val="20"/>
        </w:rPr>
        <w:t>Environmental Matters</w:t>
      </w:r>
      <w:r>
        <w:rPr>
          <w:rFonts w:ascii="Times New Roman" w:hAnsi="Times New Roman"/>
          <w:sz w:val="20"/>
        </w:rPr>
        <w:t xml:space="preserve">. (a) Neither the Company nor any Subsidiary has received any written claim and, to the knowledge of the Company, no proceeding has been instituted asserting any claim against the Company or any of its Subsidiaries or any of their respective real properties now or formerly owned, leased or operated by any of them, alleging any damage to the environment or violation of any Environmental Laws, except, in each case, such as would not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Neither the Company nor any Subsidiary has knowledge of any facts which would reasonably be expected to give rise to any claim, public or private, of violation of Environmental Laws by the Company or any Subsidiary, except, in each case, such as could not, individually or in the aggregate,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Neither the Company nor any Subsidiary has stored any Hazardous Materials on real properties now or formerly owned, leased or operated by any of them in a manner which has violated any Environmental Law that would, individually or in the aggregate,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Neither the Company nor any Subsidiary has disposed of any Hazardous Materials in a manner which would reasonably be expected to give rise to liability under any Environmental Law that would, individually or in the aggregate,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All buildings on all real properties now owned, leased or operated by the Company or any Subsidiary are in compliance with applicable Environmental Laws, except where failure to comply would not, individually or in the aggregate,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 6. REPRESENTATIONS OF THE PURCHASER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w:t>
      </w:r>
      <w:r>
        <w:rPr>
          <w:rFonts w:ascii="Times New Roman" w:hAnsi="Times New Roman"/>
          <w:sz w:val="20"/>
        </w:rPr>
        <w:t xml:space="preserve"> </w:t>
      </w:r>
      <w:r>
        <w:rPr>
          <w:rFonts w:ascii="Times New Roman" w:hAnsi="Times New Roman"/>
          <w:b/>
          <w:sz w:val="20"/>
        </w:rPr>
        <w:t>Purchase for Investment</w:t>
      </w:r>
      <w:r>
        <w:rPr>
          <w:rFonts w:ascii="Times New Roman" w:hAnsi="Times New Roman"/>
          <w:sz w:val="20"/>
        </w:rPr>
        <w:t xml:space="preserve">. Each Purchaser severally represents that it is purchasing the 2031 Notes and/or the 2029 Notes-2, in each case, for its own account or for one or more separate accounts maintained by such Purchaser or for the account of one or more pension or trust funds and not with a view to the distribution thereof, </w:t>
      </w:r>
      <w:r>
        <w:rPr>
          <w:rFonts w:ascii="Times New Roman" w:hAnsi="Times New Roman"/>
          <w:i/>
          <w:sz w:val="20"/>
        </w:rPr>
        <w:t>provided</w:t>
      </w:r>
      <w:r>
        <w:rPr>
          <w:rFonts w:ascii="Times New Roman" w:hAnsi="Times New Roman"/>
          <w:sz w:val="20"/>
        </w:rPr>
        <w:t xml:space="preserve"> that the disposition of such Purchaser’s or its property shall at all times be within such Purchaser’s control. Each Purchaser understands that the Notes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2031 Notes or the 2029 Notes-2.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6.2.</w:t>
      </w:r>
      <w:r>
        <w:rPr>
          <w:rFonts w:ascii="Times New Roman" w:hAnsi="Times New Roman"/>
          <w:sz w:val="20"/>
        </w:rPr>
        <w:t xml:space="preserve"> </w:t>
      </w:r>
      <w:r>
        <w:rPr>
          <w:rFonts w:ascii="Times New Roman" w:hAnsi="Times New Roman"/>
          <w:b/>
          <w:sz w:val="20"/>
        </w:rPr>
        <w:t>Source of Funds</w:t>
      </w:r>
      <w:r>
        <w:rPr>
          <w:rFonts w:ascii="Times New Roman" w:hAnsi="Times New Roman"/>
          <w:sz w:val="20"/>
        </w:rPr>
        <w:t>. Each Purchaser severally represents that at least one of the following statements is an accurate representation as to each source of funds (a “</w:t>
      </w:r>
      <w:r>
        <w:rPr>
          <w:rFonts w:ascii="Times New Roman" w:hAnsi="Times New Roman"/>
          <w:b/>
          <w:sz w:val="20"/>
        </w:rPr>
        <w:t>Source</w:t>
      </w:r>
      <w:r>
        <w:rPr>
          <w:rFonts w:ascii="Times New Roman" w:hAnsi="Times New Roman"/>
          <w:sz w:val="20"/>
        </w:rPr>
        <w:t xml:space="preserve">”) to be used by such Purchaser to pay the purchase price of the Notes to be purchased by such Purchaser hereunder: </w:t>
      </w:r>
    </w:p>
    <w:p>
      <w:pPr>
        <w:pStyle w:val="TextBody"/>
        <w:bidi w:val="0"/>
        <w:spacing w:before="120" w:after="0"/>
        <w:jc w:val="left"/>
        <w:rPr>
          <w:rFonts w:ascii="Times New Roman" w:hAnsi="Times New Roman"/>
          <w:sz w:val="20"/>
        </w:rPr>
      </w:pPr>
      <w:r>
        <w:rPr>
          <w:rFonts w:ascii="Times New Roman" w:hAnsi="Times New Roman"/>
          <w:sz w:val="20"/>
        </w:rPr>
        <w:t>(a) the Source is an “insurance company general account” (as the term is defined in the United States Department of Labor’s Prohibited Transaction Exemption (“</w:t>
      </w:r>
      <w:r>
        <w:rPr>
          <w:rFonts w:ascii="Times New Roman" w:hAnsi="Times New Roman"/>
          <w:b/>
          <w:sz w:val="20"/>
        </w:rPr>
        <w:t>PTE</w:t>
      </w:r>
      <w:r>
        <w:rPr>
          <w:rFonts w:ascii="Times New Roman" w:hAnsi="Times New Roman"/>
          <w:sz w:val="20"/>
        </w:rPr>
        <w:t>”) 95-60) in respect of which the reserves and liabilities (as defined by the annual statement for life insurance companies approved by the NAIC (the “</w:t>
      </w:r>
      <w:r>
        <w:rPr>
          <w:rFonts w:ascii="Times New Roman" w:hAnsi="Times New Roman"/>
          <w:b/>
          <w:sz w:val="20"/>
        </w:rPr>
        <w:t>NAIC Annual Statement</w:t>
      </w:r>
      <w:r>
        <w:rPr>
          <w:rFonts w:ascii="Times New Roman" w:hAnsi="Times New Roman"/>
          <w:sz w:val="20"/>
        </w:rPr>
        <w:t xml:space="preserve">”))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95-60) or by the same employee organization in the general account do not exceed 10% of the total reserves and liabilities of the general account (exclusive of separate account liabilities) plus surplus as set forth in the NAIC Annual Statement filed with such Purchaser’s state of domicile;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 </w:t>
      </w:r>
    </w:p>
    <w:p>
      <w:pPr>
        <w:pStyle w:val="TextBody"/>
        <w:bidi w:val="0"/>
        <w:spacing w:before="240" w:after="0"/>
        <w:jc w:val="left"/>
        <w:rPr>
          <w:rFonts w:ascii="Times New Roman" w:hAnsi="Times New Roman"/>
          <w:sz w:val="20"/>
        </w:rPr>
      </w:pPr>
      <w:r>
        <w:rPr>
          <w:rFonts w:ascii="Times New Roman" w:hAnsi="Times New Roman"/>
          <w:sz w:val="20"/>
        </w:rPr>
        <w:t xml:space="preserve">(c) the Source is either (i) an insurance company pooled separate account, within the meaning of PTE 90-1 or (ii) a bank collective investment fund, within the meaning of the PTE 91-38 and, except as disclosed by such Purchaser to the Company in writing pursuant to this clause (c), no employee benefit plan or group of plans maintained by the same employer or employee organization beneficially owns more than 10% of all assets allocated to such pooled separate account or collective investment fund; or </w:t>
      </w:r>
    </w:p>
    <w:p>
      <w:pPr>
        <w:pStyle w:val="TextBody"/>
        <w:bidi w:val="0"/>
        <w:spacing w:before="240" w:after="0"/>
        <w:jc w:val="left"/>
        <w:rPr>
          <w:rFonts w:ascii="Times New Roman" w:hAnsi="Times New Roman"/>
          <w:sz w:val="20"/>
        </w:rPr>
      </w:pPr>
      <w:r>
        <w:rPr>
          <w:rFonts w:ascii="Times New Roman" w:hAnsi="Times New Roman"/>
          <w:sz w:val="20"/>
        </w:rPr>
        <w:t>(d) the Source constitutes assets of an “investment fund” (within the meaning of Part VI of PTE 84-14 (the “</w:t>
      </w:r>
      <w:r>
        <w:rPr>
          <w:rFonts w:ascii="Times New Roman" w:hAnsi="Times New Roman"/>
          <w:b/>
          <w:sz w:val="20"/>
        </w:rPr>
        <w:t>QPAM Exemption</w:t>
      </w:r>
      <w:r>
        <w:rPr>
          <w:rFonts w:ascii="Times New Roman" w:hAnsi="Times New Roman"/>
          <w:sz w:val="20"/>
        </w:rPr>
        <w:t xml:space="preserve">”)) managed by a “qualified professional asset manager” or “QPAM” (within the meaning of Part VI of the QPAM Exemption), no employee 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managed by such QPAM, represent more than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 “related” within the meaning of Part VI(h) of the QPAM Exemption and (i) the identity of such QPAM and (ii) the names of any employee benefit plans whose assets in the investment fund, when combined with the assets of all other employee benefit plans established or maintained by the same employer or by an affiliate (within the meaning of Part VI(c)(1) of the QPAM Exemption) of such employer or by the same employee organization, represent 10% or more of the assets of such investment fund, have been disclosed to the Company in writing pursuant to this clause (d); or </w:t>
      </w:r>
    </w:p>
    <w:p>
      <w:pPr>
        <w:pStyle w:val="TextBody"/>
        <w:bidi w:val="0"/>
        <w:spacing w:before="240" w:after="0"/>
        <w:jc w:val="left"/>
        <w:rPr>
          <w:rFonts w:ascii="Times New Roman" w:hAnsi="Times New Roman"/>
          <w:sz w:val="20"/>
        </w:rPr>
      </w:pPr>
      <w:r>
        <w:rPr>
          <w:rFonts w:ascii="Times New Roman" w:hAnsi="Times New Roman"/>
          <w:sz w:val="20"/>
        </w:rPr>
        <w:t>(e) the Source constitutes assets of a “plan(s)” (within the meaning of Part IV(h) of PTE 96-23 (the “</w:t>
      </w:r>
      <w:r>
        <w:rPr>
          <w:rFonts w:ascii="Times New Roman" w:hAnsi="Times New Roman"/>
          <w:b/>
          <w:sz w:val="20"/>
        </w:rPr>
        <w:t>INHAM Exemption</w:t>
      </w:r>
      <w:r>
        <w:rPr>
          <w:rFonts w:ascii="Times New Roman" w:hAnsi="Times New Roman"/>
          <w:sz w:val="20"/>
        </w:rPr>
        <w:t xml:space="preserve">”)) managed by an “in-house asset manager” or “INHAM” (within the meaning of Part IV(a) of the INHAM Exemption), the conditions of Part I(a), (g) and (h) of the INHAM Exemption are satisfied, neither the INHAM nor a person controlling or controlled by the INHAM (applying the definition of “control” in Part IV(d)(3) of the INHAM Exemption) owns a 10% or more interest in the Company and (i) the identity of such INHAM and (ii) the name(s) of the employee benefit plan(s) whose assets constitute the Source have been disclosed to the Company in writing pursuant to this clause (e); or </w:t>
      </w:r>
    </w:p>
    <w:p>
      <w:pPr>
        <w:pStyle w:val="TextBody"/>
        <w:bidi w:val="0"/>
        <w:spacing w:before="240" w:after="0"/>
        <w:jc w:val="left"/>
        <w:rPr>
          <w:rFonts w:ascii="Times New Roman" w:hAnsi="Times New Roman"/>
          <w:sz w:val="20"/>
        </w:rPr>
      </w:pPr>
      <w:r>
        <w:rPr>
          <w:rFonts w:ascii="Times New Roman" w:hAnsi="Times New Roman"/>
          <w:sz w:val="20"/>
        </w:rPr>
        <w:t xml:space="preserve">(f) the Source is a governmental plan; or </w:t>
      </w:r>
    </w:p>
    <w:p>
      <w:pPr>
        <w:pStyle w:val="TextBody"/>
        <w:bidi w:val="0"/>
        <w:spacing w:before="240" w:after="0"/>
        <w:jc w:val="left"/>
        <w:rPr>
          <w:rFonts w:ascii="Times New Roman" w:hAnsi="Times New Roman"/>
          <w:sz w:val="20"/>
        </w:rPr>
      </w:pPr>
      <w:r>
        <w:rPr>
          <w:rFonts w:ascii="Times New Roman" w:hAnsi="Times New Roman"/>
          <w:sz w:val="20"/>
        </w:rPr>
        <w:t xml:space="preserve">(g) the Source is one or more employee benefit plans, or a separate account or trust fund comprised of one or more employee benefit plans, each of which has been identified to the Company in writing pursuant to this clause (g);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the Source does not include assets of any employee benefit plan, other than a plan exempt from the coverage of ERISA. </w:t>
      </w:r>
    </w:p>
    <w:p>
      <w:pPr>
        <w:pStyle w:val="TextBody"/>
        <w:bidi w:val="0"/>
        <w:spacing w:before="240" w:after="0"/>
        <w:jc w:val="left"/>
        <w:rPr>
          <w:rFonts w:ascii="Times New Roman" w:hAnsi="Times New Roman"/>
          <w:sz w:val="20"/>
        </w:rPr>
      </w:pPr>
      <w:r>
        <w:rPr>
          <w:rFonts w:ascii="Times New Roman" w:hAnsi="Times New Roman"/>
          <w:sz w:val="20"/>
        </w:rPr>
        <w:t>As used in this Section 6.2, the terms “</w:t>
      </w:r>
      <w:r>
        <w:rPr>
          <w:rFonts w:ascii="Times New Roman" w:hAnsi="Times New Roman"/>
          <w:b/>
          <w:sz w:val="20"/>
        </w:rPr>
        <w:t>employee benefit plan,</w:t>
      </w:r>
      <w:r>
        <w:rPr>
          <w:rFonts w:ascii="Times New Roman" w:hAnsi="Times New Roman"/>
          <w:sz w:val="20"/>
        </w:rPr>
        <w:t>” “</w:t>
      </w:r>
      <w:r>
        <w:rPr>
          <w:rFonts w:ascii="Times New Roman" w:hAnsi="Times New Roman"/>
          <w:b/>
          <w:sz w:val="20"/>
        </w:rPr>
        <w:t>governmental plan,</w:t>
      </w:r>
      <w:r>
        <w:rPr>
          <w:rFonts w:ascii="Times New Roman" w:hAnsi="Times New Roman"/>
          <w:sz w:val="20"/>
        </w:rPr>
        <w:t>” and “</w:t>
      </w:r>
      <w:r>
        <w:rPr>
          <w:rFonts w:ascii="Times New Roman" w:hAnsi="Times New Roman"/>
          <w:b/>
          <w:sz w:val="20"/>
        </w:rPr>
        <w:t>separate account</w:t>
      </w:r>
      <w:r>
        <w:rPr>
          <w:rFonts w:ascii="Times New Roman" w:hAnsi="Times New Roman"/>
          <w:sz w:val="20"/>
        </w:rPr>
        <w:t xml:space="preserve">” shall have the respective meanings assigned to such terms in section 3 of ERISA.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6.3.</w:t>
      </w:r>
      <w:r>
        <w:rPr>
          <w:rFonts w:ascii="Times New Roman" w:hAnsi="Times New Roman"/>
          <w:sz w:val="20"/>
        </w:rPr>
        <w:t xml:space="preserve"> </w:t>
      </w:r>
      <w:r>
        <w:rPr>
          <w:rFonts w:ascii="Times New Roman" w:hAnsi="Times New Roman"/>
          <w:b/>
          <w:sz w:val="20"/>
        </w:rPr>
        <w:t>Legends</w:t>
      </w:r>
      <w:r>
        <w:rPr>
          <w:rFonts w:ascii="Times New Roman" w:hAnsi="Times New Roman"/>
          <w:sz w:val="20"/>
        </w:rPr>
        <w:t xml:space="preserve">. Each Purchaser understands that the Notes may be notated with one or both of the following legends: </w:t>
      </w:r>
    </w:p>
    <w:p>
      <w:pPr>
        <w:pStyle w:val="TextBody"/>
        <w:bidi w:val="0"/>
        <w:spacing w:before="120" w:after="0"/>
        <w:jc w:val="left"/>
        <w:rPr>
          <w:rFonts w:ascii="Times New Roman" w:hAnsi="Times New Roman"/>
          <w:sz w:val="20"/>
        </w:rPr>
      </w:pPr>
      <w:r>
        <w:rPr>
          <w:rFonts w:ascii="Times New Roman" w:hAnsi="Times New Roman"/>
          <w:sz w:val="20"/>
        </w:rPr>
        <w:t xml:space="preserve">(a) “THE NOTE REPRESENTED HEREBY HAS NOT BEEN REGISTERED UNDER THE SECURITIES ACT OF 1933, AND HAS BEEN ACQUIRED FOR INVESTMENT AND NOT WITH A VIEW TO, OR IN CONNECTION WITH, THE SALE OR DISTRIBUTION THEREOF. NO SUCH TRANSFER MAY BE EFFECTED WITHOUT AN EFFECTIVE REGISTRATION STATEMENT RELATED THERETO UNLESS AN EXEMPTION FROM REGISTRATION UNDER THE SECURITIES ACT OF 1933 IS AVAILABLE.” </w:t>
      </w:r>
    </w:p>
    <w:p>
      <w:pPr>
        <w:pStyle w:val="TextBody"/>
        <w:bidi w:val="0"/>
        <w:spacing w:before="240" w:after="0"/>
        <w:jc w:val="left"/>
        <w:rPr>
          <w:rFonts w:ascii="Times New Roman" w:hAnsi="Times New Roman"/>
          <w:sz w:val="20"/>
        </w:rPr>
      </w:pPr>
      <w:r>
        <w:rPr>
          <w:rFonts w:ascii="Times New Roman" w:hAnsi="Times New Roman"/>
          <w:sz w:val="20"/>
        </w:rPr>
        <w:t xml:space="preserve">(b) Any legend required by the securities laws of any state to the extent such laws are applicable to the Notes represented by the certificate, instrument or book entry so legended.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6.4.</w:t>
      </w:r>
      <w:r>
        <w:rPr>
          <w:rFonts w:ascii="Times New Roman" w:hAnsi="Times New Roman"/>
          <w:sz w:val="20"/>
        </w:rPr>
        <w:t xml:space="preserve"> </w:t>
      </w:r>
      <w:r>
        <w:rPr>
          <w:rFonts w:ascii="Times New Roman" w:hAnsi="Times New Roman"/>
          <w:b/>
          <w:sz w:val="20"/>
        </w:rPr>
        <w:t>Investment Experience; Access to Information</w:t>
      </w:r>
      <w:r>
        <w:rPr>
          <w:rFonts w:ascii="Times New Roman" w:hAnsi="Times New Roman"/>
          <w:sz w:val="20"/>
        </w:rPr>
        <w:t xml:space="preserve">. Each Purchaser (for itself and for each account for which such Purchaser is acquiring the Notes hereunder) represents that it (a) is an institutional “accredited investor” as defined in Rule 501(a)(1), (2), (3), (7) or (9) of Regulation D promulgated under the Securities Act, an “Institutional Account” as defined in FINRA Rule 4512(c) and a Qualified Institutional Buyer, (b) either alone or together with its representatives has such knowledge and experience in financial and business matters as to be capable of evaluating the merits and risks of this investment and make an informed decision to so invest, and has so evaluated the risks and merits of such investment, (c) has the ability to bear the economic risks of this investment and can afford a complete loss of such investment, (d) understands the terms of and risks associated with the purchase of the Notes, including, without limitation, a lack of liquidity, pricing availability and risks associated with the industry in which the Company operates, (e) has had the opportunity to review (i) the Disclosure Documents, (ii) the Annual Reports on Form 10-K, as amended, for the Company for the fiscal years ended September 30, 2025 and September 30, 2024, the Quarterly Reports on Form 10-Q for the Company for the fiscal quarters ending December 31, 2025, March 31, 2026 and June 30, 2026, and (iii) such other disclosure regarding the Company, its business and its financial condition as such Purchaser has determined to be necessary in connection with the purchase of the Notes, and (f) has had an opportunity to ask such questions and make such inquiries concerning the Company, its business, its management and its financial affairs and condition, in each case, as such Purchaser has deemed appropriate in connection with such purchase and to receive satisfactory answers to such questions and inquiries.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6.5.</w:t>
      </w:r>
      <w:r>
        <w:rPr>
          <w:rFonts w:ascii="Times New Roman" w:hAnsi="Times New Roman"/>
          <w:sz w:val="20"/>
        </w:rPr>
        <w:t xml:space="preserve"> </w:t>
      </w:r>
      <w:r>
        <w:rPr>
          <w:rFonts w:ascii="Times New Roman" w:hAnsi="Times New Roman"/>
          <w:b/>
          <w:sz w:val="20"/>
        </w:rPr>
        <w:t>Authorization</w:t>
      </w:r>
      <w:r>
        <w:rPr>
          <w:rFonts w:ascii="Times New Roman" w:hAnsi="Times New Roman"/>
          <w:sz w:val="20"/>
        </w:rPr>
        <w:t xml:space="preserve">. Each Purchaser, or assignee following an assignment in accordance with Section 13.3, as applicable, represents that (a) it has full power and authority to enter into this Agreement and (b) this Agreement, when executed and delivered by such Purchaser or assigned to an assignee in accordance with Section 13.3, will constitute valid and legally binding obligations of such Purchaser or assignee, as applicable, enforceable in accordance with their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6.6.</w:t>
      </w:r>
      <w:r>
        <w:rPr>
          <w:rFonts w:ascii="Times New Roman" w:hAnsi="Times New Roman"/>
          <w:sz w:val="20"/>
        </w:rPr>
        <w:t xml:space="preserve"> </w:t>
      </w:r>
      <w:r>
        <w:rPr>
          <w:rFonts w:ascii="Times New Roman" w:hAnsi="Times New Roman"/>
          <w:b/>
          <w:sz w:val="20"/>
        </w:rPr>
        <w:t>Restricted Securities</w:t>
      </w:r>
      <w:r>
        <w:rPr>
          <w:rFonts w:ascii="Times New Roman" w:hAnsi="Times New Roman"/>
          <w:i/>
          <w:sz w:val="20"/>
        </w:rPr>
        <w:t xml:space="preserve">. </w:t>
      </w:r>
      <w:r>
        <w:rPr>
          <w:rFonts w:ascii="Times New Roman" w:hAnsi="Times New Roman"/>
          <w:sz w:val="20"/>
        </w:rPr>
        <w:t xml:space="preserve">Each Purchaser understands that the Notes have not been, and will not be, registered under the Securities Act by reason of a specific exemption from the registration provisions of the Securities Act which depends upon, among other things, the bona fide nature of the investment intent and the accuracy of such Purchaser’s representations as expressed herein. Each Purchaser understands that the Notes are “restricted securities” under applicable U.S. federal and state securities laws and that, pursuant to these laws, each Purchaser must hold the Notes indefinitely unless they are registered with the SEC and qualified by state authorities, or an exemption from such registration and qualification requirements is available. Each Purchaser acknowledges that the Company has no obligation to register or qualify the Notes for resale. Each Purchaser further acknowledges that if an exemption from registration or qualification is available, it may be conditioned on various requirements including, but not limited to, the time and manner of sale, the holding period for the Notes, and on requirements relating to the Company which are outside of such Purchaser’s control, and which the Company is under no obligation and may not be able to satisfy.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6.7.</w:t>
      </w:r>
      <w:r>
        <w:rPr>
          <w:rFonts w:ascii="Times New Roman" w:hAnsi="Times New Roman"/>
          <w:sz w:val="20"/>
        </w:rPr>
        <w:t xml:space="preserve"> </w:t>
      </w:r>
      <w:r>
        <w:rPr>
          <w:rFonts w:ascii="Times New Roman" w:hAnsi="Times New Roman"/>
          <w:b/>
          <w:sz w:val="20"/>
        </w:rPr>
        <w:t>No Public Market</w:t>
      </w:r>
      <w:r>
        <w:rPr>
          <w:rFonts w:ascii="Times New Roman" w:hAnsi="Times New Roman"/>
          <w:i/>
          <w:sz w:val="20"/>
        </w:rPr>
        <w:t xml:space="preserve">. </w:t>
      </w:r>
      <w:r>
        <w:rPr>
          <w:rFonts w:ascii="Times New Roman" w:hAnsi="Times New Roman"/>
          <w:sz w:val="20"/>
        </w:rPr>
        <w:t xml:space="preserve">Each Purchaser understands that no public market now exists for the Notes, and that the Company has made no assurances that a public market will ever exist for the Notes.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6.8.</w:t>
      </w:r>
      <w:r>
        <w:rPr>
          <w:rFonts w:ascii="Times New Roman" w:hAnsi="Times New Roman"/>
          <w:sz w:val="20"/>
        </w:rPr>
        <w:t xml:space="preserve"> </w:t>
      </w:r>
      <w:r>
        <w:rPr>
          <w:rFonts w:ascii="Times New Roman" w:hAnsi="Times New Roman"/>
          <w:b/>
          <w:sz w:val="20"/>
        </w:rPr>
        <w:t>Reliance</w:t>
      </w:r>
      <w:r>
        <w:rPr>
          <w:rFonts w:ascii="Times New Roman" w:hAnsi="Times New Roman"/>
          <w:sz w:val="20"/>
        </w:rPr>
        <w:t xml:space="preserve">. Each Purchaser represents and warrants that such Purchaser is not relying upon, and has not relied upon, any statement, representation or warranty made by the Placement Agent, any of its Affiliates or any of its Control persons, officers, directors or employees, in making its investment or decision to invest in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6.9.</w:t>
      </w:r>
      <w:r>
        <w:rPr>
          <w:rFonts w:ascii="Times New Roman" w:hAnsi="Times New Roman"/>
          <w:sz w:val="20"/>
        </w:rPr>
        <w:t xml:space="preserve"> </w:t>
      </w:r>
      <w:r>
        <w:rPr>
          <w:rFonts w:ascii="Times New Roman" w:hAnsi="Times New Roman"/>
          <w:b/>
          <w:sz w:val="20"/>
        </w:rPr>
        <w:t>Acknowledgment</w:t>
      </w:r>
      <w:r>
        <w:rPr>
          <w:rFonts w:ascii="Times New Roman" w:hAnsi="Times New Roman"/>
          <w:i/>
          <w:sz w:val="20"/>
        </w:rPr>
        <w:t xml:space="preserve">. </w:t>
      </w:r>
      <w:r>
        <w:rPr>
          <w:rFonts w:ascii="Times New Roman" w:hAnsi="Times New Roman"/>
          <w:sz w:val="20"/>
        </w:rPr>
        <w:t xml:space="preserve">Each Purchaser acknowledges (for itself and for each account for which such Purchaser is acquiring Notes hereunder) that such Purchaser has carefully reviewed the Disclosure Documents and has been furnished with all other materials that it considers relevant to an investment in the Notes, has had a full opportunity to ask questions of and receive answers from the Company or any Person or Persons acting on behalf of the Company concerning the terms and conditions of an investment in the Notes, has independently made its own analysis and decision to invest in the Notes, and no statement or printed material which is contrary to the Disclosure Documents has been made or given to the Purchaser by or on behalf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 7. INFORMATION AS TO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7.1.</w:t>
      </w:r>
      <w:r>
        <w:rPr>
          <w:rFonts w:ascii="Times New Roman" w:hAnsi="Times New Roman"/>
          <w:sz w:val="20"/>
        </w:rPr>
        <w:t xml:space="preserve"> </w:t>
      </w:r>
      <w:r>
        <w:rPr>
          <w:rFonts w:ascii="Times New Roman" w:hAnsi="Times New Roman"/>
          <w:b/>
          <w:sz w:val="20"/>
        </w:rPr>
        <w:t>Financial and Business Information</w:t>
      </w:r>
      <w:r>
        <w:rPr>
          <w:rFonts w:ascii="Times New Roman" w:hAnsi="Times New Roman"/>
          <w:sz w:val="20"/>
        </w:rPr>
        <w:t xml:space="preserve">. The Company shall deliver to each holder of a Note that is an Institutional Investor: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Quarterly Statements</w:t>
      </w:r>
      <w:r>
        <w:rPr>
          <w:rFonts w:ascii="Times New Roman" w:hAnsi="Times New Roman"/>
          <w:sz w:val="20"/>
        </w:rPr>
        <w:t xml:space="preserve"> — within 60 days (or such shorter period as is the earlier of (x) 15 days greater than the period applicable to the filing of the Company’s Quarterly Report on Form 10-Q (the “</w:t>
      </w:r>
      <w:r>
        <w:rPr>
          <w:rFonts w:ascii="Times New Roman" w:hAnsi="Times New Roman"/>
          <w:b/>
          <w:sz w:val="20"/>
        </w:rPr>
        <w:t>Form</w:t>
      </w:r>
      <w:r>
        <w:rPr>
          <w:rFonts w:ascii="Times New Roman" w:hAnsi="Times New Roman"/>
          <w:sz w:val="20"/>
        </w:rPr>
        <w:t> </w:t>
      </w:r>
      <w:r>
        <w:rPr>
          <w:rFonts w:ascii="Times New Roman" w:hAnsi="Times New Roman"/>
          <w:b/>
          <w:sz w:val="20"/>
        </w:rPr>
        <w:t>10-Q</w:t>
      </w:r>
      <w:r>
        <w:rPr>
          <w:rFonts w:ascii="Times New Roman" w:hAnsi="Times New Roman"/>
          <w:sz w:val="20"/>
        </w:rPr>
        <w:t xml:space="preserve">”) with the SEC regardless of whether the Company is subject to the filing requirements thereof and (y) the date by which such financial statements are required to be delivered under any Material Credit Facility or the date on which such corresponding financial statements are delivered under any Material Credit Facility if such delivery occurs earlier than such required delivery date) after the end of each quarterly fiscal period in each fiscal year of the Company (other than the last quarterly fiscal period of each such fiscal year), duplicate copies of, </w:t>
      </w:r>
    </w:p>
    <w:p>
      <w:pPr>
        <w:pStyle w:val="TextBody"/>
        <w:bidi w:val="0"/>
        <w:spacing w:before="120" w:after="0"/>
        <w:jc w:val="left"/>
        <w:rPr>
          <w:rFonts w:ascii="Times New Roman" w:hAnsi="Times New Roman"/>
          <w:sz w:val="20"/>
        </w:rPr>
      </w:pPr>
      <w:r>
        <w:rPr>
          <w:rFonts w:ascii="Times New Roman" w:hAnsi="Times New Roman"/>
          <w:sz w:val="20"/>
        </w:rPr>
        <w:t xml:space="preserve">(i) a consolidated balance sheet of the Company and its Subsidiaries as at the end of such quarter, and </w:t>
      </w:r>
    </w:p>
    <w:p>
      <w:pPr>
        <w:pStyle w:val="TextBody"/>
        <w:bidi w:val="0"/>
        <w:spacing w:before="120" w:after="0"/>
        <w:jc w:val="left"/>
        <w:rPr>
          <w:rFonts w:ascii="Times New Roman" w:hAnsi="Times New Roman"/>
          <w:sz w:val="20"/>
        </w:rPr>
      </w:pPr>
      <w:r>
        <w:rPr>
          <w:rFonts w:ascii="Times New Roman" w:hAnsi="Times New Roman"/>
          <w:sz w:val="20"/>
        </w:rPr>
        <w:t xml:space="preserve">(ii) consolidated statements of income, changes in shareholders’ equity and cash flows of the Company and its Subsidiaries, for such quarter and (in the case of the second and third quarters) for the portion of the fiscal year ending with such quarter, </w:t>
      </w:r>
    </w:p>
    <w:p>
      <w:pPr>
        <w:pStyle w:val="TextBody"/>
        <w:bidi w:val="0"/>
        <w:spacing w:before="120" w:after="0"/>
        <w:jc w:val="left"/>
        <w:rPr>
          <w:rFonts w:ascii="Times New Roman" w:hAnsi="Times New Roman"/>
          <w:sz w:val="20"/>
        </w:rPr>
      </w:pPr>
      <w:r>
        <w:rPr>
          <w:rFonts w:ascii="Times New Roman" w:hAnsi="Times New Roman"/>
          <w:sz w:val="20"/>
        </w:rPr>
        <w:t xml:space="preserve">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year-end adjustments;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Annual Statements</w:t>
      </w:r>
      <w:r>
        <w:rPr>
          <w:rFonts w:ascii="Times New Roman" w:hAnsi="Times New Roman"/>
          <w:sz w:val="20"/>
        </w:rPr>
        <w:t xml:space="preserve"> — within 105 days (or such shorter period as is the earlier of (x) 15 days greater than the period applicable to the filing of the Company’s Annual Report on Form 10-K (the “</w:t>
      </w:r>
      <w:r>
        <w:rPr>
          <w:rFonts w:ascii="Times New Roman" w:hAnsi="Times New Roman"/>
          <w:b/>
          <w:sz w:val="20"/>
        </w:rPr>
        <w:t>Form</w:t>
      </w:r>
      <w:r>
        <w:rPr>
          <w:rFonts w:ascii="Times New Roman" w:hAnsi="Times New Roman"/>
          <w:sz w:val="20"/>
        </w:rPr>
        <w:t> </w:t>
      </w:r>
      <w:r>
        <w:rPr>
          <w:rFonts w:ascii="Times New Roman" w:hAnsi="Times New Roman"/>
          <w:b/>
          <w:sz w:val="20"/>
        </w:rPr>
        <w:t>10-K</w:t>
      </w:r>
      <w:r>
        <w:rPr>
          <w:rFonts w:ascii="Times New Roman" w:hAnsi="Times New Roman"/>
          <w:sz w:val="20"/>
        </w:rPr>
        <w:t xml:space="preserve">”) with the SEC regardless of whether the Company is subject to the filing requirements thereof and (y) the date by which such financial statements are required to be delivered under any Material Credit Facility or the date on which such corresponding financial statements are delivered under any Material Credit Facility if such delivery occurs earlier than such required delivery date) after the end of each fiscal year of the Company, duplicate copies of </w:t>
      </w:r>
    </w:p>
    <w:p>
      <w:pPr>
        <w:pStyle w:val="TextBody"/>
        <w:bidi w:val="0"/>
        <w:spacing w:before="120" w:after="0"/>
        <w:jc w:val="left"/>
        <w:rPr>
          <w:rFonts w:ascii="Times New Roman" w:hAnsi="Times New Roman"/>
          <w:sz w:val="20"/>
        </w:rPr>
      </w:pPr>
      <w:r>
        <w:rPr>
          <w:rFonts w:ascii="Times New Roman" w:hAnsi="Times New Roman"/>
          <w:sz w:val="20"/>
        </w:rPr>
        <w:t xml:space="preserve">(i) a consolidated balance sheet of the Company and its Subsidiaries as at the end of such year, and </w:t>
      </w:r>
    </w:p>
    <w:p>
      <w:pPr>
        <w:pStyle w:val="TextBody"/>
        <w:bidi w:val="0"/>
        <w:spacing w:before="120" w:after="0"/>
        <w:jc w:val="left"/>
        <w:rPr>
          <w:rFonts w:ascii="Times New Roman" w:hAnsi="Times New Roman"/>
          <w:sz w:val="20"/>
        </w:rPr>
      </w:pPr>
      <w:r>
        <w:rPr>
          <w:rFonts w:ascii="Times New Roman" w:hAnsi="Times New Roman"/>
          <w:sz w:val="20"/>
        </w:rPr>
        <w:t xml:space="preserve">(ii) consolidated statements of income, changes in shareholders’ equity and cash flows of the Company and its Subsidiaries for such year, </w:t>
      </w:r>
    </w:p>
    <w:p>
      <w:pPr>
        <w:pStyle w:val="TextBody"/>
        <w:bidi w:val="0"/>
        <w:spacing w:before="120" w:after="0"/>
        <w:jc w:val="left"/>
        <w:rPr>
          <w:rFonts w:ascii="Times New Roman" w:hAnsi="Times New Roman"/>
          <w:sz w:val="20"/>
        </w:rPr>
      </w:pPr>
      <w:r>
        <w:rPr>
          <w:rFonts w:ascii="Times New Roman" w:hAnsi="Times New Roman"/>
          <w:sz w:val="20"/>
        </w:rPr>
        <w:t xml:space="preserve">setting forth in each case in comparative form the figures for the previous fiscal year, all in reasonable detail, prepared in accordance with GAAP, and accompanied by an opinion thereon (without a “going concern” or similar qualification or exception and without any qualification or exception as to the scope of the audit on which such opinion is based) of independent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Notice of Default or Event of Default</w:t>
      </w:r>
      <w:r>
        <w:rPr>
          <w:rFonts w:ascii="Times New Roman" w:hAnsi="Times New Roman"/>
          <w:sz w:val="20"/>
        </w:rPr>
        <w:t xml:space="preserve"> — promptly, and in any event within five (5) Business Days after a Responsible Officer becoming aware of the existence of any Default or Event of Default or that any Person has given any notice or taken any action with respect to a claimed default hereunder, a written notice specifying the nature and period of existence thereof and what action the Company is taking or proposes to take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Employee Benefits Matters</w:t>
      </w:r>
      <w:r>
        <w:rPr>
          <w:rFonts w:ascii="Times New Roman" w:hAnsi="Times New Roman"/>
          <w:sz w:val="20"/>
        </w:rPr>
        <w:t xml:space="preserve"> — promptly, and in any event within five (5) days after a Responsible Officer becoming aware of any of the following, a written notice setting forth the nature thereof and the action, if any, that the Company or an ERISA Affiliate proposes to take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(i) with respect to any Plan, any reportable event, as defined in section 4043(c) of ERISA and the regulations thereunder, for which notice thereof has not been waived pursuant to such regulations as in effect on the date hereof that individually or in the aggregate have resulted in or would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(ii) the taking by the PBGC of steps to institute, or the threatening by the PBGC of the institution of, proceedings under section 4042 of ERISA for the termination of, or the appointment of a trustee to administer, any Plan, or the receipt by the Company or any ERISA Affiliate of a notice from a Multiemployer Plan that such action has been taken by the PBGC with respect to such Multiemployer Plan, in each case, that individually or in the aggregate have resulted in or would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(iii) any event, transaction or condition that could result in the incurrence of any liability by the Company or any ERISA 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would reasonably be expected to have a Material Adverse Effect; or </w:t>
      </w:r>
    </w:p>
    <w:p>
      <w:pPr>
        <w:pStyle w:val="TextBody"/>
        <w:bidi w:val="0"/>
        <w:spacing w:before="120" w:after="0"/>
        <w:jc w:val="left"/>
        <w:rPr>
          <w:rFonts w:ascii="Times New Roman" w:hAnsi="Times New Roman"/>
          <w:sz w:val="20"/>
        </w:rPr>
      </w:pPr>
      <w:r>
        <w:rPr>
          <w:rFonts w:ascii="Times New Roman" w:hAnsi="Times New Roman"/>
          <w:sz w:val="20"/>
        </w:rPr>
        <w:t xml:space="preserve">(iv) receipt of notice of the imposition of a Material financial penalty (which for this purpose shall mean any tax, penalty or other liability, whether by way of indemnity or otherwise) with respect to one or more Non-U.S. Plans that would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Notices from Governmental Authority</w:t>
      </w:r>
      <w:r>
        <w:rPr>
          <w:rFonts w:ascii="Times New Roman" w:hAnsi="Times New Roman"/>
          <w:sz w:val="20"/>
        </w:rPr>
        <w:t xml:space="preserve"> — promptly, and in any event within 30 days of receipt thereof, copies of any notice to the Company or any Subsidiary from any Governmental Authority relating to any order, ruling, statute or other law or regulation that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Resignation or Replacement of Auditors</w:t>
      </w:r>
      <w:r>
        <w:rPr>
          <w:rFonts w:ascii="Times New Roman" w:hAnsi="Times New Roman"/>
          <w:sz w:val="20"/>
        </w:rPr>
        <w:t xml:space="preserve"> — within 10 days following the date on which the Company’s auditors resign or the Company elects to change auditors, as the case may be, notification thereof, together with such further information as the Required Holders may request; and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Requested Information</w:t>
      </w:r>
      <w:r>
        <w:rPr>
          <w:rFonts w:ascii="Times New Roman" w:hAnsi="Times New Roman"/>
          <w:sz w:val="20"/>
        </w:rPr>
        <w:t xml:space="preserve"> — with reasonable promptness, such other data and information relating to the business, operations, affairs, financial condition, assets or properties of the Company or any of its Subsidiaries (including actual copies of the Company’s Form 10-Q and Form 10-K) or relating to the ability of the Company to perform its obligations hereunder and under the Notes as from time to time may be reasonably requested by any such holder of a Note, in each case to the extent reasonably available to the Company and to the extent permitted by applicable law. Notwithstanding the foregoing, to the extent the Company determines, in good faith, that any such information would be deemed to be material non-public information, the obligation to deliver any such information shall be contingent upon confirmation that the holder of the Note will refrain from trading in the Company’s information until such time that such information is either publicly disclosed or is no longer material.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7.2.</w:t>
      </w:r>
      <w:r>
        <w:rPr>
          <w:rFonts w:ascii="Times New Roman" w:hAnsi="Times New Roman"/>
          <w:sz w:val="20"/>
        </w:rPr>
        <w:t xml:space="preserve"> </w:t>
      </w:r>
      <w:r>
        <w:rPr>
          <w:rFonts w:ascii="Times New Roman" w:hAnsi="Times New Roman"/>
          <w:b/>
          <w:sz w:val="20"/>
        </w:rPr>
        <w:t>Visitation</w:t>
      </w:r>
      <w:r>
        <w:rPr>
          <w:rFonts w:ascii="Times New Roman" w:hAnsi="Times New Roman"/>
          <w:sz w:val="20"/>
        </w:rPr>
        <w:t xml:space="preserve">. The Company shall permit the representatives of each holder of a Note that is an Institutional Investor: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 Default</w:t>
      </w:r>
      <w:r>
        <w:rPr>
          <w:rFonts w:ascii="Times New Roman" w:hAnsi="Times New Roman"/>
          <w:sz w:val="20"/>
        </w:rPr>
        <w:t xml:space="preserve"> — if no Default or Event of Default then exists, at the expense of such holder and upon reasonable prior notice to the Company, to visit the principal executive office of the Company, to discuss the affairs, finances and accounts of the Company and its Subsidiaries with the Company’s officers, and (with the consent of the Company, which consent will not be unreasonably withheld) its independent public accountants, and (with the consent of the Company, which consent will not be unreasonably withheld) to visit the other offices and properties of the Company and each Subsidiary, all at such reasonable times and as often as may be reasonably requested in writing; and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Default</w:t>
      </w:r>
      <w:r>
        <w:rPr>
          <w:rFonts w:ascii="Times New Roman" w:hAnsi="Times New Roman"/>
          <w:sz w:val="20"/>
        </w:rPr>
        <w:t xml:space="preserve"> — if a Default or Event of Default then exists, at the expense of the Company to visit and inspect any of the offices 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all at such times and as often as may be reasonably requested.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7.3.</w:t>
      </w:r>
      <w:r>
        <w:rPr>
          <w:rFonts w:ascii="Times New Roman" w:hAnsi="Times New Roman"/>
          <w:sz w:val="20"/>
        </w:rPr>
        <w:t xml:space="preserve"> </w:t>
      </w:r>
      <w:r>
        <w:rPr>
          <w:rFonts w:ascii="Times New Roman" w:hAnsi="Times New Roman"/>
          <w:b/>
          <w:sz w:val="20"/>
        </w:rPr>
        <w:t>Electronic Delivery</w:t>
      </w:r>
      <w:r>
        <w:rPr>
          <w:rFonts w:ascii="Times New Roman" w:hAnsi="Times New Roman"/>
          <w:sz w:val="20"/>
        </w:rPr>
        <w:t xml:space="preserve">. Financial statements, opinions of independent certified public accountants that are required to be delivered by the Company pursuant to Sections 7.1(a) or (b) shall be deemed to have been delivered if the Company satisfies any of the following requirements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(a) such financial statements satisfying the requirements of Section 7.1(a) or (b) are delivered to each holder of a Note by e-mail at the e-mail address set forth in such holder’s Purchaser Schedule or as communicated from time to time in a separate writing delivered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shall have timely filed such Form 10–Q or Form 10–K, satisfying the requirements of Section 7.1(a) or Section 7.1(b), as the case may be, with the SEC on EDGAR; or </w:t>
      </w:r>
    </w:p>
    <w:p>
      <w:pPr>
        <w:pStyle w:val="TextBody"/>
        <w:bidi w:val="0"/>
        <w:spacing w:before="240" w:after="0"/>
        <w:jc w:val="left"/>
        <w:rPr>
          <w:rFonts w:ascii="Times New Roman" w:hAnsi="Times New Roman"/>
          <w:sz w:val="20"/>
        </w:rPr>
      </w:pPr>
      <w:r>
        <w:rPr>
          <w:rFonts w:ascii="Times New Roman" w:hAnsi="Times New Roman"/>
          <w:sz w:val="20"/>
        </w:rPr>
        <w:t xml:space="preserve">(c) such financial statements satisfying the requirements of Section 7.1(a) or Section 7.1(b) are timely posted by or on behalf of the Company on IntraLinks or on any other similar website to which each holder of Notes has free access;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case shall access to such financial statements and other information be conditioned upon any waiver or other agreement or consent (other than confidentiality provisions consistent with Section 20 of this Agreement). </w:t>
      </w:r>
    </w:p>
    <w:p>
      <w:pPr>
        <w:pStyle w:val="TextBody"/>
        <w:bidi w:val="0"/>
        <w:spacing w:before="240" w:after="0"/>
        <w:jc w:val="left"/>
        <w:rPr>
          <w:rFonts w:ascii="Times New Roman" w:hAnsi="Times New Roman"/>
          <w:sz w:val="20"/>
        </w:rPr>
      </w:pPr>
      <w:r>
        <w:rPr>
          <w:rFonts w:ascii="Times New Roman" w:hAnsi="Times New Roman"/>
          <w:b/>
          <w:sz w:val="20"/>
        </w:rPr>
        <w:t>Section 8. PAYMENT AND PREPAYMENT OF THE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8.1.</w:t>
      </w:r>
      <w:r>
        <w:rPr>
          <w:rFonts w:ascii="Times New Roman" w:hAnsi="Times New Roman"/>
          <w:sz w:val="20"/>
        </w:rPr>
        <w:t xml:space="preserve"> </w:t>
      </w:r>
      <w:r>
        <w:rPr>
          <w:rFonts w:ascii="Times New Roman" w:hAnsi="Times New Roman"/>
          <w:b/>
          <w:sz w:val="20"/>
        </w:rPr>
        <w:t>Maturity</w:t>
      </w:r>
      <w:r>
        <w:rPr>
          <w:rFonts w:ascii="Times New Roman" w:hAnsi="Times New Roman"/>
          <w:sz w:val="20"/>
        </w:rPr>
        <w:t xml:space="preserve">. As provided therein, the entire unpaid principal balance of each Note shall be due and payable on the Maturity Date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8.2.</w:t>
      </w:r>
      <w:r>
        <w:rPr>
          <w:rFonts w:ascii="Times New Roman" w:hAnsi="Times New Roman"/>
          <w:sz w:val="20"/>
        </w:rPr>
        <w:t xml:space="preserve"> </w:t>
      </w:r>
      <w:r>
        <w:rPr>
          <w:rFonts w:ascii="Times New Roman" w:hAnsi="Times New Roman"/>
          <w:b/>
          <w:sz w:val="20"/>
        </w:rPr>
        <w:t>Optional Prepayments with Prepayment Settlement Amount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2029 Notes-2 </w:t>
      </w:r>
      <w:r>
        <w:rPr>
          <w:rFonts w:ascii="Times New Roman" w:hAnsi="Times New Roman"/>
          <w:sz w:val="20"/>
        </w:rPr>
        <w:t xml:space="preserve">— The Company may, at its option, upon notice as provided below, prepay at any time all, or from time to time any part of, the 2029 Notes-2, at 100% of the principal amount so prepaid, and the Prepayment Settlement Amount determined for the prepayment date with respect to such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2031 Notes </w:t>
      </w:r>
      <w:r>
        <w:rPr>
          <w:rFonts w:ascii="Times New Roman" w:hAnsi="Times New Roman"/>
          <w:sz w:val="20"/>
        </w:rPr>
        <w:t xml:space="preserve">— The Company may, at its option, upon notice as provided below, prepay at any time all, or from time to time any part of, the 2031 Notes, (i) if such prepayment date occurs prior to September 1, 2028, at 100% of the principal amount so prepaid, and the Prepayment Settlement Amount determined for the prepayment date with respect to such principal amount, or (ii) if such prepayment date occurs on or after September 1, 2028, at a redemption price equal to 101.00% of the principal amount so prepaid, plus accrued and unpaid interest thereon to, but not including, the prepayment date, and no Prepayment Settlement Amount shall be payable in connection with such prepayment.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Prepayment </w:t>
      </w:r>
      <w:r>
        <w:rPr>
          <w:rFonts w:ascii="Times New Roman" w:hAnsi="Times New Roman"/>
          <w:sz w:val="20"/>
        </w:rPr>
        <w:t xml:space="preserve">— The Company will give each holder of Notes written notice of each optional prepayment under this Section 8.2 not less than 10 days and not more than 60 days prior to the date fixed for such prepayment unless the Company and the Required Holders agree to another time period pursuant to Section 17. Each such notice shall specify the series and aggregate principal amount of the Notes to be prepaid on such date (which shall be a Business Day), the principal amount of each Note held by such holder to be prepaid (determined in accordance with Section 8.3), and the interest to be paid on the prepayment date with respect to such principal amount being prepaid. In the case of a prepayment of 2029 Notes-2, or a prepayment of 2031 Notes made prior to September 1, 2028, such notice shall be accompanied by a certificate of a Senior Financial Officer as to the estimated Prepayment Settlement Amount due in connection with such prepayment (calculated as if the date of such notice were the date of the prepayment), setting forth the details of such computation, and, two Business Days prior to such prepayment,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shall deliver to each holder of Notes a certificate of a Senior Financial Officer specifying the calculation of such Prepayment Settlement Amount as of the specified prepayment date. In the case of a prepayment of 2031 Notes made on or after September 1, 2028, such notice shall set forth the calculation of the applicable redemption price (101.00% of the principal amount to be prepaid, plus accrued and unpaid interest).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8.3.</w:t>
      </w:r>
      <w:r>
        <w:rPr>
          <w:rFonts w:ascii="Times New Roman" w:hAnsi="Times New Roman"/>
          <w:sz w:val="20"/>
        </w:rPr>
        <w:t xml:space="preserve"> </w:t>
      </w:r>
      <w:r>
        <w:rPr>
          <w:rFonts w:ascii="Times New Roman" w:hAnsi="Times New Roman"/>
          <w:b/>
          <w:sz w:val="20"/>
        </w:rPr>
        <w:t>Allocation of Partial Prepayments</w:t>
      </w:r>
      <w:r>
        <w:rPr>
          <w:rFonts w:ascii="Times New Roman" w:hAnsi="Times New Roman"/>
          <w:sz w:val="20"/>
        </w:rPr>
        <w:t xml:space="preserve">. In the case of each partial prepayment of the Notes pursuant to Section 8.2, the principal amount of the Notes to be prepaid shall be allocated among all of the Notes at the time outstanding in proportion, as nearly as practicable, to the respective unpaid principal amounts thereof not theretofore called for prepayment.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8.4.</w:t>
      </w:r>
      <w:r>
        <w:rPr>
          <w:rFonts w:ascii="Times New Roman" w:hAnsi="Times New Roman"/>
          <w:sz w:val="20"/>
        </w:rPr>
        <w:t xml:space="preserve"> </w:t>
      </w:r>
      <w:r>
        <w:rPr>
          <w:rFonts w:ascii="Times New Roman" w:hAnsi="Times New Roman"/>
          <w:b/>
          <w:sz w:val="20"/>
        </w:rPr>
        <w:t>Maturity; Surrender, Etc</w:t>
      </w:r>
      <w:r>
        <w:rPr>
          <w:rFonts w:ascii="Times New Roman" w:hAnsi="Times New Roman"/>
          <w:i/>
          <w:sz w:val="20"/>
        </w:rPr>
        <w:t xml:space="preserve">. </w:t>
      </w:r>
      <w:r>
        <w:rPr>
          <w:rFonts w:ascii="Times New Roman" w:hAnsi="Times New Roman"/>
          <w:sz w:val="20"/>
        </w:rPr>
        <w:t xml:space="preserve">In the case of each prepayment of Notes pursuant to this Section 8, the principal amount of each Note to be prepaid shall mature and become due and payable on the date fixed for such prepayment, together with interest on such principal amount accrued to such date and the applicable Prepayment Settlement Amount, if any, or Make-Whole Amount, if any. From and after such date, unless the Company shall fail to pay such principal amount when so due and payable, together with the interest and Prepayment Settlement Amount, if any, or Make-Whole Amount, if any, as aforesaid, interest on such principal amount shall cease to accrue. Any Note paid or prepaid in full shall be surrendered to the Company and cancelled and shall not be reissued, and no Note shall be issued in lieu of any prepaid principal amount of any Note.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8.5.</w:t>
      </w:r>
      <w:r>
        <w:rPr>
          <w:rFonts w:ascii="Times New Roman" w:hAnsi="Times New Roman"/>
          <w:sz w:val="20"/>
        </w:rPr>
        <w:t xml:space="preserve"> </w:t>
      </w:r>
      <w:r>
        <w:rPr>
          <w:rFonts w:ascii="Times New Roman" w:hAnsi="Times New Roman"/>
          <w:b/>
          <w:sz w:val="20"/>
        </w:rPr>
        <w:t>Purchase of Notes</w:t>
      </w:r>
      <w:r>
        <w:rPr>
          <w:rFonts w:ascii="Times New Roman" w:hAnsi="Times New Roman"/>
          <w:sz w:val="20"/>
        </w:rPr>
        <w:t xml:space="preserve">. The Company will not and will not permit any Affiliate to purchase, redeem, prepay or otherwise acquire, directly or indirectly, any of the outstanding Notes except upon the payment or prepayment of the Notes in accordance with this Agreement and the Notes. The Company will promptly cancel all Notes acquired by it or any Affiliate pursuant to any payment or prepayment of Notes pursuant to this Agreement and no Notes may be issued in substitution or exchange for any such Notes. For the avoidance of doubt, no Prepayment Settlement Amount shall be owed in connection with any prepayment made pursuant to this Section 8.5 unless offered by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8.6.</w:t>
      </w:r>
      <w:r>
        <w:rPr>
          <w:rFonts w:ascii="Times New Roman" w:hAnsi="Times New Roman"/>
          <w:sz w:val="20"/>
        </w:rPr>
        <w:t xml:space="preserve"> </w:t>
      </w:r>
      <w:r>
        <w:rPr>
          <w:rFonts w:ascii="Times New Roman" w:hAnsi="Times New Roman"/>
          <w:b/>
          <w:sz w:val="20"/>
        </w:rPr>
        <w:t>Prepayment Settlement Amount; Make-Whole Amount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Prepayment Settlement Amount</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 xml:space="preserve">(a) with respect to the 2029 Notes-2, an amount equal to the “Prepayment Settlement Amount”,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27"/>
        <w:gridCol w:w="123"/>
        <w:gridCol w:w="4955"/>
      </w:tblGrid>
      <w:tr>
        <w:trPr/>
        <w:tc>
          <w:tcPr>
            <w:tcW w:w="512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955" w:type="dxa"/>
            <w:tcBorders/>
            <w:vAlign w:val="center"/>
          </w:tcPr>
          <w:p>
            <w:pPr>
              <w:pStyle w:val="TableContents"/>
              <w:bidi w:val="0"/>
              <w:spacing w:before="0" w:after="283"/>
              <w:jc w:val="left"/>
              <w:rPr>
                <w:sz w:val="4"/>
                <w:szCs w:val="4"/>
              </w:rPr>
            </w:pPr>
            <w:r>
              <w:rPr>
                <w:sz w:val="4"/>
                <w:szCs w:val="4"/>
              </w:rPr>
            </w:r>
          </w:p>
        </w:tc>
      </w:tr>
      <w:tr>
        <w:trPr/>
        <w:tc>
          <w:tcPr>
            <w:tcW w:w="5127" w:type="dxa"/>
            <w:tcBorders/>
            <w:vAlign w:val="bottom"/>
          </w:tcPr>
          <w:p>
            <w:pPr>
              <w:pStyle w:val="TableContents"/>
              <w:bidi w:val="0"/>
              <w:spacing w:before="0" w:after="283"/>
              <w:jc w:val="center"/>
              <w:rPr>
                <w:u w:val="single"/>
              </w:rPr>
            </w:pPr>
            <w:r>
              <w:rPr>
                <w:u w:val="single"/>
              </w:rPr>
              <w:t>Prepaid during the period</w:t>
            </w:r>
          </w:p>
        </w:tc>
        <w:tc>
          <w:tcPr>
            <w:tcW w:w="123" w:type="dxa"/>
            <w:tcBorders/>
            <w:vAlign w:val="bottom"/>
          </w:tcPr>
          <w:p>
            <w:pPr>
              <w:pStyle w:val="TableContents"/>
              <w:bidi w:val="0"/>
              <w:spacing w:before="0" w:after="283"/>
              <w:jc w:val="left"/>
              <w:rPr/>
            </w:pPr>
            <w:r>
              <w:rPr/>
              <w:t>  </w:t>
            </w:r>
          </w:p>
        </w:tc>
        <w:tc>
          <w:tcPr>
            <w:tcW w:w="4955" w:type="dxa"/>
            <w:tcBorders/>
            <w:vAlign w:val="bottom"/>
          </w:tcPr>
          <w:p>
            <w:pPr>
              <w:pStyle w:val="TableContents"/>
              <w:bidi w:val="0"/>
              <w:spacing w:before="0" w:after="283"/>
              <w:jc w:val="center"/>
              <w:rPr>
                <w:u w:val="single"/>
              </w:rPr>
            </w:pPr>
            <w:r>
              <w:rPr>
                <w:u w:val="single"/>
              </w:rPr>
              <w:t>Prepayment Settlement Amount</w:t>
            </w:r>
          </w:p>
        </w:tc>
      </w:tr>
      <w:tr>
        <w:trPr>
          <w:trHeight w:val="240" w:hRule="atLeast"/>
        </w:trPr>
        <w:tc>
          <w:tcPr>
            <w:tcW w:w="5127" w:type="dxa"/>
            <w:tcBorders/>
            <w:vAlign w:val="center"/>
          </w:tcPr>
          <w:p>
            <w:pPr>
              <w:pStyle w:val="TableContents"/>
              <w:bidi w:val="0"/>
              <w:spacing w:before="0" w:after="283"/>
              <w:jc w:val="left"/>
              <w:rPr>
                <w:sz w:val="4"/>
                <w:szCs w:val="4"/>
              </w:rPr>
            </w:pPr>
            <w:r>
              <w:rPr>
                <w:sz w:val="4"/>
                <w:szCs w:val="4"/>
              </w:rPr>
            </w:r>
          </w:p>
        </w:tc>
        <w:tc>
          <w:tcPr>
            <w:tcW w:w="5078" w:type="dxa"/>
            <w:gridSpan w:val="2"/>
            <w:tcBorders/>
            <w:vAlign w:val="center"/>
          </w:tcPr>
          <w:p>
            <w:pPr>
              <w:pStyle w:val="TableContents"/>
              <w:bidi w:val="0"/>
              <w:spacing w:before="0" w:after="283"/>
              <w:jc w:val="left"/>
              <w:rPr>
                <w:sz w:val="4"/>
                <w:szCs w:val="4"/>
              </w:rPr>
            </w:pPr>
            <w:r>
              <w:rPr>
                <w:sz w:val="4"/>
                <w:szCs w:val="4"/>
              </w:rPr>
            </w:r>
          </w:p>
        </w:tc>
      </w:tr>
      <w:tr>
        <w:trPr/>
        <w:tc>
          <w:tcPr>
            <w:tcW w:w="5127" w:type="dxa"/>
            <w:tcBorders/>
            <w:vAlign w:val="bottom"/>
          </w:tcPr>
          <w:p>
            <w:pPr>
              <w:pStyle w:val="TableContents"/>
              <w:bidi w:val="0"/>
              <w:spacing w:before="0" w:after="283"/>
              <w:jc w:val="center"/>
              <w:rPr/>
            </w:pPr>
            <w:r>
              <w:rPr/>
              <w:t>At any time</w:t>
            </w:r>
          </w:p>
        </w:tc>
        <w:tc>
          <w:tcPr>
            <w:tcW w:w="123" w:type="dxa"/>
            <w:tcBorders/>
            <w:vAlign w:val="bottom"/>
          </w:tcPr>
          <w:p>
            <w:pPr>
              <w:pStyle w:val="TableContents"/>
              <w:bidi w:val="0"/>
              <w:spacing w:before="0" w:after="283"/>
              <w:jc w:val="left"/>
              <w:rPr/>
            </w:pPr>
            <w:r>
              <w:rPr/>
              <w:t>  </w:t>
            </w:r>
          </w:p>
        </w:tc>
        <w:tc>
          <w:tcPr>
            <w:tcW w:w="4955" w:type="dxa"/>
            <w:tcBorders/>
            <w:vAlign w:val="bottom"/>
          </w:tcPr>
          <w:p>
            <w:pPr>
              <w:pStyle w:val="TableContents"/>
              <w:bidi w:val="0"/>
              <w:spacing w:before="0" w:after="283"/>
              <w:jc w:val="center"/>
              <w:rPr/>
            </w:pPr>
            <w:r>
              <w:rPr/>
              <w:t>Make-Whole Amount</w:t>
            </w:r>
          </w:p>
        </w:tc>
      </w:tr>
    </w:tbl>
    <w:p>
      <w:pPr>
        <w:pStyle w:val="TextBody"/>
        <w:bidi w:val="0"/>
        <w:spacing w:before="240" w:after="0"/>
        <w:jc w:val="left"/>
        <w:rPr>
          <w:rFonts w:ascii="Times New Roman" w:hAnsi="Times New Roman"/>
          <w:sz w:val="20"/>
        </w:rPr>
      </w:pPr>
      <w:r>
        <w:rPr>
          <w:rFonts w:ascii="Times New Roman" w:hAnsi="Times New Roman"/>
          <w:sz w:val="20"/>
        </w:rPr>
        <w:t xml:space="preserve">(b) with respect to the 2031 Notes, an amount equal to the “Prepayment Settlement Amount”,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87"/>
        <w:gridCol w:w="120"/>
        <w:gridCol w:w="4898"/>
      </w:tblGrid>
      <w:tr>
        <w:trPr/>
        <w:tc>
          <w:tcPr>
            <w:tcW w:w="518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98" w:type="dxa"/>
            <w:tcBorders/>
            <w:vAlign w:val="center"/>
          </w:tcPr>
          <w:p>
            <w:pPr>
              <w:pStyle w:val="TableContents"/>
              <w:bidi w:val="0"/>
              <w:spacing w:before="0" w:after="283"/>
              <w:jc w:val="left"/>
              <w:rPr>
                <w:sz w:val="4"/>
                <w:szCs w:val="4"/>
              </w:rPr>
            </w:pPr>
            <w:r>
              <w:rPr>
                <w:sz w:val="4"/>
                <w:szCs w:val="4"/>
              </w:rPr>
            </w:r>
          </w:p>
        </w:tc>
      </w:tr>
      <w:tr>
        <w:trPr/>
        <w:tc>
          <w:tcPr>
            <w:tcW w:w="5187" w:type="dxa"/>
            <w:tcBorders/>
            <w:vAlign w:val="bottom"/>
          </w:tcPr>
          <w:p>
            <w:pPr>
              <w:pStyle w:val="TableContents"/>
              <w:bidi w:val="0"/>
              <w:spacing w:before="0" w:after="283"/>
              <w:jc w:val="center"/>
              <w:rPr>
                <w:u w:val="single"/>
              </w:rPr>
            </w:pPr>
            <w:r>
              <w:rPr>
                <w:u w:val="single"/>
              </w:rPr>
              <w:t>Prepaid during the period</w:t>
            </w:r>
          </w:p>
        </w:tc>
        <w:tc>
          <w:tcPr>
            <w:tcW w:w="120" w:type="dxa"/>
            <w:tcBorders/>
            <w:vAlign w:val="bottom"/>
          </w:tcPr>
          <w:p>
            <w:pPr>
              <w:pStyle w:val="TableContents"/>
              <w:bidi w:val="0"/>
              <w:spacing w:before="0" w:after="283"/>
              <w:jc w:val="left"/>
              <w:rPr/>
            </w:pPr>
            <w:r>
              <w:rPr/>
              <w:t>  </w:t>
            </w:r>
          </w:p>
        </w:tc>
        <w:tc>
          <w:tcPr>
            <w:tcW w:w="4898" w:type="dxa"/>
            <w:tcBorders/>
            <w:vAlign w:val="bottom"/>
          </w:tcPr>
          <w:p>
            <w:pPr>
              <w:pStyle w:val="TableContents"/>
              <w:bidi w:val="0"/>
              <w:spacing w:before="0" w:after="283"/>
              <w:jc w:val="center"/>
              <w:rPr>
                <w:u w:val="single"/>
              </w:rPr>
            </w:pPr>
            <w:r>
              <w:rPr>
                <w:u w:val="single"/>
              </w:rPr>
              <w:t>Prepayment Settlement Amount</w:t>
            </w:r>
          </w:p>
        </w:tc>
      </w:tr>
      <w:tr>
        <w:trPr>
          <w:trHeight w:val="240" w:hRule="atLeast"/>
        </w:trPr>
        <w:tc>
          <w:tcPr>
            <w:tcW w:w="5187" w:type="dxa"/>
            <w:tcBorders/>
            <w:vAlign w:val="center"/>
          </w:tcPr>
          <w:p>
            <w:pPr>
              <w:pStyle w:val="TableContents"/>
              <w:bidi w:val="0"/>
              <w:spacing w:before="0" w:after="283"/>
              <w:jc w:val="left"/>
              <w:rPr>
                <w:sz w:val="4"/>
                <w:szCs w:val="4"/>
              </w:rPr>
            </w:pPr>
            <w:r>
              <w:rPr>
                <w:sz w:val="4"/>
                <w:szCs w:val="4"/>
              </w:rPr>
            </w:r>
          </w:p>
        </w:tc>
        <w:tc>
          <w:tcPr>
            <w:tcW w:w="5018" w:type="dxa"/>
            <w:gridSpan w:val="2"/>
            <w:tcBorders/>
            <w:vAlign w:val="center"/>
          </w:tcPr>
          <w:p>
            <w:pPr>
              <w:pStyle w:val="TableContents"/>
              <w:bidi w:val="0"/>
              <w:spacing w:before="0" w:after="283"/>
              <w:jc w:val="left"/>
              <w:rPr>
                <w:sz w:val="4"/>
                <w:szCs w:val="4"/>
              </w:rPr>
            </w:pPr>
            <w:r>
              <w:rPr>
                <w:sz w:val="4"/>
                <w:szCs w:val="4"/>
              </w:rPr>
            </w:r>
          </w:p>
        </w:tc>
      </w:tr>
      <w:tr>
        <w:trPr/>
        <w:tc>
          <w:tcPr>
            <w:tcW w:w="5187" w:type="dxa"/>
            <w:tcBorders/>
            <w:vAlign w:val="bottom"/>
          </w:tcPr>
          <w:p>
            <w:pPr>
              <w:pStyle w:val="TableContents"/>
              <w:bidi w:val="0"/>
              <w:spacing w:before="0" w:after="283"/>
              <w:jc w:val="center"/>
              <w:rPr/>
            </w:pPr>
            <w:r>
              <w:rPr/>
              <w:t>Prior to September 1, 2028</w:t>
            </w:r>
          </w:p>
        </w:tc>
        <w:tc>
          <w:tcPr>
            <w:tcW w:w="120" w:type="dxa"/>
            <w:tcBorders/>
            <w:vAlign w:val="bottom"/>
          </w:tcPr>
          <w:p>
            <w:pPr>
              <w:pStyle w:val="TableContents"/>
              <w:bidi w:val="0"/>
              <w:spacing w:before="0" w:after="283"/>
              <w:jc w:val="left"/>
              <w:rPr/>
            </w:pPr>
            <w:r>
              <w:rPr/>
              <w:t>  </w:t>
            </w:r>
          </w:p>
        </w:tc>
        <w:tc>
          <w:tcPr>
            <w:tcW w:w="4898" w:type="dxa"/>
            <w:tcBorders/>
            <w:vAlign w:val="bottom"/>
          </w:tcPr>
          <w:p>
            <w:pPr>
              <w:pStyle w:val="TableContents"/>
              <w:bidi w:val="0"/>
              <w:spacing w:before="0" w:after="283"/>
              <w:jc w:val="center"/>
              <w:rPr/>
            </w:pPr>
            <w:r>
              <w:rPr/>
              <w:t>Make-Whole Amount</w:t>
            </w:r>
          </w:p>
        </w:tc>
      </w:tr>
      <w:tr>
        <w:trPr>
          <w:trHeight w:val="240" w:hRule="atLeast"/>
        </w:trPr>
        <w:tc>
          <w:tcPr>
            <w:tcW w:w="5187" w:type="dxa"/>
            <w:tcBorders/>
            <w:vAlign w:val="center"/>
          </w:tcPr>
          <w:p>
            <w:pPr>
              <w:pStyle w:val="TableContents"/>
              <w:bidi w:val="0"/>
              <w:spacing w:before="0" w:after="283"/>
              <w:jc w:val="left"/>
              <w:rPr>
                <w:sz w:val="4"/>
                <w:szCs w:val="4"/>
              </w:rPr>
            </w:pPr>
            <w:r>
              <w:rPr>
                <w:sz w:val="4"/>
                <w:szCs w:val="4"/>
              </w:rPr>
            </w:r>
          </w:p>
        </w:tc>
        <w:tc>
          <w:tcPr>
            <w:tcW w:w="5018" w:type="dxa"/>
            <w:gridSpan w:val="2"/>
            <w:tcBorders/>
            <w:vAlign w:val="center"/>
          </w:tcPr>
          <w:p>
            <w:pPr>
              <w:pStyle w:val="TableContents"/>
              <w:bidi w:val="0"/>
              <w:spacing w:before="0" w:after="283"/>
              <w:jc w:val="left"/>
              <w:rPr>
                <w:sz w:val="4"/>
                <w:szCs w:val="4"/>
              </w:rPr>
            </w:pPr>
            <w:r>
              <w:rPr>
                <w:sz w:val="4"/>
                <w:szCs w:val="4"/>
              </w:rPr>
            </w:r>
          </w:p>
        </w:tc>
      </w:tr>
      <w:tr>
        <w:trPr/>
        <w:tc>
          <w:tcPr>
            <w:tcW w:w="5187" w:type="dxa"/>
            <w:tcBorders/>
          </w:tcPr>
          <w:p>
            <w:pPr>
              <w:pStyle w:val="TableContents"/>
              <w:bidi w:val="0"/>
              <w:spacing w:before="0" w:after="283"/>
              <w:jc w:val="center"/>
              <w:rPr/>
            </w:pPr>
            <w:r>
              <w:rPr/>
              <w:t>On or after September 1, 2028</w:t>
            </w:r>
          </w:p>
        </w:tc>
        <w:tc>
          <w:tcPr>
            <w:tcW w:w="120" w:type="dxa"/>
            <w:tcBorders/>
            <w:vAlign w:val="bottom"/>
          </w:tcPr>
          <w:p>
            <w:pPr>
              <w:pStyle w:val="TableContents"/>
              <w:bidi w:val="0"/>
              <w:spacing w:before="0" w:after="283"/>
              <w:jc w:val="left"/>
              <w:rPr/>
            </w:pPr>
            <w:r>
              <w:rPr/>
              <w:t>  </w:t>
            </w:r>
          </w:p>
        </w:tc>
        <w:tc>
          <w:tcPr>
            <w:tcW w:w="4898" w:type="dxa"/>
            <w:tcBorders/>
          </w:tcPr>
          <w:p>
            <w:pPr>
              <w:pStyle w:val="TableContents"/>
              <w:bidi w:val="0"/>
              <w:spacing w:before="0" w:after="283"/>
              <w:jc w:val="center"/>
              <w:rPr/>
            </w:pPr>
            <w:r>
              <w:rPr/>
              <w:t>Accrued and unpaid interest of the Notes so prepaid to, but excluding, the prepayment date</w:t>
            </w:r>
          </w:p>
        </w:tc>
      </w:tr>
    </w:tbl>
    <w:p>
      <w:pPr>
        <w:pStyle w:val="TextBody"/>
        <w:bidi w:val="0"/>
        <w:spacing w:before="0" w:after="0"/>
        <w:jc w:val="left"/>
        <w:rPr>
          <w:rFonts w:ascii="Times New Roman" w:hAnsi="Times New Roman"/>
          <w:sz w:val="20"/>
        </w:rPr>
      </w:pPr>
      <w:r>
        <w:rPr>
          <w:rFonts w:ascii="Times New Roman" w:hAnsi="Times New Roman"/>
          <w:sz w:val="20"/>
        </w:rPr>
        <w:t xml:space="preserve">(c) with respect to both the 2029 Notes-2 and 2031 Notes: </w:t>
      </w:r>
    </w:p>
    <w:p>
      <w:pPr>
        <w:pStyle w:val="TextBody"/>
        <w:bidi w:val="0"/>
        <w:spacing w:before="120" w:after="0"/>
        <w:jc w:val="left"/>
        <w:rPr/>
      </w:pPr>
      <w:r>
        <w:rPr/>
        <w:t>“</w:t>
      </w:r>
      <w:r>
        <w:rPr>
          <w:rFonts w:ascii="Times New Roman" w:hAnsi="Times New Roman"/>
          <w:b/>
          <w:sz w:val="20"/>
        </w:rPr>
        <w:t>Make-Whole Amount</w:t>
      </w:r>
      <w:r>
        <w:rPr>
          <w:rFonts w:ascii="Times New Roman" w:hAnsi="Times New Roman"/>
          <w:sz w:val="20"/>
        </w:rPr>
        <w:t xml:space="preserve">” means, with respect to any Note, an amount equal to the excess, if any, of the Discounted Value of the Remaining Scheduled Payments with respect to the Called Principal of any such Note over the amount of such Called Principal, </w:t>
      </w:r>
      <w:r>
        <w:rPr>
          <w:rFonts w:ascii="Times New Roman" w:hAnsi="Times New Roman"/>
          <w:i/>
          <w:sz w:val="20"/>
        </w:rPr>
        <w:t>provided</w:t>
      </w:r>
      <w:r>
        <w:rPr>
          <w:rFonts w:ascii="Times New Roman" w:hAnsi="Times New Roman"/>
          <w:sz w:val="20"/>
        </w:rPr>
        <w:t xml:space="preserve"> that the Make-Whole Amount may in no event be less than zero. For the purposes of determining the Make-Whole Amount, the following terms have the following meanings: </w:t>
      </w:r>
    </w:p>
    <w:p>
      <w:pPr>
        <w:pStyle w:val="TextBody"/>
        <w:bidi w:val="0"/>
        <w:spacing w:before="120" w:after="0"/>
        <w:jc w:val="left"/>
        <w:rPr/>
      </w:pPr>
      <w:r>
        <w:rPr/>
        <w:t>“</w:t>
      </w:r>
      <w:r>
        <w:rPr>
          <w:rFonts w:ascii="Times New Roman" w:hAnsi="Times New Roman"/>
          <w:b/>
          <w:sz w:val="20"/>
        </w:rPr>
        <w:t>Called Principal</w:t>
      </w:r>
      <w:r>
        <w:rPr>
          <w:rFonts w:ascii="Times New Roman" w:hAnsi="Times New Roman"/>
          <w:sz w:val="20"/>
        </w:rPr>
        <w:t xml:space="preserve">” means, with respect to any Note, the principal of such Note that is to be prepaid pursuant to Section 8.2 or has become or is declared to be immediately due and payable pursuant to Section 12.1, as the context requires. </w:t>
      </w:r>
    </w:p>
    <w:p>
      <w:pPr>
        <w:pStyle w:val="TextBody"/>
        <w:bidi w:val="0"/>
        <w:spacing w:before="240" w:after="0"/>
        <w:jc w:val="left"/>
        <w:rPr/>
      </w:pPr>
      <w:r>
        <w:rPr/>
        <w:t>“</w:t>
      </w:r>
      <w:r>
        <w:rPr>
          <w:rFonts w:ascii="Times New Roman" w:hAnsi="Times New Roman"/>
          <w:b/>
          <w:sz w:val="20"/>
        </w:rPr>
        <w:t>Discounted Value</w:t>
      </w:r>
      <w:r>
        <w:rPr>
          <w:rFonts w:ascii="Times New Roman" w:hAnsi="Times New Roman"/>
          <w:sz w:val="20"/>
        </w:rPr>
        <w:t xml:space="preserve">” means, with respect to the Called Principal of any Note,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such Notes is payable) equal to the Reinvestment Yield with respect to such Called Principal. </w:t>
      </w:r>
    </w:p>
    <w:p>
      <w:pPr>
        <w:pStyle w:val="TextBody"/>
        <w:bidi w:val="0"/>
        <w:spacing w:before="240" w:after="0"/>
        <w:jc w:val="left"/>
        <w:rPr/>
      </w:pPr>
      <w:r>
        <w:rPr/>
        <w:t>“</w:t>
      </w:r>
      <w:r>
        <w:rPr>
          <w:rFonts w:ascii="Times New Roman" w:hAnsi="Times New Roman"/>
          <w:b/>
          <w:sz w:val="20"/>
        </w:rPr>
        <w:t>Reinvestment Yield</w:t>
      </w:r>
      <w:r>
        <w:rPr>
          <w:rFonts w:ascii="Times New Roman" w:hAnsi="Times New Roman"/>
          <w:sz w:val="20"/>
        </w:rPr>
        <w:t>” means, with respect to the Called Principal of any 2031 Note, the sum of (a) 0.60% plus (b) the yield to maturity implied by the “Ask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on-the-run U.S. Treasury securities (“</w:t>
      </w:r>
      <w:r>
        <w:rPr>
          <w:rFonts w:ascii="Times New Roman" w:hAnsi="Times New Roman"/>
          <w:b/>
          <w:sz w:val="20"/>
        </w:rPr>
        <w:t>Reported</w:t>
      </w:r>
      <w:r>
        <w:rPr>
          <w:rFonts w:ascii="Times New Roman" w:hAnsi="Times New Roman"/>
          <w:sz w:val="20"/>
        </w:rPr>
        <w:t xml:space="preserve">”) having a maturity equal to the Remaining Average Life of such Called Principal as of such Settlement Date; and, with respect to the Called Principal of any 2029 Notes-2, the sum of (x) 0.50% plus (y) the yield to maturity implied by the Ask Yield(s) Reported determined on the same basis. If there are no such U.S. Treasury securities Reported having a maturity equal to such Remaining Average Life, then such implied yield to maturity will be determined by (i) converting U.S. Treasury bill quotations to bond equivalent yields in accordance with accepted financial practice and (ii) interpolating linearly between the “Ask Yields” Reported for the applicable most recently issued actively traded on-the-run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such yields are not Reported or the yields Reported as of such time are not ascertainable (including by way of interpolation), then “Reinvestment Yield” means, (x) with respect to the Called Principal of any 2031 Note, the sum of (x) 0.60% plus (y) 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and (y) with respect to the Called Principal of any 2029 Notes-2, the sum of (x) 0.50% plus (y) the yield to maturity implied by such U.S. Treasury constant maturity yields determined on the same basis.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Note. </w:t>
      </w:r>
    </w:p>
    <w:p>
      <w:pPr>
        <w:pStyle w:val="TextBody"/>
        <w:bidi w:val="0"/>
        <w:spacing w:before="240" w:after="0"/>
        <w:jc w:val="left"/>
        <w:rPr/>
      </w:pPr>
      <w:r>
        <w:rPr/>
        <w:t>“</w:t>
      </w:r>
      <w:r>
        <w:rPr>
          <w:rFonts w:ascii="Times New Roman" w:hAnsi="Times New Roman"/>
          <w:b/>
          <w:sz w:val="20"/>
        </w:rPr>
        <w:t>Remaining Average Life</w:t>
      </w:r>
      <w:r>
        <w:rPr>
          <w:rFonts w:ascii="Times New Roman" w:hAnsi="Times New Roman"/>
          <w:sz w:val="20"/>
        </w:rPr>
        <w:t xml:space="preserve">” means, with respect to any Called Principal, the number of years obtained by dividing (i) such Called Principal into (ii) the sum of the products obtained by multiplying (a) the principal component of each Remaining Scheduled Payment with respect to such Called Principal by (b) the number of years, computed on the basis of a 360-day year comprised of twelve 30-day months and calculated to two decimal places, that will elapse between the Settlement Date with respect to such Called Principal and the scheduled due date of such Remaining Scheduled Payment. </w:t>
      </w:r>
    </w:p>
    <w:p>
      <w:pPr>
        <w:pStyle w:val="TextBody"/>
        <w:bidi w:val="0"/>
        <w:spacing w:before="240" w:after="0"/>
        <w:jc w:val="left"/>
        <w:rPr/>
      </w:pPr>
      <w:r>
        <w:rPr/>
        <w:t>“</w:t>
      </w:r>
      <w:r>
        <w:rPr>
          <w:rFonts w:ascii="Times New Roman" w:hAnsi="Times New Roman"/>
          <w:b/>
          <w:sz w:val="20"/>
        </w:rPr>
        <w:t>Remaining Scheduled Payments</w:t>
      </w:r>
      <w:r>
        <w:rPr>
          <w:rFonts w:ascii="Times New Roman" w:hAnsi="Times New Roman"/>
          <w:sz w:val="20"/>
        </w:rPr>
        <w:t xml:space="preserve">” means, with respect to the Called Principal of any Note, all payments of such Called Principal and interest thereon that would be due after the Settlement Date with respect to such Called Principal if no payment of such Called Principal were made prior to its scheduled due date, </w:t>
      </w:r>
      <w:r>
        <w:rPr>
          <w:rFonts w:ascii="Times New Roman" w:hAnsi="Times New Roman"/>
          <w:i/>
          <w:sz w:val="20"/>
        </w:rPr>
        <w:t>provided</w:t>
      </w:r>
      <w:r>
        <w:rPr>
          <w:rFonts w:ascii="Times New Roman" w:hAnsi="Times New Roman"/>
          <w:sz w:val="20"/>
        </w:rPr>
        <w:t xml:space="preserve"> that if such Settlement Date is not a date on which interest payments are due to be made under the Notes, then the amount of the next succeeding scheduled interest payment will be reduced by the amount of interest accrued to such Settlement Date and required to be paid on such Settlement Date pursuant to Section 8.2 or Section 12.1. </w:t>
      </w:r>
    </w:p>
    <w:p>
      <w:pPr>
        <w:pStyle w:val="TextBody"/>
        <w:bidi w:val="0"/>
        <w:spacing w:before="240" w:after="0"/>
        <w:jc w:val="left"/>
        <w:rPr/>
      </w:pPr>
      <w:r>
        <w:rPr/>
        <w:t>“</w:t>
      </w:r>
      <w:r>
        <w:rPr>
          <w:rFonts w:ascii="Times New Roman" w:hAnsi="Times New Roman"/>
          <w:b/>
          <w:sz w:val="20"/>
        </w:rPr>
        <w:t>Settlement Date</w:t>
      </w:r>
      <w:r>
        <w:rPr>
          <w:rFonts w:ascii="Times New Roman" w:hAnsi="Times New Roman"/>
          <w:sz w:val="20"/>
        </w:rPr>
        <w:t xml:space="preserve">” means, with respect to the Called Principal of any Note, the date on which such Called Principal is to be prepaid pursuant to Section 8.2 or has become or is declared to be immediately due and payable pursuant to Section 12.1, as the context requires.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8.7.</w:t>
      </w:r>
      <w:r>
        <w:rPr>
          <w:rFonts w:ascii="Times New Roman" w:hAnsi="Times New Roman"/>
          <w:sz w:val="20"/>
        </w:rPr>
        <w:t xml:space="preserve"> </w:t>
      </w:r>
      <w:r>
        <w:rPr>
          <w:rFonts w:ascii="Times New Roman" w:hAnsi="Times New Roman"/>
          <w:b/>
          <w:sz w:val="20"/>
        </w:rPr>
        <w:t>Payments Due on Non-Business Days</w:t>
      </w:r>
      <w:r>
        <w:rPr>
          <w:rFonts w:ascii="Times New Roman" w:hAnsi="Times New Roman"/>
          <w:i/>
          <w:sz w:val="20"/>
        </w:rPr>
        <w:t>.</w:t>
      </w:r>
      <w:r>
        <w:rPr>
          <w:rFonts w:ascii="Times New Roman" w:hAnsi="Times New Roman"/>
          <w:sz w:val="20"/>
        </w:rPr>
        <w:t xml:space="preserve"> Anything in this Agreement or the Notes to the contrary notwithstanding, (x) except as set forth in clause (y), any payment of interest on any Note that is due on a date that is not a Business Day shall be made on the next succeeding Business Day without including the additional days elapsed in the computation of the interest payable on such next succeeding Business Day; and (y) any payment of principal of or Make-Whole Amount on any Note (including principal due on the Maturity Date of such Note) that is due on a date that is not a Business Day shall be made on the next succeeding Business Day and shall include the additional days elapsed in the computation of interest payable on such next succeeding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8.8.</w:t>
      </w:r>
      <w:r>
        <w:rPr>
          <w:rFonts w:ascii="Times New Roman" w:hAnsi="Times New Roman"/>
          <w:sz w:val="20"/>
        </w:rPr>
        <w:t xml:space="preserve"> </w:t>
      </w:r>
      <w:r>
        <w:rPr>
          <w:rFonts w:ascii="Times New Roman" w:hAnsi="Times New Roman"/>
          <w:b/>
          <w:sz w:val="20"/>
        </w:rPr>
        <w:t>Change of Control</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Notice of Change of Control.</w:t>
      </w:r>
      <w:r>
        <w:rPr>
          <w:rFonts w:ascii="Times New Roman" w:hAnsi="Times New Roman"/>
          <w:sz w:val="20"/>
        </w:rPr>
        <w:t xml:space="preserve"> The Company will, within fifteen (15) Business Days after any Responsible Officer has knowledge of the occurrence of any Change of Control, give written notice of such Change of Control to each holder of Notes. Such notice shall contain and constitute an offer to prepay Notes as described in subparagraph (b) of this Section 8.8 and shall be accompanied by the certificate described in subparagraph (e) of this Section 8.8.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Offer to Prepay Notes.</w:t>
      </w:r>
      <w:r>
        <w:rPr>
          <w:rFonts w:ascii="Times New Roman" w:hAnsi="Times New Roman"/>
          <w:sz w:val="20"/>
        </w:rPr>
        <w:t xml:space="preserve"> The offer to prepay Notes contemplated by subparagraph (a) of this Section 8.8 shall be an offer to prepay, in accordance with and subject to this Section 8.8, all, the 2029 Notes-2 and 2031 Notes but not less than all, the Notes held by each holder (in this case only, “holder” in respect of any Note registered in the name of a nominee for a disclosed beneficial owner shall mean such beneficial owner) on a date specified in such offer (the “</w:t>
      </w:r>
      <w:r>
        <w:rPr>
          <w:rFonts w:ascii="Times New Roman" w:hAnsi="Times New Roman"/>
          <w:b/>
          <w:sz w:val="20"/>
        </w:rPr>
        <w:t>Section</w:t>
      </w:r>
      <w:r>
        <w:rPr>
          <w:rFonts w:ascii="Times New Roman" w:hAnsi="Times New Roman"/>
          <w:sz w:val="20"/>
        </w:rPr>
        <w:t> </w:t>
      </w:r>
      <w:r>
        <w:rPr>
          <w:rFonts w:ascii="Times New Roman" w:hAnsi="Times New Roman"/>
          <w:b/>
          <w:sz w:val="20"/>
        </w:rPr>
        <w:t>8.8 Proposed Prepayment Date</w:t>
      </w:r>
      <w:r>
        <w:rPr>
          <w:rFonts w:ascii="Times New Roman" w:hAnsi="Times New Roman"/>
          <w:sz w:val="20"/>
        </w:rPr>
        <w:t xml:space="preserve">”). Such date shall be not less than thirty (30) days and not more than sixty (60) days after the date of such offer (if the Section 8.8 Proposed Prepayment Date shall not be specified in such offer, the Section 8.8 Proposed Prepayment Date shall be the first Business Day after the 45th day after the date of such offer).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Acceptance/Rejection.</w:t>
      </w:r>
      <w:r>
        <w:rPr>
          <w:rFonts w:ascii="Times New Roman" w:hAnsi="Times New Roman"/>
          <w:sz w:val="20"/>
        </w:rPr>
        <w:t xml:space="preserve"> A holder of Notes may accept the offer to prepay made pursuant to this Section 8.8 by causing a notice of such acceptance to be delivered to the Company not later than 15 Business Days after receipt by such holder of the most recent offer of prepayment. A failure by a holder of Notes to respond to an offer to prepay made pursuant to this Section 8.8 shall be deemed to constitute rejection of such offer by such holder.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Prepayment</w:t>
      </w:r>
      <w:r>
        <w:rPr>
          <w:rFonts w:ascii="Times New Roman" w:hAnsi="Times New Roman"/>
          <w:sz w:val="20"/>
        </w:rPr>
        <w:t xml:space="preserve">. Prepayment of the Notes to be prepaid pursuant to this Section 8.8 shall be at 100% of the principal amount of such Notes, together with interest on such Notes accrued to, but excluding, the date of prepayment, but without Make-Whole Amount, Prepayment Settlement Amount or other premium.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Officer’s Certificate.</w:t>
      </w:r>
      <w:r>
        <w:rPr>
          <w:rFonts w:ascii="Times New Roman" w:hAnsi="Times New Roman"/>
          <w:sz w:val="20"/>
        </w:rPr>
        <w:t xml:space="preserve"> Each offer to prepay the Notes pursuant to this Section 8.8 shall be accompanied by a certificate, executed by a Senior Financial Officer of the Company and dated the date of such offer, specifying: (i) the Section 8.8 Proposed Prepayment Date; (ii) that such offer is made pursuant to this Section 8.8; (iii) the principal amount of each Note offered to be prepaid; (iv) the interest that would be due on each Note offered to be prepaid, accrued to, but excluding, the Section 8.8 Proposed Prepayment Date; (v) that the conditions of this Section 8.8 have been fulfilled; and (vi) in reasonable detail, the nature and date of the Change of Control.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Definitions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Change of Control</w:t>
      </w:r>
      <w:r>
        <w:rPr>
          <w:rFonts w:ascii="Times New Roman" w:hAnsi="Times New Roman"/>
          <w:sz w:val="20"/>
        </w:rPr>
        <w:t xml:space="preserve">” means the Company ceases to be managed by the Advisor or an affiliate of the Advisor.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9. AFFIRMATIVE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that so long as any of the Notes are outstanding: </w:t>
      </w:r>
    </w:p>
    <w:p>
      <w:pPr>
        <w:pStyle w:val="TextBody"/>
        <w:bidi w:val="0"/>
        <w:spacing w:before="12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9.1.</w:t>
      </w:r>
      <w:r>
        <w:rPr>
          <w:rFonts w:ascii="Times New Roman" w:hAnsi="Times New Roman"/>
          <w:sz w:val="20"/>
        </w:rPr>
        <w:t xml:space="preserve"> </w:t>
      </w:r>
      <w:r>
        <w:rPr>
          <w:rFonts w:ascii="Times New Roman" w:hAnsi="Times New Roman"/>
          <w:b/>
          <w:sz w:val="20"/>
        </w:rPr>
        <w:t>Compliance with Laws</w:t>
      </w:r>
      <w:r>
        <w:rPr>
          <w:rFonts w:ascii="Times New Roman" w:hAnsi="Times New Roman"/>
          <w:sz w:val="20"/>
        </w:rPr>
        <w:t xml:space="preserve">. Without limiting Section 10.4, the Company will, and will cause each of its Subsidiaries to, comply with all laws, ordinances or governmental rules or regulations to which each of them is subject (including ERISA, Environmental Laws, the USA PATRIOT Act and the other laws and regulations that are referred to in Section 5.16)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would not,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9.2.</w:t>
      </w:r>
      <w:r>
        <w:rPr>
          <w:rFonts w:ascii="Times New Roman" w:hAnsi="Times New Roman"/>
          <w:sz w:val="20"/>
        </w:rPr>
        <w:t xml:space="preserve"> </w:t>
      </w:r>
      <w:r>
        <w:rPr>
          <w:rFonts w:ascii="Times New Roman" w:hAnsi="Times New Roman"/>
          <w:b/>
          <w:sz w:val="20"/>
        </w:rPr>
        <w:t>Insurance</w:t>
      </w:r>
      <w:r>
        <w:rPr>
          <w:rFonts w:ascii="Times New Roman" w:hAnsi="Times New Roman"/>
          <w:sz w:val="20"/>
        </w:rPr>
        <w:t xml:space="preserve">. The Company will, and will cause each of its Subsidiaries to, maintain,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similarly situated entities engaged in the same or a similar business and similarly situated.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9.3.</w:t>
      </w:r>
      <w:r>
        <w:rPr>
          <w:rFonts w:ascii="Times New Roman" w:hAnsi="Times New Roman"/>
          <w:sz w:val="20"/>
        </w:rPr>
        <w:t xml:space="preserve"> </w:t>
      </w:r>
      <w:r>
        <w:rPr>
          <w:rFonts w:ascii="Times New Roman" w:hAnsi="Times New Roman"/>
          <w:b/>
          <w:sz w:val="20"/>
        </w:rPr>
        <w:t>Maintenance of Properties</w:t>
      </w:r>
      <w:r>
        <w:rPr>
          <w:rFonts w:ascii="Times New Roman" w:hAnsi="Times New Roman"/>
          <w:sz w:val="20"/>
        </w:rPr>
        <w:t xml:space="preserve">. The Company will, and will cause each of its Subsidiaries to, maintain and keep, or cause to be maintained and kept, their respective properties in good repair, working order and condition (other than ordinary wear and tear), so that the business carried on in connection therewith may be properly conducted at all times, </w:t>
      </w:r>
      <w:r>
        <w:rPr>
          <w:rFonts w:ascii="Times New Roman" w:hAnsi="Times New Roman"/>
          <w:i/>
          <w:sz w:val="20"/>
        </w:rPr>
        <w:t>provided</w:t>
      </w:r>
      <w:r>
        <w:rPr>
          <w:rFonts w:ascii="Times New Roman" w:hAnsi="Times New Roman"/>
          <w:sz w:val="20"/>
        </w:rPr>
        <w:t xml:space="preserve"> that this Section 9.3 shall not prevent the Company or any Subsidiary from discontinuing the operation and the maintenance of any of its properties if such discontinuance is desirable in the conduct of its business and the Company has concluded that such discontinuance would not,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9.4.</w:t>
      </w:r>
      <w:r>
        <w:rPr>
          <w:rFonts w:ascii="Times New Roman" w:hAnsi="Times New Roman"/>
          <w:sz w:val="20"/>
        </w:rPr>
        <w:t xml:space="preserve"> </w:t>
      </w:r>
      <w:r>
        <w:rPr>
          <w:rFonts w:ascii="Times New Roman" w:hAnsi="Times New Roman"/>
          <w:b/>
          <w:sz w:val="20"/>
        </w:rPr>
        <w:t>Payment of Taxes and Claims</w:t>
      </w:r>
      <w:r>
        <w:rPr>
          <w:rFonts w:ascii="Times New Roman" w:hAnsi="Times New Roman"/>
          <w:sz w:val="20"/>
        </w:rPr>
        <w:t xml:space="preserve">. The Company will, and will cause each of its Subsidiaries to, file all federal, state and other Material Tax returns required to be filed in any jurisdiction and to pay and discharge all Taxes shown to be due and payable on such returns and all other Taxes imposed on them or any of their properties, assets, income or franchises, to the extent the same have become due and payable and before they have become delinquent and all material claims for which sums have become due and payable that have or might become a Lien on properties or assets of the Company or any Subsidiary, </w:t>
      </w:r>
      <w:r>
        <w:rPr>
          <w:rFonts w:ascii="Times New Roman" w:hAnsi="Times New Roman"/>
          <w:i/>
          <w:sz w:val="20"/>
        </w:rPr>
        <w:t>provided</w:t>
      </w:r>
      <w:r>
        <w:rPr>
          <w:rFonts w:ascii="Times New Roman" w:hAnsi="Times New Roman"/>
          <w:sz w:val="20"/>
        </w:rPr>
        <w:t xml:space="preserve"> that neither the Company nor any Subsidiary need pay any such tax, assessment, charge, levy or claim if (i) the amount, applicability or validity thereof is contested by the Company or such Subsidiary on a timely basis in good faith and in appropriate proceedings, and the Company or a Subsidiary has established adequate reserves therefor in accordance with GAAP on the books of the Company or such Subsidiary or (ii) the nonpayment of all such Taxes would not,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9.5.</w:t>
      </w:r>
      <w:r>
        <w:rPr>
          <w:rFonts w:ascii="Times New Roman" w:hAnsi="Times New Roman"/>
          <w:sz w:val="20"/>
        </w:rPr>
        <w:t xml:space="preserve"> </w:t>
      </w:r>
      <w:r>
        <w:rPr>
          <w:rFonts w:ascii="Times New Roman" w:hAnsi="Times New Roman"/>
          <w:b/>
          <w:sz w:val="20"/>
        </w:rPr>
        <w:t>Corporate Existence, Etc</w:t>
      </w:r>
      <w:r>
        <w:rPr>
          <w:rFonts w:ascii="Times New Roman" w:hAnsi="Times New Roman"/>
          <w:sz w:val="20"/>
        </w:rPr>
        <w:t xml:space="preserve">. The Company will at all times preserve and keep its corporate existence in full force and effect. The Company will at all times preserve and keep in full force and effect the corporate existence of each of its Subsidiaries (unless merged into the Company or a Wholly-Owned Subsidiary) and all rights and franchises of the Company and its Subsidiaries unless, in the good faith judgment of the Company, the termination of or failure to preserve and keep in full force and effect such corporate existence, right or franchise would not, individually or in the aggregate,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9.6.</w:t>
      </w:r>
      <w:r>
        <w:rPr>
          <w:rFonts w:ascii="Times New Roman" w:hAnsi="Times New Roman"/>
          <w:sz w:val="20"/>
        </w:rPr>
        <w:t xml:space="preserve"> </w:t>
      </w:r>
      <w:r>
        <w:rPr>
          <w:rFonts w:ascii="Times New Roman" w:hAnsi="Times New Roman"/>
          <w:b/>
          <w:sz w:val="20"/>
        </w:rPr>
        <w:t>Books and Records</w:t>
      </w:r>
      <w:r>
        <w:rPr>
          <w:rFonts w:ascii="Times New Roman" w:hAnsi="Times New Roman"/>
          <w:sz w:val="20"/>
        </w:rPr>
        <w:t xml:space="preserve">. The Company will, and will cause each of its Subsidiaries to, maintain proper books of record and account in conformity with GAAP and all applicable requirements of any Governmental Authority having legal or regulatory jurisdiction over the Company or such Subsidiary, as the case may be. The Company will, and will cause each of its Subsidiaries to, keep books, records and accounts which, in reasonable detail, accurately reflect all transactions and dispositions of assets. The Company and its Subsidiaries have devised a system of internal accounting controls sufficient to provide reasonable assurances that their respective books, records, and accounts accurately reflect all transactions and dispositions of assets and the Company will, and will cause each of its Subsidiaries to, continue to maintain such system.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9.7.</w:t>
      </w:r>
      <w:r>
        <w:rPr>
          <w:rFonts w:ascii="Times New Roman" w:hAnsi="Times New Roman"/>
          <w:sz w:val="20"/>
        </w:rPr>
        <w:t xml:space="preserve"> </w:t>
      </w:r>
      <w:r>
        <w:rPr>
          <w:rFonts w:ascii="Times New Roman" w:hAnsi="Times New Roman"/>
          <w:b/>
          <w:sz w:val="20"/>
        </w:rPr>
        <w:t>Maintenance of Credit Rating.</w:t>
      </w:r>
      <w:r>
        <w:rPr>
          <w:rFonts w:ascii="Times New Roman" w:hAnsi="Times New Roman"/>
          <w:sz w:val="20"/>
        </w:rPr>
        <w:t xml:space="preserve"> The Company will, at its sole cost and expense, use commercially reasonable efforts to achieve and subsequently maintain an Investment Grade credit rating on the Notes from at least one (1) “nationally recognized statistical rating organization” as designated by the SEC (which, for the avoidance of doubt, shall include Egan-Jones Ratings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9.8.</w:t>
      </w:r>
      <w:r>
        <w:rPr>
          <w:rFonts w:ascii="Times New Roman" w:hAnsi="Times New Roman"/>
          <w:sz w:val="20"/>
        </w:rPr>
        <w:t xml:space="preserve"> </w:t>
      </w:r>
      <w:r>
        <w:rPr>
          <w:rFonts w:ascii="Times New Roman" w:hAnsi="Times New Roman"/>
          <w:b/>
          <w:sz w:val="20"/>
        </w:rPr>
        <w:t xml:space="preserve">DTC. </w:t>
      </w:r>
      <w:r>
        <w:rPr>
          <w:rFonts w:ascii="Times New Roman" w:hAnsi="Times New Roman"/>
          <w:sz w:val="20"/>
        </w:rPr>
        <w:t xml:space="preserve">In advance of any Closing with respect to a Global Note, the Company shall have cleared the eligibility of such Global Note for settlement through the facilities of DTC prior to such Closing, including, as required, by preparing, executing and delivering to DTC a Blanket Letter of Representations in the form provided by DTC.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 NEGATIVE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that so long as any of the Notes are outstanding: </w:t>
      </w:r>
    </w:p>
    <w:p>
      <w:pPr>
        <w:pStyle w:val="TextBody"/>
        <w:bidi w:val="0"/>
        <w:spacing w:before="12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w:t>
      </w:r>
      <w:r>
        <w:rPr>
          <w:rFonts w:ascii="Times New Roman" w:hAnsi="Times New Roman"/>
          <w:sz w:val="20"/>
        </w:rPr>
        <w:t xml:space="preserve"> </w:t>
      </w:r>
      <w:r>
        <w:rPr>
          <w:rFonts w:ascii="Times New Roman" w:hAnsi="Times New Roman"/>
          <w:b/>
          <w:sz w:val="20"/>
        </w:rPr>
        <w:t>Transactions with Affiliates</w:t>
      </w:r>
      <w:r>
        <w:rPr>
          <w:rFonts w:ascii="Times New Roman" w:hAnsi="Times New Roman"/>
          <w:sz w:val="20"/>
        </w:rPr>
        <w:t xml:space="preserve">. The Company will not, and will not permit any Subsidiary to, enter into directly or indirectly any transaction or group of related transactions (including the purchase, lease, sale or exchange of properties of any kind or the rendering of any service) with any Affiliate (other than the Company or another Subsidiary), except (i) in the ordinary course and pursuant to the reasonable requirements of the Company’s or such Subsidiary’s business and upon fair and reasonable terms no less favorable to the Company or such Subsidiary than would be obtainable in a comparable arm’s-length transaction with a Person not an Affiliate, or (ii) Affiliate transactions permitted by any Material Credit Facility.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10.2.</w:t>
      </w:r>
      <w:r>
        <w:rPr>
          <w:rFonts w:ascii="Times New Roman" w:hAnsi="Times New Roman"/>
          <w:sz w:val="20"/>
        </w:rPr>
        <w:t xml:space="preserve"> </w:t>
      </w:r>
      <w:r>
        <w:rPr>
          <w:rFonts w:ascii="Times New Roman" w:hAnsi="Times New Roman"/>
          <w:b/>
          <w:sz w:val="20"/>
        </w:rPr>
        <w:t>Merger, Consolidation, Etc.</w:t>
      </w:r>
      <w:r>
        <w:rPr>
          <w:rFonts w:ascii="Times New Roman" w:hAnsi="Times New Roman"/>
          <w:sz w:val="20"/>
        </w:rPr>
        <w:t xml:space="preserve"> The Company will not consolidate with or merge with any other Person or convey, transfer or lease all or substantially all of its assets in a single transaction or series of transactions to any Person unless: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any such transaction involving the Company, (i) such transaction is permitted by any Material Credit Facility or (ii) the successor formed by such consolidation or the survivor of such merger or the Person that acquires by conveyance, transfer or lease all or substantially all of the assets of the Company as an entirety, as the case may be, shall be a solvent corporation or limited liability company organized and existing under the laws of the United States or any state thereof (including the District of Columbia), and, if the Company is not such corporation or limited liability company, (A) such corporation or limited liability company shall have executed and delivered to each holder of any Notes its assumption of the due and punctual performance and observance of each covenant and condition of this Agreement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Notes and (B) such corporation or limited liability company shall have caused to be delivered to each holder of any Notes an opinion of nationally recognized independent counsel, or other independent counsel reasonably satisfactory to the Required Holders, to the effect that all agreements or instruments effecting such assumption are enforceable in accordance with their terms and comply with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(b) immediately before and immediately after giving effect to such transaction or each transaction in any such series of transactions, no Default or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No such conveyance, transfer or lease of substantially all of the assets of the Company shall have the effect of releasing the Company or any successor corporation or limited liability company that shall theretofore have become such in the manner prescribed in this Section 10.2, from its </w:t>
      </w:r>
    </w:p>
    <w:p>
      <w:pPr>
        <w:pStyle w:val="TextBody"/>
        <w:bidi w:val="0"/>
        <w:spacing w:before="0" w:after="0"/>
        <w:jc w:val="left"/>
        <w:rPr>
          <w:rFonts w:ascii="Times New Roman" w:hAnsi="Times New Roman"/>
          <w:sz w:val="20"/>
        </w:rPr>
      </w:pPr>
      <w:r>
        <w:rPr>
          <w:rFonts w:ascii="Times New Roman" w:hAnsi="Times New Roman"/>
          <w:sz w:val="20"/>
        </w:rPr>
        <w:t xml:space="preserve">liability under this Agreement or the Notes.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10.3.</w:t>
      </w:r>
      <w:r>
        <w:rPr>
          <w:rFonts w:ascii="Times New Roman" w:hAnsi="Times New Roman"/>
          <w:sz w:val="20"/>
        </w:rPr>
        <w:t xml:space="preserve"> </w:t>
      </w:r>
      <w:r>
        <w:rPr>
          <w:rFonts w:ascii="Times New Roman" w:hAnsi="Times New Roman"/>
          <w:b/>
          <w:sz w:val="20"/>
        </w:rPr>
        <w:t>Economic Sanctions, Etc</w:t>
      </w:r>
      <w:r>
        <w:rPr>
          <w:rFonts w:ascii="Times New Roman" w:hAnsi="Times New Roman"/>
          <w:sz w:val="20"/>
        </w:rPr>
        <w:t xml:space="preserve">. The Company will not, and will not permit any Subsidiary to (a) become (including by virtue of being owned or controlled by a Blocked Person) or knowingly own or control a Blocked Person or (b) directly or knowingly indirectly have any investment in or engage in any dealing or transaction (including any investment, dealing or transaction involving the proceeds of the Notes) with any Person if such investment, dealing or transaction (i) would cause any holder to be in violation of, or subject to sanctions under U.S. Economic Sanctions Laws, or (ii) is prohibited by or subject to sanctions under any U.S. Economic Sanctions Laws.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10.4.</w:t>
      </w:r>
      <w:r>
        <w:rPr>
          <w:rFonts w:ascii="Times New Roman" w:hAnsi="Times New Roman"/>
          <w:sz w:val="20"/>
        </w:rPr>
        <w:t xml:space="preserve"> </w:t>
      </w:r>
      <w:r>
        <w:rPr>
          <w:rFonts w:ascii="Times New Roman" w:hAnsi="Times New Roman"/>
          <w:b/>
          <w:sz w:val="20"/>
        </w:rPr>
        <w:t>Liens</w:t>
      </w:r>
      <w:r>
        <w:rPr>
          <w:rFonts w:ascii="Times New Roman" w:hAnsi="Times New Roman"/>
          <w:sz w:val="20"/>
        </w:rPr>
        <w:t xml:space="preserve">. The Company will not and will not permit any of its Subsidiaries to directly or indirectly create, incur, assume or permit to exist (upon the happening of a contingency or otherwise) any Lien on or with respect to any property or asset (including any document or instrument in respect of goods or accounts receivable) of the Company or any such Subsidiary, whether now owned or held or hereafter acquired, or any income or profits therefrom, or assign or otherwise convey any right to receive income or profits, except: </w:t>
      </w:r>
    </w:p>
    <w:p>
      <w:pPr>
        <w:pStyle w:val="TextBody"/>
        <w:bidi w:val="0"/>
        <w:spacing w:before="120" w:after="0"/>
        <w:jc w:val="left"/>
        <w:rPr>
          <w:rFonts w:ascii="Times New Roman" w:hAnsi="Times New Roman"/>
          <w:sz w:val="20"/>
        </w:rPr>
      </w:pPr>
      <w:r>
        <w:rPr>
          <w:rFonts w:ascii="Times New Roman" w:hAnsi="Times New Roman"/>
          <w:sz w:val="20"/>
        </w:rPr>
        <w:t xml:space="preserve">(a) any Lien on any property or asset of the Company existing on the Execution Date and set forth in Schedule 5.15; </w:t>
      </w:r>
      <w:r>
        <w:rPr>
          <w:rFonts w:ascii="Times New Roman" w:hAnsi="Times New Roman"/>
          <w:i/>
          <w:sz w:val="20"/>
        </w:rPr>
        <w:t>provided</w:t>
      </w:r>
      <w:r>
        <w:rPr>
          <w:rFonts w:ascii="Times New Roman" w:hAnsi="Times New Roman"/>
          <w:sz w:val="20"/>
        </w:rPr>
        <w:t xml:space="preserve"> that (i) no such Lien shall extend to any other property or asset of the Company, and (ii) any such Lien shall secure only those obligations which it secures on the Execution Date and extensions, renewals and replacements thereof that do not increase the outstanding principal amount thereof; </w:t>
      </w:r>
    </w:p>
    <w:p>
      <w:pPr>
        <w:pStyle w:val="TextBody"/>
        <w:bidi w:val="0"/>
        <w:spacing w:before="240" w:after="0"/>
        <w:jc w:val="left"/>
        <w:rPr>
          <w:rFonts w:ascii="Times New Roman" w:hAnsi="Times New Roman"/>
          <w:sz w:val="20"/>
        </w:rPr>
      </w:pPr>
      <w:r>
        <w:rPr>
          <w:rFonts w:ascii="Times New Roman" w:hAnsi="Times New Roman"/>
          <w:sz w:val="20"/>
        </w:rPr>
        <w:t xml:space="preserve">(b) Liens on Special Equity Interests included in the Investments of the Company but only to the extent securing obligations in the manner provided in the definition of “Special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(c)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(d) Liens on Equity Interests in any SBIC Subsidiary created in favor of the SBA or its designee and Liens on Equity Interests in any Subsidiary in favor of and required by any lender providing third party financing to such Designated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Liens securing Hedging Agreements or Liens incurred in connection with any Hedging Agreement; </w:t>
      </w:r>
    </w:p>
    <w:p>
      <w:pPr>
        <w:pStyle w:val="TextBody"/>
        <w:bidi w:val="0"/>
        <w:spacing w:before="240" w:after="0"/>
        <w:jc w:val="left"/>
        <w:rPr>
          <w:rFonts w:ascii="Times New Roman" w:hAnsi="Times New Roman"/>
          <w:sz w:val="20"/>
        </w:rPr>
      </w:pPr>
      <w:r>
        <w:rPr>
          <w:rFonts w:ascii="Times New Roman" w:hAnsi="Times New Roman"/>
          <w:sz w:val="20"/>
        </w:rPr>
        <w:t xml:space="preserve">(f) Liens securing repurchase obligations arising in the ordinary course of business with respect to U.S. Government Securities; </w:t>
      </w:r>
    </w:p>
    <w:p>
      <w:pPr>
        <w:pStyle w:val="TextBody"/>
        <w:bidi w:val="0"/>
        <w:spacing w:before="240" w:after="0"/>
        <w:jc w:val="left"/>
        <w:rPr>
          <w:rFonts w:ascii="Times New Roman" w:hAnsi="Times New Roman"/>
          <w:sz w:val="20"/>
        </w:rPr>
      </w:pPr>
      <w:r>
        <w:rPr>
          <w:rFonts w:ascii="Times New Roman" w:hAnsi="Times New Roman"/>
          <w:sz w:val="20"/>
        </w:rPr>
        <w:t xml:space="preserve">(g) Liens on assets securing other obligations in an aggregate principal amount at any time outstanding not to exceed $10,000,000; </w:t>
      </w:r>
    </w:p>
    <w:p>
      <w:pPr>
        <w:pStyle w:val="TextBody"/>
        <w:bidi w:val="0"/>
        <w:spacing w:before="240" w:after="0"/>
        <w:jc w:val="left"/>
        <w:rPr>
          <w:rFonts w:ascii="Times New Roman" w:hAnsi="Times New Roman"/>
          <w:sz w:val="20"/>
        </w:rPr>
      </w:pPr>
      <w:r>
        <w:rPr>
          <w:rFonts w:ascii="Times New Roman" w:hAnsi="Times New Roman"/>
          <w:sz w:val="20"/>
        </w:rPr>
        <w:t xml:space="preserve">(h) Liens created pursuant to the collateral and the security documents related to any Material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(i) Liens securing Indebtedness or other obligations permitted by the analogous covenant set forth in any Material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(j) Liens on the direct ownership interest of the Company in an Excluded Asset to secure obligations owed to a creditor of such Excluded Asset; </w:t>
      </w:r>
    </w:p>
    <w:p>
      <w:pPr>
        <w:pStyle w:val="TextBody"/>
        <w:bidi w:val="0"/>
        <w:spacing w:before="240" w:after="0"/>
        <w:jc w:val="left"/>
        <w:rPr>
          <w:rFonts w:ascii="Times New Roman" w:hAnsi="Times New Roman"/>
          <w:sz w:val="20"/>
        </w:rPr>
      </w:pPr>
      <w:r>
        <w:rPr>
          <w:rFonts w:ascii="Times New Roman" w:hAnsi="Times New Roman"/>
          <w:sz w:val="20"/>
        </w:rPr>
        <w:t xml:space="preserve">(k) Liens existing on any property or asset prior to the acquisition thereof by the Company; </w:t>
      </w:r>
      <w:r>
        <w:rPr>
          <w:rFonts w:ascii="Times New Roman" w:hAnsi="Times New Roman"/>
          <w:i/>
          <w:sz w:val="20"/>
        </w:rPr>
        <w:t>provided</w:t>
      </w:r>
      <w:r>
        <w:rPr>
          <w:rFonts w:ascii="Times New Roman" w:hAnsi="Times New Roman"/>
          <w:sz w:val="20"/>
        </w:rPr>
        <w:t xml:space="preserve"> that (i) such Lien is not created in contemplation of or in connection with such acquisition and (ii) such Lien does not apply to any other property or assets (other than proceeds thereof or accessions thereto)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(l) any Lien on margin stock; </w:t>
      </w:r>
    </w:p>
    <w:p>
      <w:pPr>
        <w:pStyle w:val="TextBody"/>
        <w:bidi w:val="0"/>
        <w:spacing w:before="240" w:after="0"/>
        <w:jc w:val="left"/>
        <w:rPr>
          <w:rFonts w:ascii="Times New Roman" w:hAnsi="Times New Roman"/>
          <w:sz w:val="20"/>
        </w:rPr>
      </w:pPr>
      <w:r>
        <w:rPr>
          <w:rFonts w:ascii="Times New Roman" w:hAnsi="Times New Roman"/>
          <w:sz w:val="20"/>
        </w:rPr>
        <w:t xml:space="preserve">(m) any Lien imposed as a result of a taking under the exercise of the power of eminent domain by any governmental body or by any Person acting under Governmental Authority; and </w:t>
      </w:r>
    </w:p>
    <w:p>
      <w:pPr>
        <w:pStyle w:val="TextBody"/>
        <w:bidi w:val="0"/>
        <w:spacing w:before="240" w:after="0"/>
        <w:jc w:val="left"/>
        <w:rPr>
          <w:rFonts w:ascii="Times New Roman" w:hAnsi="Times New Roman"/>
          <w:sz w:val="20"/>
        </w:rPr>
      </w:pPr>
      <w:r>
        <w:rPr>
          <w:rFonts w:ascii="Times New Roman" w:hAnsi="Times New Roman"/>
          <w:sz w:val="20"/>
        </w:rPr>
        <w:t xml:space="preserve">(n) Liens on assets securing Indebtedness so long as, after giving pro forma effect to such Liens, the Company is in compliance with Section 10.5.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10.5.</w:t>
      </w:r>
      <w:r>
        <w:rPr>
          <w:rFonts w:ascii="Times New Roman" w:hAnsi="Times New Roman"/>
          <w:sz w:val="20"/>
        </w:rPr>
        <w:t xml:space="preserve"> </w:t>
      </w:r>
      <w:r>
        <w:rPr>
          <w:rFonts w:ascii="Times New Roman" w:hAnsi="Times New Roman"/>
          <w:b/>
          <w:sz w:val="20"/>
        </w:rPr>
        <w:t>Consolidated Asset Coverage Ratio.</w:t>
      </w:r>
      <w:r>
        <w:rPr>
          <w:rFonts w:ascii="Times New Roman" w:hAnsi="Times New Roman"/>
          <w:sz w:val="20"/>
        </w:rPr>
        <w:t xml:space="preserve"> The Company will not permit the Consolidated Asset Coverage Ratio as of the last Business Day of any fiscal quarter of the Company to be less than 1.50 to 1.00.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 EVENTS OF DEFAULT. </w:t>
      </w:r>
    </w:p>
    <w:p>
      <w:pPr>
        <w:pStyle w:val="TextBody"/>
        <w:bidi w:val="0"/>
        <w:spacing w:before="240" w:after="0"/>
        <w:jc w:val="left"/>
        <w:rPr>
          <w:rFonts w:ascii="Times New Roman" w:hAnsi="Times New Roman"/>
          <w:sz w:val="20"/>
        </w:rPr>
      </w:pPr>
      <w:r>
        <w:rPr>
          <w:rFonts w:ascii="Times New Roman" w:hAnsi="Times New Roman"/>
          <w:sz w:val="20"/>
        </w:rPr>
        <w:t>An “</w:t>
      </w:r>
      <w:r>
        <w:rPr>
          <w:rFonts w:ascii="Times New Roman" w:hAnsi="Times New Roman"/>
          <w:b/>
          <w:sz w:val="20"/>
        </w:rPr>
        <w:t>Event of Default</w:t>
      </w:r>
      <w:r>
        <w:rPr>
          <w:rFonts w:ascii="Times New Roman" w:hAnsi="Times New Roman"/>
          <w:sz w:val="20"/>
        </w:rPr>
        <w:t xml:space="preserve">” shall exist if any of the following conditions or events shall occur and be continuing: </w:t>
      </w:r>
    </w:p>
    <w:p>
      <w:pPr>
        <w:pStyle w:val="TextBody"/>
        <w:bidi w:val="0"/>
        <w:spacing w:before="120" w:after="0"/>
        <w:jc w:val="left"/>
        <w:rPr>
          <w:rFonts w:ascii="Times New Roman" w:hAnsi="Times New Roman"/>
          <w:sz w:val="20"/>
        </w:rPr>
      </w:pPr>
      <w:r>
        <w:rPr>
          <w:rFonts w:ascii="Times New Roman" w:hAnsi="Times New Roman"/>
          <w:sz w:val="20"/>
        </w:rPr>
        <w:t xml:space="preserve">(a) the Company defaults in the payment of any principal or Make-Whole Amount, if any, on any Note when the same becomes due and payable, whether at maturity or at a date fixed for prepayment or by declaration or otherwise; or </w:t>
      </w:r>
    </w:p>
    <w:p>
      <w:pPr>
        <w:pStyle w:val="TextBody"/>
        <w:bidi w:val="0"/>
        <w:spacing w:before="240" w:after="0"/>
        <w:jc w:val="left"/>
        <w:rPr>
          <w:rFonts w:ascii="Times New Roman" w:hAnsi="Times New Roman"/>
          <w:sz w:val="20"/>
        </w:rPr>
      </w:pPr>
      <w:r>
        <w:rPr>
          <w:rFonts w:ascii="Times New Roman" w:hAnsi="Times New Roman"/>
          <w:sz w:val="20"/>
        </w:rPr>
        <w:t xml:space="preserve">(b) the Company defaults in the payment of any interest to which it has knowledge on any Note for more than five (5) Business Days after the same becomes due and payable;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Company defaults in the performance of or compliance with any term contained in Section 7.1(c); or </w:t>
      </w:r>
    </w:p>
    <w:p>
      <w:pPr>
        <w:pStyle w:val="TextBody"/>
        <w:bidi w:val="0"/>
        <w:spacing w:before="240" w:after="0"/>
        <w:jc w:val="left"/>
        <w:rPr>
          <w:rFonts w:ascii="Times New Roman" w:hAnsi="Times New Roman"/>
          <w:sz w:val="20"/>
        </w:rPr>
      </w:pPr>
      <w:r>
        <w:rPr>
          <w:rFonts w:ascii="Times New Roman" w:hAnsi="Times New Roman"/>
          <w:sz w:val="20"/>
        </w:rPr>
        <w:t xml:space="preserve">(d) the Company defaults in the performance of or compliance with any term contained herein (other than those referred to in Sections 11(a), (b) and (c)) and such default is not remedied within 30 days after the earlier of (i) a Responsible Officer obtaining actual knowledge of such default and (ii) the Company receiving written notice of such default from any holder of a Note (any such written notice to be identified as a “notice of default” and to refer specifically to this Section 11(d)); or </w:t>
      </w:r>
    </w:p>
    <w:p>
      <w:pPr>
        <w:pStyle w:val="TextBody"/>
        <w:bidi w:val="0"/>
        <w:spacing w:before="240" w:after="0"/>
        <w:jc w:val="left"/>
        <w:rPr>
          <w:rFonts w:ascii="Times New Roman" w:hAnsi="Times New Roman"/>
          <w:sz w:val="20"/>
        </w:rPr>
      </w:pPr>
      <w:r>
        <w:rPr>
          <w:rFonts w:ascii="Times New Roman" w:hAnsi="Times New Roman"/>
          <w:sz w:val="20"/>
        </w:rPr>
        <w:t xml:space="preserve">(e) any representation or warranty made in writing by or on behalf of the Company or by any officer of the Company in this Agreement or any writing furnished in connection with the transactions contemplated hereby proves to have been false or incorrect in any material respect on the date as of which made; or </w:t>
      </w:r>
    </w:p>
    <w:p>
      <w:pPr>
        <w:pStyle w:val="TextBody"/>
        <w:bidi w:val="0"/>
        <w:spacing w:before="240" w:after="0"/>
        <w:jc w:val="left"/>
        <w:rPr>
          <w:rFonts w:ascii="Times New Roman" w:hAnsi="Times New Roman"/>
          <w:sz w:val="20"/>
        </w:rPr>
      </w:pPr>
      <w:r>
        <w:rPr>
          <w:rFonts w:ascii="Times New Roman" w:hAnsi="Times New Roman"/>
          <w:sz w:val="20"/>
        </w:rPr>
        <w:t xml:space="preserve">(f) the Company or any Subsidiary (i) is generally not paying, or admits in writing its inability to pay, its debts as they become due, (ii) 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(iii) makes an assignment for the benefit of its creditors, (iv) consents to the appointment of a custodian, receiver, trustee or other officer with similar powers with respect to it or with respect to any substantial part of its property, (v) is adjudicated as insolvent or to be liquidated, or (vi) takes corporate action for the purpose of any of the foregoing; or </w:t>
      </w:r>
    </w:p>
    <w:p>
      <w:pPr>
        <w:pStyle w:val="TextBody"/>
        <w:bidi w:val="0"/>
        <w:spacing w:before="240" w:after="0"/>
        <w:jc w:val="left"/>
        <w:rPr>
          <w:rFonts w:ascii="Times New Roman" w:hAnsi="Times New Roman"/>
          <w:sz w:val="20"/>
        </w:rPr>
      </w:pPr>
      <w:r>
        <w:rPr>
          <w:rFonts w:ascii="Times New Roman" w:hAnsi="Times New Roman"/>
          <w:sz w:val="20"/>
        </w:rPr>
        <w:t xml:space="preserve">(g) a court or other Governmental Authority of competent jurisdiction enters an order appointing, without consent by the Company or any of its Subsidiaries,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Company or any of its Subsidiaries, or any such petition shall be filed against the Company or any of its Subsidiaries and such petition shall not be dismissed within 60 days; or </w:t>
      </w:r>
    </w:p>
    <w:p>
      <w:pPr>
        <w:pStyle w:val="TextBody"/>
        <w:bidi w:val="0"/>
        <w:spacing w:before="240" w:after="0"/>
        <w:jc w:val="left"/>
        <w:rPr>
          <w:rFonts w:ascii="Times New Roman" w:hAnsi="Times New Roman"/>
          <w:sz w:val="20"/>
        </w:rPr>
      </w:pPr>
      <w:r>
        <w:rPr>
          <w:rFonts w:ascii="Times New Roman" w:hAnsi="Times New Roman"/>
          <w:sz w:val="20"/>
        </w:rPr>
        <w:t xml:space="preserve">(h) any event occurs with respect to the Company or any Subsidiary which under the laws of any jurisdiction is analogous to any of the events described in Section 11(f) or Section 11(g), </w:t>
      </w:r>
      <w:r>
        <w:rPr>
          <w:rFonts w:ascii="Times New Roman" w:hAnsi="Times New Roman"/>
          <w:i/>
          <w:sz w:val="20"/>
        </w:rPr>
        <w:t>provided</w:t>
      </w:r>
      <w:r>
        <w:rPr>
          <w:rFonts w:ascii="Times New Roman" w:hAnsi="Times New Roman"/>
          <w:sz w:val="20"/>
        </w:rPr>
        <w:t xml:space="preserve"> that the applicable grace period, if any, which shall apply shall be the one applicable to the relevant proceeding which most closely corresponds to the proceeding described in Section 11(f) or Section 11(g); or </w:t>
      </w:r>
    </w:p>
    <w:p>
      <w:pPr>
        <w:pStyle w:val="TextBody"/>
        <w:bidi w:val="0"/>
        <w:spacing w:before="240" w:after="0"/>
        <w:jc w:val="left"/>
        <w:rPr>
          <w:rFonts w:ascii="Times New Roman" w:hAnsi="Times New Roman"/>
          <w:sz w:val="20"/>
        </w:rPr>
      </w:pPr>
      <w:r>
        <w:rPr>
          <w:rFonts w:ascii="Times New Roman" w:hAnsi="Times New Roman"/>
          <w:sz w:val="20"/>
        </w:rPr>
        <w:t xml:space="preserve">(i) if (i) any Plan shall fail to satisfy the minimum funding standards of ERISA or the Code for any plan year or part thereof or a waiver of such standards or extension of any amortization period is sought or granted under section 412 of the Code, (ii) a notice of intent to terminate any Plan shall have been or is reasonably expected to be filed with the PBGC or the PBGC shall have instituted proceedings under ERISA section 4042 to terminate or appoint a trustee to administer any Plan or the PBGC shall have notified the Company or any ERISA Affiliate that a Plan may become a subject of any such proceedings, (iii) there is any “amount of unfunded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benefit liabilities” (within the meaning of section 4001(a)(18) of ERISA) under one or more Plans, determined in accordance with Title IV of ERISA, (iv) the aggregate present value of accrued benefit liabilities under all funded Non-U.S. Plans exceeds the aggregate current value of the assets of such Non-U.S. Plans allocable to such liabilities, (v) the Company or any ERISA Affiliate shall have incurred or is reasonably expected to incur any liability pursuant to Title I or IV of ERISA or the penalty or excise tax provisions of the Code relating to employee benefit plans, (vi) the Company or any ERISA Affiliate withdraws from any Multiemployer Plan, (vii) the Company or any Subsidiary establishes or amends any employee welfare benefit plan that provides post-employment welfare benefits in a manner that would increase the liability of the Company or any Subsidiary thereunder, (viii) the Company or any Subsidiary fails to administer or maintain a Non-U.S. Plan in compliance with the requirements of any and all applicable laws, statutes, rules, regulations or court orders or any Non-U.S. Plan is involuntarily terminated or wound up, or (ix) the Company or any Subsidiary becomes subject to the imposition of a financial penalty (which for this purpose shall mean any tax, penalty or other liability, whether by way of indemnity or otherwise) with respect to one or more Non-U.S. Plans; and any such event or events described in clauses (i) through (ix) above, either individually or together with any other such event or events, would reasonably be expected to have a Material Adverse Effect. As used in this Section 11(i), the terms “</w:t>
      </w:r>
      <w:r>
        <w:rPr>
          <w:rFonts w:ascii="Times New Roman" w:hAnsi="Times New Roman"/>
          <w:b/>
          <w:sz w:val="20"/>
        </w:rPr>
        <w:t>employee benefit plan</w:t>
      </w:r>
      <w:r>
        <w:rPr>
          <w:rFonts w:ascii="Times New Roman" w:hAnsi="Times New Roman"/>
          <w:sz w:val="20"/>
        </w:rPr>
        <w:t>” and “</w:t>
      </w:r>
      <w:r>
        <w:rPr>
          <w:rFonts w:ascii="Times New Roman" w:hAnsi="Times New Roman"/>
          <w:b/>
          <w:sz w:val="20"/>
        </w:rPr>
        <w:t>employee welfare benefit plan</w:t>
      </w:r>
      <w:r>
        <w:rPr>
          <w:rFonts w:ascii="Times New Roman" w:hAnsi="Times New Roman"/>
          <w:sz w:val="20"/>
        </w:rPr>
        <w:t xml:space="preserve">” shall have the respective meanings assigned to such terms in section 3 of ERISA.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12. REMEDIES ON DEFAULT, ETC.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12.1.</w:t>
      </w:r>
      <w:r>
        <w:rPr>
          <w:rFonts w:ascii="Times New Roman" w:hAnsi="Times New Roman"/>
          <w:sz w:val="20"/>
        </w:rPr>
        <w:t xml:space="preserve"> </w:t>
      </w:r>
      <w:r>
        <w:rPr>
          <w:rFonts w:ascii="Times New Roman" w:hAnsi="Times New Roman"/>
          <w:b/>
          <w:sz w:val="20"/>
        </w:rPr>
        <w:t>Acceleration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any other Event of Default has occurred and is continuing, the Required Holders may at any time at its or their option, by notice or notices to the Company, declare all the Notes then outstanding to be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(b) If any Event of Default described in Section 11(a) or (b) has occurred and is continuing, any holder or holders of Notes at the time outstanding affected by such Event of Default may at any time, at its or their option, by notice or notices to the Company, declare all the Notes held by it or them to be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Upon any Notes becoming due and payable under this Section 12.1, whether automatically or by declaration, such Notes will forthwith mature and the entire unpaid principal amount of such Notes, plus (x) all accrued and unpaid interest thereon and (y) the Make-Whole Amount determined in respect of such principal amount, shall all be immediately due and payable, in each and every case without presentment, demand, protest or further notice, all of which are hereby waived. The Company acknowledges, and the parties hereto agree, that each holder of a Note has the right to maintain its investment in the Notes free from repayment by the Company (except as herein specifically provided for) and that the provision for payment of a Make-Whole Amount by the Company in the event that the Notes are prepaid or are accelerated as a result of an Event of Default, is intended to provide compensation for the deprivation of such right under such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12.2.</w:t>
      </w:r>
      <w:r>
        <w:rPr>
          <w:rFonts w:ascii="Times New Roman" w:hAnsi="Times New Roman"/>
          <w:sz w:val="20"/>
        </w:rPr>
        <w:t xml:space="preserve"> </w:t>
      </w:r>
      <w:r>
        <w:rPr>
          <w:rFonts w:ascii="Times New Roman" w:hAnsi="Times New Roman"/>
          <w:b/>
          <w:sz w:val="20"/>
        </w:rPr>
        <w:t>Other Remedies</w:t>
      </w:r>
      <w:r>
        <w:rPr>
          <w:rFonts w:ascii="Times New Roman" w:hAnsi="Times New Roman"/>
          <w:sz w:val="20"/>
        </w:rPr>
        <w:t xml:space="preserve">. If any Default or Event of Default has occurred and is continuing, and irrespective of whether any Notes have become or have been declared immediately due and payable under Section 12.1, the holder of any Note at the time outstanding may proceed to protect and enforce the rights of such holder by an action at law, suit in equity or other appropriate proceeding, whether for the specific performance of any agreement contained herein or in any Note, or for an injunction against a violation of any of the terms hereof or thereof, or in aid of the exercise of any power granted hereby or thereby or by law or otherwise.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12.3.</w:t>
      </w:r>
      <w:r>
        <w:rPr>
          <w:rFonts w:ascii="Times New Roman" w:hAnsi="Times New Roman"/>
          <w:sz w:val="20"/>
        </w:rPr>
        <w:t xml:space="preserve"> </w:t>
      </w:r>
      <w:r>
        <w:rPr>
          <w:rFonts w:ascii="Times New Roman" w:hAnsi="Times New Roman"/>
          <w:b/>
          <w:sz w:val="20"/>
        </w:rPr>
        <w:t>Rescission</w:t>
      </w:r>
      <w:r>
        <w:rPr>
          <w:rFonts w:ascii="Times New Roman" w:hAnsi="Times New Roman"/>
          <w:sz w:val="20"/>
        </w:rPr>
        <w:t xml:space="preserve">. At any time after any Notes have been declared due and payable pursuant to Section 12.1(a) or (b), the Required Holders, by written notice to the Company, may rescind and annul any such declaration and its consequences if (a) the Company has paid all principal of and Make-Whole Amount, if any, on any Notes that are due and payable and are unpaid other than by reason of such declaration, (b) neither the Company nor any other Person shall have paid any amounts which have become due solely by reason of such declaration, (c) all Events of Default and Defaults, other than non-payment of amounts that have become due solely by reason of such declaration, have been cured or have been waived pursuant to Section 17, and (d) no judgment or decree has been entered for the payment of any monies due pursuant hereto or to the Notes. No rescission and annulment under this Section 12.3 will extend to or affect any subsequent Event of Default or Default or impair any right consequent thereon.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12.4.</w:t>
      </w:r>
      <w:r>
        <w:rPr>
          <w:rFonts w:ascii="Times New Roman" w:hAnsi="Times New Roman"/>
          <w:sz w:val="20"/>
        </w:rPr>
        <w:t xml:space="preserve"> </w:t>
      </w:r>
      <w:r>
        <w:rPr>
          <w:rFonts w:ascii="Times New Roman" w:hAnsi="Times New Roman"/>
          <w:b/>
          <w:sz w:val="20"/>
        </w:rPr>
        <w:t>No Waivers or Election of Remedies, Expenses, Etc</w:t>
      </w:r>
      <w:r>
        <w:rPr>
          <w:rFonts w:ascii="Times New Roman" w:hAnsi="Times New Roman"/>
          <w:sz w:val="20"/>
        </w:rPr>
        <w:t xml:space="preserve">. No course of dealing and no delay on the part of any holder of any Note in exercising any right, power or remedy shall operate as a waiver thereof or otherwise prejudice such holder’s rights, powers or remedies. No right, power or remedy conferred by this Agreement, or any Note upon any holder thereof shall be exclusive of any other right, power or remedy referred to herein or therein or now or hereafter available at law, in equity, by statute or otherwise. Without limiting the obligations of the Company under Section 15, the Company will pay to the holder of each Note on demand such further amount as shall be sufficient to cover all reasonable and documented out-of-pocket costs and expenses of one firm of outside counsel reasonably acceptable to each holder of the Notes for all of the holders of the Notes collectively incurred in any enforcement or collection under this Section 12.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13. REGISTRATION; EXCHANGE; SUBSTITUTION OF NOTES.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13.1.</w:t>
      </w:r>
      <w:r>
        <w:rPr>
          <w:rFonts w:ascii="Times New Roman" w:hAnsi="Times New Roman"/>
          <w:sz w:val="20"/>
        </w:rPr>
        <w:t xml:space="preserve"> </w:t>
      </w:r>
      <w:r>
        <w:rPr>
          <w:rFonts w:ascii="Times New Roman" w:hAnsi="Times New Roman"/>
          <w:b/>
          <w:sz w:val="20"/>
        </w:rPr>
        <w:t>Registration of Notes</w:t>
      </w:r>
      <w:r>
        <w:rPr>
          <w:rFonts w:ascii="Times New Roman" w:hAnsi="Times New Roman"/>
          <w:sz w:val="20"/>
        </w:rPr>
        <w:t>. The Company will maintain an agency where the Notes may be presented for registration of transfer or for exchange (“</w:t>
      </w:r>
      <w:r>
        <w:rPr>
          <w:rFonts w:ascii="Times New Roman" w:hAnsi="Times New Roman"/>
          <w:b/>
          <w:sz w:val="20"/>
        </w:rPr>
        <w:t>Registrar</w:t>
      </w:r>
      <w:r>
        <w:rPr>
          <w:rFonts w:ascii="Times New Roman" w:hAnsi="Times New Roman"/>
          <w:sz w:val="20"/>
        </w:rPr>
        <w:t>”) and an office or agency which shall make payments of principal, interest and Make-Whole Amount, if any, with respect to the Notes and where Notes may be presented for payment (“</w:t>
      </w:r>
      <w:r>
        <w:rPr>
          <w:rFonts w:ascii="Times New Roman" w:hAnsi="Times New Roman"/>
          <w:b/>
          <w:sz w:val="20"/>
        </w:rPr>
        <w:t>Paying Agent</w:t>
      </w:r>
      <w:r>
        <w:rPr>
          <w:rFonts w:ascii="Times New Roman" w:hAnsi="Times New Roman"/>
          <w:sz w:val="20"/>
        </w:rPr>
        <w:t>”). The Registrar will keep a register of the Notes (the “</w:t>
      </w:r>
      <w:r>
        <w:rPr>
          <w:rFonts w:ascii="Times New Roman" w:hAnsi="Times New Roman"/>
          <w:b/>
          <w:sz w:val="20"/>
        </w:rPr>
        <w:t>Register</w:t>
      </w:r>
      <w:r>
        <w:rPr>
          <w:rFonts w:ascii="Times New Roman" w:hAnsi="Times New Roman"/>
          <w:sz w:val="20"/>
        </w:rPr>
        <w:t xml:space="preserve">”) and of their transfer and exchange. The registered holder of a Note will be treated as the owner and holder thereof for all purposes. The Company may appoint one or more co-registrars and one or more additional paying agents. The term “Registrar” includes any co-registrar and the term “Paying Agent” includes any additional paying agent. The Company may change any Paying Agent or Registrar without prior notice to any Holder; provided that no such removal or replacement will be effective until a successor Paying Agent or Registrar will have been appointed by the Company and will have accepted such appointment. The Company will notify the Purchaser in writing of the name and address of any Registrar or Paying Agent not a party to this Agreement. If the Company fails to appoint or maintain another entity as Registrar or Paying Agent, the Company will act as such. The Company initially appoints Equiniti Trust Company, LLC, to act as the Paying Agent and Registrar for the Notes pursuant to a service agreement by and between the Company and the Paying Agent and Registrar. There will be only one Register.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13.2.</w:t>
      </w:r>
      <w:r>
        <w:rPr>
          <w:rFonts w:ascii="Times New Roman" w:hAnsi="Times New Roman"/>
          <w:sz w:val="20"/>
        </w:rPr>
        <w:t xml:space="preserve"> </w:t>
      </w:r>
      <w:r>
        <w:rPr>
          <w:rFonts w:ascii="Times New Roman" w:hAnsi="Times New Roman"/>
          <w:b/>
          <w:sz w:val="20"/>
        </w:rPr>
        <w:t>Global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Provided that applicable depository eligibility requirements are met, upon the written election of any Holder that is a “Qualified Institutional Buyer”, as defined in Rule 144A under the Securities Act, the Company shall use its commercially reasonable efforts to provide that the Notes shall be issued in the form of one or more Global Notes (each a “</w:t>
      </w:r>
      <w:r>
        <w:rPr>
          <w:rFonts w:ascii="Times New Roman" w:hAnsi="Times New Roman"/>
          <w:b/>
          <w:sz w:val="20"/>
        </w:rPr>
        <w:t>Global Note</w:t>
      </w:r>
      <w:r>
        <w:rPr>
          <w:rFonts w:ascii="Times New Roman" w:hAnsi="Times New Roman"/>
          <w:sz w:val="20"/>
        </w:rPr>
        <w:t>”) registered in the name of The Depository Trust Company or its nominee or another organization registered as a clearing agency under the Exchange Act, and designated by the Company as Depository or any successor thereto or a nominee thereof (the “</w:t>
      </w:r>
      <w:r>
        <w:rPr>
          <w:rFonts w:ascii="Times New Roman" w:hAnsi="Times New Roman"/>
          <w:b/>
          <w:sz w:val="20"/>
        </w:rPr>
        <w:t>Depository</w:t>
      </w:r>
      <w:r>
        <w:rPr>
          <w:rFonts w:ascii="Times New Roman" w:hAnsi="Times New Roman"/>
          <w:sz w:val="20"/>
        </w:rPr>
        <w:t>”) and delivered to such Depository in accordance with the applicable rules and procedures of the Depository (“</w:t>
      </w:r>
      <w:r>
        <w:rPr>
          <w:rFonts w:ascii="Times New Roman" w:hAnsi="Times New Roman"/>
          <w:b/>
          <w:sz w:val="20"/>
        </w:rPr>
        <w:t>Applicable Depository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 other provision herein, no Global Note exchanged in whole or in part for Notes registered, and no transfer of a Global Note in whole or in part may be registered, in the name of any person other than the Depository for such Global Note or a nominee thereof unless (i) such Depository advises the Company in writing that such Depository is no longer willing or able to properly discharge its responsibilities as Depository with respect to such Global Note, and no qualified successor is appointed by the Company within ninety (90) days of receipt of such notice, (ii) such Depository ceases to be a clearing agency registered under the Exchange Act and no successor is appointed by the Company within ninety (90) days after obtaining knowledge of such event, (iii) the Company elects to terminate the book-entry system through the Depository or (iv) an Event of Default (as defined in Section 11) shall have occurred and be continuing. Upon the occurrence of any event specified in clause (i), (ii), (iii) or (iv) of this Section 13.2(b), the Company or its agent shall notify the Depository and instruct the Depository to notify all Holders of beneficial interests in such Global Note of the occurrence of such event and of the availability of physical, certificated Notes to be issued to such Holders of beneficial interests requesting the same. </w:t>
      </w:r>
    </w:p>
    <w:p>
      <w:pPr>
        <w:pStyle w:val="TextBody"/>
        <w:bidi w:val="0"/>
        <w:spacing w:before="240" w:after="0"/>
        <w:jc w:val="left"/>
        <w:rPr>
          <w:rFonts w:ascii="Times New Roman" w:hAnsi="Times New Roman"/>
          <w:sz w:val="20"/>
        </w:rPr>
      </w:pPr>
      <w:r>
        <w:rPr>
          <w:rFonts w:ascii="Times New Roman" w:hAnsi="Times New Roman"/>
          <w:sz w:val="20"/>
        </w:rPr>
        <w:t xml:space="preserve">(c) If any Global Note is to be exchanged for other Notes or canceled in part, or if another Note is to be exchanged in whole or in part for a beneficial interest in any Global Note, then either (i) such Global Note shall be so surrendered for exchange or cancellation as provided in this Section 13.2 or (ii) the principal amount thereof shall be reduced or increased by an amount equal to the portion thereof to be so exchanged or canceled, or equal to the principal amount of such other Note to be so exchanged for a beneficial interest therein, as the case may be, by means of an appropriate adjustment made on the records of the Company or, if applicable, the Company’s Registrar, whereupon the Company or, if applicable, the Registrar, in accordance with the Applicable Depository Procedures, shall instruct the Depository or its authorized representative to make a corresponding adjustment to its records. Upon any such surrender or adjustment of a Global Note by the Depository, accompanied by registration instructions, the Company shall execute and deliver any Notes issuable in exchange for such Global Note (or any portion thereof) in accordance with the instructions of the Depository.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Every Global Note executed and delivered upon registration of, transfer of, or in exchange for or in lieu of, a Global Note or any portion thereof shall be executed and delivered in the form of, and shall be, a Global Note, unless such Note is registered in the name of a person other than the Depository for such Global Note or a nominee thereof. </w:t>
      </w:r>
    </w:p>
    <w:p>
      <w:pPr>
        <w:pStyle w:val="TextBody"/>
        <w:bidi w:val="0"/>
        <w:spacing w:before="240" w:after="0"/>
        <w:jc w:val="left"/>
        <w:rPr>
          <w:rFonts w:ascii="Times New Roman" w:hAnsi="Times New Roman"/>
          <w:sz w:val="20"/>
        </w:rPr>
      </w:pPr>
      <w:r>
        <w:rPr>
          <w:rFonts w:ascii="Times New Roman" w:hAnsi="Times New Roman"/>
          <w:sz w:val="20"/>
        </w:rPr>
        <w:t xml:space="preserve">(e) The Depository or its nominee, as the registered owner of a Global Note, shall be the holder of such Global Note for all purposes under this Note, and Holders of beneficial interests in a Global Note shall hold such interests pursuant to Applicable Depository Procedures. Accordingly, any such owner’s beneficial interest in a Global Note shall be shown only on, and the transfer of such interest shall be effected only through, records maintained by the Depository or its nominee or its Depository participants. If applicable, the Registrar and Paying Agent shall be entitled to deal with the Depository for all purposes relating to a Global Note (including the payment of principal and interest thereon and the giving of instructions or directions by Holders of beneficial interests therein and the giving of notices) as the sole holder of the Note and shall have no obligations to the Holders of beneficial interests therein. The Registrar shall have no liability in respect of any transfers undertaken by the Depository. </w:t>
      </w:r>
    </w:p>
    <w:p>
      <w:pPr>
        <w:pStyle w:val="TextBody"/>
        <w:bidi w:val="0"/>
        <w:spacing w:before="240" w:after="0"/>
        <w:jc w:val="left"/>
        <w:rPr>
          <w:rFonts w:ascii="Times New Roman" w:hAnsi="Times New Roman"/>
          <w:sz w:val="20"/>
        </w:rPr>
      </w:pPr>
      <w:r>
        <w:rPr>
          <w:rFonts w:ascii="Times New Roman" w:hAnsi="Times New Roman"/>
          <w:sz w:val="20"/>
        </w:rPr>
        <w:t xml:space="preserve">(f) The rights of Holders of beneficial interests in a Global Note shall be exercised through the Depository and shall be limited to those established by law and agreements between such Holders and the Depository and/or its participants. </w:t>
      </w:r>
    </w:p>
    <w:p>
      <w:pPr>
        <w:pStyle w:val="TextBody"/>
        <w:bidi w:val="0"/>
        <w:spacing w:before="240" w:after="0"/>
        <w:jc w:val="left"/>
        <w:rPr>
          <w:rFonts w:ascii="Times New Roman" w:hAnsi="Times New Roman"/>
          <w:sz w:val="20"/>
        </w:rPr>
      </w:pPr>
      <w:r>
        <w:rPr>
          <w:rFonts w:ascii="Times New Roman" w:hAnsi="Times New Roman"/>
          <w:sz w:val="20"/>
        </w:rPr>
        <w:t xml:space="preserve">(g) No holder of any beneficial interest in any Global Note held on its behalf by a Depository shall have any rights with respect to such Global Note, and such Depository may be treated by the Company and any agent of the Company as the owner of such Global Note for all purposes whatsoever. Neither the Company nor any agent of the Company will have any responsibility or liability for any aspect of the records relating to or payments made on account of beneficial ownership interests of a Global Note or maintaining, supervising or reviewing any records relating to such beneficial ownership interests. Notwithstanding the foregoing, nothing herein shall prevent the Company or any agent of the Company from giving effect to any written certification, proxy or other authorization furnished by a Depository or impair, as between a Depository and such holders of beneficial interests, the operation of customary practices governing the exercise of the rights of the Depository (or its nominee) as holder of any Note.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13.3.</w:t>
      </w:r>
      <w:r>
        <w:rPr>
          <w:rFonts w:ascii="Times New Roman" w:hAnsi="Times New Roman"/>
          <w:sz w:val="20"/>
        </w:rPr>
        <w:t xml:space="preserve"> </w:t>
      </w:r>
      <w:r>
        <w:rPr>
          <w:rFonts w:ascii="Times New Roman" w:hAnsi="Times New Roman"/>
          <w:b/>
          <w:sz w:val="20"/>
        </w:rPr>
        <w:t>Transfer and Exchange of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Subject to clause (b) below, any registered holder of a Note or the Purchaser (an “</w:t>
      </w:r>
      <w:r>
        <w:rPr>
          <w:rFonts w:ascii="Times New Roman" w:hAnsi="Times New Roman"/>
          <w:b/>
          <w:sz w:val="20"/>
        </w:rPr>
        <w:t>Assigning Party</w:t>
      </w:r>
      <w:r>
        <w:rPr>
          <w:rFonts w:ascii="Times New Roman" w:hAnsi="Times New Roman"/>
          <w:sz w:val="20"/>
        </w:rPr>
        <w:t>”) may assign to one or more assignees (an “</w:t>
      </w:r>
      <w:r>
        <w:rPr>
          <w:rFonts w:ascii="Times New Roman" w:hAnsi="Times New Roman"/>
          <w:b/>
          <w:sz w:val="20"/>
        </w:rPr>
        <w:t>Assignee</w:t>
      </w:r>
      <w:r>
        <w:rPr>
          <w:rFonts w:ascii="Times New Roman" w:hAnsi="Times New Roman"/>
          <w:sz w:val="20"/>
        </w:rPr>
        <w:t xml:space="preserve">”) all or a portion of its rights and obligations under its Note and/or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Any such assignment or transfer shall be subject to the following conditions: (i) the Assigning Party shall deliver to the Company a written instrument of transfer duly executed by the Assigning Party or such Assigning Party’s attorney duly authorized in writing and accompanied by the relevant name, address and other information for notices of each transferee of such Note or part thereof; provided, that in the event the Assigning Party shall assign or transfer to a Private Placement Agent which holds the Notes only in connection with its role as an intermediary in the prompt and expeditious sale in accordance with customary financial market conditions to another purchasing Institutional Investor, the Assigning Party may instruct such Private Placement Agent to direct the Assignee to provide the Company, in writing, the relevant name, address and other information for notices of such Assignee; (ii) if no Default or Event of Default has occurred and is continuing, the Company has consented to such assignment (which consent shall not be unreasonably withheld); (iii) the Assignee shall have made the representations set forth in Section 6 to the Company; and (iv) an exemption from registration of the Notes under the Securities Act is available.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Upon satisfaction of the conditions set forth in clause (b) above and surrender of any Note to the Company at the address and to the attention of the designated officer (all as specified in Section 18(iii)), for registration of transfer or exchange (and in the case of a surrender for registration of transfer accompanied by a written instrument of transfer duly executed by the registered holder of such Note or such holder’s attorney duly authorized in writing and accompanied by the relevant name, address and other information for notices of each transferee of such Note or part thereof), within ten (10) Business Days thereafter, the Company shall execute and deliver, at the Company’s expense (except as provided below), one or more new Notes (as requested by the holder thereof) in exchange therefor, in an aggregate principal amount equal to the unpaid principal amount of the surrendered Note. Each such new Note shall be payable to such Person as such holder may request and shall be substantially in the form of Schedule 1. Each such new Note shall be dated and bear interest from the date to which interest shall have been paid on the surrendered Note or dated the date of the surrendered Note if no interest shall have been paid thereon. The Company may require payment of a sum sufficient to cover any stamp tax or governmental charge imposed in respect of any such transfer of Notes. Notes shall not be transferred in denominations of less than $100,000, </w:t>
      </w:r>
      <w:r>
        <w:rPr>
          <w:rFonts w:ascii="Times New Roman" w:hAnsi="Times New Roman"/>
          <w:i/>
          <w:sz w:val="20"/>
        </w:rPr>
        <w:t>provided</w:t>
      </w:r>
      <w:r>
        <w:rPr>
          <w:rFonts w:ascii="Times New Roman" w:hAnsi="Times New Roman"/>
          <w:sz w:val="20"/>
        </w:rPr>
        <w:t xml:space="preserve"> that if necessary to enable the registration of transfer by a holder of its entire holding of Notes, one Note may be in a denomination of less than $100,000. Any transferee, by its acceptance of a Note registered in its name (or the name of its nominee), shall be deemed to have made the representation set forth in Section 6.2.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13.4.</w:t>
      </w:r>
      <w:r>
        <w:rPr>
          <w:rFonts w:ascii="Times New Roman" w:hAnsi="Times New Roman"/>
          <w:sz w:val="20"/>
        </w:rPr>
        <w:t xml:space="preserve"> </w:t>
      </w:r>
      <w:r>
        <w:rPr>
          <w:rFonts w:ascii="Times New Roman" w:hAnsi="Times New Roman"/>
          <w:b/>
          <w:sz w:val="20"/>
        </w:rPr>
        <w:t>Replacement of Notes</w:t>
      </w:r>
      <w:r>
        <w:rPr>
          <w:rFonts w:ascii="Times New Roman" w:hAnsi="Times New Roman"/>
          <w:sz w:val="20"/>
        </w:rPr>
        <w:t xml:space="preserve">. Upon receipt by the Registrar and the Company at the address and to the attention of the designated officer (all as specified in Section 18(iii)) of evidence reasonably satisfactory to it of the ownership of and the loss, theft, destruction or mutilation of any Note (which evidence shall be, in the case of an Institutional Investor, notice from such Institutional Investor of such ownership and such loss, theft, destruction or mutilation in the form of a lost note affidavit), and </w:t>
      </w:r>
    </w:p>
    <w:p>
      <w:pPr>
        <w:pStyle w:val="TextBody"/>
        <w:bidi w:val="0"/>
        <w:spacing w:before="240" w:after="0"/>
        <w:jc w:val="left"/>
        <w:rPr>
          <w:rFonts w:ascii="Times New Roman" w:hAnsi="Times New Roman"/>
          <w:sz w:val="20"/>
        </w:rPr>
      </w:pPr>
      <w:r>
        <w:rPr>
          <w:rFonts w:ascii="Times New Roman" w:hAnsi="Times New Roman"/>
          <w:sz w:val="20"/>
        </w:rPr>
        <w:t xml:space="preserve">(a) in the case of loss, theft or destruction, of indemnity reasonably satisfactory to it and the Registrar (provided that if the holder of such Note is, or is a nominee for, an original Purchaser or another holder of a Note with a minimum net worth of at least $50,000,000 or a Qualified Institutional Buyer, such Person’s own unsecured agreement of indemnity shall be deemed to be satisfactory), or </w:t>
      </w:r>
    </w:p>
    <w:p>
      <w:pPr>
        <w:pStyle w:val="TextBody"/>
        <w:bidi w:val="0"/>
        <w:spacing w:before="240" w:after="0"/>
        <w:jc w:val="left"/>
        <w:rPr>
          <w:rFonts w:ascii="Times New Roman" w:hAnsi="Times New Roman"/>
          <w:sz w:val="20"/>
        </w:rPr>
      </w:pPr>
      <w:r>
        <w:rPr>
          <w:rFonts w:ascii="Times New Roman" w:hAnsi="Times New Roman"/>
          <w:sz w:val="20"/>
        </w:rPr>
        <w:t xml:space="preserve">(b) in the case of mutilation, upon surrender and cancellation thereof, </w:t>
      </w:r>
    </w:p>
    <w:p>
      <w:pPr>
        <w:pStyle w:val="TextBody"/>
        <w:bidi w:val="0"/>
        <w:spacing w:before="240" w:after="0"/>
        <w:jc w:val="left"/>
        <w:rPr>
          <w:rFonts w:ascii="Times New Roman" w:hAnsi="Times New Roman"/>
          <w:sz w:val="20"/>
        </w:rPr>
      </w:pPr>
      <w:r>
        <w:rPr>
          <w:rFonts w:ascii="Times New Roman" w:hAnsi="Times New Roman"/>
          <w:sz w:val="20"/>
        </w:rPr>
        <w:t xml:space="preserve">within 10 Business Days thereafter, the Company at its own expense shall execute and deliver, in lieu thereof, a new Note, dated and bearing interest from the date to which interest shall have been paid on such lost, stolen, destroyed or mutilated Note or dated the date of such lost, stolen, destroyed or mutilated Note if no interest shall have been paid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14. PAYMENTS ON NOTES.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14.1.</w:t>
      </w:r>
      <w:r>
        <w:rPr>
          <w:rFonts w:ascii="Times New Roman" w:hAnsi="Times New Roman"/>
          <w:sz w:val="20"/>
        </w:rPr>
        <w:t xml:space="preserve"> </w:t>
      </w:r>
      <w:r>
        <w:rPr>
          <w:rFonts w:ascii="Times New Roman" w:hAnsi="Times New Roman"/>
          <w:b/>
          <w:sz w:val="20"/>
        </w:rPr>
        <w:t>Place of Payment</w:t>
      </w:r>
      <w:r>
        <w:rPr>
          <w:rFonts w:ascii="Times New Roman" w:hAnsi="Times New Roman"/>
          <w:sz w:val="20"/>
        </w:rPr>
        <w:t xml:space="preserve">. Subject to Section 14.2, payments of principal, Make-Whole Amount, if any, Prepayment Settlement Amount, if any, and interest becoming due and payable on the Notes shall be made in New York, New York at the principal office of Equiniti Trust Company, LLC in such jurisdiction. The Company (or its agent or sub-agent) may at any time, by notice to each holder of a Note, change the place of payment of the Notes so long as such place of payment shall be either the principal office of the Company, the principal office of the Company’s agent or sub-agent in such jurisdiction or the principal office of a bank or trust company in such jurisdiction.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14.2.</w:t>
      </w:r>
      <w:r>
        <w:rPr>
          <w:rFonts w:ascii="Times New Roman" w:hAnsi="Times New Roman"/>
          <w:sz w:val="20"/>
        </w:rPr>
        <w:t xml:space="preserve"> </w:t>
      </w:r>
      <w:r>
        <w:rPr>
          <w:rFonts w:ascii="Times New Roman" w:hAnsi="Times New Roman"/>
          <w:b/>
          <w:sz w:val="20"/>
        </w:rPr>
        <w:t>Payment by Wire Transfer</w:t>
      </w:r>
      <w:r>
        <w:rPr>
          <w:rFonts w:ascii="Times New Roman" w:hAnsi="Times New Roman"/>
          <w:sz w:val="20"/>
        </w:rPr>
        <w:t xml:space="preserve">. So long as the Purchaser or its nominee shall be the holder of any Note, and notwithstanding anything contained in Section 14.1 or in such Note to the contrary, the Company will pay all sums becoming due on such Note for principal, Make-Whole Amount, Prepayment Settlement Amount, interest and all other amounts becoming due hereunder by the method and at the address specified for such purpose below the Purchaser’s name in the Purchaser Schedule, or by such other method or at such other address as the Purchaser shall have from time to time specified to the Company in writing for such purpose, without the presentation or surrender of such Note or the making of any notation thereon, except that upon written request of the Company made concurrently with or reasonably promptly after payment or prepayment in full of any Note, the Purchaser shall surrender such Note for cancellation, reasonably promptly after any such request, to the Company at its principal executive office or at the place of payment most recently designated by the Company pursuant to Section 14.1. Prior to any sale or other disposition of any Note held by the Purchaser or its nominee, the Purchaser will, at its election, either endorse thereon the amount of principal paid thereon and the last date to which interest has been paid thereon or surrender such Note to the Company in exchange for a new Note or Notes pursuant to Section 13.3. The Company will afford the benefits of this Section 14.2 to any Institutional Investor that is the direct or indirect transferee of any Note purchased by the Purchaser under this Agreement and that has made the same agreement relating to such Note as the Purchaser has made in this Section 14.2.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14.3.</w:t>
      </w:r>
      <w:r>
        <w:rPr>
          <w:rFonts w:ascii="Times New Roman" w:hAnsi="Times New Roman"/>
          <w:sz w:val="20"/>
        </w:rPr>
        <w:t xml:space="preserve"> </w:t>
      </w:r>
      <w:r>
        <w:rPr>
          <w:rFonts w:ascii="Times New Roman" w:hAnsi="Times New Roman"/>
          <w:b/>
          <w:sz w:val="20"/>
        </w:rPr>
        <w:t>Tax Forms</w:t>
      </w:r>
      <w:r>
        <w:rPr>
          <w:rFonts w:ascii="Times New Roman" w:hAnsi="Times New Roman"/>
          <w:i/>
          <w:sz w:val="20"/>
        </w:rPr>
        <w:t xml:space="preserve">. </w:t>
      </w:r>
      <w:r>
        <w:rPr>
          <w:rFonts w:ascii="Times New Roman" w:hAnsi="Times New Roman"/>
          <w:sz w:val="20"/>
        </w:rPr>
        <w:t xml:space="preserve">Any holder that is entitled to an exemption from or reduction of withholding Tax with respect to payments made under any Note shall deliver to the Company, at the time or times reasonably requested by the Company, such properly completed and executed documentation reasonably requested by the Company as will permit such payments to be made without withholding or at a reduced rate of withholding (including FATCA). In addition, any holder, if reasonably requested by the Company, shall deliver such other documentation prescribed by applicable law or reasonably requested by the Company as will enable the Company to determine whether or not such holder is subject to backup withholding or information reporting requirements. Without limiting the generality of the foregoing, any holder that is a United States person shall deliver to the Company on or before the date on which such holder obtains a Note (and from time to time thereafter upon the reasonable request of the Company), executed copies of IRS Form W-9 certifying that such holder is exempt from U.S. federal backup withholding. Any holder that is a not United States person shall deliver to the Company on or before the date on which such holder obtains a Note (and from time to time thereafter upon the reasonable request of the Company), executed copies of the applicable IRS Form W-8 and any documentation prescribed by applicable law as a basis for claiming exemption (if any) from or a reduction (if any) in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federal withholding Tax, duly completed, together with such supplementary documentation as may be prescribed by applicable law to permit the Company to determine the withholding or deduction required to be made. If a payment made to a holder under any Note would be subject to U.S. federal withholding Tax imposed by FATCA if such holder were to fail to comply with the applicable reporting requirements of FATCA (including those contained in Section 1471(b) or 1472(b) of the Code, as applicable), such holder shall deliver to the Company at the time or times prescribed by law and at such time or times reasonably requested by the Company such documentation prescribed by applicable law (including as prescribed by Section 1471(b)(3)(C)(i) of the Code) and such additional documentation reasonably requested by the Company as may be necessary for the Company to comply with its obligations under FATCA and to determine that such holder has complied with such holder’s obligations under FATCA or to determine the amount, if any, to deduct and withhold from such payment.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15. EXPENSES, ETC.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15.1.</w:t>
      </w:r>
      <w:r>
        <w:rPr>
          <w:rFonts w:ascii="Times New Roman" w:hAnsi="Times New Roman"/>
          <w:sz w:val="20"/>
        </w:rPr>
        <w:t xml:space="preserve"> </w:t>
      </w:r>
      <w:r>
        <w:rPr>
          <w:rFonts w:ascii="Times New Roman" w:hAnsi="Times New Roman"/>
          <w:b/>
          <w:sz w:val="20"/>
        </w:rPr>
        <w:t>Transaction Expenses</w:t>
      </w:r>
      <w:r>
        <w:rPr>
          <w:rFonts w:ascii="Times New Roman" w:hAnsi="Times New Roman"/>
          <w:i/>
          <w:sz w:val="20"/>
        </w:rPr>
        <w:t>.</w:t>
      </w:r>
      <w:r>
        <w:rPr>
          <w:rFonts w:ascii="Times New Roman" w:hAnsi="Times New Roman"/>
          <w:sz w:val="20"/>
        </w:rPr>
        <w:t xml:space="preserve"> Whether or not the transactions contemplated hereby are consummated, the Company will pay all reasonable and documented out-of-pocket costs and expenses (but limited, in the case of attorneys’ fees and expenses, to the reasonable and documented out-of-pocket attorneys’ fees of one special counsel and, if reasonably required by the Required Holders, local counsel (reasonably acceptable to the Purchaser) incurred by the Purchaser and each other holder of a Note, if any, in connection with such transactions and in connection with any amendments, waivers or consents under or in respect of this Agreement, or the Notes (whether or not such amendment, waiver or consent becomes effective)), including: (a) the costs and expenses incurred in enforcing or defending (or determining whether or how to enforce or defend) any rights under this Agreement, or the Notes or in responding to any subpoena or other legal process or informal investigative demand issued in connection with this Agreement, or the Notes, or by reason of being a holder of any Note, (b) the costs and expenses, including financial advisors’ fees, incurred in connection with the insolvency or bankruptcy of the Company or any Subsidiary or in connection with any work-out or restructuring of the transactions contemplated hereby and by the Notes and (c) the costs and expenses incurred in connection with the initial filing of this Agreement and all related documents and financial information with the SVO; </w:t>
      </w:r>
      <w:r>
        <w:rPr>
          <w:rFonts w:ascii="Times New Roman" w:hAnsi="Times New Roman"/>
          <w:i/>
          <w:sz w:val="20"/>
        </w:rPr>
        <w:t>provided,</w:t>
      </w:r>
      <w:r>
        <w:rPr>
          <w:rFonts w:ascii="Times New Roman" w:hAnsi="Times New Roman"/>
          <w:sz w:val="20"/>
        </w:rPr>
        <w:t xml:space="preserve"> that such costs and expenses under this clause (c) shall not exceed $3,500;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reasonable and documented out-of-pocket costs and expenses incurred by the Placement Agent shall not exceed $2,000. If required by the NAIC, the Company shall obtain and maintain at its own cost and expense a Legal Entity Identifier (LEI).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pay, and will save the Purchaser and each other holder of a Note harmless from, (i) all claims in respect of any fees, costs or expenses, if any, of brokers and finders (other than those, if any, retained by the Purchaser or other holder in connection with its purchase of the Notes), (ii) any and all wire transfer fees that any bank or other financial institution deducts from any payment under such Note to such holder or otherwise charges to a holder of a Note with respect to a payment under such Note and (iii) any judgment, liability, claim, order, decree, fine, penalty, cost, fee, expense (including reasonable and documented out-of-pocket attorneys’ fees and expenses) or obligation resulting from the consummation of the transactions contemplated hereby, including the use of the proceeds of the Notes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15.2.</w:t>
      </w:r>
      <w:r>
        <w:rPr>
          <w:rFonts w:ascii="Times New Roman" w:hAnsi="Times New Roman"/>
          <w:sz w:val="20"/>
        </w:rPr>
        <w:t xml:space="preserve"> </w:t>
      </w:r>
      <w:r>
        <w:rPr>
          <w:rFonts w:ascii="Times New Roman" w:hAnsi="Times New Roman"/>
          <w:b/>
          <w:sz w:val="20"/>
        </w:rPr>
        <w:t>Certain Taxes</w:t>
      </w:r>
      <w:r>
        <w:rPr>
          <w:rFonts w:ascii="Times New Roman" w:hAnsi="Times New Roman"/>
          <w:i/>
          <w:sz w:val="20"/>
        </w:rPr>
        <w:t>.</w:t>
      </w:r>
      <w:r>
        <w:rPr>
          <w:rFonts w:ascii="Times New Roman" w:hAnsi="Times New Roman"/>
          <w:sz w:val="20"/>
        </w:rPr>
        <w:t xml:space="preserve"> The Company agrees to pay all stamp, documentary or similar taxes or fees which may be payable in respect of the execution and delivery or the enforcement of this Agreement or the execution and delivery (but not the transfer) or the enforcement of any of the Notes in the United States or any other jurisdiction where the Company has assets or of any amendment of, or waiver or consent under or with respect to, this Agreement or of any of the Notes, and to pay any value added tax due and payable in respect of reimbursement of costs and expenses by the Company pursuant to this Section 15, and will save each holder of a Note to the extent permitted by applicable law harmless against any loss or liability resulting from nonpayment or delay in payment of any such tax or fee required to be paid by the Company 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15.3.</w:t>
      </w:r>
      <w:r>
        <w:rPr>
          <w:rFonts w:ascii="Times New Roman" w:hAnsi="Times New Roman"/>
          <w:sz w:val="20"/>
        </w:rPr>
        <w:t xml:space="preserve"> </w:t>
      </w:r>
      <w:r>
        <w:rPr>
          <w:rFonts w:ascii="Times New Roman" w:hAnsi="Times New Roman"/>
          <w:b/>
          <w:sz w:val="20"/>
        </w:rPr>
        <w:t>Survival</w:t>
      </w:r>
      <w:r>
        <w:rPr>
          <w:rFonts w:ascii="Times New Roman" w:hAnsi="Times New Roman"/>
          <w:i/>
          <w:sz w:val="20"/>
        </w:rPr>
        <w:t>.</w:t>
      </w:r>
      <w:r>
        <w:rPr>
          <w:rFonts w:ascii="Times New Roman" w:hAnsi="Times New Roman"/>
          <w:sz w:val="20"/>
        </w:rPr>
        <w:t xml:space="preserve"> The obligations of the Company under this Section 15 will survive the payment or transfer of any Note, the enforcement, amendment or waiver of any provision of this Agreement, or the Notes, and the termination of this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16. SURVIVAL OF REPRESENTATIONS AND WARRANTIES; ENTIRE AGREEMENT. </w:t>
      </w:r>
    </w:p>
    <w:p>
      <w:pPr>
        <w:pStyle w:val="TextBody"/>
        <w:bidi w:val="0"/>
        <w:spacing w:before="240" w:after="0"/>
        <w:jc w:val="left"/>
        <w:rPr>
          <w:rFonts w:ascii="Times New Roman" w:hAnsi="Times New Roman"/>
          <w:sz w:val="20"/>
        </w:rPr>
      </w:pPr>
      <w:r>
        <w:rPr>
          <w:rFonts w:ascii="Times New Roman" w:hAnsi="Times New Roman"/>
          <w:sz w:val="20"/>
        </w:rPr>
        <w:t xml:space="preserve">All representations and warranties contained herein shall survive the execution and delivery of this Agreement and the Notes, the purchase or transfer by the Purchaser of any Note or portion thereof or interest therein and the payment of any Note, and may be relied upon by any subsequent holder of a Note, regardless of any investigation made at any time by or on behalf of the Purchaser or any other holder of a Note. All statements contained in any certificate or other instrument delivered by or on behalf of the Company pursuant to this Agreement shall be deemed representations and warranties of the Company under this Agreement. Subject to the preceding sentence, this Agreement, the Notes and any Subsidiary Guaranties embody the entire agreement and understanding between the Purchaser and the Company and supersede all prior agreements and understandings relating to the subject matter hereof.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17. AMENDMENT AND WAIVER.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17.1.</w:t>
      </w:r>
      <w:r>
        <w:rPr>
          <w:rFonts w:ascii="Times New Roman" w:hAnsi="Times New Roman"/>
          <w:sz w:val="20"/>
        </w:rPr>
        <w:t xml:space="preserve"> </w:t>
      </w:r>
      <w:r>
        <w:rPr>
          <w:rFonts w:ascii="Times New Roman" w:hAnsi="Times New Roman"/>
          <w:b/>
          <w:sz w:val="20"/>
        </w:rPr>
        <w:t>Requirements</w:t>
      </w:r>
      <w:r>
        <w:rPr>
          <w:rFonts w:ascii="Times New Roman" w:hAnsi="Times New Roman"/>
          <w:i/>
          <w:sz w:val="20"/>
        </w:rPr>
        <w:t>.</w:t>
      </w:r>
      <w:r>
        <w:rPr>
          <w:rFonts w:ascii="Times New Roman" w:hAnsi="Times New Roman"/>
          <w:sz w:val="20"/>
        </w:rPr>
        <w:t xml:space="preserve"> This Agreement and the Notes may be amended, and the observance of any term hereof or of the Notes may be waived (either retroactively or prospectively), only with the written consent of the Company and the Required Holders, except that: </w:t>
      </w:r>
    </w:p>
    <w:p>
      <w:pPr>
        <w:pStyle w:val="TextBody"/>
        <w:bidi w:val="0"/>
        <w:spacing w:before="120" w:after="0"/>
        <w:jc w:val="left"/>
        <w:rPr>
          <w:rFonts w:ascii="Times New Roman" w:hAnsi="Times New Roman"/>
          <w:sz w:val="20"/>
        </w:rPr>
      </w:pPr>
      <w:r>
        <w:rPr>
          <w:rFonts w:ascii="Times New Roman" w:hAnsi="Times New Roman"/>
          <w:sz w:val="20"/>
        </w:rPr>
        <w:t xml:space="preserve">(a) no amendment or waiver of any of Sections 1, 2, 3, 4, 5, 6 or 21 hereof, or any defined term (as it is used therein), will be effective as to the Purchaser unless consented to by the Purchaser in writing; </w:t>
      </w:r>
    </w:p>
    <w:p>
      <w:pPr>
        <w:pStyle w:val="TextBody"/>
        <w:bidi w:val="0"/>
        <w:spacing w:before="240" w:after="0"/>
        <w:jc w:val="left"/>
        <w:rPr>
          <w:rFonts w:ascii="Times New Roman" w:hAnsi="Times New Roman"/>
          <w:sz w:val="20"/>
        </w:rPr>
      </w:pPr>
      <w:r>
        <w:rPr>
          <w:rFonts w:ascii="Times New Roman" w:hAnsi="Times New Roman"/>
          <w:sz w:val="20"/>
        </w:rPr>
        <w:t xml:space="preserve">(b) no amendment or waiver may, without the written consent of the Purchaser and the holder of each Note at the time outstanding, (i) subject to Section 12 relating to acceleration or rescission, change the amount or time of any prepayment or payment of principal of, or reduce the rate or change the time of payment or method of computation of (x) interest on the Notes or (y) the Make-Whole Amount or Prepayment Settlement Amount, (ii) change the percentage of the principal amount of the Notes the holders of which are required to consent to any amendment or waiver, or (iii) amend any of Sections 8 (except as set forth in the second sentence of Section 8.2 and Section 17.1(c)), 11(a), 11(b), 12, 17 or 20;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Section 8.5 may be amended or waived to permit offers to purchase made by the Company or an Affiliate pro rata to the holders of all Notes at the time outstanding upon the same terms and conditions only with the written consent of the Company and the Super-Majority 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17.2.</w:t>
      </w:r>
      <w:r>
        <w:rPr>
          <w:rFonts w:ascii="Times New Roman" w:hAnsi="Times New Roman"/>
          <w:sz w:val="20"/>
        </w:rPr>
        <w:t xml:space="preserve"> </w:t>
      </w:r>
      <w:r>
        <w:rPr>
          <w:rFonts w:ascii="Times New Roman" w:hAnsi="Times New Roman"/>
          <w:b/>
          <w:sz w:val="20"/>
        </w:rPr>
        <w:t>Solicitation of Holders of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Solicitation. </w:t>
      </w:r>
      <w:r>
        <w:rPr>
          <w:rFonts w:ascii="Times New Roman" w:hAnsi="Times New Roman"/>
          <w:sz w:val="20"/>
        </w:rPr>
        <w:t xml:space="preserve">The Company will provide each holder of a Note with sufficient information, sufficiently far in advance of the date a decision is required, to enable such holder to make an informed and considered decision with respect to any proposed amendment, waiver or consent in respect of any of the provisions hereof or of the Notes. The Company will deliver executed or true and correct copies of each amendment, waiver or consent effected pursuant to this Section 17 to each holder of a Note promptly following the date on which it is executed and delivered by, or receives the consent or approval of, the requisite holders of Notes.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Payment. </w:t>
      </w:r>
      <w:r>
        <w:rPr>
          <w:rFonts w:ascii="Times New Roman" w:hAnsi="Times New Roman"/>
          <w:sz w:val="20"/>
        </w:rPr>
        <w:t xml:space="preserve">The Company will not directly or indirectly pay or cause to be paid any remuneration, whether by way of supplemental or additional interest, fee or otherwise, or grant any security or provide other credit support, to any holder of a Note as consideration for or as an inducement to the entering into by such holder of any waiver or amendment of any of the terms and provisions hereof or any Note unless such remuneration is concurrently paid, or security is concurrently granted or other credit support concurrently provided, on the same terms, ratably to each holder of a Note even if such holder did not consent to such waiver or amendment.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Consent in Contemplation of Transfer</w:t>
      </w:r>
      <w:r>
        <w:rPr>
          <w:rFonts w:ascii="Times New Roman" w:hAnsi="Times New Roman"/>
          <w:sz w:val="20"/>
        </w:rPr>
        <w:t xml:space="preserve">. Any consent given pursuant to this Section 17 by a holder of a Note that has transferred or has agreed to transfer its Note to (i) the Company, (ii) any Subsidiary or any other Affiliate or (iii) any other Person in connection with, or in anticipation of, such other Person acquiring, making a tender offer for or merging with the Company and/or any of its Affiliates (either pursuant to a waiver under Section 17.1(c) or subsequent to Section 8.5 having been amended pursuant to Section 17.1(c)), in each case in connection with such consent, shall be void and of no force or effect except solely as to such holder, and any amendments effected or waivers granted or to be effected or granted that would not have been or would not be so effected or granted but for such consent (and the consents of all other holders of Notes that were acquired under the same or similar conditions) shall be void and of no force or effect except solely as to such holder.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17.3.</w:t>
      </w:r>
      <w:r>
        <w:rPr>
          <w:rFonts w:ascii="Times New Roman" w:hAnsi="Times New Roman"/>
          <w:sz w:val="20"/>
        </w:rPr>
        <w:t xml:space="preserve"> </w:t>
      </w:r>
      <w:r>
        <w:rPr>
          <w:rFonts w:ascii="Times New Roman" w:hAnsi="Times New Roman"/>
          <w:b/>
          <w:sz w:val="20"/>
        </w:rPr>
        <w:t>Binding Effect, Etc</w:t>
      </w:r>
      <w:r>
        <w:rPr>
          <w:rFonts w:ascii="Times New Roman" w:hAnsi="Times New Roman"/>
          <w:i/>
          <w:sz w:val="20"/>
        </w:rPr>
        <w:t>.</w:t>
      </w:r>
      <w:r>
        <w:rPr>
          <w:rFonts w:ascii="Times New Roman" w:hAnsi="Times New Roman"/>
          <w:sz w:val="20"/>
        </w:rPr>
        <w:t xml:space="preserve"> Any amendment or waiver consented to as provided in this Section 17 applies equally to all holders of Notes and is binding upon them and upon each future holder of any Note and upon the Company without regard to whether such Note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any holder of a Note and no delay in exercising any rights hereunder or under any Note shall operate as a waiver of any rights of any holder of such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17.4.</w:t>
      </w:r>
      <w:r>
        <w:rPr>
          <w:rFonts w:ascii="Times New Roman" w:hAnsi="Times New Roman"/>
          <w:sz w:val="20"/>
        </w:rPr>
        <w:t xml:space="preserve"> </w:t>
      </w:r>
      <w:r>
        <w:rPr>
          <w:rFonts w:ascii="Times New Roman" w:hAnsi="Times New Roman"/>
          <w:b/>
          <w:sz w:val="20"/>
        </w:rPr>
        <w:t>Notes Held by Company, Etc</w:t>
      </w:r>
      <w:r>
        <w:rPr>
          <w:rFonts w:ascii="Times New Roman" w:hAnsi="Times New Roman"/>
          <w:i/>
          <w:sz w:val="20"/>
        </w:rPr>
        <w:t xml:space="preserve">. </w:t>
      </w:r>
      <w:r>
        <w:rPr>
          <w:rFonts w:ascii="Times New Roman" w:hAnsi="Times New Roman"/>
          <w:sz w:val="20"/>
        </w:rPr>
        <w:t xml:space="preserve">Solely for the purpose of determining whether the holders of the requisite percentage of the aggregate principal amount of Notes then outstanding approved or consented to any amendment, waiver or consent to be given under this Agreement, or the Notes, or have directed the taking of any action provided herein or the Notes to be taken upon the direction of the holders of a specified percentage of the aggregate principal amount of Notes then outstanding, Notes directly or indirectly owned by the Company or any of its Affiliates shall be deemed not to be outstanding.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18. NOTICES. </w:t>
      </w:r>
    </w:p>
    <w:p>
      <w:pPr>
        <w:pStyle w:val="TextBody"/>
        <w:bidi w:val="0"/>
        <w:spacing w:before="240" w:after="0"/>
        <w:jc w:val="left"/>
        <w:rPr>
          <w:rFonts w:ascii="Times New Roman" w:hAnsi="Times New Roman"/>
          <w:sz w:val="20"/>
        </w:rPr>
      </w:pPr>
      <w:r>
        <w:rPr>
          <w:rFonts w:ascii="Times New Roman" w:hAnsi="Times New Roman"/>
          <w:sz w:val="20"/>
        </w:rPr>
        <w:t xml:space="preserve">Except to the extent otherwise provided in Section 7.3, all notices and communications provided for hereunder shall be in writing and sent (a) by telecopy if the sender on the same day sends a confirming copy of such notice by an internationally recognized overnight delivery service (charges prepaid), or (b) by registered or certified mail with return receipt requested (postage prepaid) or priority express mail with on-line tracking services available, (c) by an internationally recognized overnight delivery service (charges prepaid) or (d) by e-mail, </w:t>
      </w:r>
      <w:r>
        <w:rPr>
          <w:rFonts w:ascii="Times New Roman" w:hAnsi="Times New Roman"/>
          <w:i/>
          <w:sz w:val="20"/>
        </w:rPr>
        <w:t>provided</w:t>
      </w:r>
      <w:r>
        <w:rPr>
          <w:rFonts w:ascii="Times New Roman" w:hAnsi="Times New Roman"/>
          <w:sz w:val="20"/>
        </w:rPr>
        <w:t xml:space="preserve">, that, in the case of this clause (d), upon written request of any holder to receive paper copies of such notices or communications, the Company will promptly deliver such paper copies to such holder. Any such notice must be sent: </w:t>
      </w:r>
    </w:p>
    <w:p>
      <w:pPr>
        <w:pStyle w:val="TextBody"/>
        <w:bidi w:val="0"/>
        <w:spacing w:before="120" w:after="0"/>
        <w:jc w:val="left"/>
        <w:rPr>
          <w:rFonts w:ascii="Times New Roman" w:hAnsi="Times New Roman"/>
          <w:sz w:val="20"/>
        </w:rPr>
      </w:pPr>
      <w:r>
        <w:rPr>
          <w:rFonts w:ascii="Times New Roman" w:hAnsi="Times New Roman"/>
          <w:sz w:val="20"/>
        </w:rPr>
        <w:t xml:space="preserve">(i) if to the Purchaser or its nominee, to the Purchaser or nominee at the address specified for such communications in the Purchaser Schedule, or at such other address as the Purchaser or nominee shall have specified to the Company in writing, </w:t>
      </w:r>
    </w:p>
    <w:p>
      <w:pPr>
        <w:pStyle w:val="TextBody"/>
        <w:bidi w:val="0"/>
        <w:spacing w:before="120" w:after="0"/>
        <w:jc w:val="left"/>
        <w:rPr>
          <w:rFonts w:ascii="Times New Roman" w:hAnsi="Times New Roman"/>
          <w:sz w:val="20"/>
        </w:rPr>
      </w:pPr>
      <w:r>
        <w:rPr>
          <w:rFonts w:ascii="Times New Roman" w:hAnsi="Times New Roman"/>
          <w:sz w:val="20"/>
        </w:rPr>
        <w:t xml:space="preserve">(ii) if to any other holder of any Note, to such holder at such address as such other holder shall have specified to the Company in writing, or </w:t>
      </w:r>
    </w:p>
    <w:p>
      <w:pPr>
        <w:pStyle w:val="TextBody"/>
        <w:bidi w:val="0"/>
        <w:spacing w:before="120" w:after="0"/>
        <w:jc w:val="left"/>
        <w:rPr>
          <w:rFonts w:ascii="Times New Roman" w:hAnsi="Times New Roman"/>
          <w:sz w:val="20"/>
        </w:rPr>
      </w:pPr>
      <w:r>
        <w:rPr>
          <w:rFonts w:ascii="Times New Roman" w:hAnsi="Times New Roman"/>
          <w:sz w:val="20"/>
        </w:rPr>
        <w:t xml:space="preserve">(iii) if to the Company, 1691 Michigan Avenue, Miami Beach, Florida 33139, Attn: Arthur Penn, email: legal@pennantpark.com, or at such other address as the Company shall have specified to the holder of each Note in writing, in each case, with a copy (which shall not constitute notice) to: Dechert LLP, One International Place, 40th Floor, 100 Oliver Street, Boston, MA 02110, Attn: Thomas J. Friedmann, email: thomas.friedmann@dechert.com, Stephen Pratt, email: stephen.pratt@dechert.com, and Ross MacConnell, email: ross.macconnell@dechert.com. </w:t>
      </w:r>
    </w:p>
    <w:p>
      <w:pPr>
        <w:pStyle w:val="TextBody"/>
        <w:bidi w:val="0"/>
        <w:spacing w:before="240" w:after="0"/>
        <w:jc w:val="left"/>
        <w:rPr>
          <w:rFonts w:ascii="Times New Roman" w:hAnsi="Times New Roman"/>
          <w:sz w:val="20"/>
        </w:rPr>
      </w:pPr>
      <w:r>
        <w:rPr>
          <w:rFonts w:ascii="Times New Roman" w:hAnsi="Times New Roman"/>
          <w:sz w:val="20"/>
        </w:rPr>
        <w:t xml:space="preserve">Notices under this Section 18 will be deemed given only when actually received.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19. REPRODUCTION OF DOCUMENTS.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and all documents relating thereto, including (a) consents, waivers and modifications that may hereafter be executed, (b) documents received by the Purchaser at the Closing (except the Notes themselves), and (c) financial statements, certificates and other information previously or hereafter furnished to the Purchaser, may be reproduced by the Purchaser by any photographic, photostatic, electronic, digital, or other similar process and the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the Purchaser in the regular course of business) and any enlargement, facsimile or further reproduction of such reproduction shall likewise be admissible in evidence. This Section 19 shall not prohibit the Company or any other holder of Notes from contesting any such reproduction to the same extent that it could contest the original, or from introducing evidence to demonstrate the inaccuracy of any such reproduction.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20. CONFIDENTIAL INFORMATION. </w:t>
      </w:r>
    </w:p>
    <w:p>
      <w:pPr>
        <w:pStyle w:val="TextBody"/>
        <w:bidi w:val="0"/>
        <w:spacing w:before="240" w:after="0"/>
        <w:jc w:val="left"/>
        <w:rPr>
          <w:rFonts w:ascii="Times New Roman" w:hAnsi="Times New Roman"/>
          <w:sz w:val="20"/>
        </w:rPr>
      </w:pPr>
      <w:r>
        <w:rPr>
          <w:rFonts w:ascii="Times New Roman" w:hAnsi="Times New Roman"/>
          <w:sz w:val="20"/>
        </w:rPr>
        <w:t>For the purposes of this Section 20, “</w:t>
      </w:r>
      <w:r>
        <w:rPr>
          <w:rFonts w:ascii="Times New Roman" w:hAnsi="Times New Roman"/>
          <w:b/>
          <w:sz w:val="20"/>
        </w:rPr>
        <w:t>Confidential Information</w:t>
      </w:r>
      <w:r>
        <w:rPr>
          <w:rFonts w:ascii="Times New Roman" w:hAnsi="Times New Roman"/>
          <w:sz w:val="20"/>
        </w:rPr>
        <w:t xml:space="preserve">” means information delivered to the Purchaser by or on behalf of the Company or any Subsidiary in connection with the transactions contemplated by or otherwise pursuant to this Agreement that is proprietary in nature and that was clearly marked or labeled or otherwise adequately identified when received by the Purchaser as being confidential information of the Company or such Subsidiary, provided that such term does not include information that (a) was publicly known or otherwise known to the Purchaser prior to the time of such disclosure, (b) subsequently becomes publicly known through no act or omission by the Purchaser or any Person acting on the Purchaser’s behalf, (c) otherwise becomes known to the Purchaser other than through disclosure by the Company or any Subsidiary or (d) constitutes financial statements delivered to the Purchaser under Section 7.1 that are otherwise publicly available. The Purchaser will maintain the confidentiality of such Confidential Information in accordance with procedures adopted by the Purchaser in good faith to protect confidential information of third parties delivered to the Purchaser, provided that the Purchaser may deliver or disclose Confidential Information to (i) its directors, officers, employees, agents, attorneys, trustees and affiliates (to the extent such disclosure reasonably relates to the administration of the investment represented by its Notes), (ii) its auditors, financial advisors and other professional advisors who agree to hold confidential the Confidential Information substantially in accordance with this Section 20, (iii) any other holder of any Note, (iv) any Institutional Investor to which it sells or offers to sell such Note or any part thereof or any participation therein (if such Person has agreed in writing prior to its receipt of such Confidential Information to be bound by this Section 20), (v) any Person from which it offers to purchase any Security of the Company (if such Person has agreed in writing prior to its receipt of such Confidential Information to be bound by this Section 20), (vi) any federal or state regulatory authority having jurisdiction over the Purchaser, (vii) the NAIC or the SVO or, in each case, any similar organization, or any nationally recognized rating agency that requires access to information about the Purchaser’s investment portfolio, or (viii) any other Person to which such delivery or disclosure may be necessary or appropriate (w) to effect compliance with any law, rule, regulation or order applicable to the Purchaser, (x) in response to any subpoena or other legal process, (y) in connection with any litigation to which the Purchaser is a party or (z) if an Event of Default has occurred and is continuing, to the extent the Purchaser may reasonably determine such delivery and disclosure to be necessary or appropriate in the enforcement or for the protection of the rights and remedies under the Purchaser’s Notes, this Agreement. Each holder of a Note, by its acceptance of a Note, will be deemed to have agreed to be bound by and to be entitled to the benefits of this Section 20 as though it were a party to this Agreement. On reasonable request by the Company in connection with the delivery to any holder of a Note of information required to be delivered to such holder under this Agreement or requested by such holder (other than a holder that is a party to this Agreement or its nominee), such holder will enter into an agreement with the Company embodying this Section 20.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event that as a condition to receiving access to information relating to the Company or its Subsidiaries in connection with the transactions contemplated by or otherwise pursuant to this Agreement, the Purchaser or holder of a Note is required to agree to a confidentiality undertaking (whether through IntraLinks, another secure website, a secure virtual workspace or otherwise) which is different from this Section 20, this Section 20 shall not be amended thereby and, as between the Purchaser or such holder and the Company, this Section 20 shall supersede any such other confidentiality undertaking.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21. SUBSTITUTION OF PURCHASER. </w:t>
      </w:r>
    </w:p>
    <w:p>
      <w:pPr>
        <w:pStyle w:val="TextBody"/>
        <w:bidi w:val="0"/>
        <w:spacing w:before="240" w:after="0"/>
        <w:jc w:val="left"/>
        <w:rPr>
          <w:rFonts w:ascii="Times New Roman" w:hAnsi="Times New Roman"/>
          <w:sz w:val="20"/>
        </w:rPr>
      </w:pPr>
      <w:r>
        <w:rPr>
          <w:rFonts w:ascii="Times New Roman" w:hAnsi="Times New Roman"/>
          <w:sz w:val="20"/>
        </w:rPr>
        <w:t>The Purchaser shall have the right to substitute any one of its Affiliates (the “</w:t>
      </w:r>
      <w:r>
        <w:rPr>
          <w:rFonts w:ascii="Times New Roman" w:hAnsi="Times New Roman"/>
          <w:b/>
          <w:sz w:val="20"/>
        </w:rPr>
        <w:t>Substitute Purchaser</w:t>
      </w:r>
      <w:r>
        <w:rPr>
          <w:rFonts w:ascii="Times New Roman" w:hAnsi="Times New Roman"/>
          <w:sz w:val="20"/>
        </w:rPr>
        <w:t xml:space="preserve">”) as the purchaser of the Notes that it has agreed to purchase hereunder, by written notice to the Company, which notice shall be signed by both the Purchaser and the Substitute Purchaser, shall contain the Substitute Purchaser’s agreement to be bound by this Agreement and shall contain a confirmation by the Substitute Purchaser of the accuracy with respect to it of the representations set forth in Section 6. Upon receipt of such notice, any reference to the Purchaser in this Agreement (other than in this Section 21), shall be deemed to refer to the Substitute Purchaser in lieu of the original Purchaser. In the event that the Substitute Purchaser is so substituted as the Purchaser hereunder and the Substitute Purchaser thereafter transfers to the original Purchaser all of the Notes then held by the Substitute Purchaser, upon receipt by the Company of notice of such transfer, any reference to the Substitute Purchaser as the “Purchaser” in this Agreement (other than in this Section 21), shall no longer be deemed to refer to the Substitute Purchaser, but shall refer to the original Purchaser, and the original Purchaser shall again have all the rights of an original holder of the Notes under this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22. 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22.1.</w:t>
      </w:r>
      <w:r>
        <w:rPr>
          <w:rFonts w:ascii="Times New Roman" w:hAnsi="Times New Roman"/>
          <w:sz w:val="20"/>
        </w:rPr>
        <w:t xml:space="preserve"> </w:t>
      </w:r>
      <w:r>
        <w:rPr>
          <w:rFonts w:ascii="Times New Roman" w:hAnsi="Times New Roman"/>
          <w:b/>
          <w:sz w:val="20"/>
        </w:rPr>
        <w:t>Successors and Assigns</w:t>
      </w:r>
      <w:r>
        <w:rPr>
          <w:rFonts w:ascii="Times New Roman" w:hAnsi="Times New Roman"/>
          <w:i/>
          <w:sz w:val="20"/>
        </w:rPr>
        <w:t>.</w:t>
      </w:r>
      <w:r>
        <w:rPr>
          <w:rFonts w:ascii="Times New Roman" w:hAnsi="Times New Roman"/>
          <w:sz w:val="20"/>
        </w:rPr>
        <w:t xml:space="preserve"> All covenants and other agreements contained in this Agreement by or on behalf of any of the parties hereto bind and inure to the benefit of their respective successors and assigns (including any subsequent holder of a Note) whether so expressed or not, except that, the Company may not assign or otherwise transfer any of its rights or obligations hereunder or under the Notes without the prior written consent of each holder. Nothing in this Agreement, expressed or implied, shall be construed to confer upon any Person (other than the parties hereto and their respective successors and assigns permitted hereby) any legal or equitable right, remedy or claim under or by reason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22.2.</w:t>
      </w:r>
      <w:r>
        <w:rPr>
          <w:rFonts w:ascii="Times New Roman" w:hAnsi="Times New Roman"/>
          <w:sz w:val="20"/>
        </w:rPr>
        <w:t xml:space="preserve"> </w:t>
      </w:r>
      <w:r>
        <w:rPr>
          <w:rFonts w:ascii="Times New Roman" w:hAnsi="Times New Roman"/>
          <w:b/>
          <w:sz w:val="20"/>
        </w:rPr>
        <w:t>Accounting Terms</w:t>
      </w:r>
      <w:r>
        <w:rPr>
          <w:rFonts w:ascii="Times New Roman" w:hAnsi="Times New Roman"/>
          <w:i/>
          <w:sz w:val="20"/>
        </w:rPr>
        <w:t>.</w:t>
      </w:r>
      <w:r>
        <w:rPr>
          <w:rFonts w:ascii="Times New Roman" w:hAnsi="Times New Roman"/>
          <w:sz w:val="20"/>
        </w:rPr>
        <w:t xml:space="preserve"> All accounting terms used herein which are not expressly defined in this Agreement have the meanings respectively given to them in accordance with GAAP. Except as otherwise specifically provided herein, (i) all computations made pursuant to this Agreement shall be made in accordance with GAAP, and (ii) all financial statements shall be prepared in accordance with GAAP. For purposes of determining compliance with this Agreement (including Section 9, Section 10 and the definition of “Indebtedness”), any election by the Company to measure any financial liability using fair value (as permitted by Financial Accounting Standards Board Accounting Standards Codification Topic No. 825-10-25 – </w:t>
      </w:r>
      <w:r>
        <w:rPr>
          <w:rFonts w:ascii="Times New Roman" w:hAnsi="Times New Roman"/>
          <w:i/>
          <w:sz w:val="20"/>
        </w:rPr>
        <w:t>Fair Value Option,</w:t>
      </w:r>
      <w:r>
        <w:rPr>
          <w:rFonts w:ascii="Times New Roman" w:hAnsi="Times New Roman"/>
          <w:sz w:val="20"/>
        </w:rPr>
        <w:t xml:space="preserve"> International Accounting Standard 39 – </w:t>
      </w:r>
      <w:r>
        <w:rPr>
          <w:rFonts w:ascii="Times New Roman" w:hAnsi="Times New Roman"/>
          <w:i/>
          <w:sz w:val="20"/>
        </w:rPr>
        <w:t>Financial Instruments: Recognition and Measurement</w:t>
      </w:r>
      <w:r>
        <w:rPr>
          <w:rFonts w:ascii="Times New Roman" w:hAnsi="Times New Roman"/>
          <w:sz w:val="20"/>
        </w:rPr>
        <w:t xml:space="preserve"> or any similar accounting standard) shall be disregarded and such determination shall be made as if such election had not been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22.3.</w:t>
      </w:r>
      <w:r>
        <w:rPr>
          <w:rFonts w:ascii="Times New Roman" w:hAnsi="Times New Roman"/>
          <w:sz w:val="20"/>
        </w:rPr>
        <w:t xml:space="preserve"> </w:t>
      </w:r>
      <w:r>
        <w:rPr>
          <w:rFonts w:ascii="Times New Roman" w:hAnsi="Times New Roman"/>
          <w:b/>
          <w:sz w:val="20"/>
        </w:rPr>
        <w:t>Severability</w:t>
      </w:r>
      <w:r>
        <w:rPr>
          <w:rFonts w:ascii="Times New Roman" w:hAnsi="Times New Roman"/>
          <w:i/>
          <w:sz w:val="20"/>
        </w:rPr>
        <w:t>.</w:t>
      </w:r>
      <w:r>
        <w:rPr>
          <w:rFonts w:ascii="Times New Roman" w:hAnsi="Times New Roman"/>
          <w:sz w:val="20"/>
        </w:rPr>
        <w:t xml:space="preserve">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22.4.</w:t>
      </w:r>
      <w:r>
        <w:rPr>
          <w:rFonts w:ascii="Times New Roman" w:hAnsi="Times New Roman"/>
          <w:sz w:val="20"/>
        </w:rPr>
        <w:t xml:space="preserve"> </w:t>
      </w:r>
      <w:r>
        <w:rPr>
          <w:rFonts w:ascii="Times New Roman" w:hAnsi="Times New Roman"/>
          <w:b/>
          <w:sz w:val="20"/>
        </w:rPr>
        <w:t>Construction, Etc</w:t>
      </w:r>
      <w:r>
        <w:rPr>
          <w:rFonts w:ascii="Times New Roman" w:hAnsi="Times New Roman"/>
          <w:i/>
          <w:sz w:val="20"/>
        </w:rPr>
        <w:t>.</w:t>
      </w:r>
      <w:r>
        <w:rPr>
          <w:rFonts w:ascii="Times New Roman" w:hAnsi="Times New Roman"/>
          <w:sz w:val="20"/>
        </w:rPr>
        <w:t xml:space="preserve"> Each covenant contained herein shall be construed (absent 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 </w:t>
      </w:r>
    </w:p>
    <w:p>
      <w:pPr>
        <w:pStyle w:val="TextBody"/>
        <w:bidi w:val="0"/>
        <w:spacing w:before="240" w:after="0"/>
        <w:jc w:val="left"/>
        <w:rPr>
          <w:rFonts w:ascii="Times New Roman" w:hAnsi="Times New Roman"/>
          <w:sz w:val="20"/>
        </w:rPr>
      </w:pPr>
      <w:r>
        <w:rPr>
          <w:rFonts w:ascii="Times New Roman" w:hAnsi="Times New Roman"/>
          <w:sz w:val="20"/>
        </w:rPr>
        <w:t xml:space="preserve">Defined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and, for purposes of the Notes, shall also include any such notes issued in substitution therefor pursuant to Section 13, (b) subject to Section 22.1,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Sections and Schedules shall be construed to refer to Sections of, and Schedules to, this Agreement, and (e) any reference to any law or regulation herein shall, unless otherwise specified, refer to such law or regulation as amended, modified or supplemented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specified herein, if the payment of any obligation or the performance of any action, covenant, duty or obligation under this Agreement is stated to be due or performed on a day which is not a Business Day, the date of such payment or performance shall extend to the immediately succeeding Business Day and such extension of time shall be reflected in computing interest or fees, as the case may be.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22.5.</w:t>
      </w:r>
      <w:r>
        <w:rPr>
          <w:rFonts w:ascii="Times New Roman" w:hAnsi="Times New Roman"/>
          <w:sz w:val="20"/>
        </w:rPr>
        <w:t xml:space="preserve"> </w:t>
      </w:r>
      <w:r>
        <w:rPr>
          <w:rFonts w:ascii="Times New Roman" w:hAnsi="Times New Roman"/>
          <w:b/>
          <w:sz w:val="20"/>
        </w:rPr>
        <w:t>Counterparts</w:t>
      </w:r>
      <w:r>
        <w:rPr>
          <w:rFonts w:ascii="Times New Roman" w:hAnsi="Times New Roman"/>
          <w:i/>
          <w:sz w:val="20"/>
        </w:rPr>
        <w:t>.</w:t>
      </w:r>
      <w:r>
        <w:rPr>
          <w:rFonts w:ascii="Times New Roman" w:hAnsi="Times New Roman"/>
          <w:sz w:val="20"/>
        </w:rPr>
        <w:t xml:space="preserve"> This Agreement may be executed in any number of counterparts, each of which shall be an original but all of which together shall constitute one instrument. Each counterpart may consist of a number of copies hereof, each signed by less than all, but together signed by all, of the parties hereto. The parties agree to electronic contracting and signatures with respect to this Agreement and all documents relating thereto. Delivery of an electronic signature to, or a signed copy of, this Agreement and all documents relating thereto by facsimile, email or other electronic transmission shall be fully binding on the parties to the same extent as the delivery of the signed originals and shall be admissible into evidence for all purposes. The words “execution,” “execute”, “signed,” “signature,” and words of like import in or related to any document to be signed in connection with this Agreement and all documents relating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be deemed to include electronic signatures, the electronic matching of assignment terms and contract formations on electronic platforms approved by the Company, or the keeping of records in electronic form, each of which shall be of the same legal effect, validity or enforceability as a manually executed signature or the use of a paper based recordkeeping system, as the case may be, to the extent and as provided for in any applicable law, including the Federal Electronic Signatures in Global and National Commerce Act, the Electronic Commerce Security Act, or any other similar state laws based on the Uniform Electronic Transactions Act. Notwithstanding the foregoing, if the Purchaser shall request manually signed counterpart signatures to any documents relating to this Agreement, the Company hereby agrees to use its reasonable endeavors to provide such manually signed signature pages as soon as reasonably practicable.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22.6.</w:t>
      </w:r>
      <w:r>
        <w:rPr>
          <w:rFonts w:ascii="Times New Roman" w:hAnsi="Times New Roman"/>
          <w:sz w:val="20"/>
        </w:rPr>
        <w:t xml:space="preserve"> </w:t>
      </w:r>
      <w:r>
        <w:rPr>
          <w:rFonts w:ascii="Times New Roman" w:hAnsi="Times New Roman"/>
          <w:b/>
          <w:sz w:val="20"/>
        </w:rPr>
        <w:t>Governing Law</w:t>
      </w:r>
      <w:r>
        <w:rPr>
          <w:rFonts w:ascii="Times New Roman" w:hAnsi="Times New Roman"/>
          <w:i/>
          <w:sz w:val="20"/>
        </w:rPr>
        <w:t>.</w:t>
      </w:r>
      <w:r>
        <w:rPr>
          <w:rFonts w:ascii="Times New Roman" w:hAnsi="Times New Roman"/>
          <w:sz w:val="20"/>
        </w:rPr>
        <w:t xml:space="preserve"> This Agreement shall be construed and enforced in accordance with, and the rights of the parties shall be governed by, the law of the State of New York excluding choice-of-law principles of the law of such State that would permit the application of the laws of a jurisdiction other than such State.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22.7.</w:t>
      </w:r>
      <w:r>
        <w:rPr>
          <w:rFonts w:ascii="Times New Roman" w:hAnsi="Times New Roman"/>
          <w:sz w:val="20"/>
        </w:rPr>
        <w:t xml:space="preserve"> </w:t>
      </w:r>
      <w:r>
        <w:rPr>
          <w:rFonts w:ascii="Times New Roman" w:hAnsi="Times New Roman"/>
          <w:b/>
          <w:sz w:val="20"/>
        </w:rPr>
        <w:t>Jurisdiction and Process; Waiver of Jury Trial</w:t>
      </w:r>
      <w:r>
        <w:rPr>
          <w:rFonts w:ascii="Times New Roman" w:hAnsi="Times New Roman"/>
          <w:i/>
          <w:sz w:val="20"/>
        </w:rPr>
        <w:t xml:space="preserve">. </w:t>
      </w:r>
      <w:r>
        <w:rPr>
          <w:rFonts w:ascii="Times New Roman" w:hAnsi="Times New Roman"/>
          <w:sz w:val="20"/>
        </w:rPr>
        <w:t xml:space="preserve">(a) The Company irrevocably submits to the non-exclusive jurisdiction of any New York State or federal court sitting in the Borough of Manhattan, The City of New York, over any suit, action or proceeding arising out of or relating to this Agreement or the Notes.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agrees, to the fullest extent permitted by applicable law, that a final judgment in any suit, action or proceeding of the nature referred to in Section 22.7(a) brought in any such court shall be conclusive and binding upon it subject to rights of appeal, as the case may be, and may be enforced in the courts of the United States of America or the State of New York (or any other courts to the jurisdiction of which it or any of its assets is or may be subject) by a suit upon such judgment.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consents to process being served by or on behalf of any holder of Notes in any suit, action or proceeding of the nature referred to in Section 22.7(a) by mailing a copy thereof by registered, certified, priority or express mail (or any substantially similar form of mail), postage prepaid, return receipt or delivery confirmation requested or on-line tracking service available, to it at its address specified in Section 18 or at such other address of which such holder shall then have been notified pursuant to said Section. The Company agrees that such service upon receipt (i) shall be deemed in every respect effective service of process upon it in any such suit, action or proceeding and (ii) shall, to the fullest extent permitted by applicable law, be taken and held to be valid personal service upon and personal delivery to it. Notices hereunder shall be conclusively presumed received as evidenced by a delivery receipt or on-line confirmation of delivery furnished by the United States Postal Service or any reputable commercial delivery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Nothing in this Section 22.7 shall affect the right of any holder of a Note to serve process in any manner permitted by law, or limit any right that the holders of any of the Notes may have to bring proceedings against the Company in the courts of any appropriate jurisdiction or to enforce in any lawful manner a judgment obtained in one jurisdiction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(e) The parties hereto hereby waive trial by jury in any action brought on or with respect to this Agreement, the Notes or any other document executed in connection herewith or therewith. </w:t>
      </w:r>
    </w:p>
    <w:p>
      <w:pPr>
        <w:pStyle w:val="TextBody"/>
        <w:bidi w:val="0"/>
        <w:spacing w:before="240" w:after="0"/>
        <w:jc w:val="center"/>
        <w:rPr>
          <w:rFonts w:ascii="Times New Roman" w:hAnsi="Times New Roman"/>
          <w:sz w:val="20"/>
        </w:rPr>
      </w:pPr>
      <w:r>
        <w:rPr>
          <w:rFonts w:ascii="Times New Roman" w:hAnsi="Times New Roman"/>
          <w:sz w:val="20"/>
        </w:rPr>
        <w:t xml:space="preserve">* * * * *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you are in agreement with the foregoing, please sign the form of agreement on a counterpart of this Agreement and return it to the Company, whereupon this Agreement shall become a binding agreement between you and the Company.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b/>
                <w:sz w:val="20"/>
              </w:rPr>
              <w:t>PENNANTPARK INVESTMENT CORPORATION</w:t>
            </w:r>
            <w:r>
              <w:rPr>
                <w:rFonts w:ascii="Times New Roman" w:hAnsi="Times New Roman"/>
                <w:sz w:val="20"/>
              </w:rPr>
              <w:t>, a Maryland corporation</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Arthur H. Penn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Arthur H. Penn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This Agreement is hereby accepted and agreed to as of the date hereof.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3"/>
        <w:gridCol w:w="60"/>
        <w:gridCol w:w="3679"/>
      </w:tblGrid>
      <w:tr>
        <w:trPr/>
        <w:tc>
          <w:tcPr>
            <w:tcW w:w="34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HERZFELD REGULATED DEBT ISSUER</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9" w:type="dxa"/>
            <w:tcBorders/>
          </w:tcPr>
          <w:p>
            <w:pPr>
              <w:pStyle w:val="TableContents"/>
              <w:bidi w:val="0"/>
              <w:spacing w:before="0" w:after="283"/>
              <w:jc w:val="left"/>
              <w:rPr>
                <w:b/>
              </w:rPr>
            </w:pPr>
            <w:r>
              <w:rPr>
                <w:b/>
              </w:rPr>
              <w:t>SUB LLC</w:t>
            </w:r>
          </w:p>
        </w:tc>
      </w:tr>
      <w:tr>
        <w:trPr>
          <w:trHeight w:val="240" w:hRule="atLeast"/>
        </w:trPr>
        <w:tc>
          <w:tcPr>
            <w:tcW w:w="343" w:type="dxa"/>
            <w:tcBorders/>
            <w:vAlign w:val="center"/>
          </w:tcPr>
          <w:p>
            <w:pPr>
              <w:pStyle w:val="TableContents"/>
              <w:bidi w:val="0"/>
              <w:spacing w:before="0" w:after="283"/>
              <w:jc w:val="left"/>
              <w:rPr>
                <w:sz w:val="4"/>
                <w:szCs w:val="4"/>
              </w:rPr>
            </w:pPr>
            <w:r>
              <w:rPr>
                <w:sz w:val="4"/>
                <w:szCs w:val="4"/>
              </w:rPr>
            </w:r>
          </w:p>
        </w:tc>
        <w:tc>
          <w:tcPr>
            <w:tcW w:w="3739" w:type="dxa"/>
            <w:gridSpan w:val="2"/>
            <w:tcBorders/>
            <w:vAlign w:val="center"/>
          </w:tcPr>
          <w:p>
            <w:pPr>
              <w:pStyle w:val="TableContents"/>
              <w:bidi w:val="0"/>
              <w:spacing w:before="0" w:after="283"/>
              <w:jc w:val="left"/>
              <w:rPr>
                <w:sz w:val="4"/>
                <w:szCs w:val="4"/>
              </w:rPr>
            </w:pPr>
            <w:r>
              <w:rPr>
                <w:sz w:val="4"/>
                <w:szCs w:val="4"/>
              </w:rPr>
            </w:r>
          </w:p>
        </w:tc>
      </w:tr>
      <w:tr>
        <w:trPr/>
        <w:tc>
          <w:tcPr>
            <w:tcW w:w="343"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79"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Erik M. Herzfeld</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9" w:type="dxa"/>
            <w:tcBorders/>
            <w:vAlign w:val="bottom"/>
          </w:tcPr>
          <w:p>
            <w:pPr>
              <w:pStyle w:val="TableContents"/>
              <w:bidi w:val="0"/>
              <w:spacing w:before="0" w:after="283"/>
              <w:jc w:val="left"/>
              <w:rPr/>
            </w:pPr>
            <w:r>
              <w:rPr/>
              <w:t xml:space="preserve">Name: </w:t>
            </w:r>
            <w:r>
              <w:rPr>
                <w:b/>
              </w:rPr>
              <w:t>E</w:t>
            </w:r>
            <w:r>
              <w:rPr>
                <w:b/>
                <w:sz w:val="20"/>
              </w:rPr>
              <w:t>RIK</w:t>
            </w:r>
            <w:r>
              <w:rPr>
                <w:b/>
              </w:rPr>
              <w:t xml:space="preserve"> M. H</w:t>
            </w:r>
            <w:r>
              <w:rPr>
                <w:b/>
                <w:sz w:val="20"/>
              </w:rPr>
              <w:t>ERZFELD</w:t>
            </w:r>
          </w:p>
        </w:tc>
      </w:tr>
      <w:tr>
        <w:trPr/>
        <w:tc>
          <w:tcPr>
            <w:tcW w:w="3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9" w:type="dxa"/>
            <w:tcBorders/>
            <w:vAlign w:val="bottom"/>
          </w:tcPr>
          <w:p>
            <w:pPr>
              <w:pStyle w:val="TableContents"/>
              <w:bidi w:val="0"/>
              <w:spacing w:before="0" w:after="283"/>
              <w:jc w:val="left"/>
              <w:rPr/>
            </w:pPr>
            <w:r>
              <w:rPr/>
              <w:t xml:space="preserve">Title: </w:t>
            </w:r>
            <w:r>
              <w:rPr>
                <w:b/>
              </w:rPr>
              <w:t>A</w:t>
            </w:r>
            <w:r>
              <w:rPr>
                <w:b/>
                <w:sz w:val="20"/>
              </w:rPr>
              <w:t>UTHORIZED</w:t>
            </w:r>
            <w:r>
              <w:rPr>
                <w:b/>
              </w:rPr>
              <w:t xml:space="preserve"> R</w:t>
            </w:r>
            <w:r>
              <w:rPr>
                <w:b/>
                <w:sz w:val="20"/>
              </w:rPr>
              <w:t>EPRESENTATIVE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Note Purchase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Agreement is hereby accepted and agreed to as of the date hereof.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3"/>
        <w:gridCol w:w="60"/>
        <w:gridCol w:w="3679"/>
      </w:tblGrid>
      <w:tr>
        <w:trPr/>
        <w:tc>
          <w:tcPr>
            <w:tcW w:w="34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9"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0"/>
              <w:jc w:val="left"/>
              <w:rPr>
                <w:rFonts w:ascii="Times New Roman" w:hAnsi="Times New Roman"/>
                <w:b/>
                <w:sz w:val="20"/>
              </w:rPr>
            </w:pPr>
            <w:r>
              <w:rPr>
                <w:rFonts w:ascii="Times New Roman" w:hAnsi="Times New Roman"/>
                <w:b/>
                <w:sz w:val="20"/>
              </w:rPr>
              <w:t>THE HCM MASTER FUND LIMITED</w:t>
            </w:r>
          </w:p>
        </w:tc>
      </w:tr>
      <w:tr>
        <w:trPr>
          <w:trHeight w:val="240" w:hRule="atLeast"/>
        </w:trPr>
        <w:tc>
          <w:tcPr>
            <w:tcW w:w="343" w:type="dxa"/>
            <w:tcBorders/>
            <w:vAlign w:val="center"/>
          </w:tcPr>
          <w:p>
            <w:pPr>
              <w:pStyle w:val="TableContents"/>
              <w:bidi w:val="0"/>
              <w:spacing w:before="0" w:after="283"/>
              <w:jc w:val="left"/>
              <w:rPr>
                <w:sz w:val="4"/>
                <w:szCs w:val="4"/>
              </w:rPr>
            </w:pPr>
            <w:r>
              <w:rPr>
                <w:sz w:val="4"/>
                <w:szCs w:val="4"/>
              </w:rPr>
            </w:r>
          </w:p>
        </w:tc>
        <w:tc>
          <w:tcPr>
            <w:tcW w:w="3739" w:type="dxa"/>
            <w:gridSpan w:val="2"/>
            <w:tcBorders/>
            <w:vAlign w:val="center"/>
          </w:tcPr>
          <w:p>
            <w:pPr>
              <w:pStyle w:val="TableContents"/>
              <w:bidi w:val="0"/>
              <w:spacing w:before="0" w:after="283"/>
              <w:jc w:val="left"/>
              <w:rPr>
                <w:sz w:val="4"/>
                <w:szCs w:val="4"/>
              </w:rPr>
            </w:pPr>
            <w:r>
              <w:rPr>
                <w:sz w:val="4"/>
                <w:szCs w:val="4"/>
              </w:rPr>
            </w:r>
          </w:p>
        </w:tc>
      </w:tr>
      <w:tr>
        <w:trPr/>
        <w:tc>
          <w:tcPr>
            <w:tcW w:w="343"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79"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Erik M. Herzfeld</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9" w:type="dxa"/>
            <w:tcBorders/>
            <w:vAlign w:val="bottom"/>
          </w:tcPr>
          <w:p>
            <w:pPr>
              <w:pStyle w:val="TableContents"/>
              <w:bidi w:val="0"/>
              <w:spacing w:before="0" w:after="283"/>
              <w:jc w:val="left"/>
              <w:rPr/>
            </w:pPr>
            <w:r>
              <w:rPr/>
              <w:t xml:space="preserve">Name: </w:t>
            </w:r>
            <w:r>
              <w:rPr>
                <w:b/>
              </w:rPr>
              <w:t>E</w:t>
            </w:r>
            <w:r>
              <w:rPr>
                <w:b/>
                <w:sz w:val="20"/>
              </w:rPr>
              <w:t>RIK</w:t>
            </w:r>
            <w:r>
              <w:rPr>
                <w:b/>
              </w:rPr>
              <w:t xml:space="preserve"> M. H</w:t>
            </w:r>
            <w:r>
              <w:rPr>
                <w:b/>
                <w:sz w:val="20"/>
              </w:rPr>
              <w:t>ERZFELD</w:t>
            </w:r>
          </w:p>
        </w:tc>
      </w:tr>
      <w:tr>
        <w:trPr/>
        <w:tc>
          <w:tcPr>
            <w:tcW w:w="3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9" w:type="dxa"/>
            <w:tcBorders/>
            <w:vAlign w:val="bottom"/>
          </w:tcPr>
          <w:p>
            <w:pPr>
              <w:pStyle w:val="TableContents"/>
              <w:bidi w:val="0"/>
              <w:spacing w:before="0" w:after="283"/>
              <w:jc w:val="left"/>
              <w:rPr/>
            </w:pPr>
            <w:r>
              <w:rPr/>
              <w:t xml:space="preserve">Title: </w:t>
            </w:r>
            <w:r>
              <w:rPr>
                <w:b/>
              </w:rPr>
              <w:t>D</w:t>
            </w:r>
            <w:r>
              <w:rPr>
                <w:b/>
                <w:sz w:val="20"/>
              </w:rPr>
              <w:t>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Note Purchase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Agreement is hereby accepted and agreed to as of the date hereof.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6"/>
        <w:gridCol w:w="60"/>
        <w:gridCol w:w="3666"/>
      </w:tblGrid>
      <w:tr>
        <w:trPr/>
        <w:tc>
          <w:tcPr>
            <w:tcW w:w="3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w:t>
            </w:r>
            <w:r>
              <w:rPr>
                <w:sz w:val="20"/>
              </w:rPr>
              <w:t>OLBROOK</w:t>
            </w:r>
            <w:r>
              <w:rPr/>
              <w:t xml:space="preserve"> H</w:t>
            </w:r>
            <w:r>
              <w:rPr>
                <w:sz w:val="20"/>
              </w:rPr>
              <w:t>OLDINGS</w:t>
            </w:r>
            <w:r>
              <w:rPr/>
              <w:t>, I</w:t>
            </w:r>
            <w:r>
              <w:rPr>
                <w:sz w:val="20"/>
              </w:rPr>
              <w:t>NC</w:t>
            </w:r>
          </w:p>
        </w:tc>
      </w:tr>
      <w:tr>
        <w:trPr>
          <w:trHeight w:val="240" w:hRule="atLeast"/>
        </w:trPr>
        <w:tc>
          <w:tcPr>
            <w:tcW w:w="356" w:type="dxa"/>
            <w:tcBorders/>
            <w:vAlign w:val="center"/>
          </w:tcPr>
          <w:p>
            <w:pPr>
              <w:pStyle w:val="TableContents"/>
              <w:bidi w:val="0"/>
              <w:spacing w:before="0" w:after="283"/>
              <w:jc w:val="left"/>
              <w:rPr>
                <w:sz w:val="4"/>
                <w:szCs w:val="4"/>
              </w:rPr>
            </w:pPr>
            <w:r>
              <w:rPr>
                <w:sz w:val="4"/>
                <w:szCs w:val="4"/>
              </w:rPr>
            </w:r>
          </w:p>
        </w:tc>
        <w:tc>
          <w:tcPr>
            <w:tcW w:w="3726" w:type="dxa"/>
            <w:gridSpan w:val="2"/>
            <w:tcBorders/>
            <w:vAlign w:val="center"/>
          </w:tcPr>
          <w:p>
            <w:pPr>
              <w:pStyle w:val="TableContents"/>
              <w:bidi w:val="0"/>
              <w:spacing w:before="0" w:after="283"/>
              <w:jc w:val="left"/>
              <w:rPr>
                <w:sz w:val="4"/>
                <w:szCs w:val="4"/>
              </w:rPr>
            </w:pPr>
            <w:r>
              <w:rPr>
                <w:sz w:val="4"/>
                <w:szCs w:val="4"/>
              </w:rPr>
            </w:r>
          </w:p>
        </w:tc>
      </w:tr>
      <w:tr>
        <w:trPr/>
        <w:tc>
          <w:tcPr>
            <w:tcW w:w="356"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6"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Scott Carmack</w:t>
            </w:r>
          </w:p>
        </w:tc>
      </w:tr>
      <w:tr>
        <w:trPr/>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6" w:type="dxa"/>
            <w:tcBorders/>
            <w:vAlign w:val="bottom"/>
          </w:tcPr>
          <w:p>
            <w:pPr>
              <w:pStyle w:val="TableContents"/>
              <w:bidi w:val="0"/>
              <w:spacing w:before="0" w:after="283"/>
              <w:jc w:val="left"/>
              <w:rPr/>
            </w:pPr>
            <w:r>
              <w:rPr/>
              <w:t>Name: Scott Carmack</w:t>
            </w:r>
          </w:p>
        </w:tc>
      </w:tr>
      <w:tr>
        <w:trPr/>
        <w:tc>
          <w:tcPr>
            <w:tcW w:w="3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6" w:type="dxa"/>
            <w:tcBorders/>
            <w:vAlign w:val="bottom"/>
          </w:tcPr>
          <w:p>
            <w:pPr>
              <w:pStyle w:val="TableContents"/>
              <w:bidi w:val="0"/>
              <w:spacing w:before="0" w:after="283"/>
              <w:jc w:val="left"/>
              <w:rPr/>
            </w:pPr>
            <w:r>
              <w:rPr/>
              <w:t>Title: CEO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Note Purchase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Agreement is hereby accepted and agreed to as of the date hereof.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38"/>
        <w:gridCol w:w="60"/>
        <w:gridCol w:w="3684"/>
      </w:tblGrid>
      <w:tr>
        <w:trPr/>
        <w:tc>
          <w:tcPr>
            <w:tcW w:w="33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w:t>
            </w:r>
            <w:r>
              <w:rPr>
                <w:b/>
                <w:sz w:val="20"/>
              </w:rPr>
              <w:t>ROSSING</w:t>
            </w:r>
            <w:r>
              <w:rPr>
                <w:b/>
              </w:rPr>
              <w:t>B</w:t>
            </w:r>
            <w:r>
              <w:rPr>
                <w:b/>
                <w:sz w:val="20"/>
              </w:rPr>
              <w:t>RIDGE</w:t>
            </w:r>
            <w:r>
              <w:rPr>
                <w:b/>
              </w:rPr>
              <w:t xml:space="preserve"> A</w:t>
            </w:r>
            <w:r>
              <w:rPr>
                <w:b/>
                <w:sz w:val="20"/>
              </w:rPr>
              <w:t>DVISORS</w:t>
            </w:r>
            <w:r>
              <w:rPr>
                <w:b/>
              </w:rPr>
              <w:t xml:space="preserve"> LLC </w:t>
            </w:r>
            <w:r>
              <w:rPr>
                <w:b/>
                <w:sz w:val="20"/>
              </w:rPr>
              <w:t>AS</w:t>
            </w:r>
          </w:p>
        </w:tc>
      </w:tr>
      <w:tr>
        <w:trPr/>
        <w:tc>
          <w:tcPr>
            <w:tcW w:w="33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4" w:type="dxa"/>
            <w:tcBorders/>
            <w:vAlign w:val="bottom"/>
          </w:tcPr>
          <w:p>
            <w:pPr>
              <w:pStyle w:val="TableContents"/>
              <w:bidi w:val="0"/>
              <w:spacing w:before="0" w:after="283"/>
              <w:jc w:val="left"/>
              <w:rPr>
                <w:b/>
              </w:rPr>
            </w:pPr>
            <w:r>
              <w:rPr>
                <w:b/>
              </w:rPr>
              <w:t>I</w:t>
            </w:r>
            <w:r>
              <w:rPr>
                <w:b/>
                <w:sz w:val="20"/>
              </w:rPr>
              <w:t>NVESTMENT</w:t>
            </w:r>
            <w:r>
              <w:rPr>
                <w:b/>
              </w:rPr>
              <w:t xml:space="preserve"> A</w:t>
            </w:r>
            <w:r>
              <w:rPr>
                <w:b/>
                <w:sz w:val="20"/>
              </w:rPr>
              <w:t>DVISOR</w:t>
            </w:r>
            <w:r>
              <w:rPr>
                <w:b/>
              </w:rPr>
              <w:t xml:space="preserve"> </w:t>
            </w:r>
            <w:r>
              <w:rPr>
                <w:b/>
                <w:sz w:val="20"/>
              </w:rPr>
              <w:t>TO</w:t>
            </w:r>
            <w:r>
              <w:rPr>
                <w:b/>
              </w:rPr>
              <w:t>:</w:t>
            </w:r>
          </w:p>
        </w:tc>
      </w:tr>
      <w:tr>
        <w:trPr>
          <w:trHeight w:val="240" w:hRule="atLeast"/>
        </w:trPr>
        <w:tc>
          <w:tcPr>
            <w:tcW w:w="338" w:type="dxa"/>
            <w:tcBorders/>
            <w:vAlign w:val="center"/>
          </w:tcPr>
          <w:p>
            <w:pPr>
              <w:pStyle w:val="TableContents"/>
              <w:bidi w:val="0"/>
              <w:spacing w:before="0" w:after="283"/>
              <w:jc w:val="left"/>
              <w:rPr>
                <w:sz w:val="4"/>
                <w:szCs w:val="4"/>
              </w:rPr>
            </w:pPr>
            <w:r>
              <w:rPr>
                <w:sz w:val="4"/>
                <w:szCs w:val="4"/>
              </w:rPr>
            </w:r>
          </w:p>
        </w:tc>
        <w:tc>
          <w:tcPr>
            <w:tcW w:w="3744" w:type="dxa"/>
            <w:gridSpan w:val="2"/>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283"/>
              <w:jc w:val="left"/>
              <w:rPr>
                <w:b/>
              </w:rPr>
            </w:pPr>
            <w:r>
              <w:rPr>
                <w:b/>
              </w:rPr>
              <w:t></w:t>
            </w:r>
          </w:p>
        </w:tc>
        <w:tc>
          <w:tcPr>
            <w:tcW w:w="60" w:type="dxa"/>
            <w:tcBorders/>
            <w:vAlign w:val="bottom"/>
          </w:tcPr>
          <w:p>
            <w:pPr>
              <w:pStyle w:val="TableContents"/>
              <w:bidi w:val="0"/>
              <w:spacing w:before="0" w:after="283"/>
              <w:jc w:val="left"/>
              <w:rPr/>
            </w:pPr>
            <w:r>
              <w:rPr/>
              <w:t> </w:t>
            </w:r>
          </w:p>
        </w:tc>
        <w:tc>
          <w:tcPr>
            <w:tcW w:w="3684" w:type="dxa"/>
            <w:tcBorders/>
            <w:vAlign w:val="bottom"/>
          </w:tcPr>
          <w:p>
            <w:pPr>
              <w:pStyle w:val="TableContents"/>
              <w:bidi w:val="0"/>
              <w:spacing w:before="0" w:after="283"/>
              <w:jc w:val="left"/>
              <w:rPr>
                <w:b/>
              </w:rPr>
            </w:pPr>
            <w:r>
              <w:rPr>
                <w:b/>
              </w:rPr>
              <w:t>C</w:t>
            </w:r>
            <w:r>
              <w:rPr>
                <w:b/>
                <w:sz w:val="20"/>
              </w:rPr>
              <w:t>ROSSING</w:t>
            </w:r>
            <w:r>
              <w:rPr>
                <w:b/>
              </w:rPr>
              <w:t>B</w:t>
            </w:r>
            <w:r>
              <w:rPr>
                <w:b/>
                <w:sz w:val="20"/>
              </w:rPr>
              <w:t>RIDGE</w:t>
            </w:r>
            <w:r>
              <w:rPr>
                <w:b/>
              </w:rPr>
              <w:t xml:space="preserve"> L</w:t>
            </w:r>
            <w:r>
              <w:rPr>
                <w:b/>
                <w:sz w:val="20"/>
              </w:rPr>
              <w:t>OW</w:t>
            </w:r>
            <w:r>
              <w:rPr>
                <w:b/>
              </w:rPr>
              <w:t xml:space="preserve"> D</w:t>
            </w:r>
            <w:r>
              <w:rPr>
                <w:b/>
                <w:sz w:val="20"/>
              </w:rPr>
              <w:t>URATION</w:t>
            </w:r>
            <w:r>
              <w:rPr>
                <w:b/>
              </w:rPr>
              <w:t xml:space="preserve"> H</w:t>
            </w:r>
            <w:r>
              <w:rPr>
                <w:b/>
                <w:sz w:val="20"/>
              </w:rPr>
              <w:t>IGH</w:t>
            </w:r>
            <w:r>
              <w:rPr>
                <w:b/>
              </w:rPr>
              <w:t xml:space="preserve"> I</w:t>
            </w:r>
            <w:r>
              <w:rPr>
                <w:b/>
                <w:sz w:val="20"/>
              </w:rPr>
              <w:t>NCOME</w:t>
            </w:r>
            <w:r>
              <w:rPr>
                <w:b/>
              </w:rPr>
              <w:t xml:space="preserve"> F</w:t>
            </w:r>
            <w:r>
              <w:rPr>
                <w:b/>
                <w:sz w:val="20"/>
              </w:rPr>
              <w:t>UND</w:t>
            </w:r>
          </w:p>
        </w:tc>
      </w:tr>
      <w:tr>
        <w:trPr>
          <w:trHeight w:val="120" w:hRule="atLeast"/>
        </w:trPr>
        <w:tc>
          <w:tcPr>
            <w:tcW w:w="338" w:type="dxa"/>
            <w:tcBorders/>
            <w:vAlign w:val="center"/>
          </w:tcPr>
          <w:p>
            <w:pPr>
              <w:pStyle w:val="TableContents"/>
              <w:bidi w:val="0"/>
              <w:spacing w:before="0" w:after="283"/>
              <w:jc w:val="left"/>
              <w:rPr>
                <w:sz w:val="4"/>
                <w:szCs w:val="4"/>
              </w:rPr>
            </w:pPr>
            <w:r>
              <w:rPr>
                <w:sz w:val="4"/>
                <w:szCs w:val="4"/>
              </w:rPr>
            </w:r>
          </w:p>
        </w:tc>
        <w:tc>
          <w:tcPr>
            <w:tcW w:w="3744" w:type="dxa"/>
            <w:gridSpan w:val="2"/>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283"/>
              <w:jc w:val="left"/>
              <w:rPr>
                <w:b/>
              </w:rPr>
            </w:pPr>
            <w:r>
              <w:rPr>
                <w:b/>
              </w:rPr>
              <w:t></w:t>
            </w:r>
          </w:p>
        </w:tc>
        <w:tc>
          <w:tcPr>
            <w:tcW w:w="60" w:type="dxa"/>
            <w:tcBorders/>
            <w:vAlign w:val="bottom"/>
          </w:tcPr>
          <w:p>
            <w:pPr>
              <w:pStyle w:val="TableContents"/>
              <w:bidi w:val="0"/>
              <w:spacing w:before="0" w:after="283"/>
              <w:jc w:val="left"/>
              <w:rPr/>
            </w:pPr>
            <w:r>
              <w:rPr/>
              <w:t> </w:t>
            </w:r>
          </w:p>
        </w:tc>
        <w:tc>
          <w:tcPr>
            <w:tcW w:w="3684" w:type="dxa"/>
            <w:tcBorders/>
            <w:vAlign w:val="bottom"/>
          </w:tcPr>
          <w:p>
            <w:pPr>
              <w:pStyle w:val="TableContents"/>
              <w:bidi w:val="0"/>
              <w:spacing w:before="0" w:after="283"/>
              <w:jc w:val="left"/>
              <w:rPr>
                <w:b/>
              </w:rPr>
            </w:pPr>
            <w:r>
              <w:rPr>
                <w:b/>
              </w:rPr>
              <w:t>D</w:t>
            </w:r>
            <w:r>
              <w:rPr>
                <w:b/>
                <w:sz w:val="20"/>
              </w:rPr>
              <w:t>ESTINATIONS</w:t>
            </w:r>
            <w:r>
              <w:rPr>
                <w:b/>
              </w:rPr>
              <w:t xml:space="preserve"> L</w:t>
            </w:r>
            <w:r>
              <w:rPr>
                <w:b/>
                <w:sz w:val="20"/>
              </w:rPr>
              <w:t>OW</w:t>
            </w:r>
            <w:r>
              <w:rPr>
                <w:b/>
              </w:rPr>
              <w:t xml:space="preserve"> D</w:t>
            </w:r>
            <w:r>
              <w:rPr>
                <w:b/>
                <w:sz w:val="20"/>
              </w:rPr>
              <w:t>URATION</w:t>
            </w:r>
            <w:r>
              <w:rPr>
                <w:b/>
              </w:rPr>
              <w:t xml:space="preserve"> F</w:t>
            </w:r>
            <w:r>
              <w:rPr>
                <w:b/>
                <w:sz w:val="20"/>
              </w:rPr>
              <w:t>IXED</w:t>
            </w:r>
            <w:r>
              <w:rPr>
                <w:b/>
              </w:rPr>
              <w:t xml:space="preserve"> I</w:t>
            </w:r>
            <w:r>
              <w:rPr>
                <w:b/>
                <w:sz w:val="20"/>
              </w:rPr>
              <w:t>NCOME</w:t>
            </w:r>
            <w:r>
              <w:rPr>
                <w:b/>
              </w:rPr>
              <w:t xml:space="preserve"> F</w:t>
            </w:r>
            <w:r>
              <w:rPr>
                <w:b/>
                <w:sz w:val="20"/>
              </w:rPr>
              <w:t>UND</w:t>
            </w:r>
          </w:p>
        </w:tc>
      </w:tr>
      <w:tr>
        <w:trPr>
          <w:trHeight w:val="120" w:hRule="atLeast"/>
        </w:trPr>
        <w:tc>
          <w:tcPr>
            <w:tcW w:w="338" w:type="dxa"/>
            <w:tcBorders/>
            <w:vAlign w:val="center"/>
          </w:tcPr>
          <w:p>
            <w:pPr>
              <w:pStyle w:val="TableContents"/>
              <w:bidi w:val="0"/>
              <w:spacing w:before="0" w:after="283"/>
              <w:jc w:val="left"/>
              <w:rPr>
                <w:sz w:val="4"/>
                <w:szCs w:val="4"/>
              </w:rPr>
            </w:pPr>
            <w:r>
              <w:rPr>
                <w:sz w:val="4"/>
                <w:szCs w:val="4"/>
              </w:rPr>
            </w:r>
          </w:p>
        </w:tc>
        <w:tc>
          <w:tcPr>
            <w:tcW w:w="3744" w:type="dxa"/>
            <w:gridSpan w:val="2"/>
            <w:tcBorders/>
            <w:vAlign w:val="center"/>
          </w:tcPr>
          <w:p>
            <w:pPr>
              <w:pStyle w:val="TableContents"/>
              <w:bidi w:val="0"/>
              <w:spacing w:before="0" w:after="283"/>
              <w:jc w:val="left"/>
              <w:rPr>
                <w:sz w:val="4"/>
                <w:szCs w:val="4"/>
              </w:rPr>
            </w:pPr>
            <w:r>
              <w:rPr>
                <w:sz w:val="4"/>
                <w:szCs w:val="4"/>
              </w:rPr>
            </w:r>
          </w:p>
        </w:tc>
      </w:tr>
      <w:tr>
        <w:trPr/>
        <w:tc>
          <w:tcPr>
            <w:tcW w:w="338" w:type="dxa"/>
            <w:tcBorders/>
          </w:tcPr>
          <w:p>
            <w:pPr>
              <w:pStyle w:val="TableContents"/>
              <w:bidi w:val="0"/>
              <w:spacing w:before="0" w:after="283"/>
              <w:jc w:val="left"/>
              <w:rPr>
                <w:b/>
              </w:rPr>
            </w:pPr>
            <w:r>
              <w:rPr>
                <w:b/>
              </w:rPr>
              <w:t></w:t>
            </w:r>
          </w:p>
        </w:tc>
        <w:tc>
          <w:tcPr>
            <w:tcW w:w="60" w:type="dxa"/>
            <w:tcBorders/>
            <w:vAlign w:val="bottom"/>
          </w:tcPr>
          <w:p>
            <w:pPr>
              <w:pStyle w:val="TableContents"/>
              <w:bidi w:val="0"/>
              <w:spacing w:before="0" w:after="283"/>
              <w:jc w:val="left"/>
              <w:rPr/>
            </w:pPr>
            <w:r>
              <w:rPr/>
              <w:t> </w:t>
            </w:r>
          </w:p>
        </w:tc>
        <w:tc>
          <w:tcPr>
            <w:tcW w:w="3684" w:type="dxa"/>
            <w:tcBorders/>
            <w:vAlign w:val="bottom"/>
          </w:tcPr>
          <w:p>
            <w:pPr>
              <w:pStyle w:val="TableContents"/>
              <w:bidi w:val="0"/>
              <w:spacing w:before="0" w:after="283"/>
              <w:jc w:val="left"/>
              <w:rPr>
                <w:b/>
              </w:rPr>
            </w:pPr>
            <w:r>
              <w:rPr>
                <w:b/>
              </w:rPr>
              <w:t>C</w:t>
            </w:r>
            <w:r>
              <w:rPr>
                <w:b/>
                <w:sz w:val="20"/>
              </w:rPr>
              <w:t>ROSSING</w:t>
            </w:r>
            <w:r>
              <w:rPr>
                <w:b/>
              </w:rPr>
              <w:t>B</w:t>
            </w:r>
            <w:r>
              <w:rPr>
                <w:b/>
                <w:sz w:val="20"/>
              </w:rPr>
              <w:t>RIDGE</w:t>
            </w:r>
            <w:r>
              <w:rPr>
                <w:b/>
              </w:rPr>
              <w:t xml:space="preserve"> L</w:t>
            </w:r>
            <w:r>
              <w:rPr>
                <w:b/>
                <w:sz w:val="20"/>
              </w:rPr>
              <w:t>OW</w:t>
            </w:r>
            <w:r>
              <w:rPr>
                <w:b/>
              </w:rPr>
              <w:t xml:space="preserve"> D</w:t>
            </w:r>
            <w:r>
              <w:rPr>
                <w:b/>
                <w:sz w:val="20"/>
              </w:rPr>
              <w:t>URATION</w:t>
            </w:r>
            <w:r>
              <w:rPr>
                <w:b/>
              </w:rPr>
              <w:t xml:space="preserve"> H</w:t>
            </w:r>
            <w:r>
              <w:rPr>
                <w:b/>
                <w:sz w:val="20"/>
              </w:rPr>
              <w:t>IGH</w:t>
            </w:r>
            <w:r>
              <w:rPr>
                <w:b/>
              </w:rPr>
              <w:t xml:space="preserve"> I</w:t>
            </w:r>
            <w:r>
              <w:rPr>
                <w:b/>
                <w:sz w:val="20"/>
              </w:rPr>
              <w:t>NCOME</w:t>
            </w:r>
            <w:r>
              <w:rPr>
                <w:b/>
              </w:rPr>
              <w:t xml:space="preserve"> F</w:t>
            </w:r>
            <w:r>
              <w:rPr>
                <w:b/>
                <w:sz w:val="20"/>
              </w:rPr>
              <w:t>UND</w:t>
            </w:r>
            <w:r>
              <w:rPr>
                <w:b/>
              </w:rPr>
              <w:t xml:space="preserve"> (UCIT)</w:t>
            </w:r>
          </w:p>
        </w:tc>
      </w:tr>
      <w:tr>
        <w:trPr>
          <w:trHeight w:val="240" w:hRule="atLeast"/>
        </w:trPr>
        <w:tc>
          <w:tcPr>
            <w:tcW w:w="338" w:type="dxa"/>
            <w:tcBorders/>
            <w:vAlign w:val="center"/>
          </w:tcPr>
          <w:p>
            <w:pPr>
              <w:pStyle w:val="TableContents"/>
              <w:bidi w:val="0"/>
              <w:spacing w:before="0" w:after="283"/>
              <w:jc w:val="left"/>
              <w:rPr>
                <w:sz w:val="4"/>
                <w:szCs w:val="4"/>
              </w:rPr>
            </w:pPr>
            <w:r>
              <w:rPr>
                <w:sz w:val="4"/>
                <w:szCs w:val="4"/>
              </w:rPr>
            </w:r>
          </w:p>
        </w:tc>
        <w:tc>
          <w:tcPr>
            <w:tcW w:w="3744" w:type="dxa"/>
            <w:gridSpan w:val="2"/>
            <w:tcBorders/>
            <w:vAlign w:val="center"/>
          </w:tcPr>
          <w:p>
            <w:pPr>
              <w:pStyle w:val="TableContents"/>
              <w:bidi w:val="0"/>
              <w:spacing w:before="0" w:after="283"/>
              <w:jc w:val="left"/>
              <w:rPr>
                <w:sz w:val="4"/>
                <w:szCs w:val="4"/>
              </w:rPr>
            </w:pPr>
            <w:r>
              <w:rPr>
                <w:sz w:val="4"/>
                <w:szCs w:val="4"/>
              </w:rPr>
            </w:r>
          </w:p>
        </w:tc>
      </w:tr>
      <w:tr>
        <w:trPr/>
        <w:tc>
          <w:tcPr>
            <w:tcW w:w="338"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84"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Sherman</w:t>
            </w:r>
          </w:p>
        </w:tc>
      </w:tr>
      <w:tr>
        <w:trPr/>
        <w:tc>
          <w:tcPr>
            <w:tcW w:w="33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4" w:type="dxa"/>
            <w:tcBorders/>
            <w:vAlign w:val="bottom"/>
          </w:tcPr>
          <w:p>
            <w:pPr>
              <w:pStyle w:val="TableContents"/>
              <w:bidi w:val="0"/>
              <w:spacing w:before="0" w:after="283"/>
              <w:jc w:val="left"/>
              <w:rPr/>
            </w:pPr>
            <w:r>
              <w:rPr/>
              <w:t xml:space="preserve">Name: </w:t>
            </w:r>
            <w:r>
              <w:rPr>
                <w:b/>
              </w:rPr>
              <w:t>D</w:t>
            </w:r>
            <w:r>
              <w:rPr>
                <w:b/>
                <w:sz w:val="20"/>
              </w:rPr>
              <w:t>AVID</w:t>
            </w:r>
            <w:r>
              <w:rPr>
                <w:b/>
              </w:rPr>
              <w:t xml:space="preserve"> S</w:t>
            </w:r>
            <w:r>
              <w:rPr>
                <w:b/>
                <w:sz w:val="20"/>
              </w:rPr>
              <w:t>HERMAN</w:t>
            </w:r>
          </w:p>
        </w:tc>
      </w:tr>
      <w:tr>
        <w:trPr/>
        <w:tc>
          <w:tcPr>
            <w:tcW w:w="33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4" w:type="dxa"/>
            <w:tcBorders/>
            <w:vAlign w:val="bottom"/>
          </w:tcPr>
          <w:p>
            <w:pPr>
              <w:pStyle w:val="TableContents"/>
              <w:bidi w:val="0"/>
              <w:spacing w:before="0" w:after="283"/>
              <w:jc w:val="left"/>
              <w:rPr/>
            </w:pPr>
            <w:r>
              <w:rPr/>
              <w:t xml:space="preserve">Title: </w:t>
            </w:r>
            <w:r>
              <w:rPr>
                <w:b/>
              </w:rPr>
              <w:t>A</w:t>
            </w:r>
            <w:r>
              <w:rPr>
                <w:b/>
                <w:sz w:val="20"/>
              </w:rPr>
              <w:t>UTHORIZED</w:t>
            </w:r>
            <w:r>
              <w:rPr>
                <w:b/>
              </w:rPr>
              <w:t xml:space="preserve"> A</w:t>
            </w:r>
            <w:r>
              <w:rPr>
                <w:b/>
                <w:sz w:val="20"/>
              </w:rPr>
              <w:t>GENT</w:t>
            </w:r>
            <w:r>
              <w:rPr>
                <w:b/>
              </w:rPr>
              <w:t xml:space="preserve"> </w:t>
            </w:r>
            <w:r>
              <w:rPr>
                <w:b/>
                <w:sz w:val="20"/>
              </w:rPr>
              <w:t>AS</w:t>
            </w:r>
          </w:p>
        </w:tc>
      </w:tr>
      <w:tr>
        <w:trPr/>
        <w:tc>
          <w:tcPr>
            <w:tcW w:w="33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4" w:type="dxa"/>
            <w:tcBorders/>
            <w:vAlign w:val="bottom"/>
          </w:tcPr>
          <w:p>
            <w:pPr>
              <w:pStyle w:val="TableContents"/>
              <w:bidi w:val="0"/>
              <w:spacing w:before="0" w:after="283"/>
              <w:jc w:val="left"/>
              <w:rPr/>
            </w:pPr>
            <w:r>
              <w:rPr/>
              <w:t>   </w:t>
            </w:r>
            <w:r>
              <w:rPr>
                <w:b/>
              </w:rPr>
              <w:t>I</w:t>
            </w:r>
            <w:r>
              <w:rPr>
                <w:b/>
                <w:sz w:val="20"/>
              </w:rPr>
              <w:t>NVESTMENT</w:t>
            </w:r>
            <w:r>
              <w:rPr>
                <w:b/>
              </w:rPr>
              <w:t xml:space="preserve"> A</w:t>
            </w:r>
            <w:r>
              <w:rPr>
                <w:b/>
                <w:sz w:val="20"/>
              </w:rPr>
              <w:t>DVISOR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Note Purchase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Agreement is hereby accepted and agreed to as of the date hereof.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7"/>
        <w:gridCol w:w="60"/>
        <w:gridCol w:w="3665"/>
      </w:tblGrid>
      <w:tr>
        <w:trPr/>
        <w:tc>
          <w:tcPr>
            <w:tcW w:w="35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w:t>
            </w:r>
            <w:r>
              <w:rPr>
                <w:b/>
                <w:sz w:val="20"/>
              </w:rPr>
              <w:t>IFE</w:t>
            </w:r>
            <w:r>
              <w:rPr>
                <w:b/>
              </w:rPr>
              <w:t>S</w:t>
            </w:r>
            <w:r>
              <w:rPr>
                <w:b/>
                <w:sz w:val="20"/>
              </w:rPr>
              <w:t>ECURE</w:t>
            </w:r>
            <w:r>
              <w:rPr>
                <w:b/>
              </w:rPr>
              <w:t xml:space="preserve"> I</w:t>
            </w:r>
            <w:r>
              <w:rPr>
                <w:b/>
                <w:sz w:val="20"/>
              </w:rPr>
              <w:t>NSURANCE</w:t>
            </w:r>
            <w:r>
              <w:rPr>
                <w:b/>
              </w:rPr>
              <w:t xml:space="preserve"> C</w:t>
            </w:r>
            <w:r>
              <w:rPr>
                <w:b/>
                <w:sz w:val="20"/>
              </w:rPr>
              <w:t>OMPANY</w:t>
            </w:r>
          </w:p>
        </w:tc>
      </w:tr>
      <w:tr>
        <w:trPr>
          <w:trHeight w:val="240" w:hRule="atLeast"/>
        </w:trPr>
        <w:tc>
          <w:tcPr>
            <w:tcW w:w="357" w:type="dxa"/>
            <w:tcBorders/>
            <w:vAlign w:val="center"/>
          </w:tcPr>
          <w:p>
            <w:pPr>
              <w:pStyle w:val="TableContents"/>
              <w:bidi w:val="0"/>
              <w:spacing w:before="0" w:after="283"/>
              <w:jc w:val="left"/>
              <w:rPr>
                <w:sz w:val="4"/>
                <w:szCs w:val="4"/>
              </w:rPr>
            </w:pPr>
            <w:r>
              <w:rPr>
                <w:sz w:val="4"/>
                <w:szCs w:val="4"/>
              </w:rPr>
            </w:r>
          </w:p>
        </w:tc>
        <w:tc>
          <w:tcPr>
            <w:tcW w:w="3725" w:type="dxa"/>
            <w:gridSpan w:val="2"/>
            <w:tcBorders/>
            <w:vAlign w:val="center"/>
          </w:tcPr>
          <w:p>
            <w:pPr>
              <w:pStyle w:val="TableContents"/>
              <w:bidi w:val="0"/>
              <w:spacing w:before="0" w:after="283"/>
              <w:jc w:val="left"/>
              <w:rPr>
                <w:sz w:val="4"/>
                <w:szCs w:val="4"/>
              </w:rPr>
            </w:pPr>
            <w:r>
              <w:rPr>
                <w:sz w:val="4"/>
                <w:szCs w:val="4"/>
              </w:rPr>
            </w:r>
          </w:p>
        </w:tc>
      </w:tr>
      <w:tr>
        <w:trPr/>
        <w:tc>
          <w:tcPr>
            <w:tcW w:w="357"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Zach Alpern</w:t>
            </w:r>
          </w:p>
        </w:tc>
      </w:tr>
      <w:tr>
        <w:trPr/>
        <w:tc>
          <w:tcPr>
            <w:tcW w:w="35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5" w:type="dxa"/>
            <w:tcBorders/>
            <w:vAlign w:val="bottom"/>
          </w:tcPr>
          <w:p>
            <w:pPr>
              <w:pStyle w:val="TableContents"/>
              <w:bidi w:val="0"/>
              <w:spacing w:before="0" w:after="283"/>
              <w:jc w:val="left"/>
              <w:rPr/>
            </w:pPr>
            <w:r>
              <w:rPr/>
              <w:t>Name: Z</w:t>
            </w:r>
            <w:r>
              <w:rPr>
                <w:sz w:val="20"/>
              </w:rPr>
              <w:t>ACH</w:t>
            </w:r>
            <w:r>
              <w:rPr/>
              <w:t xml:space="preserve"> A</w:t>
            </w:r>
            <w:r>
              <w:rPr>
                <w:sz w:val="20"/>
              </w:rPr>
              <w:t>LPERN</w:t>
            </w:r>
          </w:p>
        </w:tc>
      </w:tr>
      <w:tr>
        <w:trPr/>
        <w:tc>
          <w:tcPr>
            <w:tcW w:w="3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5" w:type="dxa"/>
            <w:tcBorders/>
            <w:vAlign w:val="bottom"/>
          </w:tcPr>
          <w:p>
            <w:pPr>
              <w:pStyle w:val="TableContents"/>
              <w:bidi w:val="0"/>
              <w:spacing w:before="0" w:after="283"/>
              <w:jc w:val="left"/>
              <w:rPr/>
            </w:pPr>
            <w:r>
              <w:rPr/>
              <w:t>Title: P</w:t>
            </w:r>
            <w:r>
              <w:rPr>
                <w:sz w:val="20"/>
              </w:rPr>
              <w:t>ORTFOLIO</w:t>
            </w:r>
            <w:r>
              <w:rPr/>
              <w:t xml:space="preserve"> M</w:t>
            </w:r>
            <w:r>
              <w:rPr>
                <w:sz w:val="20"/>
              </w:rPr>
              <w:t>ANAGER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Note Purchase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Agreement is hereby accepted and agreed to as of the date hereof.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1"/>
        <w:gridCol w:w="60"/>
        <w:gridCol w:w="3681"/>
      </w:tblGrid>
      <w:tr>
        <w:trPr/>
        <w:tc>
          <w:tcPr>
            <w:tcW w:w="34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8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w:t>
            </w:r>
            <w:r>
              <w:rPr>
                <w:b/>
                <w:sz w:val="20"/>
              </w:rPr>
              <w:t>HE</w:t>
            </w:r>
            <w:r>
              <w:rPr>
                <w:b/>
              </w:rPr>
              <w:t xml:space="preserve"> F</w:t>
            </w:r>
            <w:r>
              <w:rPr>
                <w:b/>
                <w:sz w:val="20"/>
              </w:rPr>
              <w:t>IRST</w:t>
            </w:r>
            <w:r>
              <w:rPr>
                <w:b/>
              </w:rPr>
              <w:t xml:space="preserve"> N</w:t>
            </w:r>
            <w:r>
              <w:rPr>
                <w:b/>
                <w:sz w:val="20"/>
              </w:rPr>
              <w:t>ATIONAL</w:t>
            </w:r>
            <w:r>
              <w:rPr>
                <w:b/>
              </w:rPr>
              <w:t xml:space="preserve"> B</w:t>
            </w:r>
            <w:r>
              <w:rPr>
                <w:b/>
                <w:sz w:val="20"/>
              </w:rPr>
              <w:t>ANK</w:t>
            </w:r>
            <w:r>
              <w:rPr>
                <w:b/>
              </w:rPr>
              <w:t xml:space="preserve"> </w:t>
            </w:r>
            <w:r>
              <w:rPr>
                <w:b/>
                <w:sz w:val="20"/>
              </w:rPr>
              <w:t>AND</w:t>
            </w:r>
            <w:r>
              <w:rPr>
                <w:b/>
              </w:rPr>
              <w:t xml:space="preserve"> T</w:t>
            </w:r>
            <w:r>
              <w:rPr>
                <w:b/>
                <w:sz w:val="20"/>
              </w:rPr>
              <w:t>RUST</w:t>
            </w:r>
            <w:r>
              <w:rPr>
                <w:b/>
              </w:rPr>
              <w:t xml:space="preserve"> C</w:t>
            </w:r>
            <w:r>
              <w:rPr>
                <w:b/>
                <w:sz w:val="20"/>
              </w:rPr>
              <w:t>O</w:t>
            </w:r>
            <w:r>
              <w:rPr>
                <w:b/>
              </w:rPr>
              <w:t>.</w:t>
            </w:r>
          </w:p>
        </w:tc>
      </w:tr>
      <w:tr>
        <w:trPr>
          <w:trHeight w:val="240" w:hRule="atLeast"/>
        </w:trPr>
        <w:tc>
          <w:tcPr>
            <w:tcW w:w="341" w:type="dxa"/>
            <w:tcBorders/>
            <w:vAlign w:val="center"/>
          </w:tcPr>
          <w:p>
            <w:pPr>
              <w:pStyle w:val="TableContents"/>
              <w:bidi w:val="0"/>
              <w:spacing w:before="0" w:after="283"/>
              <w:jc w:val="left"/>
              <w:rPr>
                <w:sz w:val="4"/>
                <w:szCs w:val="4"/>
              </w:rPr>
            </w:pPr>
            <w:r>
              <w:rPr>
                <w:sz w:val="4"/>
                <w:szCs w:val="4"/>
              </w:rPr>
            </w:r>
          </w:p>
        </w:tc>
        <w:tc>
          <w:tcPr>
            <w:tcW w:w="3741" w:type="dxa"/>
            <w:gridSpan w:val="2"/>
            <w:tcBorders/>
            <w:vAlign w:val="center"/>
          </w:tcPr>
          <w:p>
            <w:pPr>
              <w:pStyle w:val="TableContents"/>
              <w:bidi w:val="0"/>
              <w:spacing w:before="0" w:after="283"/>
              <w:jc w:val="left"/>
              <w:rPr>
                <w:sz w:val="4"/>
                <w:szCs w:val="4"/>
              </w:rPr>
            </w:pPr>
            <w:r>
              <w:rPr>
                <w:sz w:val="4"/>
                <w:szCs w:val="4"/>
              </w:rPr>
            </w:r>
          </w:p>
        </w:tc>
      </w:tr>
      <w:tr>
        <w:trPr/>
        <w:tc>
          <w:tcPr>
            <w:tcW w:w="341"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81"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Kyle A. Abrahams</w:t>
            </w:r>
          </w:p>
        </w:tc>
      </w:tr>
      <w:tr>
        <w:trPr/>
        <w:tc>
          <w:tcPr>
            <w:tcW w:w="34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1" w:type="dxa"/>
            <w:tcBorders/>
            <w:vAlign w:val="bottom"/>
          </w:tcPr>
          <w:p>
            <w:pPr>
              <w:pStyle w:val="TableContents"/>
              <w:bidi w:val="0"/>
              <w:spacing w:before="0" w:after="283"/>
              <w:jc w:val="left"/>
              <w:rPr/>
            </w:pPr>
            <w:r>
              <w:rPr/>
              <w:t xml:space="preserve">Name: </w:t>
            </w:r>
            <w:r>
              <w:rPr>
                <w:b/>
              </w:rPr>
              <w:t>K</w:t>
            </w:r>
            <w:r>
              <w:rPr>
                <w:b/>
                <w:sz w:val="20"/>
              </w:rPr>
              <w:t>YLE</w:t>
            </w:r>
            <w:r>
              <w:rPr>
                <w:b/>
              </w:rPr>
              <w:t xml:space="preserve"> A. A</w:t>
            </w:r>
            <w:r>
              <w:rPr>
                <w:b/>
                <w:sz w:val="20"/>
              </w:rPr>
              <w:t>BRAHAMS</w:t>
            </w:r>
          </w:p>
        </w:tc>
      </w:tr>
      <w:tr>
        <w:trPr/>
        <w:tc>
          <w:tcPr>
            <w:tcW w:w="3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81" w:type="dxa"/>
            <w:tcBorders/>
            <w:vAlign w:val="bottom"/>
          </w:tcPr>
          <w:p>
            <w:pPr>
              <w:pStyle w:val="TableContents"/>
              <w:bidi w:val="0"/>
              <w:spacing w:before="0" w:after="283"/>
              <w:jc w:val="left"/>
              <w:rPr/>
            </w:pPr>
            <w:r>
              <w:rPr/>
              <w:t xml:space="preserve">Title: </w:t>
            </w:r>
            <w:r>
              <w:rPr>
                <w:b/>
              </w:rPr>
              <w:t>EVP / CFO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Note Purchase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Agreement is hereby accepted and agreed to as of the date hereof.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1"/>
        <w:gridCol w:w="60"/>
        <w:gridCol w:w="3661"/>
      </w:tblGrid>
      <w:tr>
        <w:trPr/>
        <w:tc>
          <w:tcPr>
            <w:tcW w:w="3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W</w:t>
            </w:r>
            <w:r>
              <w:rPr>
                <w:b/>
                <w:sz w:val="20"/>
              </w:rPr>
              <w:t>INTHROP</w:t>
            </w:r>
            <w:r>
              <w:rPr>
                <w:b/>
              </w:rPr>
              <w:t xml:space="preserve"> C</w:t>
            </w:r>
            <w:r>
              <w:rPr>
                <w:b/>
                <w:sz w:val="20"/>
              </w:rPr>
              <w:t>APITAL</w:t>
            </w:r>
            <w:r>
              <w:rPr>
                <w:b/>
              </w:rPr>
              <w:t xml:space="preserve"> M</w:t>
            </w:r>
            <w:r>
              <w:rPr>
                <w:b/>
                <w:sz w:val="20"/>
              </w:rPr>
              <w:t>ANAGEMENT</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Adam Coons</w:t>
            </w:r>
          </w:p>
        </w:tc>
      </w:tr>
      <w:tr>
        <w:trPr/>
        <w:tc>
          <w:tcPr>
            <w:tcW w:w="3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Name: Adam Coons</w:t>
            </w:r>
          </w:p>
        </w:tc>
      </w:tr>
      <w:tr>
        <w:trPr/>
        <w:tc>
          <w:tcPr>
            <w:tcW w:w="3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1" w:type="dxa"/>
            <w:tcBorders/>
            <w:vAlign w:val="bottom"/>
          </w:tcPr>
          <w:p>
            <w:pPr>
              <w:pStyle w:val="TableContents"/>
              <w:bidi w:val="0"/>
              <w:spacing w:before="0" w:after="283"/>
              <w:jc w:val="left"/>
              <w:rPr/>
            </w:pPr>
            <w:r>
              <w:rPr/>
              <w:t>Title: Chief Investment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Note Purchase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Agreement is hereby accepted and agreed to as of the date hereof.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3"/>
        <w:gridCol w:w="60"/>
        <w:gridCol w:w="3659"/>
      </w:tblGrid>
      <w:tr>
        <w:trPr/>
        <w:tc>
          <w:tcPr>
            <w:tcW w:w="3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KSKJ Life</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2"/>
            <w:tcBorders/>
            <w:vAlign w:val="center"/>
          </w:tcPr>
          <w:p>
            <w:pPr>
              <w:pStyle w:val="TableContents"/>
              <w:bidi w:val="0"/>
              <w:spacing w:before="0" w:after="283"/>
              <w:jc w:val="left"/>
              <w:rPr>
                <w:sz w:val="4"/>
                <w:szCs w:val="4"/>
              </w:rPr>
            </w:pPr>
            <w:r>
              <w:rPr>
                <w:sz w:val="4"/>
                <w:szCs w:val="4"/>
              </w:rPr>
            </w:r>
          </w:p>
        </w:tc>
      </w:tr>
      <w:tr>
        <w:trPr/>
        <w:tc>
          <w:tcPr>
            <w:tcW w:w="363"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9"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Brian Sharp</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9" w:type="dxa"/>
            <w:tcBorders/>
            <w:vAlign w:val="bottom"/>
          </w:tcPr>
          <w:p>
            <w:pPr>
              <w:pStyle w:val="TableContents"/>
              <w:bidi w:val="0"/>
              <w:spacing w:before="0" w:after="283"/>
              <w:jc w:val="left"/>
              <w:rPr/>
            </w:pPr>
            <w:r>
              <w:rPr/>
              <w:t>Name: Brian Sharp</w:t>
            </w:r>
          </w:p>
        </w:tc>
      </w:tr>
      <w:tr>
        <w:trPr/>
        <w:tc>
          <w:tcPr>
            <w:tcW w:w="3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9" w:type="dxa"/>
            <w:tcBorders/>
            <w:vAlign w:val="bottom"/>
          </w:tcPr>
          <w:p>
            <w:pPr>
              <w:pStyle w:val="TableContents"/>
              <w:bidi w:val="0"/>
              <w:spacing w:before="0" w:after="283"/>
              <w:jc w:val="left"/>
              <w:rPr/>
            </w:pPr>
            <w:r>
              <w:rPr/>
              <w:t>Title: CFO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Note Purchase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Agreement is hereby accepted and agreed to as of the date hereof.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6"/>
        <w:gridCol w:w="60"/>
        <w:gridCol w:w="3666"/>
      </w:tblGrid>
      <w:tr>
        <w:trPr/>
        <w:tc>
          <w:tcPr>
            <w:tcW w:w="3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w:t>
            </w:r>
            <w:r>
              <w:rPr>
                <w:b/>
                <w:sz w:val="20"/>
              </w:rPr>
              <w:t>ANK</w:t>
            </w:r>
            <w:r>
              <w:rPr>
                <w:b/>
              </w:rPr>
              <w:t xml:space="preserve"> </w:t>
            </w:r>
            <w:r>
              <w:rPr>
                <w:b/>
                <w:sz w:val="20"/>
              </w:rPr>
              <w:t>OF</w:t>
            </w:r>
            <w:r>
              <w:rPr>
                <w:b/>
              </w:rPr>
              <w:t xml:space="preserve"> G</w:t>
            </w:r>
            <w:r>
              <w:rPr>
                <w:b/>
                <w:sz w:val="20"/>
              </w:rPr>
              <w:t>UYANA</w:t>
            </w:r>
          </w:p>
        </w:tc>
      </w:tr>
      <w:tr>
        <w:trPr>
          <w:trHeight w:val="240" w:hRule="atLeast"/>
        </w:trPr>
        <w:tc>
          <w:tcPr>
            <w:tcW w:w="356" w:type="dxa"/>
            <w:tcBorders/>
            <w:vAlign w:val="center"/>
          </w:tcPr>
          <w:p>
            <w:pPr>
              <w:pStyle w:val="TableContents"/>
              <w:bidi w:val="0"/>
              <w:spacing w:before="0" w:after="283"/>
              <w:jc w:val="left"/>
              <w:rPr>
                <w:sz w:val="4"/>
                <w:szCs w:val="4"/>
              </w:rPr>
            </w:pPr>
            <w:r>
              <w:rPr>
                <w:sz w:val="4"/>
                <w:szCs w:val="4"/>
              </w:rPr>
            </w:r>
          </w:p>
        </w:tc>
        <w:tc>
          <w:tcPr>
            <w:tcW w:w="3726" w:type="dxa"/>
            <w:gridSpan w:val="2"/>
            <w:tcBorders/>
            <w:vAlign w:val="center"/>
          </w:tcPr>
          <w:p>
            <w:pPr>
              <w:pStyle w:val="TableContents"/>
              <w:bidi w:val="0"/>
              <w:spacing w:before="0" w:after="283"/>
              <w:jc w:val="left"/>
              <w:rPr>
                <w:sz w:val="4"/>
                <w:szCs w:val="4"/>
              </w:rPr>
            </w:pPr>
            <w:r>
              <w:rPr>
                <w:sz w:val="4"/>
                <w:szCs w:val="4"/>
              </w:rPr>
            </w:r>
          </w:p>
        </w:tc>
      </w:tr>
      <w:tr>
        <w:trPr/>
        <w:tc>
          <w:tcPr>
            <w:tcW w:w="356"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6"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Maurice Munro</w:t>
            </w:r>
          </w:p>
        </w:tc>
      </w:tr>
      <w:tr>
        <w:trPr/>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6" w:type="dxa"/>
            <w:tcBorders/>
            <w:vAlign w:val="bottom"/>
          </w:tcPr>
          <w:p>
            <w:pPr>
              <w:pStyle w:val="TableContents"/>
              <w:bidi w:val="0"/>
              <w:spacing w:before="0" w:after="283"/>
              <w:jc w:val="left"/>
              <w:rPr/>
            </w:pPr>
            <w:r>
              <w:rPr/>
              <w:t>Name: Maurice Munro</w:t>
            </w:r>
          </w:p>
        </w:tc>
      </w:tr>
      <w:tr>
        <w:trPr/>
        <w:tc>
          <w:tcPr>
            <w:tcW w:w="3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6" w:type="dxa"/>
            <w:tcBorders/>
            <w:vAlign w:val="bottom"/>
          </w:tcPr>
          <w:p>
            <w:pPr>
              <w:pStyle w:val="TableContents"/>
              <w:bidi w:val="0"/>
              <w:spacing w:before="0" w:after="283"/>
              <w:jc w:val="left"/>
              <w:rPr/>
            </w:pPr>
            <w:r>
              <w:rPr/>
              <w:t>Title: Chief Accountant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Note Purchase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Agreement is hereby accepted and agreed to as of the date hereof.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8"/>
        <w:gridCol w:w="60"/>
        <w:gridCol w:w="3674"/>
      </w:tblGrid>
      <w:tr>
        <w:trPr/>
        <w:tc>
          <w:tcPr>
            <w:tcW w:w="34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w:t>
            </w:r>
            <w:r>
              <w:rPr>
                <w:b/>
                <w:sz w:val="20"/>
              </w:rPr>
              <w:t>EW</w:t>
            </w:r>
            <w:r>
              <w:rPr>
                <w:b/>
              </w:rPr>
              <w:t>G</w:t>
            </w:r>
            <w:r>
              <w:rPr>
                <w:b/>
                <w:sz w:val="20"/>
              </w:rPr>
              <w:t>EN</w:t>
            </w:r>
            <w:r>
              <w:rPr>
                <w:b/>
              </w:rPr>
              <w:t xml:space="preserve"> C</w:t>
            </w:r>
            <w:r>
              <w:rPr>
                <w:b/>
                <w:sz w:val="20"/>
              </w:rPr>
              <w:t>REDIT</w:t>
            </w:r>
            <w:r>
              <w:rPr>
                <w:b/>
              </w:rPr>
              <w:t xml:space="preserve"> S</w:t>
            </w:r>
            <w:r>
              <w:rPr>
                <w:b/>
                <w:sz w:val="20"/>
              </w:rPr>
              <w:t>TRATEGIES</w:t>
            </w:r>
            <w:r>
              <w:rPr>
                <w:b/>
              </w:rPr>
              <w:t xml:space="preserve"> F</w:t>
            </w:r>
            <w:r>
              <w:rPr>
                <w:b/>
                <w:sz w:val="20"/>
              </w:rPr>
              <w:t>UND</w:t>
            </w:r>
          </w:p>
        </w:tc>
      </w:tr>
      <w:tr>
        <w:trPr>
          <w:trHeight w:val="240" w:hRule="atLeast"/>
        </w:trPr>
        <w:tc>
          <w:tcPr>
            <w:tcW w:w="348" w:type="dxa"/>
            <w:tcBorders/>
            <w:vAlign w:val="center"/>
          </w:tcPr>
          <w:p>
            <w:pPr>
              <w:pStyle w:val="TableContents"/>
              <w:bidi w:val="0"/>
              <w:spacing w:before="0" w:after="283"/>
              <w:jc w:val="left"/>
              <w:rPr>
                <w:sz w:val="4"/>
                <w:szCs w:val="4"/>
              </w:rPr>
            </w:pPr>
            <w:r>
              <w:rPr>
                <w:sz w:val="4"/>
                <w:szCs w:val="4"/>
              </w:rPr>
            </w:r>
          </w:p>
        </w:tc>
        <w:tc>
          <w:tcPr>
            <w:tcW w:w="3734" w:type="dxa"/>
            <w:gridSpan w:val="2"/>
            <w:tcBorders/>
            <w:vAlign w:val="center"/>
          </w:tcPr>
          <w:p>
            <w:pPr>
              <w:pStyle w:val="TableContents"/>
              <w:bidi w:val="0"/>
              <w:spacing w:before="0" w:after="283"/>
              <w:jc w:val="left"/>
              <w:rPr>
                <w:sz w:val="4"/>
                <w:szCs w:val="4"/>
              </w:rPr>
            </w:pPr>
            <w:r>
              <w:rPr>
                <w:sz w:val="4"/>
                <w:szCs w:val="4"/>
              </w:rPr>
            </w:r>
          </w:p>
        </w:tc>
      </w:tr>
      <w:tr>
        <w:trPr/>
        <w:tc>
          <w:tcPr>
            <w:tcW w:w="348"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74"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Adam Mitchell</w:t>
            </w:r>
          </w:p>
        </w:tc>
      </w:tr>
      <w:tr>
        <w:trPr/>
        <w:tc>
          <w:tcPr>
            <w:tcW w:w="34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4" w:type="dxa"/>
            <w:tcBorders/>
            <w:vAlign w:val="bottom"/>
          </w:tcPr>
          <w:p>
            <w:pPr>
              <w:pStyle w:val="TableContents"/>
              <w:bidi w:val="0"/>
              <w:spacing w:before="0" w:after="283"/>
              <w:jc w:val="left"/>
              <w:rPr/>
            </w:pPr>
            <w:r>
              <w:rPr/>
              <w:t xml:space="preserve">Name: </w:t>
            </w:r>
            <w:r>
              <w:rPr>
                <w:b/>
              </w:rPr>
              <w:t>A</w:t>
            </w:r>
            <w:r>
              <w:rPr>
                <w:b/>
                <w:sz w:val="20"/>
              </w:rPr>
              <w:t>DAM</w:t>
            </w:r>
            <w:r>
              <w:rPr>
                <w:b/>
              </w:rPr>
              <w:t xml:space="preserve"> M</w:t>
            </w:r>
            <w:r>
              <w:rPr>
                <w:b/>
                <w:sz w:val="20"/>
              </w:rPr>
              <w:t>ITCHELL</w:t>
            </w:r>
          </w:p>
        </w:tc>
      </w:tr>
      <w:tr>
        <w:trPr/>
        <w:tc>
          <w:tcPr>
            <w:tcW w:w="3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4" w:type="dxa"/>
            <w:tcBorders/>
            <w:vAlign w:val="bottom"/>
          </w:tcPr>
          <w:p>
            <w:pPr>
              <w:pStyle w:val="TableContents"/>
              <w:bidi w:val="0"/>
              <w:spacing w:before="0" w:after="283"/>
              <w:jc w:val="left"/>
              <w:rPr/>
            </w:pPr>
            <w:r>
              <w:rPr/>
              <w:t xml:space="preserve">Title: </w:t>
            </w:r>
            <w:r>
              <w:rPr>
                <w:b/>
              </w:rPr>
              <w:t>P</w:t>
            </w:r>
            <w:r>
              <w:rPr>
                <w:b/>
                <w:sz w:val="20"/>
              </w:rPr>
              <w:t>ORTFOLIO</w:t>
            </w:r>
            <w:r>
              <w:rPr>
                <w:b/>
              </w:rPr>
              <w:t xml:space="preserve"> M</w:t>
            </w:r>
            <w:r>
              <w:rPr>
                <w:b/>
                <w:sz w:val="20"/>
              </w:rPr>
              <w:t>ANAGER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Note Purchase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A </w:t>
      </w:r>
    </w:p>
    <w:p>
      <w:pPr>
        <w:pStyle w:val="TextBody"/>
        <w:bidi w:val="0"/>
        <w:spacing w:before="120" w:after="0"/>
        <w:jc w:val="center"/>
        <w:rPr>
          <w:rFonts w:ascii="Times New Roman" w:hAnsi="Times New Roman"/>
          <w:b/>
          <w:sz w:val="20"/>
        </w:rPr>
      </w:pPr>
      <w:r>
        <w:rPr>
          <w:rFonts w:ascii="Times New Roman" w:hAnsi="Times New Roman"/>
          <w:b/>
          <w:sz w:val="20"/>
        </w:rPr>
        <w:t xml:space="preserve">DEFINED TERMS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the following terms have the respective meanings set forth below or set forth in the Section hereof following such term: </w:t>
      </w:r>
    </w:p>
    <w:p>
      <w:pPr>
        <w:pStyle w:val="TextBody"/>
        <w:bidi w:val="0"/>
        <w:spacing w:before="120" w:after="0"/>
        <w:jc w:val="left"/>
        <w:rPr/>
      </w:pPr>
      <w:r>
        <w:rPr/>
        <w:t>“</w:t>
      </w:r>
      <w:r>
        <w:rPr>
          <w:rFonts w:ascii="Times New Roman" w:hAnsi="Times New Roman"/>
          <w:b/>
          <w:sz w:val="20"/>
        </w:rPr>
        <w:t>2029 Notes-2 Registration Rights Agreement</w:t>
      </w:r>
      <w:r>
        <w:rPr>
          <w:rFonts w:ascii="Times New Roman" w:hAnsi="Times New Roman"/>
          <w:sz w:val="20"/>
        </w:rPr>
        <w:t xml:space="preserve">” is defined in Section 4.7. </w:t>
      </w:r>
    </w:p>
    <w:p>
      <w:pPr>
        <w:pStyle w:val="TextBody"/>
        <w:bidi w:val="0"/>
        <w:spacing w:before="240" w:after="0"/>
        <w:jc w:val="left"/>
        <w:rPr/>
      </w:pPr>
      <w:r>
        <w:rPr/>
        <w:t>“</w:t>
      </w:r>
      <w:r>
        <w:rPr>
          <w:rFonts w:ascii="Times New Roman" w:hAnsi="Times New Roman"/>
          <w:b/>
          <w:sz w:val="20"/>
        </w:rPr>
        <w:t>2031 Notes Registration Rights Agreement</w:t>
      </w:r>
      <w:r>
        <w:rPr>
          <w:rFonts w:ascii="Times New Roman" w:hAnsi="Times New Roman"/>
          <w:sz w:val="20"/>
        </w:rPr>
        <w:t xml:space="preserve">” is defined in Section 4.7. </w:t>
      </w:r>
    </w:p>
    <w:p>
      <w:pPr>
        <w:pStyle w:val="TextBody"/>
        <w:bidi w:val="0"/>
        <w:spacing w:before="240" w:after="0"/>
        <w:jc w:val="left"/>
        <w:rPr/>
      </w:pPr>
      <w:r>
        <w:rPr/>
        <w:t>“</w:t>
      </w:r>
      <w:r>
        <w:rPr>
          <w:rFonts w:ascii="Times New Roman" w:hAnsi="Times New Roman"/>
          <w:b/>
          <w:sz w:val="20"/>
        </w:rPr>
        <w:t>Acceptable Rating Agency</w:t>
      </w:r>
      <w:r>
        <w:rPr>
          <w:rFonts w:ascii="Times New Roman" w:hAnsi="Times New Roman"/>
          <w:sz w:val="20"/>
        </w:rPr>
        <w:t xml:space="preserve">” means (a) Egan-Jones or (b) any other credit rating agency that is recognized as a nationally recognized statistical rating organization by the SEC and approved by the Required Holders, so long as, in each case, any such credit rating agency described in clause (a) or (b) above continues to be a nationally recognized statistical rating organization recognized by the SEC and is approved as a “Credit Rating Provider” (or other similar designation) by the NAIC. </w:t>
      </w:r>
    </w:p>
    <w:p>
      <w:pPr>
        <w:pStyle w:val="TextBody"/>
        <w:bidi w:val="0"/>
        <w:spacing w:before="240" w:after="0"/>
        <w:jc w:val="left"/>
        <w:rPr/>
      </w:pPr>
      <w:r>
        <w:rPr/>
        <w:t>“</w:t>
      </w:r>
      <w:r>
        <w:rPr>
          <w:rFonts w:ascii="Times New Roman" w:hAnsi="Times New Roman"/>
          <w:b/>
          <w:sz w:val="20"/>
        </w:rPr>
        <w:t>Advisor</w:t>
      </w:r>
      <w:r>
        <w:rPr>
          <w:rFonts w:ascii="Times New Roman" w:hAnsi="Times New Roman"/>
          <w:sz w:val="20"/>
        </w:rPr>
        <w:t xml:space="preserve">” means PennantPark Investment Advisors, LLC.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means, at any time, and with respect to any Person, any other Person that at such time directly or indirectly through one or more intermediaries Controls, or is Controlled by, or is under common Control with, such first Person, and, with respect to the Company, shall include any Person beneficially owning or holding, directly or indirectly, 10% or more of any class of voting or equity interests of the Company or any Subsidiary or any Person of which the Company and its Subsidiaries beneficially own or hold, in the aggregate, directly or indirectly, 10% or more of any class of voting or equity interests. Unless the context otherwise clearly requires, any reference to an “Affiliate” is a reference to an Affiliate of the Company.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means this Note Purchase Agreement, including all Schedules attached to this Agreement. </w:t>
      </w:r>
    </w:p>
    <w:p>
      <w:pPr>
        <w:pStyle w:val="TextBody"/>
        <w:bidi w:val="0"/>
        <w:spacing w:before="240" w:after="0"/>
        <w:jc w:val="left"/>
        <w:rPr/>
      </w:pPr>
      <w:r>
        <w:rPr/>
        <w:t>“</w:t>
      </w:r>
      <w:r>
        <w:rPr>
          <w:rFonts w:ascii="Times New Roman" w:hAnsi="Times New Roman"/>
          <w:b/>
          <w:sz w:val="20"/>
        </w:rPr>
        <w:t>Anti-Corruption Laws</w:t>
      </w:r>
      <w:r>
        <w:rPr>
          <w:rFonts w:ascii="Times New Roman" w:hAnsi="Times New Roman"/>
          <w:sz w:val="20"/>
        </w:rPr>
        <w:t xml:space="preserve">” means any law or regulation in a U.S. or any non-U.S. jurisdiction applicable to the Company or any Subsidiary regarding bribery or any other corrupt activity, including the U.S. Foreign Corrupt Practices Act and the U.K. Bribery Act 2010. </w:t>
      </w:r>
    </w:p>
    <w:p>
      <w:pPr>
        <w:pStyle w:val="TextBody"/>
        <w:bidi w:val="0"/>
        <w:spacing w:before="240" w:after="0"/>
        <w:jc w:val="left"/>
        <w:rPr/>
      </w:pPr>
      <w:r>
        <w:rPr/>
        <w:t>“</w:t>
      </w:r>
      <w:r>
        <w:rPr>
          <w:rFonts w:ascii="Times New Roman" w:hAnsi="Times New Roman"/>
          <w:b/>
          <w:sz w:val="20"/>
        </w:rPr>
        <w:t>Anti-Money Laundering Laws</w:t>
      </w:r>
      <w:r>
        <w:rPr>
          <w:rFonts w:ascii="Times New Roman" w:hAnsi="Times New Roman"/>
          <w:sz w:val="20"/>
        </w:rPr>
        <w:t xml:space="preserve">” means any law or regulation in a U.S. or any non-U.S. jurisdiction applicable to the Company or any Subsidiary regarding money laundering, drug trafficking, terrorist-related activities or other money laundering predicate crimes, including the Currency and Foreign Transactions Reporting Act of 1970 (otherwise known as the Bank Secrecy Act) and the USA PATRIOT Act. </w:t>
      </w:r>
    </w:p>
    <w:p>
      <w:pPr>
        <w:pStyle w:val="TextBody"/>
        <w:bidi w:val="0"/>
        <w:spacing w:before="240" w:after="0"/>
        <w:jc w:val="left"/>
        <w:rPr/>
      </w:pPr>
      <w:r>
        <w:rPr/>
        <w:t>“</w:t>
      </w:r>
      <w:r>
        <w:rPr>
          <w:rFonts w:ascii="Times New Roman" w:hAnsi="Times New Roman"/>
          <w:b/>
          <w:sz w:val="20"/>
        </w:rPr>
        <w:t>Applicable Depository Procedures</w:t>
      </w:r>
      <w:r>
        <w:rPr>
          <w:rFonts w:ascii="Times New Roman" w:hAnsi="Times New Roman"/>
          <w:sz w:val="20"/>
        </w:rPr>
        <w:t xml:space="preserve">” is defined in Section 13.2(a).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Assignee</w:t>
      </w:r>
      <w:r>
        <w:rPr>
          <w:rFonts w:ascii="Times New Roman" w:hAnsi="Times New Roman"/>
          <w:sz w:val="20"/>
        </w:rPr>
        <w:t xml:space="preserve">” is defined in Section 13.3(a). </w:t>
      </w:r>
    </w:p>
    <w:p>
      <w:pPr>
        <w:pStyle w:val="TextBody"/>
        <w:bidi w:val="0"/>
        <w:spacing w:before="240" w:after="0"/>
        <w:jc w:val="left"/>
        <w:rPr/>
      </w:pPr>
      <w:r>
        <w:rPr/>
        <w:t>“</w:t>
      </w:r>
      <w:r>
        <w:rPr>
          <w:rFonts w:ascii="Times New Roman" w:hAnsi="Times New Roman"/>
          <w:b/>
          <w:sz w:val="20"/>
        </w:rPr>
        <w:t>Assigning Party</w:t>
      </w:r>
      <w:r>
        <w:rPr>
          <w:rFonts w:ascii="Times New Roman" w:hAnsi="Times New Roman"/>
          <w:sz w:val="20"/>
        </w:rPr>
        <w:t xml:space="preserve">” is defined in Section 13.3(a). </w:t>
      </w:r>
    </w:p>
    <w:p>
      <w:pPr>
        <w:pStyle w:val="TextBody"/>
        <w:bidi w:val="0"/>
        <w:spacing w:before="240" w:after="0"/>
        <w:jc w:val="left"/>
        <w:rPr/>
      </w:pPr>
      <w:r>
        <w:rPr/>
        <w:t>“</w:t>
      </w:r>
      <w:r>
        <w:rPr>
          <w:rFonts w:ascii="Times New Roman" w:hAnsi="Times New Roman"/>
          <w:b/>
          <w:sz w:val="20"/>
        </w:rPr>
        <w:t>Blocked Person</w:t>
      </w:r>
      <w:r>
        <w:rPr>
          <w:rFonts w:ascii="Times New Roman" w:hAnsi="Times New Roman"/>
          <w:sz w:val="20"/>
        </w:rPr>
        <w:t xml:space="preserve">” means (a) a Person whose name appears on the list of Specially Designated Nationals and Blocked Persons published by OFAC, (b) any Person located, organized or resident in a Sanctioned Country, or (c) any Person 50% or more owned by any such Person or Persons described in the foregoing clause (a) or (b).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 for the purposes of Section 8.6 only, any day other than a Saturday, a Sunday or a day on which commercial banks in New York City are required or authorized to be closed, and (b) for the purposes of any other provision of this Agreement, any day other than a Saturday, a Sunday or a day on which commercial banks in New York, New York are required or authorized to be closed. </w:t>
      </w:r>
    </w:p>
    <w:p>
      <w:pPr>
        <w:pStyle w:val="TextBody"/>
        <w:bidi w:val="0"/>
        <w:spacing w:before="240" w:after="0"/>
        <w:jc w:val="left"/>
        <w:rPr/>
      </w:pPr>
      <w:r>
        <w:rPr/>
        <w:t>“</w:t>
      </w:r>
      <w:r>
        <w:rPr>
          <w:rFonts w:ascii="Times New Roman" w:hAnsi="Times New Roman"/>
          <w:b/>
          <w:sz w:val="20"/>
        </w:rPr>
        <w:t>Capital Lease</w:t>
      </w:r>
      <w:r>
        <w:rPr>
          <w:rFonts w:ascii="Times New Roman" w:hAnsi="Times New Roman"/>
          <w:sz w:val="20"/>
        </w:rPr>
        <w:t xml:space="preserve">” means, at any time, a lease with respect to which the lessee is required concurrently to recognize the acquisition of an asset and the incurrence of a liability in accordance with GAAP. </w:t>
      </w:r>
    </w:p>
    <w:p>
      <w:pPr>
        <w:pStyle w:val="TextBody"/>
        <w:bidi w:val="0"/>
        <w:spacing w:before="240" w:after="0"/>
        <w:jc w:val="left"/>
        <w:rPr/>
      </w:pPr>
      <w:r>
        <w:rPr/>
        <w:t>“</w:t>
      </w:r>
      <w:r>
        <w:rPr>
          <w:rFonts w:ascii="Times New Roman" w:hAnsi="Times New Roman"/>
          <w:b/>
          <w:sz w:val="20"/>
        </w:rPr>
        <w:t>Cash</w:t>
      </w:r>
      <w:r>
        <w:rPr>
          <w:rFonts w:ascii="Times New Roman" w:hAnsi="Times New Roman"/>
          <w:sz w:val="20"/>
        </w:rPr>
        <w:t xml:space="preserve">” means any immediately available funds in Dollars or in any currency other than Dollars (measured in terms of the Dollar Equivalent thereof) which is a freely convertible currency. </w:t>
      </w:r>
    </w:p>
    <w:p>
      <w:pPr>
        <w:pStyle w:val="TextBody"/>
        <w:bidi w:val="0"/>
        <w:spacing w:before="240" w:after="0"/>
        <w:jc w:val="left"/>
        <w:rPr/>
      </w:pPr>
      <w:r>
        <w:rPr/>
        <w:t>“</w:t>
      </w:r>
      <w:r>
        <w:rPr>
          <w:rFonts w:ascii="Times New Roman" w:hAnsi="Times New Roman"/>
          <w:b/>
          <w:sz w:val="20"/>
        </w:rPr>
        <w:t>Cash Equivalents</w:t>
      </w:r>
      <w:r>
        <w:rPr>
          <w:rFonts w:ascii="Times New Roman" w:hAnsi="Times New Roman"/>
          <w:sz w:val="20"/>
        </w:rPr>
        <w:t xml:space="preserve">” means (a) securities issued or directly and fully guaranteed or insured by the United States of America or any agency thereof (provided that the full faith and credit of the United States is pledged in support thereof) with maturities of not more than one year from the date acquired; (b) time deposits and certificates of deposit with maturities of not more than one year from the date acquired issued by a United States federal or state chartered commercial bank of recognized standing having capital and surplus in excess of $500,000,000, and which bank or its holding company has a short-term commercial paper rating of at least A-1 or the equivalent by S&amp;P or at least P-1 or the equivalent by Moody’s; and (c) investments in money market funds (i) which mature not more than ninety (90) days from the date acquired and are payable on demand, (ii) with respect to which there has been no failure to honor a request for withdrawal, (iii) which are registered under the Investment Company Act, (iv) which have net assets of at least $500,000,000 and (v) which maintain a stable share price of not less than One Dollar ($1.00) per share and are either (A) directly and fully guaranteed or insured by the United States of America or any agency thereof (provided that the full faith and credit of the United States is pledged in support thereof) or (B) maintain a rating of at least A-2 or better by S&amp;P and are maintained with an investment fund manager that is otherwise acceptable at all times and from time to time to the Required Holders. </w:t>
      </w:r>
    </w:p>
    <w:p>
      <w:pPr>
        <w:pStyle w:val="TextBody"/>
        <w:bidi w:val="0"/>
        <w:spacing w:before="240" w:after="0"/>
        <w:jc w:val="left"/>
        <w:rPr/>
      </w:pPr>
      <w:r>
        <w:rPr/>
        <w:t>“</w:t>
      </w:r>
      <w:r>
        <w:rPr>
          <w:rFonts w:ascii="Times New Roman" w:hAnsi="Times New Roman"/>
          <w:b/>
          <w:sz w:val="20"/>
        </w:rPr>
        <w:t>Change of Control</w:t>
      </w:r>
      <w:r>
        <w:rPr>
          <w:rFonts w:ascii="Times New Roman" w:hAnsi="Times New Roman"/>
          <w:sz w:val="20"/>
        </w:rPr>
        <w:t xml:space="preserve">” is defined in Section 8.8(f). </w:t>
      </w:r>
    </w:p>
    <w:p>
      <w:pPr>
        <w:pStyle w:val="TextBody"/>
        <w:bidi w:val="0"/>
        <w:spacing w:before="240" w:after="0"/>
        <w:jc w:val="left"/>
        <w:rPr/>
      </w:pPr>
      <w:r>
        <w:rPr/>
        <w:t>“</w:t>
      </w:r>
      <w:r>
        <w:rPr>
          <w:rFonts w:ascii="Times New Roman" w:hAnsi="Times New Roman"/>
          <w:b/>
          <w:sz w:val="20"/>
        </w:rPr>
        <w:t>Closing</w:t>
      </w:r>
      <w:r>
        <w:rPr>
          <w:rFonts w:ascii="Times New Roman" w:hAnsi="Times New Roman"/>
          <w:sz w:val="20"/>
        </w:rPr>
        <w:t xml:space="preserve">” is defined in Section 3.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Internal Revenue Code of 1986 and the rules and regulations promulgated thereunder from time to time.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is defined in the first paragraph of this Agreement.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Confidential Information</w:t>
      </w:r>
      <w:r>
        <w:rPr>
          <w:rFonts w:ascii="Times New Roman" w:hAnsi="Times New Roman"/>
          <w:sz w:val="20"/>
        </w:rPr>
        <w:t xml:space="preserve">” is defined in Section 20. </w:t>
      </w:r>
    </w:p>
    <w:p>
      <w:pPr>
        <w:pStyle w:val="TextBody"/>
        <w:bidi w:val="0"/>
        <w:spacing w:before="240" w:after="0"/>
        <w:jc w:val="left"/>
        <w:rPr/>
      </w:pPr>
      <w:r>
        <w:rPr/>
        <w:t>“</w:t>
      </w:r>
      <w:r>
        <w:rPr>
          <w:rFonts w:ascii="Times New Roman" w:hAnsi="Times New Roman"/>
          <w:b/>
          <w:sz w:val="20"/>
        </w:rPr>
        <w:t>Consolidated Asset Coverage Ratio</w:t>
      </w:r>
      <w:r>
        <w:rPr>
          <w:rFonts w:ascii="Times New Roman" w:hAnsi="Times New Roman"/>
          <w:sz w:val="20"/>
        </w:rPr>
        <w:t xml:space="preserve">” means the ratio, determined on a consolidated basis for Company and its Subsidiaries, without duplication, of (a) the value of total assets of the Company and its Subsidiaries, less all liabilities and indebtedness not represented by senior securities to (b) the aggregate amount of senior securities representing indebtedness of Company and its Subsidiaries (including any Indebtedness outstanding under the Notes), in each case as determined pursuant to the Investment Company Act and any orders of the SEC issued to or with respect to Company thereunder, including any exemptive relief granted by the SEC with respect to the indebtedness of any SBIC Subsidiary or otherwise (including, for the avoidance of doubt, any exclusion of such indebtedness in the foregoing calculation). </w:t>
      </w:r>
    </w:p>
    <w:p>
      <w:pPr>
        <w:pStyle w:val="TextBody"/>
        <w:bidi w:val="0"/>
        <w:spacing w:before="240" w:after="0"/>
        <w:jc w:val="left"/>
        <w:rPr/>
      </w:pPr>
      <w:r>
        <w:rPr/>
        <w:t>“</w:t>
      </w:r>
      <w:r>
        <w:rPr>
          <w:rFonts w:ascii="Times New Roman" w:hAnsi="Times New Roman"/>
          <w:b/>
          <w:sz w:val="20"/>
        </w:rPr>
        <w:t>Control</w:t>
      </w:r>
      <w:r>
        <w:rPr>
          <w:rFonts w:ascii="Times New Roman" w:hAnsi="Times New Roman"/>
          <w:sz w:val="20"/>
        </w:rPr>
        <w:t>” means the possession, directly or indirectly, of the power to direct or cause the direction of the management and policies of a Person, whether through the ownership of voting securities, by contract or otherwise; and the terms “</w:t>
      </w:r>
      <w:r>
        <w:rPr>
          <w:rFonts w:ascii="Times New Roman" w:hAnsi="Times New Roman"/>
          <w:b/>
          <w:sz w:val="20"/>
        </w:rPr>
        <w:t>Controlled</w:t>
      </w:r>
      <w:r>
        <w:rPr>
          <w:rFonts w:ascii="Times New Roman" w:hAnsi="Times New Roman"/>
          <w:sz w:val="20"/>
        </w:rPr>
        <w:t>” and “</w:t>
      </w:r>
      <w:r>
        <w:rPr>
          <w:rFonts w:ascii="Times New Roman" w:hAnsi="Times New Roman"/>
          <w:b/>
          <w:sz w:val="20"/>
        </w:rPr>
        <w:t>Controlling</w:t>
      </w:r>
      <w:r>
        <w:rPr>
          <w:rFonts w:ascii="Times New Roman" w:hAnsi="Times New Roman"/>
          <w:sz w:val="20"/>
        </w:rPr>
        <w:t xml:space="preserve">” shall have meanings correlative to the foregoing. </w:t>
      </w:r>
    </w:p>
    <w:p>
      <w:pPr>
        <w:pStyle w:val="TextBody"/>
        <w:bidi w:val="0"/>
        <w:spacing w:before="240" w:after="0"/>
        <w:jc w:val="left"/>
        <w:rPr/>
      </w:pPr>
      <w:r>
        <w:rPr/>
        <w:t>“</w:t>
      </w:r>
      <w:r>
        <w:rPr>
          <w:rFonts w:ascii="Times New Roman" w:hAnsi="Times New Roman"/>
          <w:b/>
          <w:sz w:val="20"/>
        </w:rPr>
        <w:t>Dechert LLP</w:t>
      </w:r>
      <w:r>
        <w:rPr>
          <w:rFonts w:ascii="Times New Roman" w:hAnsi="Times New Roman"/>
          <w:sz w:val="20"/>
        </w:rPr>
        <w:t xml:space="preserve">” means the counsel for the Company. </w:t>
      </w:r>
    </w:p>
    <w:p>
      <w:pPr>
        <w:pStyle w:val="TextBody"/>
        <w:bidi w:val="0"/>
        <w:spacing w:before="240" w:after="0"/>
        <w:jc w:val="left"/>
        <w:rPr/>
      </w:pPr>
      <w:r>
        <w:rPr/>
        <w:t>“</w:t>
      </w:r>
      <w:r>
        <w:rPr>
          <w:rFonts w:ascii="Times New Roman" w:hAnsi="Times New Roman"/>
          <w:b/>
          <w:sz w:val="20"/>
        </w:rPr>
        <w:t>Default</w:t>
      </w:r>
      <w:r>
        <w:rPr>
          <w:rFonts w:ascii="Times New Roman" w:hAnsi="Times New Roman"/>
          <w:sz w:val="20"/>
        </w:rPr>
        <w:t xml:space="preserve">” means an event or condition the occurrence or existence of which would, with the lapse of time or the giving of notice or both, become an Event of Default. </w:t>
      </w:r>
    </w:p>
    <w:p>
      <w:pPr>
        <w:pStyle w:val="TextBody"/>
        <w:bidi w:val="0"/>
        <w:spacing w:before="240" w:after="0"/>
        <w:jc w:val="left"/>
        <w:rPr/>
      </w:pPr>
      <w:r>
        <w:rPr/>
        <w:t>“</w:t>
      </w:r>
      <w:r>
        <w:rPr>
          <w:rFonts w:ascii="Times New Roman" w:hAnsi="Times New Roman"/>
          <w:b/>
          <w:sz w:val="20"/>
        </w:rPr>
        <w:t>Depository</w:t>
      </w:r>
      <w:r>
        <w:rPr>
          <w:rFonts w:ascii="Times New Roman" w:hAnsi="Times New Roman"/>
          <w:sz w:val="20"/>
        </w:rPr>
        <w:t xml:space="preserve">” is defined in Section 13.2. </w:t>
      </w:r>
    </w:p>
    <w:p>
      <w:pPr>
        <w:pStyle w:val="TextBody"/>
        <w:bidi w:val="0"/>
        <w:spacing w:before="240" w:after="0"/>
        <w:jc w:val="left"/>
        <w:rPr/>
      </w:pPr>
      <w:r>
        <w:rPr/>
        <w:t>“</w:t>
      </w:r>
      <w:r>
        <w:rPr>
          <w:rFonts w:ascii="Times New Roman" w:hAnsi="Times New Roman"/>
          <w:b/>
          <w:sz w:val="20"/>
        </w:rPr>
        <w:t>Designated Subsidiary</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an SBIC Subsidiary; </w:t>
      </w:r>
    </w:p>
    <w:p>
      <w:pPr>
        <w:pStyle w:val="TextBody"/>
        <w:bidi w:val="0"/>
        <w:spacing w:before="120" w:after="0"/>
        <w:jc w:val="left"/>
        <w:rPr>
          <w:rFonts w:ascii="Times New Roman" w:hAnsi="Times New Roman"/>
          <w:sz w:val="20"/>
        </w:rPr>
      </w:pPr>
      <w:r>
        <w:rPr>
          <w:rFonts w:ascii="Times New Roman" w:hAnsi="Times New Roman"/>
          <w:sz w:val="20"/>
        </w:rPr>
        <w:t xml:space="preserve">(2) a Subsidiary of the Company that is a direct parent of any “Designated Subsidiary” and which satisfies the following criteria: </w:t>
      </w:r>
    </w:p>
    <w:p>
      <w:pPr>
        <w:pStyle w:val="TextBody"/>
        <w:bidi w:val="0"/>
        <w:spacing w:before="120" w:after="0"/>
        <w:jc w:val="left"/>
        <w:rPr>
          <w:rFonts w:ascii="Times New Roman" w:hAnsi="Times New Roman"/>
          <w:sz w:val="20"/>
        </w:rPr>
      </w:pPr>
      <w:r>
        <w:rPr>
          <w:rFonts w:ascii="Times New Roman" w:hAnsi="Times New Roman"/>
          <w:sz w:val="20"/>
        </w:rPr>
        <w:t xml:space="preserve">(i) such Subsidiary meets the criteria set forth in clause (2)(ii), clause (2)(iv) and clause (2)(v); and </w:t>
      </w:r>
    </w:p>
    <w:p>
      <w:pPr>
        <w:pStyle w:val="TextBody"/>
        <w:bidi w:val="0"/>
        <w:spacing w:before="120" w:after="0"/>
        <w:jc w:val="left"/>
        <w:rPr>
          <w:rFonts w:ascii="Times New Roman" w:hAnsi="Times New Roman"/>
          <w:sz w:val="20"/>
        </w:rPr>
      </w:pPr>
      <w:r>
        <w:rPr>
          <w:rFonts w:ascii="Times New Roman" w:hAnsi="Times New Roman"/>
          <w:sz w:val="20"/>
        </w:rPr>
        <w:t xml:space="preserve">(ii) such Subsidiary engages in no activities and has no assets (other than in connection with the transfer of assets to and from any Designated Subsidiary, its ownership of all of the Equity Interests of any Designated Subsidiary, any contracts, agreements, arrangements or arrangements not prohibited by clause (iii) below and Standard Securitization Undertakings) or liabilities (other than in connection with any contracts, agreements, arrangements or arrangements not prohibited by clause (iii) below and Standard Securitization Undertakings); and </w:t>
      </w:r>
    </w:p>
    <w:p>
      <w:pPr>
        <w:pStyle w:val="TextBody"/>
        <w:bidi w:val="0"/>
        <w:spacing w:before="240" w:after="0"/>
        <w:jc w:val="left"/>
        <w:rPr>
          <w:rFonts w:ascii="Times New Roman" w:hAnsi="Times New Roman"/>
          <w:sz w:val="20"/>
        </w:rPr>
      </w:pPr>
      <w:r>
        <w:rPr>
          <w:rFonts w:ascii="Times New Roman" w:hAnsi="Times New Roman"/>
          <w:sz w:val="20"/>
        </w:rPr>
        <w:t xml:space="preserve">Any designation of a Designated Subsidiary by the Company shall be effected pursuant to a certificate of a Senior Financial Officer delivered to the holders of the Notes, which certificate shall include a statement to the effect that, to the best of such Senior Financial Officer’s knowledge, such designation complied with each of the conditions set forth in clause (a) or (b) above, as applicable. Each Subsidiary of a Designated Subsidiary shall be deemed to be a Designated Subsidiary and shall comply with the foregoing requirements of this definition.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Disclosure Documents</w:t>
      </w:r>
      <w:r>
        <w:rPr>
          <w:rFonts w:ascii="Times New Roman" w:hAnsi="Times New Roman"/>
          <w:sz w:val="20"/>
        </w:rPr>
        <w:t xml:space="preserve">” is defined in Section 5.3. </w:t>
      </w:r>
    </w:p>
    <w:p>
      <w:pPr>
        <w:pStyle w:val="TextBody"/>
        <w:bidi w:val="0"/>
        <w:spacing w:before="240" w:after="0"/>
        <w:jc w:val="left"/>
        <w:rPr/>
      </w:pPr>
      <w:r>
        <w:rPr/>
        <w:t>“</w:t>
      </w:r>
      <w:r>
        <w:rPr>
          <w:rFonts w:ascii="Times New Roman" w:hAnsi="Times New Roman"/>
          <w:b/>
          <w:sz w:val="20"/>
        </w:rPr>
        <w:t>Dollar Equivalent</w:t>
      </w:r>
      <w:r>
        <w:rPr>
          <w:rFonts w:ascii="Times New Roman" w:hAnsi="Times New Roman"/>
          <w:sz w:val="20"/>
        </w:rPr>
        <w:t xml:space="preserve">” means, on any date of determination, with respect to an amount denominated in any Foreign Currency, the amount of Dollars that would be required to purchase such amount of such Foreign Currency on the date two (2) Business Days prior to such date, based upon the spot selling rate at which Equiniti Trust Company, LLC offers to sell such Foreign Currency for Dollars at approximately 11:00 a.m., New York City time, for delivery two (2) Business Days later. </w:t>
      </w:r>
    </w:p>
    <w:p>
      <w:pPr>
        <w:pStyle w:val="TextBody"/>
        <w:bidi w:val="0"/>
        <w:spacing w:before="240" w:after="0"/>
        <w:jc w:val="left"/>
        <w:rPr/>
      </w:pPr>
      <w:r>
        <w:rPr/>
        <w:t>“</w:t>
      </w:r>
      <w:r>
        <w:rPr>
          <w:rFonts w:ascii="Times New Roman" w:hAnsi="Times New Roman"/>
          <w:b/>
          <w:sz w:val="20"/>
        </w:rPr>
        <w:t>Dollars</w:t>
      </w:r>
      <w:r>
        <w:rPr>
          <w:rFonts w:ascii="Times New Roman" w:hAnsi="Times New Roman"/>
          <w:sz w:val="20"/>
        </w:rPr>
        <w:t>” or “</w:t>
      </w:r>
      <w:r>
        <w:rPr>
          <w:rFonts w:ascii="Times New Roman" w:hAnsi="Times New Roman"/>
          <w:b/>
          <w:sz w:val="20"/>
        </w:rPr>
        <w:t>$</w:t>
      </w:r>
      <w:r>
        <w:rPr>
          <w:rFonts w:ascii="Times New Roman" w:hAnsi="Times New Roman"/>
          <w:sz w:val="20"/>
        </w:rPr>
        <w:t xml:space="preserve">” refers to lawful money of the United States of America. </w:t>
      </w:r>
    </w:p>
    <w:p>
      <w:pPr>
        <w:pStyle w:val="TextBody"/>
        <w:bidi w:val="0"/>
        <w:spacing w:before="240" w:after="0"/>
        <w:jc w:val="left"/>
        <w:rPr/>
      </w:pPr>
      <w:r>
        <w:rPr/>
        <w:t>“</w:t>
      </w:r>
      <w:r>
        <w:rPr>
          <w:rFonts w:ascii="Times New Roman" w:hAnsi="Times New Roman"/>
          <w:b/>
          <w:sz w:val="20"/>
        </w:rPr>
        <w:t>EDGAR</w:t>
      </w:r>
      <w:r>
        <w:rPr>
          <w:rFonts w:ascii="Times New Roman" w:hAnsi="Times New Roman"/>
          <w:sz w:val="20"/>
        </w:rPr>
        <w:t xml:space="preserve">” means the SEC’s Electronic Data Gathering, Analysis and Retrieval System or any successor SEC electronic filing system for such purposes. </w:t>
      </w:r>
    </w:p>
    <w:p>
      <w:pPr>
        <w:pStyle w:val="TextBody"/>
        <w:bidi w:val="0"/>
        <w:spacing w:before="240" w:after="0"/>
        <w:jc w:val="left"/>
        <w:rPr/>
      </w:pPr>
      <w:r>
        <w:rPr/>
        <w:t>“</w:t>
      </w:r>
      <w:r>
        <w:rPr>
          <w:rFonts w:ascii="Times New Roman" w:hAnsi="Times New Roman"/>
          <w:b/>
          <w:sz w:val="20"/>
        </w:rPr>
        <w:t>Egan-Jones</w:t>
      </w:r>
      <w:r>
        <w:rPr>
          <w:rFonts w:ascii="Times New Roman" w:hAnsi="Times New Roman"/>
          <w:sz w:val="20"/>
        </w:rPr>
        <w:t xml:space="preserve">” means Egan-Jones Rating Company or its successor. </w:t>
      </w:r>
    </w:p>
    <w:p>
      <w:pPr>
        <w:pStyle w:val="TextBody"/>
        <w:bidi w:val="0"/>
        <w:spacing w:before="240" w:after="0"/>
        <w:jc w:val="left"/>
        <w:rPr/>
      </w:pPr>
      <w:r>
        <w:rPr/>
        <w:t>“</w:t>
      </w:r>
      <w:r>
        <w:rPr>
          <w:rFonts w:ascii="Times New Roman" w:hAnsi="Times New Roman"/>
          <w:b/>
          <w:sz w:val="20"/>
        </w:rPr>
        <w:t>Environmental Laws</w:t>
      </w:r>
      <w:r>
        <w:rPr>
          <w:rFonts w:ascii="Times New Roman" w:hAnsi="Times New Roman"/>
          <w:sz w:val="20"/>
        </w:rPr>
        <w:t xml:space="preserve">”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Materials. </w:t>
      </w:r>
    </w:p>
    <w:p>
      <w:pPr>
        <w:pStyle w:val="TextBody"/>
        <w:bidi w:val="0"/>
        <w:spacing w:before="240" w:after="0"/>
        <w:jc w:val="left"/>
        <w:rPr/>
      </w:pPr>
      <w:r>
        <w:rPr/>
        <w:t>“</w:t>
      </w:r>
      <w:r>
        <w:rPr>
          <w:rFonts w:ascii="Times New Roman" w:hAnsi="Times New Roman"/>
          <w:b/>
          <w:sz w:val="20"/>
        </w:rPr>
        <w:t>Equity Interests</w:t>
      </w:r>
      <w:r>
        <w:rPr>
          <w:rFonts w:ascii="Times New Roman" w:hAnsi="Times New Roman"/>
          <w:sz w:val="20"/>
        </w:rPr>
        <w:t xml:space="preserve">” means shares of capital stock, partnership interests, membership interests in a limited liability company, beneficial interests in a trust or other equity ownership interests or equivalents (however designated, including any instrument treated as equity for U.S. federal income tax purposes) in a Person, and any warrants, options or other rights entitling the holder thereof to purchase or acquire any such equity interest. As used in this Agreement, “Equity Interests” shall not include convertible debt unless and until such debt has been converted to any of the foregoing. </w:t>
      </w:r>
    </w:p>
    <w:p>
      <w:pPr>
        <w:pStyle w:val="TextBody"/>
        <w:bidi w:val="0"/>
        <w:spacing w:before="240" w:after="0"/>
        <w:jc w:val="left"/>
        <w:rPr/>
      </w:pPr>
      <w:r>
        <w:rPr/>
        <w:t>“</w:t>
      </w:r>
      <w:r>
        <w:rPr>
          <w:rFonts w:ascii="Times New Roman" w:hAnsi="Times New Roman"/>
          <w:b/>
          <w:sz w:val="20"/>
        </w:rPr>
        <w:t>ERISA</w:t>
      </w:r>
      <w:r>
        <w:rPr>
          <w:rFonts w:ascii="Times New Roman" w:hAnsi="Times New Roman"/>
          <w:sz w:val="20"/>
        </w:rPr>
        <w:t xml:space="preserve">” means the Employee Retirement Income Security Act of 1974 and the rules and regulations promulgated thereunder from time to time in effect. </w:t>
      </w:r>
    </w:p>
    <w:p>
      <w:pPr>
        <w:pStyle w:val="TextBody"/>
        <w:bidi w:val="0"/>
        <w:spacing w:before="240" w:after="0"/>
        <w:jc w:val="left"/>
        <w:rPr/>
      </w:pPr>
      <w:r>
        <w:rPr/>
        <w:t>“</w:t>
      </w:r>
      <w:r>
        <w:rPr>
          <w:rFonts w:ascii="Times New Roman" w:hAnsi="Times New Roman"/>
          <w:b/>
          <w:sz w:val="20"/>
        </w:rPr>
        <w:t>ERISA Affiliate</w:t>
      </w:r>
      <w:r>
        <w:rPr>
          <w:rFonts w:ascii="Times New Roman" w:hAnsi="Times New Roman"/>
          <w:sz w:val="20"/>
        </w:rPr>
        <w:t xml:space="preserve">” means any trade or business (whether or not incorporated) that is treated as a single employer together with the Company under section 414 of the Code. </w:t>
      </w:r>
    </w:p>
    <w:p>
      <w:pPr>
        <w:pStyle w:val="TextBody"/>
        <w:bidi w:val="0"/>
        <w:spacing w:before="240" w:after="0"/>
        <w:jc w:val="left"/>
        <w:rPr/>
      </w:pPr>
      <w:r>
        <w:rPr/>
        <w:t>“</w:t>
      </w:r>
      <w:r>
        <w:rPr>
          <w:rFonts w:ascii="Times New Roman" w:hAnsi="Times New Roman"/>
          <w:b/>
          <w:sz w:val="20"/>
        </w:rPr>
        <w:t>Event of Default</w:t>
      </w:r>
      <w:r>
        <w:rPr>
          <w:rFonts w:ascii="Times New Roman" w:hAnsi="Times New Roman"/>
          <w:sz w:val="20"/>
        </w:rPr>
        <w:t xml:space="preserve">” is defined in Section 11.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b/>
          <w:sz w:val="20"/>
        </w:rPr>
        <w:t>Excluded Assets</w:t>
      </w:r>
      <w:r>
        <w:rPr>
          <w:rFonts w:ascii="Times New Roman" w:hAnsi="Times New Roman"/>
          <w:sz w:val="20"/>
        </w:rPr>
        <w:t xml:space="preserve">” means any finance lease obligations, Designated Subsidiary, and any similar assets or entities, in each case, which the Company holds an interest on or after the Execution Date, and, in each case, their respective subsidiaries, unless, in the case of any such asset or entity, the Company designates in writing to the holders of the Notes that such asset or entity is not an Excluded Asset.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Execution Date</w:t>
      </w:r>
      <w:r>
        <w:rPr>
          <w:rFonts w:ascii="Times New Roman" w:hAnsi="Times New Roman"/>
          <w:sz w:val="20"/>
        </w:rPr>
        <w:t xml:space="preserve">” is defined in Section 3. </w:t>
      </w:r>
    </w:p>
    <w:p>
      <w:pPr>
        <w:pStyle w:val="TextBody"/>
        <w:bidi w:val="0"/>
        <w:spacing w:before="240" w:after="0"/>
        <w:jc w:val="left"/>
        <w:rPr/>
      </w:pPr>
      <w:r>
        <w:rPr/>
        <w:t>“</w:t>
      </w:r>
      <w:r>
        <w:rPr>
          <w:rFonts w:ascii="Times New Roman" w:hAnsi="Times New Roman"/>
          <w:b/>
          <w:sz w:val="20"/>
        </w:rPr>
        <w:t>FATCA</w:t>
      </w:r>
      <w:r>
        <w:rPr>
          <w:rFonts w:ascii="Times New Roman" w:hAnsi="Times New Roman"/>
          <w:sz w:val="20"/>
        </w:rPr>
        <w:t xml:space="preserve">” means (a) sections 1471 through 1474 of the Code, as of the date of this Agreement (or any amended or successor version that is substantively comparable and not materially more onerous to comply with), together with any current or future regulations or official interpretations thereof, (b) any treaty, law or regulation of any other jurisdiction, or relating to an intergovernmental agreement between the United States of America and any other jurisdiction, which (in either case) facilitates the implementation of the foregoing clause (a), and (c) any agreements entered into pursuant to section 1471(b)(1) of the Code. </w:t>
      </w:r>
    </w:p>
    <w:p>
      <w:pPr>
        <w:pStyle w:val="TextBody"/>
        <w:bidi w:val="0"/>
        <w:spacing w:before="240" w:after="0"/>
        <w:jc w:val="left"/>
        <w:rPr/>
      </w:pPr>
      <w:r>
        <w:rPr/>
        <w:t>“</w:t>
      </w:r>
      <w:r>
        <w:rPr>
          <w:rFonts w:ascii="Times New Roman" w:hAnsi="Times New Roman"/>
          <w:b/>
          <w:sz w:val="20"/>
        </w:rPr>
        <w:t>Foreign Currency</w:t>
      </w:r>
      <w:r>
        <w:rPr>
          <w:rFonts w:ascii="Times New Roman" w:hAnsi="Times New Roman"/>
          <w:sz w:val="20"/>
        </w:rPr>
        <w:t xml:space="preserve">” means at any time any currency other than Dollars. </w:t>
      </w:r>
    </w:p>
    <w:p>
      <w:pPr>
        <w:pStyle w:val="TextBody"/>
        <w:bidi w:val="0"/>
        <w:spacing w:before="240" w:after="0"/>
        <w:jc w:val="left"/>
        <w:rPr/>
      </w:pPr>
      <w:r>
        <w:rPr/>
        <w:t>“</w:t>
      </w:r>
      <w:r>
        <w:rPr>
          <w:rFonts w:ascii="Times New Roman" w:hAnsi="Times New Roman"/>
          <w:b/>
          <w:sz w:val="20"/>
        </w:rPr>
        <w:t>Form 10-K</w:t>
      </w:r>
      <w:r>
        <w:rPr>
          <w:rFonts w:ascii="Times New Roman" w:hAnsi="Times New Roman"/>
          <w:sz w:val="20"/>
        </w:rPr>
        <w:t xml:space="preserve">” is defined in Section 7.1(b). </w:t>
      </w:r>
    </w:p>
    <w:p>
      <w:pPr>
        <w:pStyle w:val="TextBody"/>
        <w:bidi w:val="0"/>
        <w:spacing w:before="240" w:after="0"/>
        <w:jc w:val="left"/>
        <w:rPr/>
      </w:pPr>
      <w:r>
        <w:rPr/>
        <w:t>“</w:t>
      </w:r>
      <w:r>
        <w:rPr>
          <w:rFonts w:ascii="Times New Roman" w:hAnsi="Times New Roman"/>
          <w:b/>
          <w:sz w:val="20"/>
        </w:rPr>
        <w:t>Form 10-Q</w:t>
      </w:r>
      <w:r>
        <w:rPr>
          <w:rFonts w:ascii="Times New Roman" w:hAnsi="Times New Roman"/>
          <w:sz w:val="20"/>
        </w:rPr>
        <w:t xml:space="preserve">” is defined in Section 7.1(a).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means (a) generally accepted accounting principles as in effect from time to time in the United States of America and (b) for purposes of Section 9.6, with respect to any Subsidiary, generally accepted accounting principles (including International Financial Reporting Standards, as applicable) as in effect from time to time in the jurisdiction of organization of such Subsidiary. </w:t>
      </w:r>
    </w:p>
    <w:p>
      <w:pPr>
        <w:pStyle w:val="TextBody"/>
        <w:bidi w:val="0"/>
        <w:spacing w:before="240" w:after="0"/>
        <w:jc w:val="left"/>
        <w:rPr/>
      </w:pPr>
      <w:r>
        <w:rPr/>
        <w:t>“</w:t>
      </w:r>
      <w:r>
        <w:rPr>
          <w:rFonts w:ascii="Times New Roman" w:hAnsi="Times New Roman"/>
          <w:b/>
          <w:sz w:val="20"/>
        </w:rPr>
        <w:t>Global Note</w:t>
      </w:r>
      <w:r>
        <w:rPr>
          <w:rFonts w:ascii="Times New Roman" w:hAnsi="Times New Roman"/>
          <w:sz w:val="20"/>
        </w:rPr>
        <w:t xml:space="preserve">” is defined in Section 13.2(a). </w:t>
      </w:r>
    </w:p>
    <w:p>
      <w:pPr>
        <w:pStyle w:val="TextBody"/>
        <w:bidi w:val="0"/>
        <w:spacing w:before="240" w:after="0"/>
        <w:jc w:val="left"/>
        <w:rPr/>
      </w:pPr>
      <w:r>
        <w:rPr/>
        <w:t>“</w:t>
      </w:r>
      <w:r>
        <w:rPr>
          <w:rFonts w:ascii="Times New Roman" w:hAnsi="Times New Roman"/>
          <w:b/>
          <w:sz w:val="20"/>
        </w:rPr>
        <w:t>Governmental Authority</w:t>
      </w:r>
      <w:r>
        <w:rPr>
          <w:rFonts w:ascii="Times New Roman" w:hAnsi="Times New Roman"/>
          <w:sz w:val="20"/>
        </w:rPr>
        <w:t xml:space="preserve">” means </w:t>
      </w:r>
    </w:p>
    <w:p>
      <w:pPr>
        <w:pStyle w:val="TextBody"/>
        <w:bidi w:val="0"/>
        <w:spacing w:before="240" w:after="0"/>
        <w:jc w:val="left"/>
        <w:rPr>
          <w:rFonts w:ascii="Times New Roman" w:hAnsi="Times New Roman"/>
          <w:sz w:val="20"/>
        </w:rPr>
      </w:pPr>
      <w:r>
        <w:rPr>
          <w:rFonts w:ascii="Times New Roman" w:hAnsi="Times New Roman"/>
          <w:sz w:val="20"/>
        </w:rPr>
        <w:t xml:space="preserve">(a) the government of </w:t>
      </w:r>
    </w:p>
    <w:p>
      <w:pPr>
        <w:pStyle w:val="TextBody"/>
        <w:bidi w:val="0"/>
        <w:spacing w:before="120" w:after="0"/>
        <w:jc w:val="left"/>
        <w:rPr>
          <w:rFonts w:ascii="Times New Roman" w:hAnsi="Times New Roman"/>
          <w:sz w:val="20"/>
        </w:rPr>
      </w:pPr>
      <w:r>
        <w:rPr>
          <w:rFonts w:ascii="Times New Roman" w:hAnsi="Times New Roman"/>
          <w:sz w:val="20"/>
        </w:rPr>
        <w:t xml:space="preserve">(i) the United States of America or any state or other political subdivision thereof, or </w:t>
      </w:r>
    </w:p>
    <w:p>
      <w:pPr>
        <w:pStyle w:val="TextBody"/>
        <w:bidi w:val="0"/>
        <w:spacing w:before="120" w:after="0"/>
        <w:jc w:val="left"/>
        <w:rPr>
          <w:rFonts w:ascii="Times New Roman" w:hAnsi="Times New Roman"/>
          <w:sz w:val="20"/>
        </w:rPr>
      </w:pPr>
      <w:r>
        <w:rPr>
          <w:rFonts w:ascii="Times New Roman" w:hAnsi="Times New Roman"/>
          <w:sz w:val="20"/>
        </w:rPr>
        <w:t xml:space="preserve">(ii) any other jurisdiction in which the Company or any Subsidiary conducts all or any part of its business, or which asserts jurisdiction over any properties of the Company or any Subsidiary, or </w:t>
      </w:r>
    </w:p>
    <w:p>
      <w:pPr>
        <w:pStyle w:val="TextBody"/>
        <w:bidi w:val="0"/>
        <w:spacing w:before="120" w:after="0"/>
        <w:jc w:val="left"/>
        <w:rPr>
          <w:rFonts w:ascii="Times New Roman" w:hAnsi="Times New Roman"/>
          <w:sz w:val="20"/>
        </w:rPr>
      </w:pPr>
      <w:r>
        <w:rPr>
          <w:rFonts w:ascii="Times New Roman" w:hAnsi="Times New Roman"/>
          <w:sz w:val="20"/>
        </w:rPr>
        <w:t xml:space="preserve">(b) any entity exercising executive, legislative, judicial, regulatory or administrative functions of, or pertaining to, any such government. </w:t>
      </w:r>
    </w:p>
    <w:p>
      <w:pPr>
        <w:pStyle w:val="TextBody"/>
        <w:bidi w:val="0"/>
        <w:spacing w:before="240" w:after="0"/>
        <w:jc w:val="left"/>
        <w:rPr/>
      </w:pPr>
      <w:r>
        <w:rPr/>
        <w:t>“</w:t>
      </w:r>
      <w:r>
        <w:rPr>
          <w:rFonts w:ascii="Times New Roman" w:hAnsi="Times New Roman"/>
          <w:b/>
          <w:sz w:val="20"/>
        </w:rPr>
        <w:t>Governmental Official</w:t>
      </w:r>
      <w:r>
        <w:rPr>
          <w:rFonts w:ascii="Times New Roman" w:hAnsi="Times New Roman"/>
          <w:sz w:val="20"/>
        </w:rPr>
        <w:t xml:space="preserve">” means any governmental official or employee, employee of any government-owned or government-controlled entity, political party, any official of a political party, candidate for political office, official of any public international organization or anyone else acting in an official capacity.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Guaranty</w:t>
      </w:r>
      <w:r>
        <w:rPr>
          <w:rFonts w:ascii="Times New Roman" w:hAnsi="Times New Roman"/>
          <w:sz w:val="20"/>
        </w:rPr>
        <w:t>” or “</w:t>
      </w:r>
      <w:r>
        <w:rPr>
          <w:rFonts w:ascii="Times New Roman" w:hAnsi="Times New Roman"/>
          <w:b/>
          <w:sz w:val="20"/>
        </w:rPr>
        <w:t>Guarantee</w:t>
      </w:r>
      <w:r>
        <w:rPr>
          <w:rFonts w:ascii="Times New Roman" w:hAnsi="Times New Roman"/>
          <w:sz w:val="20"/>
        </w:rPr>
        <w:t xml:space="preserve">” means, with respect to any Person, any obligation (except the endorsement in the ordinary course of business of negotiable instruments for deposit or collection) of such Person guaranteeing or in effect guaranteeing any indebtedness, dividend or other obligation of any other Person in any manner, whether directly or indirectly, including obligations incurred through an agreement, contingent or otherwise, by such Person: </w:t>
      </w:r>
    </w:p>
    <w:p>
      <w:pPr>
        <w:pStyle w:val="TextBody"/>
        <w:bidi w:val="0"/>
        <w:spacing w:before="120" w:after="0"/>
        <w:jc w:val="left"/>
        <w:rPr>
          <w:rFonts w:ascii="Times New Roman" w:hAnsi="Times New Roman"/>
          <w:sz w:val="20"/>
        </w:rPr>
      </w:pPr>
      <w:r>
        <w:rPr>
          <w:rFonts w:ascii="Times New Roman" w:hAnsi="Times New Roman"/>
          <w:sz w:val="20"/>
        </w:rPr>
        <w:t xml:space="preserve">(a) to purchase such indebtedness or obligation or any property constituting security therefor; </w:t>
      </w:r>
    </w:p>
    <w:p>
      <w:pPr>
        <w:pStyle w:val="TextBody"/>
        <w:bidi w:val="0"/>
        <w:spacing w:before="120" w:after="0"/>
        <w:jc w:val="left"/>
        <w:rPr>
          <w:rFonts w:ascii="Times New Roman" w:hAnsi="Times New Roman"/>
          <w:sz w:val="20"/>
        </w:rPr>
      </w:pPr>
      <w:r>
        <w:rPr>
          <w:rFonts w:ascii="Times New Roman" w:hAnsi="Times New Roman"/>
          <w:sz w:val="20"/>
        </w:rPr>
        <w:t xml:space="preserve">(b) to advance or supply funds (i) for the purchase or payment of such indebtedness or obligation, or (ii) to maintain any working capital or other balance sheet condition or any income statement condition of any other Person or otherwise to advance or make available funds for the purchase or payment of such indebtedness or obligation; </w:t>
      </w:r>
    </w:p>
    <w:p>
      <w:pPr>
        <w:pStyle w:val="TextBody"/>
        <w:bidi w:val="0"/>
        <w:spacing w:before="120" w:after="0"/>
        <w:jc w:val="left"/>
        <w:rPr>
          <w:rFonts w:ascii="Times New Roman" w:hAnsi="Times New Roman"/>
          <w:sz w:val="20"/>
        </w:rPr>
      </w:pPr>
      <w:r>
        <w:rPr>
          <w:rFonts w:ascii="Times New Roman" w:hAnsi="Times New Roman"/>
          <w:sz w:val="20"/>
        </w:rPr>
        <w:t xml:space="preserve">(c) to lease properties or to purchase properties or services primarily for the purpose of assuring the owner of such indebtedness or obligation of the ability of any other Person to make payment of the indebtedness or obligation; or </w:t>
      </w:r>
    </w:p>
    <w:p>
      <w:pPr>
        <w:pStyle w:val="TextBody"/>
        <w:bidi w:val="0"/>
        <w:spacing w:before="120" w:after="0"/>
        <w:jc w:val="left"/>
        <w:rPr>
          <w:rFonts w:ascii="Times New Roman" w:hAnsi="Times New Roman"/>
          <w:sz w:val="20"/>
        </w:rPr>
      </w:pPr>
      <w:r>
        <w:rPr>
          <w:rFonts w:ascii="Times New Roman" w:hAnsi="Times New Roman"/>
          <w:sz w:val="20"/>
        </w:rPr>
        <w:t xml:space="preserve">(d) otherwise to assure the owner of such indebtedness or obligation against loss in respect thereof. </w:t>
      </w:r>
    </w:p>
    <w:p>
      <w:pPr>
        <w:pStyle w:val="TextBody"/>
        <w:bidi w:val="0"/>
        <w:spacing w:before="240" w:after="0"/>
        <w:jc w:val="left"/>
        <w:rPr/>
      </w:pPr>
      <w:r>
        <w:rPr/>
        <w:t>“</w:t>
      </w:r>
      <w:r>
        <w:rPr>
          <w:rFonts w:ascii="Times New Roman" w:hAnsi="Times New Roman"/>
          <w:b/>
          <w:sz w:val="20"/>
        </w:rPr>
        <w:t>Hazardous Materials</w:t>
      </w:r>
      <w:r>
        <w:rPr>
          <w:rFonts w:ascii="Times New Roman" w:hAnsi="Times New Roman"/>
          <w:sz w:val="20"/>
        </w:rPr>
        <w:t xml:space="preserve">” means any and all pollutants, toxic or hazardous wastes or other substances that might pose a hazard to health and safety, the 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asbestos, urea formaldehyde foam insulation, polychlorinated biphenyls, petroleum, petroleum products, lead based paint, radon gas or similar restricted, prohibited or penalized substances. </w:t>
      </w:r>
    </w:p>
    <w:p>
      <w:pPr>
        <w:pStyle w:val="TextBody"/>
        <w:bidi w:val="0"/>
        <w:spacing w:before="240" w:after="0"/>
        <w:jc w:val="left"/>
        <w:rPr/>
      </w:pPr>
      <w:r>
        <w:rPr/>
        <w:t>“</w:t>
      </w:r>
      <w:r>
        <w:rPr>
          <w:rFonts w:ascii="Times New Roman" w:hAnsi="Times New Roman"/>
          <w:b/>
          <w:sz w:val="20"/>
        </w:rPr>
        <w:t>Hedging Agreement</w:t>
      </w:r>
      <w:r>
        <w:rPr>
          <w:rFonts w:ascii="Times New Roman" w:hAnsi="Times New Roman"/>
          <w:sz w:val="20"/>
        </w:rPr>
        <w:t xml:space="preserve">” means any interest rate protection agreement, foreign currency exchange protection agreement, commodity price protection agreement, or other interest or currency exchange rate or commodity price hedging arrangement. </w:t>
      </w:r>
    </w:p>
    <w:p>
      <w:pPr>
        <w:pStyle w:val="TextBody"/>
        <w:bidi w:val="0"/>
        <w:spacing w:before="240" w:after="0"/>
        <w:jc w:val="left"/>
        <w:rPr/>
      </w:pPr>
      <w:r>
        <w:rPr/>
        <w:t>“</w:t>
      </w:r>
      <w:r>
        <w:rPr>
          <w:rFonts w:ascii="Times New Roman" w:hAnsi="Times New Roman"/>
          <w:b/>
          <w:sz w:val="20"/>
        </w:rPr>
        <w:t>holder</w:t>
      </w:r>
      <w:r>
        <w:rPr>
          <w:rFonts w:ascii="Times New Roman" w:hAnsi="Times New Roman"/>
          <w:sz w:val="20"/>
        </w:rPr>
        <w:t>” or “</w:t>
      </w:r>
      <w:r>
        <w:rPr>
          <w:rFonts w:ascii="Times New Roman" w:hAnsi="Times New Roman"/>
          <w:b/>
          <w:sz w:val="20"/>
        </w:rPr>
        <w:t>Holder</w:t>
      </w:r>
      <w:r>
        <w:rPr>
          <w:rFonts w:ascii="Times New Roman" w:hAnsi="Times New Roman"/>
          <w:sz w:val="20"/>
        </w:rPr>
        <w:t xml:space="preserve">” means, with respect to any Note, the Person in whose name such Note is registered in the register maintained by the Company pursuant to Section 13.1, </w:t>
      </w:r>
      <w:r>
        <w:rPr>
          <w:rFonts w:ascii="Times New Roman" w:hAnsi="Times New Roman"/>
          <w:i/>
          <w:sz w:val="20"/>
        </w:rPr>
        <w:t>provided, however,</w:t>
      </w:r>
      <w:r>
        <w:rPr>
          <w:rFonts w:ascii="Times New Roman" w:hAnsi="Times New Roman"/>
          <w:sz w:val="20"/>
        </w:rPr>
        <w:t xml:space="preserve"> that if such Person is a Depository, then for the purposes of this Agreement, “holder” or “Holder” shall mean the beneficial owner of such Note whose name and address appears in the records of the Depository or its participants as certified by such beneficial owner to the Company. </w:t>
      </w:r>
    </w:p>
    <w:p>
      <w:pPr>
        <w:pStyle w:val="TextBody"/>
        <w:bidi w:val="0"/>
        <w:spacing w:before="240" w:after="0"/>
        <w:jc w:val="left"/>
        <w:rPr/>
      </w:pPr>
      <w:r>
        <w:rPr/>
        <w:t>“</w:t>
      </w:r>
      <w:r>
        <w:rPr>
          <w:rFonts w:ascii="Times New Roman" w:hAnsi="Times New Roman"/>
          <w:b/>
          <w:sz w:val="20"/>
        </w:rPr>
        <w:t>Indebtedness</w:t>
      </w:r>
      <w:r>
        <w:rPr>
          <w:rFonts w:ascii="Times New Roman" w:hAnsi="Times New Roman"/>
          <w:sz w:val="20"/>
        </w:rPr>
        <w:t xml:space="preserve">” with respect to any Person means, at any time, without duplication, </w:t>
      </w:r>
    </w:p>
    <w:p>
      <w:pPr>
        <w:pStyle w:val="TextBody"/>
        <w:bidi w:val="0"/>
        <w:spacing w:before="120" w:after="0"/>
        <w:jc w:val="left"/>
        <w:rPr>
          <w:rFonts w:ascii="Times New Roman" w:hAnsi="Times New Roman"/>
          <w:sz w:val="20"/>
        </w:rPr>
      </w:pPr>
      <w:r>
        <w:rPr>
          <w:rFonts w:ascii="Times New Roman" w:hAnsi="Times New Roman"/>
          <w:sz w:val="20"/>
        </w:rPr>
        <w:t xml:space="preserve">(a) its liabilities for borrowed money and its redemption obligations in respect of mandatorily redeemable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(b) its liabilities for the deferred purchase price of property acquired by such Person (excluding accounts payable arising in the ordinary course of business but including all liabilities created or arising under any conditional sale or other title retention agreement with respect to any such property);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 all liabilities appearing on its balance sheet in accordance with GAAP in respect of Capital Leases and (ii) all liabilities which would appear on its balance sheet in accordance with GAAP in respect of Synthetic Leases assuming such Synthetic Leases were accounted for as Capital Leases; </w:t>
      </w:r>
    </w:p>
    <w:p>
      <w:pPr>
        <w:pStyle w:val="TextBody"/>
        <w:bidi w:val="0"/>
        <w:spacing w:before="120" w:after="0"/>
        <w:jc w:val="left"/>
        <w:rPr>
          <w:rFonts w:ascii="Times New Roman" w:hAnsi="Times New Roman"/>
          <w:sz w:val="20"/>
        </w:rPr>
      </w:pPr>
      <w:r>
        <w:rPr>
          <w:rFonts w:ascii="Times New Roman" w:hAnsi="Times New Roman"/>
          <w:sz w:val="20"/>
        </w:rPr>
        <w:t xml:space="preserve">(d) all liabilities for borrowed money secured by any Lien with respect to any property owned by such Person (whether or not it has assumed or otherwise become liable for such liabilities); </w:t>
      </w:r>
    </w:p>
    <w:p>
      <w:pPr>
        <w:pStyle w:val="TextBody"/>
        <w:bidi w:val="0"/>
        <w:spacing w:before="120" w:after="0"/>
        <w:jc w:val="left"/>
        <w:rPr>
          <w:rFonts w:ascii="Times New Roman" w:hAnsi="Times New Roman"/>
          <w:sz w:val="20"/>
        </w:rPr>
      </w:pPr>
      <w:r>
        <w:rPr>
          <w:rFonts w:ascii="Times New Roman" w:hAnsi="Times New Roman"/>
          <w:sz w:val="20"/>
        </w:rPr>
        <w:t xml:space="preserve">(e) all its liabilities in respect of letters of credit or instruments serving a similar function issued or accepted for its account by banks and other financial institutions (whether or not representing obligations for borrowed money); </w:t>
      </w:r>
    </w:p>
    <w:p>
      <w:pPr>
        <w:pStyle w:val="TextBody"/>
        <w:bidi w:val="0"/>
        <w:spacing w:before="120" w:after="0"/>
        <w:jc w:val="left"/>
        <w:rPr>
          <w:rFonts w:ascii="Times New Roman" w:hAnsi="Times New Roman"/>
          <w:sz w:val="20"/>
        </w:rPr>
      </w:pPr>
      <w:r>
        <w:rPr>
          <w:rFonts w:ascii="Times New Roman" w:hAnsi="Times New Roman"/>
          <w:sz w:val="20"/>
        </w:rPr>
        <w:t xml:space="preserve">(f) the aggregate Swap Termination Value of all Swap Contracts of such Person; and </w:t>
      </w:r>
    </w:p>
    <w:p>
      <w:pPr>
        <w:pStyle w:val="TextBody"/>
        <w:bidi w:val="0"/>
        <w:spacing w:before="120" w:after="0"/>
        <w:jc w:val="left"/>
        <w:rPr>
          <w:rFonts w:ascii="Times New Roman" w:hAnsi="Times New Roman"/>
          <w:sz w:val="20"/>
        </w:rPr>
      </w:pPr>
      <w:r>
        <w:rPr>
          <w:rFonts w:ascii="Times New Roman" w:hAnsi="Times New Roman"/>
          <w:sz w:val="20"/>
        </w:rPr>
        <w:t xml:space="preserve">(g) any Guaranty of such Person with respect to liabilities of a type described in any of clauses (a) through (f) hereof. </w:t>
      </w:r>
    </w:p>
    <w:p>
      <w:pPr>
        <w:pStyle w:val="TextBody"/>
        <w:bidi w:val="0"/>
        <w:spacing w:before="240" w:after="0"/>
        <w:jc w:val="left"/>
        <w:rPr>
          <w:rFonts w:ascii="Times New Roman" w:hAnsi="Times New Roman"/>
          <w:sz w:val="20"/>
        </w:rPr>
      </w:pPr>
      <w:r>
        <w:rPr>
          <w:rFonts w:ascii="Times New Roman" w:hAnsi="Times New Roman"/>
          <w:sz w:val="20"/>
        </w:rPr>
        <w:t xml:space="preserve">Indebtedness of any Person shall include all obligations of such Person of the character described in clauses (a) through (g) to the extent such Person remains legally liable in respect thereof notwithstanding that any such obligation is deemed to be extinguished under GAAP. </w:t>
      </w:r>
    </w:p>
    <w:p>
      <w:pPr>
        <w:pStyle w:val="TextBody"/>
        <w:bidi w:val="0"/>
        <w:spacing w:before="240" w:after="0"/>
        <w:jc w:val="left"/>
        <w:rPr/>
      </w:pPr>
      <w:r>
        <w:rPr/>
        <w:t>“</w:t>
      </w:r>
      <w:r>
        <w:rPr>
          <w:rFonts w:ascii="Times New Roman" w:hAnsi="Times New Roman"/>
          <w:b/>
          <w:sz w:val="20"/>
        </w:rPr>
        <w:t>INHAM Exemption</w:t>
      </w:r>
      <w:r>
        <w:rPr>
          <w:rFonts w:ascii="Times New Roman" w:hAnsi="Times New Roman"/>
          <w:sz w:val="20"/>
        </w:rPr>
        <w:t xml:space="preserve">” is defined in Section 6.2(e). </w:t>
      </w:r>
    </w:p>
    <w:p>
      <w:pPr>
        <w:pStyle w:val="TextBody"/>
        <w:bidi w:val="0"/>
        <w:spacing w:before="240" w:after="0"/>
        <w:jc w:val="left"/>
        <w:rPr/>
      </w:pPr>
      <w:r>
        <w:rPr/>
        <w:t>“</w:t>
      </w:r>
      <w:r>
        <w:rPr>
          <w:rFonts w:ascii="Times New Roman" w:hAnsi="Times New Roman"/>
          <w:b/>
          <w:sz w:val="20"/>
        </w:rPr>
        <w:t>Institutional Investor</w:t>
      </w:r>
      <w:r>
        <w:rPr>
          <w:rFonts w:ascii="Times New Roman" w:hAnsi="Times New Roman"/>
          <w:sz w:val="20"/>
        </w:rPr>
        <w:t xml:space="preserve">” means (a) the Purchaser of a Note, (b) any holder of a Note holding (together with one or more of its affiliates) more than 10% of the aggregate principal amount of the Notes then outstanding, (c) any bank, trust company, savings and loan association or other financial institution, any pension plan, any investment company, any insurance company, any broker or dealer, or any other similar financial institution or entity, regardless of legal form, and (d) any Related Fund of any holder of any Note. </w:t>
      </w:r>
    </w:p>
    <w:p>
      <w:pPr>
        <w:pStyle w:val="TextBody"/>
        <w:bidi w:val="0"/>
        <w:spacing w:before="240" w:after="0"/>
        <w:jc w:val="left"/>
        <w:rPr/>
      </w:pPr>
      <w:r>
        <w:rPr/>
        <w:t>“</w:t>
      </w:r>
      <w:r>
        <w:rPr>
          <w:rFonts w:ascii="Times New Roman" w:hAnsi="Times New Roman"/>
          <w:b/>
          <w:sz w:val="20"/>
        </w:rPr>
        <w:t>Investment</w:t>
      </w:r>
      <w:r>
        <w:rPr>
          <w:rFonts w:ascii="Times New Roman" w:hAnsi="Times New Roman"/>
          <w:sz w:val="20"/>
        </w:rPr>
        <w:t xml:space="preserve">” means, for any Person: (a) Equity Interests, bonds, notes, debentures or other securities of any other Person or any agreement to acquire any Equity Interests, bonds, notes, debentures or other securities of any other Person (and any rights or proceeds in respect of (x) any “short sale” of securities or (y) any sale of any securities at a time when such securities are not owned by such Person); (b) deposits, advances, loans or other extensions of credit made to any other Person (including purchases of property from another Person subject to an understanding or agreement, contingent or otherwise, to resell such property to such Person, but excluding any advances to employees, officers, directors, and consultants of such Company or any of its Subsidiaries for expenses in the ordinary course of business); or (c) Hedging Agreements. </w:t>
      </w:r>
    </w:p>
    <w:p>
      <w:pPr>
        <w:pStyle w:val="TextBody"/>
        <w:bidi w:val="0"/>
        <w:spacing w:before="240" w:after="0"/>
        <w:jc w:val="left"/>
        <w:rPr/>
      </w:pPr>
      <w:r>
        <w:rPr/>
        <w:t>“</w:t>
      </w:r>
      <w:r>
        <w:rPr>
          <w:rFonts w:ascii="Times New Roman" w:hAnsi="Times New Roman"/>
          <w:b/>
          <w:sz w:val="20"/>
        </w:rPr>
        <w:t>Investment Company Act</w:t>
      </w:r>
      <w:r>
        <w:rPr>
          <w:rFonts w:ascii="Times New Roman" w:hAnsi="Times New Roman"/>
          <w:sz w:val="20"/>
        </w:rPr>
        <w:t xml:space="preserve">” means the Investment Company Act of 1940, as amended. </w:t>
      </w:r>
    </w:p>
    <w:p>
      <w:pPr>
        <w:pStyle w:val="TextBody"/>
        <w:bidi w:val="0"/>
        <w:spacing w:before="240" w:after="0"/>
        <w:jc w:val="left"/>
        <w:rPr/>
      </w:pPr>
      <w:r>
        <w:rPr/>
        <w:t>“</w:t>
      </w:r>
      <w:r>
        <w:rPr>
          <w:rFonts w:ascii="Times New Roman" w:hAnsi="Times New Roman"/>
          <w:b/>
          <w:sz w:val="20"/>
        </w:rPr>
        <w:t>Investment Grade</w:t>
      </w:r>
      <w:r>
        <w:rPr>
          <w:rFonts w:ascii="Times New Roman" w:hAnsi="Times New Roman"/>
          <w:sz w:val="20"/>
        </w:rPr>
        <w:t xml:space="preserve">” means in respect of the Notes a rating of (a) ”BBB-” or better by Egan-Jones or (b) its equivalent by any other Acceptable Rating Agency.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Lien</w:t>
      </w:r>
      <w:r>
        <w:rPr>
          <w:rFonts w:ascii="Times New Roman" w:hAnsi="Times New Roman"/>
          <w:sz w:val="20"/>
        </w:rPr>
        <w:t xml:space="preserve">” means, with respect to any Person, any mortgage, lien, pledge, charge, security interest or other encumbrance, or 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 </w:t>
      </w:r>
    </w:p>
    <w:p>
      <w:pPr>
        <w:pStyle w:val="TextBody"/>
        <w:bidi w:val="0"/>
        <w:spacing w:before="240" w:after="0"/>
        <w:jc w:val="left"/>
        <w:rPr/>
      </w:pPr>
      <w:r>
        <w:rPr/>
        <w:t>“</w:t>
      </w:r>
      <w:r>
        <w:rPr>
          <w:rFonts w:ascii="Times New Roman" w:hAnsi="Times New Roman"/>
          <w:b/>
          <w:sz w:val="20"/>
        </w:rPr>
        <w:t>Make-Whole Amount</w:t>
      </w:r>
      <w:r>
        <w:rPr>
          <w:rFonts w:ascii="Times New Roman" w:hAnsi="Times New Roman"/>
          <w:sz w:val="20"/>
        </w:rPr>
        <w:t xml:space="preserve">” is defined in Section 8.6. </w:t>
      </w:r>
    </w:p>
    <w:p>
      <w:pPr>
        <w:pStyle w:val="TextBody"/>
        <w:bidi w:val="0"/>
        <w:spacing w:before="240" w:after="0"/>
        <w:jc w:val="left"/>
        <w:rPr/>
      </w:pPr>
      <w:r>
        <w:rPr/>
        <w:t>“</w:t>
      </w:r>
      <w:r>
        <w:rPr>
          <w:rFonts w:ascii="Times New Roman" w:hAnsi="Times New Roman"/>
          <w:b/>
          <w:sz w:val="20"/>
        </w:rPr>
        <w:t>Margin</w:t>
      </w:r>
      <w:r>
        <w:rPr>
          <w:rFonts w:ascii="Times New Roman" w:hAnsi="Times New Roman"/>
          <w:sz w:val="20"/>
        </w:rPr>
        <w:t xml:space="preserve">” means, with respect to any Note, the percentage set forth in such Note as the “Margin”. </w:t>
      </w:r>
    </w:p>
    <w:p>
      <w:pPr>
        <w:pStyle w:val="TextBody"/>
        <w:bidi w:val="0"/>
        <w:spacing w:before="240" w:after="0"/>
        <w:jc w:val="left"/>
        <w:rPr/>
      </w:pPr>
      <w:r>
        <w:rPr/>
        <w:t>“</w:t>
      </w:r>
      <w:r>
        <w:rPr>
          <w:rFonts w:ascii="Times New Roman" w:hAnsi="Times New Roman"/>
          <w:b/>
          <w:sz w:val="20"/>
        </w:rPr>
        <w:t>Material</w:t>
      </w:r>
      <w:r>
        <w:rPr>
          <w:rFonts w:ascii="Times New Roman" w:hAnsi="Times New Roman"/>
          <w:sz w:val="20"/>
        </w:rPr>
        <w:t xml:space="preserve">” means material in relation to the business, operations, affairs, financial condition, assets, properties, or prospects of the Company and its Subsidiaries taken as a whole. </w:t>
      </w:r>
    </w:p>
    <w:p>
      <w:pPr>
        <w:pStyle w:val="TextBody"/>
        <w:bidi w:val="0"/>
        <w:spacing w:before="240" w:after="0"/>
        <w:jc w:val="left"/>
        <w:rPr/>
      </w:pPr>
      <w:r>
        <w:rPr/>
        <w:t>“</w:t>
      </w:r>
      <w:r>
        <w:rPr>
          <w:rFonts w:ascii="Times New Roman" w:hAnsi="Times New Roman"/>
          <w:b/>
          <w:sz w:val="20"/>
        </w:rPr>
        <w:t>Material Adverse Effect</w:t>
      </w:r>
      <w:r>
        <w:rPr>
          <w:rFonts w:ascii="Times New Roman" w:hAnsi="Times New Roman"/>
          <w:sz w:val="20"/>
        </w:rPr>
        <w:t xml:space="preserve">” means a material adverse effect on (a) the business, operations, affairs, financial condition, assets or properties of the Company and its Subsidiaries taken as a whole, (b) the ability of the Company to perform its obligations under this Agreement and the Notes, (c) the validity or enforceability of this Agreement or the Notes. </w:t>
      </w:r>
    </w:p>
    <w:p>
      <w:pPr>
        <w:pStyle w:val="TextBody"/>
        <w:bidi w:val="0"/>
        <w:spacing w:before="240" w:after="0"/>
        <w:jc w:val="left"/>
        <w:rPr/>
      </w:pPr>
      <w:r>
        <w:rPr/>
        <w:t>“</w:t>
      </w:r>
      <w:r>
        <w:rPr>
          <w:rFonts w:ascii="Times New Roman" w:hAnsi="Times New Roman"/>
          <w:b/>
          <w:sz w:val="20"/>
        </w:rPr>
        <w:t>Material Credit Facility</w:t>
      </w:r>
      <w:r>
        <w:rPr>
          <w:rFonts w:ascii="Times New Roman" w:hAnsi="Times New Roman"/>
          <w:sz w:val="20"/>
        </w:rPr>
        <w:t xml:space="preserve">” means, as to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(a) the Truist Credit Facility, including any renewals, extensions, amendments, supplements, restatements, replacements or refinancing thereof; and </w:t>
      </w:r>
    </w:p>
    <w:p>
      <w:pPr>
        <w:pStyle w:val="TextBody"/>
        <w:bidi w:val="0"/>
        <w:spacing w:before="240" w:after="0"/>
        <w:jc w:val="left"/>
        <w:rPr>
          <w:rFonts w:ascii="Times New Roman" w:hAnsi="Times New Roman"/>
          <w:sz w:val="20"/>
        </w:rPr>
      </w:pPr>
      <w:r>
        <w:rPr>
          <w:rFonts w:ascii="Times New Roman" w:hAnsi="Times New Roman"/>
          <w:sz w:val="20"/>
        </w:rPr>
        <w:t>(b) any other agreement(s), as amended from time to time, creating or evidencing indebtedness for borrowed money entered into on or after the date of Closing by the Company or any Subsidiary, or in respect of which the Company or any Subsidiary is an obligor or otherwise provides a guarantee or other credit support (“</w:t>
      </w:r>
      <w:r>
        <w:rPr>
          <w:rFonts w:ascii="Times New Roman" w:hAnsi="Times New Roman"/>
          <w:b/>
          <w:sz w:val="20"/>
        </w:rPr>
        <w:t>Credit Facility</w:t>
      </w:r>
      <w:r>
        <w:rPr>
          <w:rFonts w:ascii="Times New Roman" w:hAnsi="Times New Roman"/>
          <w:sz w:val="20"/>
        </w:rPr>
        <w:t>”), in a principal amount outstanding or available for borrowing equal to or greater than $100,000,000 (or the equivalent of such amount in the relevant currency of payment, determined as of the date of the closing of such facility based on the exchange rate of such other currency); and if no Credit Facility or Credit Facilities equal or exceed such amounts, then the largest Credit Facility shall be deemed to be a Material Credit Facility</w:t>
      </w:r>
      <w:r>
        <w:rPr>
          <w:rFonts w:ascii="Times New Roman" w:hAnsi="Times New Roman"/>
          <w:i/>
          <w:sz w:val="20"/>
        </w:rPr>
        <w:t xml:space="preserve">. </w:t>
      </w:r>
    </w:p>
    <w:p>
      <w:pPr>
        <w:pStyle w:val="TextBody"/>
        <w:bidi w:val="0"/>
        <w:spacing w:before="240" w:after="0"/>
        <w:jc w:val="left"/>
        <w:rPr/>
      </w:pPr>
      <w:r>
        <w:rPr/>
        <w:t>“</w:t>
      </w:r>
      <w:r>
        <w:rPr>
          <w:rFonts w:ascii="Times New Roman" w:hAnsi="Times New Roman"/>
          <w:b/>
          <w:sz w:val="20"/>
        </w:rPr>
        <w:t>Material Indebtedness</w:t>
      </w:r>
      <w:r>
        <w:rPr>
          <w:rFonts w:ascii="Times New Roman" w:hAnsi="Times New Roman"/>
          <w:sz w:val="20"/>
        </w:rPr>
        <w:t xml:space="preserve">” means Indebtedness (other than the Notes), of any one or more of the Company and its Subsidiaries in an aggregate outstanding principal amount exceeding $500,000,000. </w:t>
      </w:r>
    </w:p>
    <w:p>
      <w:pPr>
        <w:pStyle w:val="TextBody"/>
        <w:bidi w:val="0"/>
        <w:spacing w:before="240" w:after="0"/>
        <w:jc w:val="left"/>
        <w:rPr/>
      </w:pPr>
      <w:r>
        <w:rPr/>
        <w:t>“</w:t>
      </w:r>
      <w:r>
        <w:rPr>
          <w:rFonts w:ascii="Times New Roman" w:hAnsi="Times New Roman"/>
          <w:b/>
          <w:sz w:val="20"/>
        </w:rPr>
        <w:t>Maturity Date</w:t>
      </w:r>
      <w:r>
        <w:rPr>
          <w:rFonts w:ascii="Times New Roman" w:hAnsi="Times New Roman"/>
          <w:sz w:val="20"/>
        </w:rPr>
        <w:t xml:space="preserve">” is defined in the first paragraph of each Note. </w:t>
      </w:r>
    </w:p>
    <w:p>
      <w:pPr>
        <w:pStyle w:val="TextBody"/>
        <w:bidi w:val="0"/>
        <w:spacing w:before="240" w:after="0"/>
        <w:jc w:val="left"/>
        <w:rPr/>
      </w:pPr>
      <w:r>
        <w:rPr/>
        <w:t>“</w:t>
      </w:r>
      <w:r>
        <w:rPr>
          <w:rFonts w:ascii="Times New Roman" w:hAnsi="Times New Roman"/>
          <w:b/>
          <w:sz w:val="20"/>
        </w:rPr>
        <w:t>Moody’s</w:t>
      </w:r>
      <w:r>
        <w:rPr>
          <w:rFonts w:ascii="Times New Roman" w:hAnsi="Times New Roman"/>
          <w:sz w:val="20"/>
        </w:rPr>
        <w:t xml:space="preserve">” means Moody’s Investors Service, Inc. or any successor thereto. </w:t>
      </w:r>
    </w:p>
    <w:p>
      <w:pPr>
        <w:pStyle w:val="TextBody"/>
        <w:bidi w:val="0"/>
        <w:spacing w:before="240" w:after="0"/>
        <w:jc w:val="left"/>
        <w:rPr/>
      </w:pPr>
      <w:r>
        <w:rPr/>
        <w:t>“</w:t>
      </w:r>
      <w:r>
        <w:rPr>
          <w:rFonts w:ascii="Times New Roman" w:hAnsi="Times New Roman"/>
          <w:b/>
          <w:sz w:val="20"/>
        </w:rPr>
        <w:t>Multiemployer Plan</w:t>
      </w:r>
      <w:r>
        <w:rPr>
          <w:rFonts w:ascii="Times New Roman" w:hAnsi="Times New Roman"/>
          <w:sz w:val="20"/>
        </w:rPr>
        <w:t xml:space="preserve">” means any Plan that is a “multiemployer plan” (as such term is defined in section 4001(a)(3) of ERISA). </w:t>
      </w:r>
    </w:p>
    <w:p>
      <w:pPr>
        <w:pStyle w:val="TextBody"/>
        <w:bidi w:val="0"/>
        <w:spacing w:before="240" w:after="0"/>
        <w:jc w:val="left"/>
        <w:rPr/>
      </w:pPr>
      <w:r>
        <w:rPr/>
        <w:t>“</w:t>
      </w:r>
      <w:r>
        <w:rPr>
          <w:rFonts w:ascii="Times New Roman" w:hAnsi="Times New Roman"/>
          <w:b/>
          <w:sz w:val="20"/>
        </w:rPr>
        <w:t>NAIC</w:t>
      </w:r>
      <w:r>
        <w:rPr>
          <w:rFonts w:ascii="Times New Roman" w:hAnsi="Times New Roman"/>
          <w:sz w:val="20"/>
        </w:rPr>
        <w:t xml:space="preserve">” means the National Association of Insurance Commissioners.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NAIC Annual Statement</w:t>
      </w:r>
      <w:r>
        <w:rPr>
          <w:rFonts w:ascii="Times New Roman" w:hAnsi="Times New Roman"/>
          <w:sz w:val="20"/>
        </w:rPr>
        <w:t xml:space="preserve">” is defined in Section 6.2(a). </w:t>
      </w:r>
    </w:p>
    <w:p>
      <w:pPr>
        <w:pStyle w:val="TextBody"/>
        <w:bidi w:val="0"/>
        <w:spacing w:before="240" w:after="0"/>
        <w:jc w:val="left"/>
        <w:rPr/>
      </w:pPr>
      <w:r>
        <w:rPr/>
        <w:t>“</w:t>
      </w:r>
      <w:r>
        <w:rPr>
          <w:rFonts w:ascii="Times New Roman" w:hAnsi="Times New Roman"/>
          <w:b/>
          <w:sz w:val="20"/>
        </w:rPr>
        <w:t>Non-U.S. Plan</w:t>
      </w:r>
      <w:r>
        <w:rPr>
          <w:rFonts w:ascii="Times New Roman" w:hAnsi="Times New Roman"/>
          <w:sz w:val="20"/>
        </w:rPr>
        <w:t xml:space="preserve">” means any plan, fund or other similar program that (a) is established or maintained outside the United States of America by the Company or any Subsidiary primarily for the benefit of employees of the Company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 </w:t>
      </w:r>
    </w:p>
    <w:p>
      <w:pPr>
        <w:pStyle w:val="TextBody"/>
        <w:bidi w:val="0"/>
        <w:spacing w:before="240" w:after="0"/>
        <w:jc w:val="left"/>
        <w:rPr/>
      </w:pPr>
      <w:r>
        <w:rPr/>
        <w:t>“</w:t>
      </w:r>
      <w:r>
        <w:rPr>
          <w:rFonts w:ascii="Times New Roman" w:hAnsi="Times New Roman"/>
          <w:b/>
          <w:sz w:val="20"/>
        </w:rPr>
        <w:t>Notes</w:t>
      </w:r>
      <w:r>
        <w:rPr>
          <w:rFonts w:ascii="Times New Roman" w:hAnsi="Times New Roman"/>
          <w:sz w:val="20"/>
        </w:rPr>
        <w:t xml:space="preserve">” is defined in Section 1. </w:t>
      </w:r>
    </w:p>
    <w:p>
      <w:pPr>
        <w:pStyle w:val="TextBody"/>
        <w:bidi w:val="0"/>
        <w:spacing w:before="240" w:after="0"/>
        <w:jc w:val="left"/>
        <w:rPr/>
      </w:pPr>
      <w:r>
        <w:rPr/>
        <w:t>“</w:t>
      </w:r>
      <w:r>
        <w:rPr>
          <w:rFonts w:ascii="Times New Roman" w:hAnsi="Times New Roman"/>
          <w:b/>
          <w:sz w:val="20"/>
        </w:rPr>
        <w:t>OFAC</w:t>
      </w:r>
      <w:r>
        <w:rPr>
          <w:rFonts w:ascii="Times New Roman" w:hAnsi="Times New Roman"/>
          <w:sz w:val="20"/>
        </w:rPr>
        <w:t xml:space="preserve">” means the Office of Foreign Assets Control of the United States Department of the Treasury. </w:t>
      </w:r>
    </w:p>
    <w:p>
      <w:pPr>
        <w:pStyle w:val="TextBody"/>
        <w:bidi w:val="0"/>
        <w:spacing w:before="240" w:after="0"/>
        <w:jc w:val="left"/>
        <w:rPr/>
      </w:pPr>
      <w:r>
        <w:rPr/>
        <w:t>“</w:t>
      </w:r>
      <w:r>
        <w:rPr>
          <w:rFonts w:ascii="Times New Roman" w:hAnsi="Times New Roman"/>
          <w:b/>
          <w:sz w:val="20"/>
        </w:rPr>
        <w:t>OFAC Sanctions Program</w:t>
      </w:r>
      <w:r>
        <w:rPr>
          <w:rFonts w:ascii="Times New Roman" w:hAnsi="Times New Roman"/>
          <w:sz w:val="20"/>
        </w:rPr>
        <w:t xml:space="preserve">” means any economic or trade sanction that OFAC is responsible for administering and enforcing. A list of OFAC Sanctions Programs may be found at </w:t>
      </w:r>
      <w:r>
        <w:rPr>
          <w:rFonts w:ascii="Times New Roman" w:hAnsi="Times New Roman"/>
          <w:sz w:val="20"/>
          <w:u w:val="single"/>
        </w:rPr>
        <w:t>http://www.treasury.gov/resource-center/sanctions/Programs/Pages/Programs.aspx.</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xml:space="preserve">” means a certificate of a Senior Financial Officer or of any other officer of the Company whose responsibilities extend to the subject matter of such certificate. </w:t>
      </w:r>
    </w:p>
    <w:p>
      <w:pPr>
        <w:pStyle w:val="TextBody"/>
        <w:bidi w:val="0"/>
        <w:spacing w:before="240" w:after="0"/>
        <w:jc w:val="left"/>
        <w:rPr/>
      </w:pPr>
      <w:r>
        <w:rPr/>
        <w:t>“</w:t>
      </w:r>
      <w:r>
        <w:rPr>
          <w:rFonts w:ascii="Times New Roman" w:hAnsi="Times New Roman"/>
          <w:b/>
          <w:sz w:val="20"/>
        </w:rPr>
        <w:t>Paying Agent</w:t>
      </w:r>
      <w:r>
        <w:rPr>
          <w:rFonts w:ascii="Times New Roman" w:hAnsi="Times New Roman"/>
          <w:sz w:val="20"/>
        </w:rPr>
        <w:t xml:space="preserve">” is defined in Section 13.1. </w:t>
      </w:r>
    </w:p>
    <w:p>
      <w:pPr>
        <w:pStyle w:val="TextBody"/>
        <w:bidi w:val="0"/>
        <w:spacing w:before="240" w:after="0"/>
        <w:jc w:val="left"/>
        <w:rPr/>
      </w:pPr>
      <w:r>
        <w:rPr/>
        <w:t>“</w:t>
      </w:r>
      <w:r>
        <w:rPr>
          <w:rFonts w:ascii="Times New Roman" w:hAnsi="Times New Roman"/>
          <w:b/>
          <w:sz w:val="20"/>
        </w:rPr>
        <w:t>Payment Date</w:t>
      </w:r>
      <w:r>
        <w:rPr>
          <w:rFonts w:ascii="Times New Roman" w:hAnsi="Times New Roman"/>
          <w:sz w:val="20"/>
        </w:rPr>
        <w:t xml:space="preserve">” means with respect to any Note, the dates of each year in which interest with respect to such Note will be paid, as specified in such Note. </w:t>
      </w:r>
    </w:p>
    <w:p>
      <w:pPr>
        <w:pStyle w:val="TextBody"/>
        <w:bidi w:val="0"/>
        <w:spacing w:before="240" w:after="0"/>
        <w:jc w:val="left"/>
        <w:rPr/>
      </w:pPr>
      <w:r>
        <w:rPr/>
        <w:t>“</w:t>
      </w:r>
      <w:r>
        <w:rPr>
          <w:rFonts w:ascii="Times New Roman" w:hAnsi="Times New Roman"/>
          <w:b/>
          <w:sz w:val="20"/>
        </w:rPr>
        <w:t>PBGC</w:t>
      </w:r>
      <w:r>
        <w:rPr>
          <w:rFonts w:ascii="Times New Roman" w:hAnsi="Times New Roman"/>
          <w:sz w:val="20"/>
        </w:rPr>
        <w:t xml:space="preserve">” means the Pension Benefit Guaranty Corporation referred to and defined in ERISA and any successor entity performing similar functions. </w:t>
      </w:r>
    </w:p>
    <w:p>
      <w:pPr>
        <w:pStyle w:val="TextBody"/>
        <w:bidi w:val="0"/>
        <w:spacing w:before="240" w:after="0"/>
        <w:jc w:val="left"/>
        <w:rPr/>
      </w:pPr>
      <w:r>
        <w:rPr/>
        <w:t>“</w:t>
      </w:r>
      <w:r>
        <w:rPr>
          <w:rFonts w:ascii="Times New Roman" w:hAnsi="Times New Roman"/>
          <w:b/>
          <w:sz w:val="20"/>
        </w:rPr>
        <w:t>Permitted Liens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Liens imposed by any Governmental Authority for Taxes, assessments or charges not yet due or that are being contested in good faith and by appropriate proceedings if adequate reserves with respect thereto are maintained on the books of the Company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(b) Liens of clearing agencies, broker-dealers and similar Liens incurred in the ordinary course of business; </w:t>
      </w:r>
      <w:r>
        <w:rPr>
          <w:rFonts w:ascii="Times New Roman" w:hAnsi="Times New Roman"/>
          <w:i/>
          <w:sz w:val="20"/>
        </w:rPr>
        <w:t>provided</w:t>
      </w:r>
      <w:r>
        <w:rPr>
          <w:rFonts w:ascii="Times New Roman" w:hAnsi="Times New Roman"/>
          <w:sz w:val="20"/>
        </w:rPr>
        <w:t xml:space="preserve"> that such Liens (i) attach only to the securities (or proceeds) being purchased or sold and (ii) secure only obligations incurred in connection with such purchase or sale, and not any obligation in connection with margin financing; </w:t>
      </w:r>
    </w:p>
    <w:p>
      <w:pPr>
        <w:pStyle w:val="TextBody"/>
        <w:bidi w:val="0"/>
        <w:spacing w:before="120" w:after="0"/>
        <w:jc w:val="left"/>
        <w:rPr>
          <w:rFonts w:ascii="Times New Roman" w:hAnsi="Times New Roman"/>
          <w:sz w:val="20"/>
        </w:rPr>
      </w:pPr>
      <w:r>
        <w:rPr>
          <w:rFonts w:ascii="Times New Roman" w:hAnsi="Times New Roman"/>
          <w:sz w:val="20"/>
        </w:rPr>
        <w:t xml:space="preserve">(c) Liens granted pursuant to or by the transaction documents related to any Material Credit Facility, including restrictions on transfer with respect to any Loan Asset (as defined in the applicable Material Credit Facility), either imposed by law or contained in the applicable Material Credit Facility, that are customary qualifications for instruments similar to such Loan Asset (including consent of the relevant agent or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Liens on capital commitments of the Company’s investors and assets directly related thereto (including any deposit account the sole purpose of which is for the deposit of capital contributions made from the Company’s investors). </w:t>
      </w:r>
    </w:p>
    <w:p>
      <w:pPr>
        <w:pStyle w:val="TextBody"/>
        <w:bidi w:val="0"/>
        <w:spacing w:before="120" w:after="0"/>
        <w:jc w:val="left"/>
        <w:rPr>
          <w:rFonts w:ascii="Times New Roman" w:hAnsi="Times New Roman"/>
          <w:sz w:val="20"/>
        </w:rPr>
      </w:pPr>
      <w:r>
        <w:rPr>
          <w:rFonts w:ascii="Times New Roman" w:hAnsi="Times New Roman"/>
          <w:sz w:val="20"/>
        </w:rPr>
        <w:t xml:space="preserve">(e) Liens imposed by law, such as materialmen’s, mechanics’, carriers’, workmens’, storage and repairmen’s Liens and other similar Liens arising in the ordinary course of business and securing obligations (other than Indebtedness for borrowed money) not yet due or that are being contested in good faith and by appropriate proceedings if adequate reserves with respect thereto are maintained on the books of the Company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(f) Liens incurred or pledges or deposits made to secure obligations incurred in the ordinary course of business under workers’ compensation laws, unemployment insurance or other similar social security legislation (other than Liens imposed by the PBGC in respect of employee benefit plans subject to Title IV of ERISA) or to secure public or statutory obligations; </w:t>
      </w:r>
    </w:p>
    <w:p>
      <w:pPr>
        <w:pStyle w:val="TextBody"/>
        <w:bidi w:val="0"/>
        <w:spacing w:before="120" w:after="0"/>
        <w:jc w:val="left"/>
        <w:rPr>
          <w:rFonts w:ascii="Times New Roman" w:hAnsi="Times New Roman"/>
          <w:sz w:val="20"/>
        </w:rPr>
      </w:pPr>
      <w:r>
        <w:rPr>
          <w:rFonts w:ascii="Times New Roman" w:hAnsi="Times New Roman"/>
          <w:sz w:val="20"/>
        </w:rPr>
        <w:t xml:space="preserve">(g) Liens securing the performance of, or payment in respect of, bids, insurance premiums, deductibles or co-insured amounts, tenders, government or utility contracts (other than for the repayment of borrowed money), surety, stay, customs and appeal bonds and other obligations of a similar nature incurred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(h) customary rights of setoff and liens upon (i) deposits of cash in favor of banks or other depository institutions in which such cash is maintained in the ordinary course of business, (ii) cash and financial assets held in securities accounts in favor of banks and other financial institutions with which such accounts are maintained in the ordinary course of business and (iii) assets held by a custodian in favor of such custodian in the ordinary course of business securing payment of fees, indemnities and other similar obligations; </w:t>
      </w:r>
    </w:p>
    <w:p>
      <w:pPr>
        <w:pStyle w:val="TextBody"/>
        <w:bidi w:val="0"/>
        <w:spacing w:before="120" w:after="0"/>
        <w:jc w:val="left"/>
        <w:rPr>
          <w:rFonts w:ascii="Times New Roman" w:hAnsi="Times New Roman"/>
          <w:sz w:val="20"/>
        </w:rPr>
      </w:pPr>
      <w:r>
        <w:rPr>
          <w:rFonts w:ascii="Times New Roman" w:hAnsi="Times New Roman"/>
          <w:sz w:val="20"/>
        </w:rPr>
        <w:t xml:space="preserve">(i) Liens arising solely from precautionary filings of financing statements under the Uniform Commercial Code of the applicable jurisdictions in respect of operating leases entered into by the Company or any of its Subsidiaries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(j) deposits of money securing leases to which Company is a party as lessee made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(k) Liens in favor of any escrow agent solely on and in respect of any cash earnest money deposits made by the Company in connection with any letter of intent or purchase agreement (to the extent that the acquisition or disposition with respect thereto is otherwise permitted hereunder); and </w:t>
      </w:r>
    </w:p>
    <w:p>
      <w:pPr>
        <w:pStyle w:val="TextBody"/>
        <w:bidi w:val="0"/>
        <w:spacing w:before="120" w:after="0"/>
        <w:jc w:val="left"/>
        <w:rPr>
          <w:rFonts w:ascii="Times New Roman" w:hAnsi="Times New Roman"/>
          <w:sz w:val="20"/>
        </w:rPr>
      </w:pPr>
      <w:r>
        <w:rPr>
          <w:rFonts w:ascii="Times New Roman" w:hAnsi="Times New Roman"/>
          <w:sz w:val="20"/>
        </w:rPr>
        <w:t xml:space="preserve">(l) precautionary Liens and filings of financing statements under the Uniform Commercial Code covering assets sold or contributed to any Person in a transaction not prohibited hereunder.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Person</w:t>
      </w:r>
      <w:r>
        <w:rPr>
          <w:rFonts w:ascii="Times New Roman" w:hAnsi="Times New Roman"/>
          <w:sz w:val="20"/>
        </w:rPr>
        <w:t xml:space="preserve">” means an individual, partnership, corporation, limited liability company, association, trust, unincorporated organization, business entity or Governmental Authority. </w:t>
      </w:r>
    </w:p>
    <w:p>
      <w:pPr>
        <w:pStyle w:val="TextBody"/>
        <w:bidi w:val="0"/>
        <w:spacing w:before="240" w:after="0"/>
        <w:jc w:val="left"/>
        <w:rPr/>
      </w:pPr>
      <w:r>
        <w:rPr/>
        <w:t>“</w:t>
      </w:r>
      <w:r>
        <w:rPr>
          <w:rFonts w:ascii="Times New Roman" w:hAnsi="Times New Roman"/>
          <w:b/>
          <w:sz w:val="20"/>
        </w:rPr>
        <w:t>Placement Agent</w:t>
      </w:r>
      <w:r>
        <w:rPr>
          <w:rFonts w:ascii="Times New Roman" w:hAnsi="Times New Roman"/>
          <w:sz w:val="20"/>
        </w:rPr>
        <w:t xml:space="preserve">” means Raymond James &amp; Associates, Inc. in its capacity as placement agent under the engagement letter entered into between the placement agent and the Company. </w:t>
      </w:r>
    </w:p>
    <w:p>
      <w:pPr>
        <w:pStyle w:val="TextBody"/>
        <w:bidi w:val="0"/>
        <w:spacing w:before="240" w:after="0"/>
        <w:jc w:val="left"/>
        <w:rPr/>
      </w:pPr>
      <w:r>
        <w:rPr/>
        <w:t>“</w:t>
      </w:r>
      <w:r>
        <w:rPr>
          <w:rFonts w:ascii="Times New Roman" w:hAnsi="Times New Roman"/>
          <w:b/>
          <w:sz w:val="20"/>
        </w:rPr>
        <w:t>Plan</w:t>
      </w:r>
      <w:r>
        <w:rPr>
          <w:rFonts w:ascii="Times New Roman" w:hAnsi="Times New Roman"/>
          <w:sz w:val="20"/>
        </w:rPr>
        <w:t xml:space="preserve">” means an “employee benefit plan” (as defined in section 3(3) of ERISA) subject to Title I of ERISA that is or, 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 </w:t>
      </w:r>
    </w:p>
    <w:p>
      <w:pPr>
        <w:pStyle w:val="TextBody"/>
        <w:bidi w:val="0"/>
        <w:spacing w:before="240" w:after="0"/>
        <w:jc w:val="left"/>
        <w:rPr/>
      </w:pPr>
      <w:r>
        <w:rPr/>
        <w:t>“</w:t>
      </w:r>
      <w:r>
        <w:rPr>
          <w:rFonts w:ascii="Times New Roman" w:hAnsi="Times New Roman"/>
          <w:b/>
          <w:sz w:val="20"/>
        </w:rPr>
        <w:t>Preferred Stock</w:t>
      </w:r>
      <w:r>
        <w:rPr>
          <w:rFonts w:ascii="Times New Roman" w:hAnsi="Times New Roman"/>
          <w:sz w:val="20"/>
        </w:rPr>
        <w:t xml:space="preserve">” means any class of capital stock of a Person that is preferred over any other class of capital stock (or similar equity interests) of such Person as to the payment of dividends or the payment of any amount upon liquidation or dissolution of such Person. </w:t>
      </w:r>
    </w:p>
    <w:p>
      <w:pPr>
        <w:pStyle w:val="TextBody"/>
        <w:bidi w:val="0"/>
        <w:spacing w:before="240" w:after="0"/>
        <w:jc w:val="left"/>
        <w:rPr/>
      </w:pPr>
      <w:r>
        <w:rPr/>
        <w:t>“</w:t>
      </w:r>
      <w:r>
        <w:rPr>
          <w:rFonts w:ascii="Times New Roman" w:hAnsi="Times New Roman"/>
          <w:b/>
          <w:sz w:val="20"/>
        </w:rPr>
        <w:t>Prepayment Settlement Amount</w:t>
      </w:r>
      <w:r>
        <w:rPr>
          <w:rFonts w:ascii="Times New Roman" w:hAnsi="Times New Roman"/>
          <w:sz w:val="20"/>
        </w:rPr>
        <w:t xml:space="preserve">” is defined in Section 8.6. </w:t>
      </w:r>
    </w:p>
    <w:p>
      <w:pPr>
        <w:pStyle w:val="TextBody"/>
        <w:bidi w:val="0"/>
        <w:spacing w:before="240" w:after="0"/>
        <w:jc w:val="left"/>
        <w:rPr/>
      </w:pPr>
      <w:r>
        <w:rPr/>
        <w:t>“</w:t>
      </w:r>
      <w:r>
        <w:rPr>
          <w:rFonts w:ascii="Times New Roman" w:hAnsi="Times New Roman"/>
          <w:b/>
          <w:sz w:val="20"/>
        </w:rPr>
        <w:t>Private Placement Agent”</w:t>
      </w:r>
      <w:r>
        <w:rPr>
          <w:rFonts w:ascii="Times New Roman" w:hAnsi="Times New Roman"/>
          <w:sz w:val="20"/>
        </w:rPr>
        <w:t xml:space="preserve"> means any company organized as a “broker” or “dealer” (as each such term is defined in Section 3(a)(4) and (5), respectively, of the Exchange Act) of recognized national standing regularly engaged as an intermediary in the placement or sale to and among Institutional Investors of Indebtedness Securities exempt from registration under the Securities Act. </w:t>
      </w:r>
    </w:p>
    <w:p>
      <w:pPr>
        <w:pStyle w:val="TextBody"/>
        <w:bidi w:val="0"/>
        <w:spacing w:before="240" w:after="0"/>
        <w:jc w:val="left"/>
        <w:rPr/>
      </w:pPr>
      <w:r>
        <w:rPr/>
        <w:t>“</w:t>
      </w:r>
      <w:r>
        <w:rPr>
          <w:rFonts w:ascii="Times New Roman" w:hAnsi="Times New Roman"/>
          <w:b/>
          <w:sz w:val="20"/>
        </w:rPr>
        <w:t>property</w:t>
      </w:r>
      <w:r>
        <w:rPr>
          <w:rFonts w:ascii="Times New Roman" w:hAnsi="Times New Roman"/>
          <w:sz w:val="20"/>
        </w:rPr>
        <w:t>” or “</w:t>
      </w:r>
      <w:r>
        <w:rPr>
          <w:rFonts w:ascii="Times New Roman" w:hAnsi="Times New Roman"/>
          <w:b/>
          <w:sz w:val="20"/>
        </w:rPr>
        <w:t>properties</w:t>
      </w:r>
      <w:r>
        <w:rPr>
          <w:rFonts w:ascii="Times New Roman" w:hAnsi="Times New Roman"/>
          <w:sz w:val="20"/>
        </w:rPr>
        <w:t xml:space="preserve">” means, unless otherwise specifically limited, real or personal property of any kind, tangible or intangible, choate or inchoate. </w:t>
      </w:r>
    </w:p>
    <w:p>
      <w:pPr>
        <w:pStyle w:val="TextBody"/>
        <w:bidi w:val="0"/>
        <w:spacing w:before="240" w:after="0"/>
        <w:jc w:val="left"/>
        <w:rPr/>
      </w:pPr>
      <w:r>
        <w:rPr/>
        <w:t>“</w:t>
      </w:r>
      <w:r>
        <w:rPr>
          <w:rFonts w:ascii="Times New Roman" w:hAnsi="Times New Roman"/>
          <w:b/>
          <w:sz w:val="20"/>
        </w:rPr>
        <w:t>PTE</w:t>
      </w:r>
      <w:r>
        <w:rPr>
          <w:rFonts w:ascii="Times New Roman" w:hAnsi="Times New Roman"/>
          <w:sz w:val="20"/>
        </w:rPr>
        <w:t xml:space="preserve">” is defined in Section 6.2(a). </w:t>
      </w:r>
    </w:p>
    <w:p>
      <w:pPr>
        <w:pStyle w:val="TextBody"/>
        <w:bidi w:val="0"/>
        <w:spacing w:before="240" w:after="0"/>
        <w:jc w:val="left"/>
        <w:rPr/>
      </w:pPr>
      <w:r>
        <w:rPr/>
        <w:t>“</w:t>
      </w:r>
      <w:r>
        <w:rPr>
          <w:rFonts w:ascii="Times New Roman" w:hAnsi="Times New Roman"/>
          <w:b/>
          <w:sz w:val="20"/>
        </w:rPr>
        <w:t>Purchaser</w:t>
      </w:r>
      <w:r>
        <w:rPr>
          <w:rFonts w:ascii="Times New Roman" w:hAnsi="Times New Roman"/>
          <w:sz w:val="20"/>
        </w:rPr>
        <w:t xml:space="preserve">” means the purchaser that has executed and delivered this Agreement to the Company and the Purchaser’s successors and assigns (so long as any such assignment complies with Section 13.3), </w:t>
      </w:r>
      <w:r>
        <w:rPr>
          <w:rFonts w:ascii="Times New Roman" w:hAnsi="Times New Roman"/>
          <w:i/>
          <w:sz w:val="20"/>
        </w:rPr>
        <w:t>provided, however,</w:t>
      </w:r>
      <w:r>
        <w:rPr>
          <w:rFonts w:ascii="Times New Roman" w:hAnsi="Times New Roman"/>
          <w:sz w:val="20"/>
        </w:rPr>
        <w:t xml:space="preserve"> that the Purchaser that ceases to be the registered holder or a beneficial owner (through a nominee) of the Note as the result of a transfer thereof pursuant to Section 13.3 shall cease to be included within the meaning of “Purchaser” of the Note for the purposes of this Agreement upon such transfer. </w:t>
      </w:r>
    </w:p>
    <w:p>
      <w:pPr>
        <w:pStyle w:val="TextBody"/>
        <w:bidi w:val="0"/>
        <w:spacing w:before="240" w:after="0"/>
        <w:jc w:val="left"/>
        <w:rPr/>
      </w:pPr>
      <w:r>
        <w:rPr/>
        <w:t>“</w:t>
      </w:r>
      <w:r>
        <w:rPr>
          <w:rFonts w:ascii="Times New Roman" w:hAnsi="Times New Roman"/>
          <w:b/>
          <w:sz w:val="20"/>
        </w:rPr>
        <w:t>Purchaser Schedule</w:t>
      </w:r>
      <w:r>
        <w:rPr>
          <w:rFonts w:ascii="Times New Roman" w:hAnsi="Times New Roman"/>
          <w:sz w:val="20"/>
        </w:rPr>
        <w:t xml:space="preserve">” means the Purchaser Schedule to this Agreement listing the Purchaser of the Notes and including their notice and payment information. </w:t>
      </w:r>
    </w:p>
    <w:p>
      <w:pPr>
        <w:pStyle w:val="TextBody"/>
        <w:bidi w:val="0"/>
        <w:spacing w:before="240" w:after="0"/>
        <w:jc w:val="left"/>
        <w:rPr/>
      </w:pPr>
      <w:r>
        <w:rPr/>
        <w:t>“</w:t>
      </w:r>
      <w:r>
        <w:rPr>
          <w:rFonts w:ascii="Times New Roman" w:hAnsi="Times New Roman"/>
          <w:b/>
          <w:sz w:val="20"/>
        </w:rPr>
        <w:t>QPAM Exemption</w:t>
      </w:r>
      <w:r>
        <w:rPr>
          <w:rFonts w:ascii="Times New Roman" w:hAnsi="Times New Roman"/>
          <w:sz w:val="20"/>
        </w:rPr>
        <w:t xml:space="preserve">” is defined in Section 6.2(d). </w:t>
      </w:r>
    </w:p>
    <w:p>
      <w:pPr>
        <w:pStyle w:val="TextBody"/>
        <w:bidi w:val="0"/>
        <w:spacing w:before="240" w:after="0"/>
        <w:jc w:val="left"/>
        <w:rPr/>
      </w:pPr>
      <w:r>
        <w:rPr/>
        <w:t>“</w:t>
      </w:r>
      <w:r>
        <w:rPr>
          <w:rFonts w:ascii="Times New Roman" w:hAnsi="Times New Roman"/>
          <w:b/>
          <w:sz w:val="20"/>
        </w:rPr>
        <w:t>Qualified Institutional Buyer</w:t>
      </w:r>
      <w:r>
        <w:rPr>
          <w:rFonts w:ascii="Times New Roman" w:hAnsi="Times New Roman"/>
          <w:sz w:val="20"/>
        </w:rPr>
        <w:t xml:space="preserve">” means any Person who is a “qualified institutional buyer” within the meaning of such term as set forth in Rule 144A(a)(1) under the Securities Act. </w:t>
      </w:r>
    </w:p>
    <w:p>
      <w:pPr>
        <w:pStyle w:val="TextBody"/>
        <w:bidi w:val="0"/>
        <w:spacing w:before="240" w:after="0"/>
        <w:jc w:val="left"/>
        <w:rPr/>
      </w:pPr>
      <w:r>
        <w:rPr/>
        <w:t>“</w:t>
      </w:r>
      <w:r>
        <w:rPr>
          <w:rFonts w:ascii="Times New Roman" w:hAnsi="Times New Roman"/>
          <w:b/>
          <w:sz w:val="20"/>
        </w:rPr>
        <w:t>Registration Rights Agreements</w:t>
      </w:r>
      <w:r>
        <w:rPr>
          <w:rFonts w:ascii="Times New Roman" w:hAnsi="Times New Roman"/>
          <w:sz w:val="20"/>
        </w:rPr>
        <w:t xml:space="preserve">” is defined in Section 4.7.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Related Fund</w:t>
      </w:r>
      <w:r>
        <w:rPr>
          <w:rFonts w:ascii="Times New Roman" w:hAnsi="Times New Roman"/>
          <w:sz w:val="20"/>
        </w:rPr>
        <w:t xml:space="preserve">” means, with respect to any holder of any Note, any fund or entity that (a) invests in Securities or bank loans, and (b) is advised or managed by such holder, the same investment advisor as such holder or by an affiliate of such holder or such investment advisor. </w:t>
      </w:r>
    </w:p>
    <w:p>
      <w:pPr>
        <w:pStyle w:val="TextBody"/>
        <w:bidi w:val="0"/>
        <w:spacing w:before="240" w:after="0"/>
        <w:jc w:val="left"/>
        <w:rPr/>
      </w:pPr>
      <w:r>
        <w:rPr/>
        <w:t>“</w:t>
      </w:r>
      <w:r>
        <w:rPr>
          <w:rFonts w:ascii="Times New Roman" w:hAnsi="Times New Roman"/>
          <w:b/>
          <w:sz w:val="20"/>
        </w:rPr>
        <w:t>Reported</w:t>
      </w:r>
      <w:r>
        <w:rPr>
          <w:rFonts w:ascii="Times New Roman" w:hAnsi="Times New Roman"/>
          <w:sz w:val="20"/>
        </w:rPr>
        <w:t xml:space="preserve">” is defined in Section 8.6. </w:t>
      </w:r>
    </w:p>
    <w:p>
      <w:pPr>
        <w:pStyle w:val="TextBody"/>
        <w:bidi w:val="0"/>
        <w:spacing w:before="240" w:after="0"/>
        <w:jc w:val="left"/>
        <w:rPr/>
      </w:pPr>
      <w:r>
        <w:rPr/>
        <w:t>“</w:t>
      </w:r>
      <w:r>
        <w:rPr>
          <w:rFonts w:ascii="Times New Roman" w:hAnsi="Times New Roman"/>
          <w:b/>
          <w:sz w:val="20"/>
        </w:rPr>
        <w:t>Required Holders</w:t>
      </w:r>
      <w:r>
        <w:rPr>
          <w:rFonts w:ascii="Times New Roman" w:hAnsi="Times New Roman"/>
          <w:sz w:val="20"/>
        </w:rPr>
        <w:t xml:space="preserve">” means at any time on or after the Closing, the holders of greater than 50% in principal amount of the Notes at the time outstanding (exclusive of Notes then owned by the Company or any of its Affiliates). </w:t>
      </w:r>
    </w:p>
    <w:p>
      <w:pPr>
        <w:pStyle w:val="TextBody"/>
        <w:bidi w:val="0"/>
        <w:spacing w:before="240" w:after="0"/>
        <w:jc w:val="left"/>
        <w:rPr/>
      </w:pPr>
      <w:r>
        <w:rPr/>
        <w:t>“</w:t>
      </w:r>
      <w:r>
        <w:rPr>
          <w:rFonts w:ascii="Times New Roman" w:hAnsi="Times New Roman"/>
          <w:b/>
          <w:sz w:val="20"/>
        </w:rPr>
        <w:t>Responsible Officer</w:t>
      </w:r>
      <w:r>
        <w:rPr>
          <w:rFonts w:ascii="Times New Roman" w:hAnsi="Times New Roman"/>
          <w:sz w:val="20"/>
        </w:rPr>
        <w:t xml:space="preserve">” means any Senior Financial Officer and any other officer of the Company with responsibility for the administration of the relevant portion of this Agreement. </w:t>
      </w:r>
    </w:p>
    <w:p>
      <w:pPr>
        <w:pStyle w:val="TextBody"/>
        <w:bidi w:val="0"/>
        <w:spacing w:before="240" w:after="0"/>
        <w:jc w:val="left"/>
        <w:rPr/>
      </w:pPr>
      <w:r>
        <w:rPr/>
        <w:t>“</w:t>
      </w:r>
      <w:r>
        <w:rPr>
          <w:rFonts w:ascii="Times New Roman" w:hAnsi="Times New Roman"/>
          <w:b/>
          <w:sz w:val="20"/>
        </w:rPr>
        <w:t>Sanctioned Country</w:t>
      </w:r>
      <w:r>
        <w:rPr>
          <w:rFonts w:ascii="Times New Roman" w:hAnsi="Times New Roman"/>
          <w:sz w:val="20"/>
        </w:rPr>
        <w:t xml:space="preserve">” means a country, territory or region that is the subject or the target of country-wide or territory-wide Sanctions broadly prohibiting dealings with such country, territory or region (i.e., Cuba, Iran, North Korea, and the Crimea, Donetsk, and Luhansk regions of Ukraine). </w:t>
      </w:r>
    </w:p>
    <w:p>
      <w:pPr>
        <w:pStyle w:val="TextBody"/>
        <w:bidi w:val="0"/>
        <w:spacing w:before="240" w:after="0"/>
        <w:jc w:val="left"/>
        <w:rPr/>
      </w:pPr>
      <w:r>
        <w:rPr/>
        <w:t>“</w:t>
      </w:r>
      <w:r>
        <w:rPr>
          <w:rFonts w:ascii="Times New Roman" w:hAnsi="Times New Roman"/>
          <w:b/>
          <w:sz w:val="20"/>
        </w:rPr>
        <w:t>S&amp;P</w:t>
      </w:r>
      <w:r>
        <w:rPr>
          <w:rFonts w:ascii="Times New Roman" w:hAnsi="Times New Roman"/>
          <w:sz w:val="20"/>
        </w:rPr>
        <w:t xml:space="preserve">” means S&amp;P Global Ratings or any successor thereto. </w:t>
      </w:r>
    </w:p>
    <w:p>
      <w:pPr>
        <w:pStyle w:val="TextBody"/>
        <w:bidi w:val="0"/>
        <w:spacing w:before="240" w:after="0"/>
        <w:jc w:val="left"/>
        <w:rPr/>
      </w:pPr>
      <w:r>
        <w:rPr/>
        <w:t>“</w:t>
      </w:r>
      <w:r>
        <w:rPr>
          <w:rFonts w:ascii="Times New Roman" w:hAnsi="Times New Roman"/>
          <w:b/>
          <w:sz w:val="20"/>
        </w:rPr>
        <w:t>SBA</w:t>
      </w:r>
      <w:r>
        <w:rPr>
          <w:rFonts w:ascii="Times New Roman" w:hAnsi="Times New Roman"/>
          <w:sz w:val="20"/>
        </w:rPr>
        <w:t xml:space="preserve">” means the United States Small Business Administration or any Governmental Authority succeeding to any or all of the functions thereof. </w:t>
      </w:r>
    </w:p>
    <w:p>
      <w:pPr>
        <w:pStyle w:val="TextBody"/>
        <w:bidi w:val="0"/>
        <w:spacing w:before="240" w:after="0"/>
        <w:jc w:val="left"/>
        <w:rPr/>
      </w:pPr>
      <w:r>
        <w:rPr/>
        <w:t>“</w:t>
      </w:r>
      <w:r>
        <w:rPr>
          <w:rFonts w:ascii="Times New Roman" w:hAnsi="Times New Roman"/>
          <w:b/>
          <w:sz w:val="20"/>
        </w:rPr>
        <w:t>SBIC Subsidiary</w:t>
      </w:r>
      <w:r>
        <w:rPr>
          <w:rFonts w:ascii="Times New Roman" w:hAnsi="Times New Roman"/>
          <w:sz w:val="20"/>
        </w:rPr>
        <w:t xml:space="preserve">” means any direct or indirect Subsidiary (including such Subsidiary’s general partner or managing entity to the extent that the only material asset of such general partner or managing entity is its equity interest in the SBIC Subsidiary) of the Company licensed as a small business investment company under the Small Business Investment Act of 1958, as amended, (or that has applied for such a license and is actively pursuing the granting thereof by appropriate proceedings promptly instituted and diligently conducted) and which is designated by the Company (as provided below) as an SBIC Subsidiary, so long as (a) no portion of the Indebtedness or any other obligations (contingent or otherwise) of such Subsidiary: (i) is Guaranteed by the Company, (ii) is recourse to or obligates the Company in any way, or (iii) subjects any property of the Company, directly or indirectly, contingently or otherwise, to the satisfaction thereof, other than Equity Interests in any SBIC Subsidiary pledged to secure such Indebtedness, and (b) the Company does not have any obligation to maintain or preserve such Subsidiary’s financial condition or cause such entity to achieve certain levels of operating results. Any such designation by the Company shall be effected pursuant to a certificate of a Senior Financial Officer delivered to the holders of the Notes, which certificate shall include a statement to the effect that, to the best of such officer’s knowledge, such designation complied with the foregoing conditions.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Securities and Exchange Commission of the United States of America. </w:t>
      </w:r>
    </w:p>
    <w:p>
      <w:pPr>
        <w:pStyle w:val="TextBody"/>
        <w:bidi w:val="0"/>
        <w:spacing w:before="240" w:after="0"/>
        <w:jc w:val="left"/>
        <w:rPr/>
      </w:pPr>
      <w:r>
        <w:rPr/>
        <w:t>“</w:t>
      </w:r>
      <w:r>
        <w:rPr>
          <w:rFonts w:ascii="Times New Roman" w:hAnsi="Times New Roman"/>
          <w:b/>
          <w:sz w:val="20"/>
        </w:rPr>
        <w:t>Section</w:t>
      </w:r>
      <w:r>
        <w:rPr>
          <w:rFonts w:ascii="Times New Roman" w:hAnsi="Times New Roman"/>
          <w:sz w:val="20"/>
        </w:rPr>
        <w:t> </w:t>
      </w:r>
      <w:r>
        <w:rPr>
          <w:rFonts w:ascii="Times New Roman" w:hAnsi="Times New Roman"/>
          <w:b/>
          <w:sz w:val="20"/>
        </w:rPr>
        <w:t>8.8 Proposed Prepayment Date</w:t>
      </w:r>
      <w:r>
        <w:rPr>
          <w:rFonts w:ascii="Times New Roman" w:hAnsi="Times New Roman"/>
          <w:sz w:val="20"/>
        </w:rPr>
        <w:t xml:space="preserve">” is defined in Section 8.8(b).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Securities</w:t>
      </w:r>
      <w:r>
        <w:rPr>
          <w:rFonts w:ascii="Times New Roman" w:hAnsi="Times New Roman"/>
          <w:sz w:val="20"/>
        </w:rPr>
        <w:t>” or “</w:t>
      </w:r>
      <w:r>
        <w:rPr>
          <w:rFonts w:ascii="Times New Roman" w:hAnsi="Times New Roman"/>
          <w:b/>
          <w:sz w:val="20"/>
        </w:rPr>
        <w:t>Security</w:t>
      </w:r>
      <w:r>
        <w:rPr>
          <w:rFonts w:ascii="Times New Roman" w:hAnsi="Times New Roman"/>
          <w:sz w:val="20"/>
        </w:rPr>
        <w:t xml:space="preserve">” shall have the meaning specified in section 2(1) of the Securities Act.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and the rules and regulations promulgated thereunder from time to time in effect. </w:t>
      </w:r>
    </w:p>
    <w:p>
      <w:pPr>
        <w:pStyle w:val="TextBody"/>
        <w:bidi w:val="0"/>
        <w:spacing w:before="240" w:after="0"/>
        <w:jc w:val="left"/>
        <w:rPr/>
      </w:pPr>
      <w:r>
        <w:rPr/>
        <w:t>“</w:t>
      </w:r>
      <w:r>
        <w:rPr>
          <w:rFonts w:ascii="Times New Roman" w:hAnsi="Times New Roman"/>
          <w:b/>
          <w:sz w:val="20"/>
        </w:rPr>
        <w:t>Senior Financial Officer</w:t>
      </w:r>
      <w:r>
        <w:rPr>
          <w:rFonts w:ascii="Times New Roman" w:hAnsi="Times New Roman"/>
          <w:sz w:val="20"/>
        </w:rPr>
        <w:t xml:space="preserve">” means the chief financial officer, principal accounting officer, treasurer or comptroller of the Company. </w:t>
      </w:r>
    </w:p>
    <w:p>
      <w:pPr>
        <w:pStyle w:val="TextBody"/>
        <w:bidi w:val="0"/>
        <w:spacing w:before="240" w:after="0"/>
        <w:jc w:val="left"/>
        <w:rPr/>
      </w:pPr>
      <w:r>
        <w:rPr/>
        <w:t>“</w:t>
      </w:r>
      <w:r>
        <w:rPr>
          <w:rFonts w:ascii="Times New Roman" w:hAnsi="Times New Roman"/>
          <w:b/>
          <w:sz w:val="20"/>
        </w:rPr>
        <w:t>Source</w:t>
      </w:r>
      <w:r>
        <w:rPr>
          <w:rFonts w:ascii="Times New Roman" w:hAnsi="Times New Roman"/>
          <w:sz w:val="20"/>
        </w:rPr>
        <w:t xml:space="preserve">” is defined in Section 6.2. </w:t>
      </w:r>
    </w:p>
    <w:p>
      <w:pPr>
        <w:pStyle w:val="TextBody"/>
        <w:bidi w:val="0"/>
        <w:spacing w:before="240" w:after="0"/>
        <w:jc w:val="left"/>
        <w:rPr/>
      </w:pPr>
      <w:r>
        <w:rPr/>
        <w:t>“</w:t>
      </w:r>
      <w:r>
        <w:rPr>
          <w:rFonts w:ascii="Times New Roman" w:hAnsi="Times New Roman"/>
          <w:b/>
          <w:sz w:val="20"/>
        </w:rPr>
        <w:t>Special Equity Interest</w:t>
      </w:r>
      <w:r>
        <w:rPr>
          <w:rFonts w:ascii="Times New Roman" w:hAnsi="Times New Roman"/>
          <w:sz w:val="20"/>
        </w:rPr>
        <w:t xml:space="preserve">” means any Equity Interest that is subject to a Lien in favor of creditors of the issuer of such Equity Interest </w:t>
      </w:r>
      <w:r>
        <w:rPr>
          <w:rFonts w:ascii="Times New Roman" w:hAnsi="Times New Roman"/>
          <w:i/>
          <w:sz w:val="20"/>
        </w:rPr>
        <w:t>provided</w:t>
      </w:r>
      <w:r>
        <w:rPr>
          <w:rFonts w:ascii="Times New Roman" w:hAnsi="Times New Roman"/>
          <w:sz w:val="20"/>
        </w:rPr>
        <w:t xml:space="preserve"> that (a) such Lien was created to secure Indebtedness owing by such issuer or any of its Subsidiaries (as defined without giving effect to the penultimate sentence of the definition of such term) to such creditors, and (b) such Indebtedness was (i) in existence at the time the Company acquired such Equity Interest, (ii) incurred or assumed by such issuer substantially contemporaneously with such acquisition or (iii) already subject to a Lien granted to such creditors. </w:t>
      </w:r>
    </w:p>
    <w:p>
      <w:pPr>
        <w:pStyle w:val="TextBody"/>
        <w:bidi w:val="0"/>
        <w:spacing w:before="240" w:after="0"/>
        <w:jc w:val="left"/>
        <w:rPr/>
      </w:pPr>
      <w:r>
        <w:rPr/>
        <w:t>“</w:t>
      </w:r>
      <w:r>
        <w:rPr>
          <w:rFonts w:ascii="Times New Roman" w:hAnsi="Times New Roman"/>
          <w:b/>
          <w:sz w:val="20"/>
        </w:rPr>
        <w:t>Standard Securitization Undertakings</w:t>
      </w:r>
      <w:r>
        <w:rPr>
          <w:rFonts w:ascii="Times New Roman" w:hAnsi="Times New Roman"/>
          <w:sz w:val="20"/>
        </w:rPr>
        <w:t xml:space="preserve">” means, collectively, (a) customary arms-length servicing obligations (together with any related performance guarantees), (b) obligations (together with any related performance guarantees) to refund the purchase price or grant purchase price credits for dilutive events or misrepresentations (in each case unrelated to the collectability of the assets sold or the creditworthiness of the associated account debtors), (c) representations, warranties, covenants and indemnities (together with any related performance guarantees) of a type that are reasonably customary in transactions involving bankruptcy remote special purpose entities, including accounts receivable securitizations, collateralized loan obligations or securitizations of financial assets, (d) obligations (together with any related performance guarantees) under any customary bad boy guarantee, guarantee of any make-whole premium or other guarantee; </w:t>
      </w:r>
      <w:r>
        <w:rPr>
          <w:rFonts w:ascii="Times New Roman" w:hAnsi="Times New Roman"/>
          <w:i/>
          <w:sz w:val="20"/>
        </w:rPr>
        <w:t>provided, however,</w:t>
      </w:r>
      <w:r>
        <w:rPr>
          <w:rFonts w:ascii="Times New Roman" w:hAnsi="Times New Roman"/>
          <w:sz w:val="20"/>
        </w:rPr>
        <w:t xml:space="preserve"> that any such guarantee of any make-whole premium or other guarantee shall not exceed 10% of the aggregate unfunded commitments plus outstanding under the applicable loan, and (e) payment and performance guaranties that are reasonably customary in asset backed financings. </w:t>
      </w:r>
    </w:p>
    <w:p>
      <w:pPr>
        <w:pStyle w:val="TextBody"/>
        <w:bidi w:val="0"/>
        <w:spacing w:before="240" w:after="0"/>
        <w:jc w:val="left"/>
        <w:rPr/>
      </w:pPr>
      <w:r>
        <w:rPr/>
        <w:t>“</w:t>
      </w:r>
      <w:r>
        <w:rPr>
          <w:rFonts w:ascii="Times New Roman" w:hAnsi="Times New Roman"/>
          <w:b/>
          <w:sz w:val="20"/>
        </w:rPr>
        <w:t>State Sanctions List</w:t>
      </w:r>
      <w:r>
        <w:rPr>
          <w:rFonts w:ascii="Times New Roman" w:hAnsi="Times New Roman"/>
          <w:sz w:val="20"/>
        </w:rPr>
        <w:t xml:space="preserve">” means a list that is adopted by any state Governmental Authority within the United States of America pertaining to Persons that engage in investment or other commercial activities in Iran or a Sanctioned Country.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as to any Person, any other Person in which such first Person or one or more of its Subsidiaries or such first Person and one 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“Subsidiary” is a reference to a Subsidiary of the Company.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Substitute Purchaser</w:t>
      </w:r>
      <w:r>
        <w:rPr>
          <w:rFonts w:ascii="Times New Roman" w:hAnsi="Times New Roman"/>
          <w:sz w:val="20"/>
        </w:rPr>
        <w:t xml:space="preserve">” is defined in Section 21. </w:t>
      </w:r>
    </w:p>
    <w:p>
      <w:pPr>
        <w:pStyle w:val="TextBody"/>
        <w:bidi w:val="0"/>
        <w:spacing w:before="240" w:after="0"/>
        <w:jc w:val="left"/>
        <w:rPr/>
      </w:pPr>
      <w:r>
        <w:rPr/>
        <w:t>“</w:t>
      </w:r>
      <w:r>
        <w:rPr>
          <w:rFonts w:ascii="Times New Roman" w:hAnsi="Times New Roman"/>
          <w:b/>
          <w:sz w:val="20"/>
        </w:rPr>
        <w:t>Super-Majority Holders</w:t>
      </w:r>
      <w:r>
        <w:rPr>
          <w:rFonts w:ascii="Times New Roman" w:hAnsi="Times New Roman"/>
          <w:sz w:val="20"/>
        </w:rPr>
        <w:t xml:space="preserve">” means at any time on or after the Closing, the holders of at least 66-2/3% in principal amount of the Notes at the time outstanding (exclusive of Notes then owned by the Company or any of its Affiliates). </w:t>
      </w:r>
    </w:p>
    <w:p>
      <w:pPr>
        <w:pStyle w:val="TextBody"/>
        <w:bidi w:val="0"/>
        <w:spacing w:before="240" w:after="0"/>
        <w:jc w:val="left"/>
        <w:rPr/>
      </w:pPr>
      <w:r>
        <w:rPr/>
        <w:t>“</w:t>
      </w:r>
      <w:r>
        <w:rPr>
          <w:rFonts w:ascii="Times New Roman" w:hAnsi="Times New Roman"/>
          <w:b/>
          <w:sz w:val="20"/>
        </w:rPr>
        <w:t>SVO</w:t>
      </w:r>
      <w:r>
        <w:rPr>
          <w:rFonts w:ascii="Times New Roman" w:hAnsi="Times New Roman"/>
          <w:sz w:val="20"/>
        </w:rPr>
        <w:t xml:space="preserve">” means the Securities Valuation Office of the NAIC. </w:t>
      </w:r>
    </w:p>
    <w:p>
      <w:pPr>
        <w:pStyle w:val="TextBody"/>
        <w:bidi w:val="0"/>
        <w:spacing w:before="240" w:after="0"/>
        <w:jc w:val="left"/>
        <w:rPr/>
      </w:pPr>
      <w:r>
        <w:rPr/>
        <w:t>“</w:t>
      </w:r>
      <w:r>
        <w:rPr>
          <w:rFonts w:ascii="Times New Roman" w:hAnsi="Times New Roman"/>
          <w:b/>
          <w:sz w:val="20"/>
        </w:rPr>
        <w:t>Swap Contract</w:t>
      </w:r>
      <w:r>
        <w:rPr>
          <w:rFonts w:ascii="Times New Roman" w:hAnsi="Times New Roman"/>
          <w:sz w:val="20"/>
        </w:rPr>
        <w:t xml:space="preserve">” means (a) any and all interest rate swap transactions, basis swap transactions, basis swaps, credit derivative transactions, forward rate transactions, commodity swaps, commodity options, forward commodity contracts, equity or equity index swaps or options, bond or bond price or bond index swaps or options or forward foreign exchange transactions, cap transactions, floor transactions, currency options, spot contracts or any other similar transactions or any of the foregoing (including any options to enter into any of the foregoing), and (b) any and all transactions of any kind, and the related confirmations, which are subject to the terms and conditions of, or governed by, any form of master agreement published by the International Swaps and Derivatives Association, Inc. or any International Foreign Exchange Master Agreement. </w:t>
      </w:r>
    </w:p>
    <w:p>
      <w:pPr>
        <w:pStyle w:val="TextBody"/>
        <w:bidi w:val="0"/>
        <w:spacing w:before="240" w:after="0"/>
        <w:jc w:val="left"/>
        <w:rPr/>
      </w:pPr>
      <w:r>
        <w:rPr/>
        <w:t>“</w:t>
      </w:r>
      <w:r>
        <w:rPr>
          <w:rFonts w:ascii="Times New Roman" w:hAnsi="Times New Roman"/>
          <w:b/>
          <w:sz w:val="20"/>
        </w:rPr>
        <w:t>Swap Termination Value</w:t>
      </w:r>
      <w:r>
        <w:rPr>
          <w:rFonts w:ascii="Times New Roman" w:hAnsi="Times New Roman"/>
          <w:sz w:val="20"/>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amounts(s) determined as the mark-to-market values(s) for such Swap Contracts, as determined based upon one or more mid-market or other readily available quotations provided by any recognized dealer in such Swap Contracts. </w:t>
      </w:r>
    </w:p>
    <w:p>
      <w:pPr>
        <w:pStyle w:val="TextBody"/>
        <w:bidi w:val="0"/>
        <w:spacing w:before="240" w:after="0"/>
        <w:jc w:val="left"/>
        <w:rPr/>
      </w:pPr>
      <w:r>
        <w:rPr/>
        <w:t>“</w:t>
      </w:r>
      <w:r>
        <w:rPr>
          <w:rFonts w:ascii="Times New Roman" w:hAnsi="Times New Roman"/>
          <w:b/>
          <w:sz w:val="20"/>
        </w:rPr>
        <w:t>Synthetic Lease</w:t>
      </w:r>
      <w:r>
        <w:rPr>
          <w:rFonts w:ascii="Times New Roman" w:hAnsi="Times New Roman"/>
          <w:sz w:val="20"/>
        </w:rPr>
        <w:t xml:space="preserve">” means, at any time, any lease (including leases that may be terminated by the lessee at any time) of any property (a) that is accounted for as an operating lease under GAAP and (b) in respect of which the lessee retains or obtains ownership of the property so leased for U.S. federal income tax purposes, other than any such lease under which such Person is the lessor. </w:t>
      </w:r>
    </w:p>
    <w:p>
      <w:pPr>
        <w:pStyle w:val="TextBody"/>
        <w:bidi w:val="0"/>
        <w:spacing w:before="240" w:after="0"/>
        <w:jc w:val="left"/>
        <w:rPr/>
      </w:pPr>
      <w:r>
        <w:rPr/>
        <w:t>“</w:t>
      </w:r>
      <w:r>
        <w:rPr>
          <w:rFonts w:ascii="Times New Roman" w:hAnsi="Times New Roman"/>
          <w:b/>
          <w:sz w:val="20"/>
        </w:rPr>
        <w:t>Taxes</w:t>
      </w:r>
      <w:r>
        <w:rPr>
          <w:rFonts w:ascii="Times New Roman" w:hAnsi="Times New Roman"/>
          <w:sz w:val="20"/>
        </w:rPr>
        <w:t xml:space="preserve">” means any and all present or future taxes, levies, imposts, duties, deductions, withholdings (including backup withholding), assessments, fees, or other charges imposed by any Governmental Authority, including any interest, additions to tax or penalties applicable thereto. </w:t>
      </w:r>
    </w:p>
    <w:p>
      <w:pPr>
        <w:pStyle w:val="TextBody"/>
        <w:bidi w:val="0"/>
        <w:spacing w:before="240" w:after="0"/>
        <w:jc w:val="left"/>
        <w:rPr/>
      </w:pPr>
      <w:r>
        <w:rPr/>
        <w:t>“</w:t>
      </w:r>
      <w:r>
        <w:rPr>
          <w:rFonts w:ascii="Times New Roman" w:hAnsi="Times New Roman"/>
          <w:b/>
          <w:sz w:val="20"/>
        </w:rPr>
        <w:t>Truist Credit Facility</w:t>
      </w:r>
      <w:r>
        <w:rPr>
          <w:rFonts w:ascii="Times New Roman" w:hAnsi="Times New Roman"/>
          <w:sz w:val="20"/>
        </w:rPr>
        <w:t xml:space="preserve">” means the Company’s multi-currency, amended and restated senior secured revolving credit agreement, originally dated as of June 25, 2014, between PennantPark Investment Corporation as borrower and Truist Bank as Administrative Agent, as amended from time to time. </w:t>
      </w:r>
    </w:p>
    <w:p>
      <w:pPr>
        <w:pStyle w:val="TextBody"/>
        <w:bidi w:val="0"/>
        <w:spacing w:before="240" w:after="0"/>
        <w:jc w:val="left"/>
        <w:rPr/>
      </w:pPr>
      <w:r>
        <w:rPr/>
        <w:t>“</w:t>
      </w:r>
      <w:r>
        <w:rPr>
          <w:rFonts w:ascii="Times New Roman" w:hAnsi="Times New Roman"/>
          <w:b/>
          <w:sz w:val="20"/>
        </w:rPr>
        <w:t>United States person</w:t>
      </w:r>
      <w:r>
        <w:rPr>
          <w:rFonts w:ascii="Times New Roman" w:hAnsi="Times New Roman"/>
          <w:sz w:val="20"/>
        </w:rPr>
        <w:t xml:space="preserve">” has the meaning set forth in Section 7701(a)(30) of the Code.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USA PATRIOT Act</w:t>
      </w:r>
      <w:r>
        <w:rPr>
          <w:rFonts w:ascii="Times New Roman" w:hAnsi="Times New Roman"/>
          <w:sz w:val="20"/>
        </w:rPr>
        <w:t xml:space="preserve">” means United States Public Law 107-56, Uniting and Strengthening America by Providing Appropriate Tools Required to Intercept and Obstruct Terrorism (USA PATRIOT ACT) Act of 2001 and the rules and regulations promulgated thereunder from time to time in effect. </w:t>
      </w:r>
    </w:p>
    <w:p>
      <w:pPr>
        <w:pStyle w:val="TextBody"/>
        <w:bidi w:val="0"/>
        <w:spacing w:before="240" w:after="0"/>
        <w:jc w:val="left"/>
        <w:rPr/>
      </w:pPr>
      <w:r>
        <w:rPr/>
        <w:t>“</w:t>
      </w:r>
      <w:r>
        <w:rPr>
          <w:rFonts w:ascii="Times New Roman" w:hAnsi="Times New Roman"/>
          <w:b/>
          <w:sz w:val="20"/>
        </w:rPr>
        <w:t>U.S. Economic Sanctions Laws</w:t>
      </w:r>
      <w:r>
        <w:rPr>
          <w:rFonts w:ascii="Times New Roman" w:hAnsi="Times New Roman"/>
          <w:sz w:val="20"/>
        </w:rPr>
        <w:t xml:space="preserve">” means those laws, executive orders, enabling legislation or regulations administered and enforced by the United States pursuant to which economic sanctions have been imposed on any Person, entity, organization, country or regime, including the Trading with the Enemy Act, the International Emergency Economic Powers Act, the Iran Sanctions Act, the Sudan Accountability and Divestment Act and any other OFAC Sanctions Program. </w:t>
      </w:r>
    </w:p>
    <w:p>
      <w:pPr>
        <w:pStyle w:val="TextBody"/>
        <w:bidi w:val="0"/>
        <w:spacing w:before="240" w:after="0"/>
        <w:jc w:val="left"/>
        <w:rPr/>
      </w:pPr>
      <w:r>
        <w:rPr/>
        <w:t>“</w:t>
      </w:r>
      <w:r>
        <w:rPr>
          <w:rFonts w:ascii="Times New Roman" w:hAnsi="Times New Roman"/>
          <w:b/>
          <w:sz w:val="20"/>
        </w:rPr>
        <w:t>U.S. Government Securities</w:t>
      </w:r>
      <w:r>
        <w:rPr>
          <w:rFonts w:ascii="Times New Roman" w:hAnsi="Times New Roman"/>
          <w:sz w:val="20"/>
        </w:rPr>
        <w:t xml:space="preserve">” means securities that are direct obligations of, and obligations the timely payment of principal and interest on which is fully guaranteed by, the United States or any agency or instrumentality of the United States the obligations of which are backed by the full faith and credit of the United States and in the form of conventional bills, bonds, and notes. </w:t>
      </w:r>
    </w:p>
    <w:p>
      <w:pPr>
        <w:pStyle w:val="TextBody"/>
        <w:bidi w:val="0"/>
        <w:spacing w:before="240" w:after="0"/>
        <w:jc w:val="left"/>
        <w:rPr/>
      </w:pPr>
      <w:r>
        <w:rPr/>
        <w:t>“</w:t>
      </w:r>
      <w:r>
        <w:rPr>
          <w:rFonts w:ascii="Times New Roman" w:hAnsi="Times New Roman"/>
          <w:b/>
          <w:sz w:val="20"/>
        </w:rPr>
        <w:t>Wholly-Owned Subsidiary</w:t>
      </w:r>
      <w:r>
        <w:rPr>
          <w:rFonts w:ascii="Times New Roman" w:hAnsi="Times New Roman"/>
          <w:sz w:val="20"/>
        </w:rPr>
        <w:t xml:space="preserve">” means, at any time, any Subsidiary all of the equity interests (except directors’ qualifying shares) and voting interests of which are owned by any one or more of the Company and the Company’s other Wholly-Owned Subsidiaries at such time.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1.1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2031 NOTES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NOTE IS A GLOBAL NOTE AND IS REGISTERED IN THE NAME OF CEDE &amp; CO., THE NOMINEE OF THE DEPOSITORY TRUST COMPANY (THE “DEPOSITORY”). UNLESS AND UNTIL IT IS EXCHANGED IN WHOLE OR IN PART FOR SECURITIES IN CERTIFICATED FORM, THIS NOTE MAY NOT BE TRANSFERRED EXCEPT AS A WHOLE BY THE DEPOSITORY TO A NOMINEE OF THE DEPOSITORY OR BY A NOMINEE OF THE DEPOSITORY TO THE DEPOSITORY OR ANOTHER NOMINEE OF THE DEPOSITORY OR BY THE DEPOSITORY OR ANY SUCH NOMINEE TO A SUCCESSOR DEPOSITORY OR A NOMINEE OF SUCH SUCCESSOR DEPOSITORY. </w:t>
      </w:r>
    </w:p>
    <w:p>
      <w:pPr>
        <w:pStyle w:val="TextBody"/>
        <w:bidi w:val="0"/>
        <w:spacing w:before="240" w:after="0"/>
        <w:jc w:val="left"/>
        <w:rPr>
          <w:rFonts w:ascii="Times New Roman" w:hAnsi="Times New Roman"/>
          <w:sz w:val="20"/>
        </w:rPr>
      </w:pPr>
      <w:r>
        <w:rPr>
          <w:rFonts w:ascii="Times New Roman" w:hAnsi="Times New Roman"/>
          <w:sz w:val="20"/>
        </w:rPr>
        <w:t xml:space="preserve">UNLESS THIS NOTE IS PRESENTED BY AN AUTHORIZED REPRESENTATIVE OF THE DEPOSITORY TO </w:t>
      </w:r>
      <w:r>
        <w:rPr>
          <w:rFonts w:ascii="Times New Roman" w:hAnsi="Times New Roman"/>
          <w:b/>
          <w:sz w:val="20"/>
        </w:rPr>
        <w:t>PENNANTPARK INVESTMENT CORPORATION</w:t>
      </w:r>
      <w:r>
        <w:rPr>
          <w:rFonts w:ascii="Times New Roman" w:hAnsi="Times New Roman"/>
          <w:sz w:val="20"/>
        </w:rPr>
        <w:t xml:space="preserve"> (THE “</w:t>
      </w:r>
      <w:r>
        <w:rPr>
          <w:rFonts w:ascii="Times New Roman" w:hAnsi="Times New Roman"/>
          <w:b/>
          <w:sz w:val="20"/>
        </w:rPr>
        <w:t>COMPANY</w:t>
      </w:r>
      <w:r>
        <w:rPr>
          <w:rFonts w:ascii="Times New Roman" w:hAnsi="Times New Roman"/>
          <w:sz w:val="20"/>
        </w:rPr>
        <w:t xml:space="preserve">”) OR ITS AGENT FOR REGISTRATION OF TRANSFER, EXCHANGE OR PAYMENT, AND ANY NOTE ISSUED IS REGISTERED IN THE NAME OF CEDE &amp; CO. OR SUCH OTHER NAME AS REQUESTED BY AN AUTHORIZED REPRESENTATIVE OF THE DEPOSITORY (AND ANY PAYMENT IS MADE TO CEDE &amp; CO. OR SUCH OTHER ENTITY AS IS REQUESTED BY AN AUTHORIZED REPRESENTATIVE OF THE DEPOSITORY), ANY TRANSFER, PLEDGE OR OTHER USE HEREOF FOR VALUE OR OTHERWISE BY OR TO ANY PERSON IS WRONGFUL SINCE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THIS NOTE IS ISSUABLE IN A MINIMUM DENOMINATION OF $100,000.00 AND INTEGRAL MULTIPLES OF $1,000.00 IN EXCESS OF $100,000.00 AND MAY NOT BE EXCHANGED FOR SECURITIES OF THE COMPANY WITH A SMALLER DENOMINATION. EACH OWNER OF BENEFICIAL INTEREST IN THE SECURITIES IS REQUIRED TO HOLD SUCH BENEFICIAL INTEREST IN A PRINCIPAL AMOUNT OF $100,000.00 OR AN INTEGRAL MULTIPLE OF $1,000.00 IN EXCESS THEREOF AT ALL TIMES. </w:t>
      </w:r>
    </w:p>
    <w:p>
      <w:pPr>
        <w:pStyle w:val="TextBody"/>
        <w:bidi w:val="0"/>
        <w:spacing w:before="240" w:after="0"/>
        <w:jc w:val="left"/>
        <w:rPr>
          <w:rFonts w:ascii="Times New Roman" w:hAnsi="Times New Roman"/>
          <w:sz w:val="20"/>
        </w:rPr>
      </w:pPr>
      <w:r>
        <w:rPr>
          <w:rFonts w:ascii="Times New Roman" w:hAnsi="Times New Roman"/>
          <w:sz w:val="20"/>
        </w:rPr>
        <w:t xml:space="preserve">THE NOTE REPRESENTED HEREBY HAS NOT BEEN REGISTERED UNDER THE SECURITIES ACT OF 1933 AND HAS BEEN ACQUIRED FOR INVESTMENT AND NOT WITH A VIEW TO, OR IN CONNECTION WITH, THE SALE OR DISTRIBUTION THEREOF. NO SUCH TRANSFER MAY BE EFFECTED WITHOUT AN EFFECTIVE REGISTRATION STATEMENT RELATED THERETO UNLESS AN EXEMPTION FROM REGISTRATION UNDER THE SECURITIES ACT OF 1933 IS AVAILABLE. </w:t>
      </w:r>
    </w:p>
    <w:p>
      <w:pPr>
        <w:pStyle w:val="TextBody"/>
        <w:bidi w:val="0"/>
        <w:spacing w:before="240" w:after="0"/>
        <w:jc w:val="left"/>
        <w:rPr>
          <w:rFonts w:ascii="Times New Roman" w:hAnsi="Times New Roman"/>
          <w:b/>
          <w:sz w:val="20"/>
        </w:rPr>
      </w:pPr>
      <w:r>
        <w:rPr>
          <w:rFonts w:ascii="Times New Roman" w:hAnsi="Times New Roman"/>
          <w:b/>
          <w:sz w:val="20"/>
        </w:rPr>
        <w:t xml:space="preserve">THE COMPANY HAS NOT ENTERED INTO AN INDENTURE IN CONNECTION WITH THE ISSUANCE OF THIS NOTE. EACH PURCHASER OF A BENEFICIAL INTEREST IN THIS NOTE, IN MAKING ITS PURCHASE, WILL BE DEEMED TO HAVE REPRESENTED AND WARRANTED TO THE COMPANY THAT IT IS AN INSTITUTIONAL INVESTOR THAT IS A “QUALIFIED INSTITUTIONAL BUYER” AS DEFINED PURSUANT TO RULE 144A PROMULGATED UNDER THE SECURITIES ACT (A “QIB”) AND THAT IT IS PURCHASING SUCH INTEREST FOR ITS OWN ACCOUNT OR THE ACCOUNT OF ANOTHER QIB AND THAT FOLLOWING SUCH PURCHASE IT OR SUCH OTHER QIB HOLDING A BENEFICIAL INTEREST IN THIS NOTE WILL HOLD A BENEFICIAL INTEREST IN A PRINCIPAL AMOUNT OF $100,000.00 OR AN INTEGRAL MULTIPLE OF $1,000.00 IN EXCESS THEREOF AT ALL TIMES.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PENNANTPARK INVESTMENT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8.00% SENIOR UNSECURED NOTE DUE SEPTEMBER 1, 2031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1"/>
        <w:gridCol w:w="204"/>
        <w:gridCol w:w="3266"/>
        <w:gridCol w:w="204"/>
        <w:gridCol w:w="2960"/>
      </w:tblGrid>
      <w:tr>
        <w:trPr/>
        <w:tc>
          <w:tcPr>
            <w:tcW w:w="3571"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1" w:type="dxa"/>
            <w:tcBorders/>
          </w:tcPr>
          <w:p>
            <w:pPr>
              <w:pStyle w:val="TableContents"/>
              <w:bidi w:val="0"/>
              <w:spacing w:before="0" w:after="283"/>
              <w:jc w:val="left"/>
              <w:rPr/>
            </w:pPr>
            <w:r>
              <w:rPr/>
              <w:t>No. 1</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right"/>
              <w:rPr/>
            </w:pPr>
            <w:r>
              <w:rPr>
                <w:b/>
              </w:rPr>
              <w:t>September</w:t>
            </w:r>
            <w:r>
              <w:rPr/>
              <w:t> </w:t>
            </w:r>
            <w:r>
              <w:rPr>
                <w:b/>
              </w:rPr>
              <w:t>1, 2026</w:t>
            </w:r>
          </w:p>
        </w:tc>
      </w:tr>
      <w:tr>
        <w:trPr/>
        <w:tc>
          <w:tcPr>
            <w:tcW w:w="3571" w:type="dxa"/>
            <w:tcBorders/>
          </w:tcPr>
          <w:p>
            <w:pPr>
              <w:pStyle w:val="TableContents"/>
              <w:bidi w:val="0"/>
              <w:spacing w:before="0" w:after="283"/>
              <w:jc w:val="left"/>
              <w:rPr/>
            </w:pPr>
            <w:r>
              <w:rPr/>
              <w:t>$62,000,000.00</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right"/>
              <w:rPr/>
            </w:pPr>
            <w:r>
              <w:rPr/>
              <w:t>CUSIP NO. 708062AG9</w:t>
            </w:r>
          </w:p>
        </w:tc>
      </w:tr>
      <w:tr>
        <w:trPr/>
        <w:tc>
          <w:tcPr>
            <w:tcW w:w="3571"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right"/>
              <w:rPr/>
            </w:pPr>
            <w:r>
              <w:rPr/>
              <w:t>ISIN NO. US708062AG96</w:t>
            </w:r>
          </w:p>
        </w:tc>
      </w:tr>
    </w:tbl>
    <w:p>
      <w:pPr>
        <w:pStyle w:val="TextBody"/>
        <w:bidi w:val="0"/>
        <w:spacing w:before="240" w:after="0"/>
        <w:jc w:val="left"/>
        <w:rPr>
          <w:rFonts w:ascii="Times New Roman" w:hAnsi="Times New Roman"/>
          <w:sz w:val="20"/>
        </w:rPr>
      </w:pPr>
      <w:r>
        <w:rPr>
          <w:rFonts w:ascii="Times New Roman" w:hAnsi="Times New Roman"/>
          <w:sz w:val="20"/>
        </w:rPr>
        <w:t>FOR VALUE RECEIVED, the undersigned, PennantPark Investment Corporation (herein called the “</w:t>
      </w:r>
      <w:r>
        <w:rPr>
          <w:rFonts w:ascii="Times New Roman" w:hAnsi="Times New Roman"/>
          <w:b/>
          <w:sz w:val="20"/>
        </w:rPr>
        <w:t>Company</w:t>
      </w:r>
      <w:r>
        <w:rPr>
          <w:rFonts w:ascii="Times New Roman" w:hAnsi="Times New Roman"/>
          <w:sz w:val="20"/>
        </w:rPr>
        <w:t>”), a corporation organized and existing under the laws of the State of Maryland, hereby promises to pay to CEDE &amp; CO., or registered assigns, the principal sum of SIXTY-TWO MILLION DOLLARS (or so much thereof as shall not have been prepaid) on September 1, 2031 (the “</w:t>
      </w:r>
      <w:r>
        <w:rPr>
          <w:rFonts w:ascii="Times New Roman" w:hAnsi="Times New Roman"/>
          <w:b/>
          <w:sz w:val="20"/>
        </w:rPr>
        <w:t>Maturity Date</w:t>
      </w:r>
      <w:r>
        <w:rPr>
          <w:rFonts w:ascii="Times New Roman" w:hAnsi="Times New Roman"/>
          <w:sz w:val="20"/>
        </w:rPr>
        <w:t>”), with interest (computed on the basis of a 360-day year of twelve 30-day months) on the unpaid balance hereof at 8.00% per annum from the date hereof, payable semi-annually, on the 1st day of March and September in each year, commencing on March 1, 2027 (each, a “</w:t>
      </w:r>
      <w:r>
        <w:rPr>
          <w:rFonts w:ascii="Times New Roman" w:hAnsi="Times New Roman"/>
          <w:b/>
          <w:sz w:val="20"/>
        </w:rPr>
        <w:t>Payment Date</w:t>
      </w:r>
      <w:r>
        <w:rPr>
          <w:rFonts w:ascii="Times New Roman" w:hAnsi="Times New Roman"/>
          <w:sz w:val="20"/>
        </w:rPr>
        <w:t xml:space="preserve">”), and on the Maturity Date, until the principal hereof shall have become due and payable. </w:t>
      </w:r>
    </w:p>
    <w:p>
      <w:pPr>
        <w:pStyle w:val="TextBody"/>
        <w:bidi w:val="0"/>
        <w:spacing w:before="240" w:after="0"/>
        <w:jc w:val="left"/>
        <w:rPr>
          <w:rFonts w:ascii="Times New Roman" w:hAnsi="Times New Roman"/>
          <w:sz w:val="20"/>
        </w:rPr>
      </w:pPr>
      <w:r>
        <w:rPr>
          <w:rFonts w:ascii="Times New Roman" w:hAnsi="Times New Roman"/>
          <w:sz w:val="20"/>
        </w:rPr>
        <w:t>The Company shall pay interest on the Notes to the Persons who are registered Holders at the close of business on the calendar day immediately preceding the next Payment Date as specified in the Note (each a “</w:t>
      </w:r>
      <w:r>
        <w:rPr>
          <w:rFonts w:ascii="Times New Roman" w:hAnsi="Times New Roman"/>
          <w:b/>
          <w:sz w:val="20"/>
        </w:rPr>
        <w:t>Record Date</w:t>
      </w:r>
      <w:r>
        <w:rPr>
          <w:rFonts w:ascii="Times New Roman" w:hAnsi="Times New Roman"/>
          <w:sz w:val="20"/>
        </w:rPr>
        <w:t xml:space="preserve">”) even if Notes are canceled after the Record Date and on or before the applicable interest Payment Date (whether or not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Payments of principal of, interest on and any Make-Whole Amount with respect to this Note are to be made in lawful money of the United States of America through the facilities of DTC as provided in the Note Purchase Agreement referred to below. </w:t>
      </w:r>
    </w:p>
    <w:p>
      <w:pPr>
        <w:pStyle w:val="TextBody"/>
        <w:bidi w:val="0"/>
        <w:spacing w:before="240" w:after="0"/>
        <w:jc w:val="left"/>
        <w:rPr>
          <w:rFonts w:ascii="Times New Roman" w:hAnsi="Times New Roman"/>
          <w:sz w:val="20"/>
        </w:rPr>
      </w:pPr>
      <w:r>
        <w:rPr>
          <w:rFonts w:ascii="Times New Roman" w:hAnsi="Times New Roman"/>
          <w:sz w:val="20"/>
        </w:rPr>
        <w:t>This Global Note represents the Senior Notes (herein called the “</w:t>
      </w:r>
      <w:r>
        <w:rPr>
          <w:rFonts w:ascii="Times New Roman" w:hAnsi="Times New Roman"/>
          <w:b/>
          <w:sz w:val="20"/>
        </w:rPr>
        <w:t>Notes</w:t>
      </w:r>
      <w:r>
        <w:rPr>
          <w:rFonts w:ascii="Times New Roman" w:hAnsi="Times New Roman"/>
          <w:sz w:val="20"/>
        </w:rPr>
        <w:t>”) issued pursuant to the Note Purchase Agreement, dated September 1, 2026 (as from time to time amended, the “</w:t>
      </w:r>
      <w:r>
        <w:rPr>
          <w:rFonts w:ascii="Times New Roman" w:hAnsi="Times New Roman"/>
          <w:b/>
          <w:sz w:val="20"/>
        </w:rPr>
        <w:t>Note Purchase Agreement</w:t>
      </w:r>
      <w:r>
        <w:rPr>
          <w:rFonts w:ascii="Times New Roman" w:hAnsi="Times New Roman"/>
          <w:sz w:val="20"/>
        </w:rPr>
        <w:t xml:space="preserve">”), between the Company and the Purchasers named therein and is entitled to the benefits thereof. Each holder of this Note will be deemed, by its acceptance hereof, to have (i) agreed to the confidentiality provisions set forth in Section 20 of the Note Purchase Agreement and (ii) made the representation set forth in Section 6.2 of the Note Purchase Agreement. Unless otherwise indicated, capitalized terms used in this Note shall have the respective meanings ascribed to such terms in the Note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Note is subject to optional prepayment, in whole or from time to time in part, on the terms specified in the Note Purchase Agreement. Any partial prepayment will be processed through DTC, in accordance with the Applicable Depository Procedures, as pro rata pass-through distribution of principal.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 Event of Default occurs and is continuing, the principal of this Note may be declared or otherwise become due and payable in the manner, at the price (including any applicable Make-Whole Amount) and with the effect provided in the Note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Note shall be construed and enforced in accordance with, and the rights of the Company and the holder of this Note shall be governed by, the law of the State of New York excluding choice-of-law principles of the law of such State that would permit the application of the laws of a jurisdiction other than such State.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06"/>
        <w:gridCol w:w="61"/>
        <w:gridCol w:w="3715"/>
      </w:tblGrid>
      <w:tr>
        <w:trPr/>
        <w:tc>
          <w:tcPr>
            <w:tcW w:w="306"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71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w:t>
            </w:r>
            <w:r>
              <w:rPr>
                <w:b/>
                <w:sz w:val="20"/>
              </w:rPr>
              <w:t>ENNANT</w:t>
            </w:r>
            <w:r>
              <w:rPr>
                <w:b/>
              </w:rPr>
              <w:t>P</w:t>
            </w:r>
            <w:r>
              <w:rPr>
                <w:b/>
                <w:sz w:val="20"/>
              </w:rPr>
              <w:t>ARK</w:t>
            </w:r>
            <w:r>
              <w:rPr>
                <w:b/>
              </w:rPr>
              <w:t xml:space="preserve"> I</w:t>
            </w:r>
            <w:r>
              <w:rPr>
                <w:b/>
                <w:sz w:val="20"/>
              </w:rPr>
              <w:t>NVESTMENT</w:t>
            </w:r>
            <w:r>
              <w:rPr>
                <w:b/>
              </w:rPr>
              <w:t xml:space="preserve"> C</w:t>
            </w:r>
            <w:r>
              <w:rPr>
                <w:b/>
                <w:sz w:val="20"/>
              </w:rPr>
              <w:t>ORPORATION</w:t>
            </w:r>
          </w:p>
        </w:tc>
      </w:tr>
      <w:tr>
        <w:trPr>
          <w:trHeight w:val="240" w:hRule="atLeast"/>
        </w:trPr>
        <w:tc>
          <w:tcPr>
            <w:tcW w:w="306"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r>
      <w:tr>
        <w:trPr/>
        <w:tc>
          <w:tcPr>
            <w:tcW w:w="306"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715" w:type="dxa"/>
            <w:tcBorders/>
          </w:tcPr>
          <w:p>
            <w:pPr>
              <w:pStyle w:val="TableContents"/>
              <w:pBdr>
                <w:bottom w:val="single" w:sz="2" w:space="1" w:color="000000"/>
              </w:pBdr>
              <w:bidi w:val="0"/>
              <w:spacing w:before="0" w:after="20"/>
              <w:jc w:val="left"/>
              <w:rPr/>
            </w:pPr>
            <w:r>
              <w:rPr/>
              <w:t> </w:t>
            </w:r>
          </w:p>
        </w:tc>
      </w:tr>
      <w:tr>
        <w:trPr/>
        <w:tc>
          <w:tcPr>
            <w:tcW w:w="306"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5" w:type="dxa"/>
            <w:tcBorders/>
          </w:tcPr>
          <w:p>
            <w:pPr>
              <w:pStyle w:val="TableContents"/>
              <w:bidi w:val="0"/>
              <w:spacing w:before="0" w:after="283"/>
              <w:jc w:val="left"/>
              <w:rPr/>
            </w:pPr>
            <w:r>
              <w:rPr/>
              <w:t>Name: Arthur H. Penn</w:t>
            </w:r>
          </w:p>
        </w:tc>
      </w:tr>
      <w:tr>
        <w:trPr/>
        <w:tc>
          <w:tcPr>
            <w:tcW w:w="306"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5" w:type="dxa"/>
            <w:tcBorders/>
          </w:tcPr>
          <w:p>
            <w:pPr>
              <w:pStyle w:val="TableContents"/>
              <w:bidi w:val="0"/>
              <w:spacing w:before="0" w:after="283"/>
              <w:jc w:val="left"/>
              <w:rPr/>
            </w:pPr>
            <w:r>
              <w:rPr/>
              <w:t>Title: 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1.2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2029 NOTES-2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NOTE IS A GLOBAL NOTE AND IS REGISTERED IN THE NAME OF CEDE &amp; CO., THE NOMINEE OF THE DEPOSITORY TRUST COMPANY (THE “DEPOSITORY”). UNLESS AND UNTIL IT IS EXCHANGED IN WHOLE OR IN PART FOR SECURITIES IN CERTIFICATED FORM, THIS NOTE MAY NOT BE TRANSFERRED EXCEPT AS A WHOLE BY THE DEPOSITORY TO A NOMINEE OF THE DEPOSITORY OR BY A NOMINEE OF THE DEPOSITORY TO THE DEPOSITORY OR ANOTHER NOMINEE OF THE DEPOSITORY OR BY THE DEPOSITORY OR ANY SUCH NOMINEE TO A SUCCESSOR DEPOSITORY OR A NOMINEE OF SUCH SUCCESSOR DEPOSITORY. </w:t>
      </w:r>
    </w:p>
    <w:p>
      <w:pPr>
        <w:pStyle w:val="TextBody"/>
        <w:bidi w:val="0"/>
        <w:spacing w:before="240" w:after="0"/>
        <w:jc w:val="left"/>
        <w:rPr>
          <w:rFonts w:ascii="Times New Roman" w:hAnsi="Times New Roman"/>
          <w:sz w:val="20"/>
        </w:rPr>
      </w:pPr>
      <w:r>
        <w:rPr>
          <w:rFonts w:ascii="Times New Roman" w:hAnsi="Times New Roman"/>
          <w:sz w:val="20"/>
        </w:rPr>
        <w:t xml:space="preserve">UNLESS THIS NOTE IS PRESENTED BY AN AUTHORIZED REPRESENTATIVE OF THE DEPOSITORY TO </w:t>
      </w:r>
      <w:r>
        <w:rPr>
          <w:rFonts w:ascii="Times New Roman" w:hAnsi="Times New Roman"/>
          <w:b/>
          <w:sz w:val="20"/>
        </w:rPr>
        <w:t>PENNANTPARK INVESTMENT CORPORATION</w:t>
      </w:r>
      <w:r>
        <w:rPr>
          <w:rFonts w:ascii="Times New Roman" w:hAnsi="Times New Roman"/>
          <w:sz w:val="20"/>
        </w:rPr>
        <w:t xml:space="preserve"> (THE “</w:t>
      </w:r>
      <w:r>
        <w:rPr>
          <w:rFonts w:ascii="Times New Roman" w:hAnsi="Times New Roman"/>
          <w:b/>
          <w:sz w:val="20"/>
        </w:rPr>
        <w:t>COMPANY</w:t>
      </w:r>
      <w:r>
        <w:rPr>
          <w:rFonts w:ascii="Times New Roman" w:hAnsi="Times New Roman"/>
          <w:sz w:val="20"/>
        </w:rPr>
        <w:t xml:space="preserve">”) OR ITS AGENT FOR REGISTRATION OF TRANSFER, EXCHANGE OR PAYMENT, AND ANY NOTE ISSUED IS REGISTERED IN THE NAME OF CEDE &amp; CO. OR SUCH OTHER NAME AS REQUESTED BY AN AUTHORIZED REPRESENTATIVE OF THE DEPOSITORY (AND ANY PAYMENT IS MADE TO CEDE &amp; CO. OR SUCH OTHER ENTITY AS IS REQUESTED BY AN AUTHORIZED REPRESENTATIVE OF THE DEPOSITORY), ANY TRANSFER, PLEDGE OR OTHER USE HEREOF FOR VALUE OR OTHERWISE BY OR TO ANY PERSON IS WRONGFUL SINCE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THIS NOTE IS ISSUABLE IN A MINIMUM DENOMINATION OF $100,000.00 AND INTEGRAL MULTIPLES OF $1,000.00 IN EXCESS OF $100,000.00 AND MAY NOT BE EXCHANGED FOR SECURITIES OF THE COMPANY WITH A SMALLER DENOMINATION. EACH OWNER OF BENEFICIAL INTEREST IN THE SECURITIES IS REQUIRED TO HOLD SUCH BENEFICIAL INTEREST IN A PRINCIPAL AMOUNT OF $100,000.00 OR AN INTEGRAL MULTIPLE OF $1,000.00 IN EXCESS THEREOF AT ALL TIMES. </w:t>
      </w:r>
    </w:p>
    <w:p>
      <w:pPr>
        <w:pStyle w:val="TextBody"/>
        <w:bidi w:val="0"/>
        <w:spacing w:before="240" w:after="0"/>
        <w:jc w:val="left"/>
        <w:rPr>
          <w:rFonts w:ascii="Times New Roman" w:hAnsi="Times New Roman"/>
          <w:sz w:val="20"/>
        </w:rPr>
      </w:pPr>
      <w:r>
        <w:rPr>
          <w:rFonts w:ascii="Times New Roman" w:hAnsi="Times New Roman"/>
          <w:sz w:val="20"/>
        </w:rPr>
        <w:t xml:space="preserve">THE NOTE REPRESENTED HEREBY HAS NOT BEEN REGISTERED UNDER THE SECURITIES ACT OF 1933 AND HAS BEEN ACQUIRED FOR INVESTMENT AND NOT WITH A VIEW TO, OR IN CONNECTION WITH, THE SALE OR DISTRIBUTION THEREOF. NO SUCH TRANSFER MAY BE EFFECTED WITHOUT AN EFFECTIVE REGISTRATION STATEMENT RELATED THERETO UNLESS AN EXEMPTION FROM REGISTRATION UNDER THE SECURITIES ACT OF 1933 IS AVAILABLE. </w:t>
      </w:r>
    </w:p>
    <w:p>
      <w:pPr>
        <w:pStyle w:val="TextBody"/>
        <w:bidi w:val="0"/>
        <w:spacing w:before="240" w:after="0"/>
        <w:jc w:val="left"/>
        <w:rPr>
          <w:rFonts w:ascii="Times New Roman" w:hAnsi="Times New Roman"/>
          <w:b/>
          <w:sz w:val="20"/>
        </w:rPr>
      </w:pPr>
      <w:r>
        <w:rPr>
          <w:rFonts w:ascii="Times New Roman" w:hAnsi="Times New Roman"/>
          <w:b/>
          <w:sz w:val="20"/>
        </w:rPr>
        <w:t xml:space="preserve">THE COMPANY HAS NOT ENTERED INTO AN INDENTURE IN CONNECTION WITH THE ISSUANCE OF THIS NOTE. EACH PURCHASER OF A BENEFICIAL INTEREST IN THIS NOTE, IN MAKING ITS PURCHASE, WILL BE DEEMED TO HAVE REPRESENTED AND WARRANTED TO THE COMPANY THAT IT IS AN INSTITUTIONAL INVESTOR THAT IS A “QUALIFIED INSTITUTIONAL BUYER” AS DEFINED PURSUANT TO RULE 144A PROMULGATED UNDER THE SECURITIES ACT (A “QIB”) AND THAT IT IS PURCHASING SUCH INTEREST FOR ITS OWN ACCOUNT OR THE ACCOUNT OF ANOTHER QIB AND THAT FOLLOWING SUCH PURCHASE IT OR SUCH OTHER QIB HOLDING A BENEFICIAL INTEREST IN THIS NOTE WILL HOLD A BENEFICIAL INTEREST IN A PRINCIPAL AMOUNT OF $100,000.00 OR AN INTEGRAL MULTIPLE OF $1,000.00 IN EXCESS THEREOF AT ALL TIMES.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PENNANTPARK INVESTMENT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7.25% SENIOR UNSECURED NOTE DUE SEPTEMBER 30, 2029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2"/>
        <w:gridCol w:w="204"/>
        <w:gridCol w:w="3266"/>
        <w:gridCol w:w="203"/>
        <w:gridCol w:w="2960"/>
      </w:tblGrid>
      <w:tr>
        <w:trPr/>
        <w:tc>
          <w:tcPr>
            <w:tcW w:w="357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2" w:type="dxa"/>
            <w:tcBorders/>
          </w:tcPr>
          <w:p>
            <w:pPr>
              <w:pStyle w:val="TableContents"/>
              <w:bidi w:val="0"/>
              <w:spacing w:before="0" w:after="283"/>
              <w:jc w:val="left"/>
              <w:rPr/>
            </w:pPr>
            <w:r>
              <w:rPr/>
              <w:t>No. 1</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right"/>
              <w:rPr/>
            </w:pPr>
            <w:r>
              <w:rPr>
                <w:b/>
              </w:rPr>
              <w:t>September</w:t>
            </w:r>
            <w:r>
              <w:rPr/>
              <w:t> </w:t>
            </w:r>
            <w:r>
              <w:rPr>
                <w:b/>
              </w:rPr>
              <w:t>1, 2026</w:t>
            </w:r>
          </w:p>
        </w:tc>
      </w:tr>
      <w:tr>
        <w:trPr/>
        <w:tc>
          <w:tcPr>
            <w:tcW w:w="3572" w:type="dxa"/>
            <w:tcBorders/>
          </w:tcPr>
          <w:p>
            <w:pPr>
              <w:pStyle w:val="TableContents"/>
              <w:bidi w:val="0"/>
              <w:spacing w:before="0" w:after="283"/>
              <w:jc w:val="left"/>
              <w:rPr/>
            </w:pPr>
            <w:r>
              <w:rPr/>
              <w:t>$2,000,000.00</w:t>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right"/>
              <w:rPr/>
            </w:pPr>
            <w:r>
              <w:rPr/>
              <w:t>CUSIP NO. 708062AF1</w:t>
            </w:r>
          </w:p>
        </w:tc>
      </w:tr>
      <w:tr>
        <w:trPr/>
        <w:tc>
          <w:tcPr>
            <w:tcW w:w="3572" w:type="dxa"/>
            <w:tcBorders/>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right"/>
              <w:rPr/>
            </w:pPr>
            <w:r>
              <w:rPr/>
              <w:t>ISIN NO. US708062AF14</w:t>
            </w:r>
          </w:p>
        </w:tc>
      </w:tr>
    </w:tbl>
    <w:p>
      <w:pPr>
        <w:pStyle w:val="TextBody"/>
        <w:bidi w:val="0"/>
        <w:spacing w:before="240" w:after="0"/>
        <w:jc w:val="left"/>
        <w:rPr>
          <w:rFonts w:ascii="Times New Roman" w:hAnsi="Times New Roman"/>
          <w:sz w:val="20"/>
        </w:rPr>
      </w:pPr>
      <w:r>
        <w:rPr>
          <w:rFonts w:ascii="Times New Roman" w:hAnsi="Times New Roman"/>
          <w:sz w:val="20"/>
        </w:rPr>
        <w:t>FOR VALUE RECEIVED, the undersigned, PennantPark Investment Corporation (herein called the “</w:t>
      </w:r>
      <w:r>
        <w:rPr>
          <w:rFonts w:ascii="Times New Roman" w:hAnsi="Times New Roman"/>
          <w:b/>
          <w:sz w:val="20"/>
        </w:rPr>
        <w:t>Company</w:t>
      </w:r>
      <w:r>
        <w:rPr>
          <w:rFonts w:ascii="Times New Roman" w:hAnsi="Times New Roman"/>
          <w:sz w:val="20"/>
        </w:rPr>
        <w:t>”), a corporation organized and existing under the laws of the State of Maryland, hereby promises to pay to CEDE &amp; CO., or registered assigns, the principal sum of TWO MILLION DOLLARS (or so much thereof as shall not have been prepaid) on September 30, 2029 (the “</w:t>
      </w:r>
      <w:r>
        <w:rPr>
          <w:rFonts w:ascii="Times New Roman" w:hAnsi="Times New Roman"/>
          <w:b/>
          <w:sz w:val="20"/>
        </w:rPr>
        <w:t>Maturity Date</w:t>
      </w:r>
      <w:r>
        <w:rPr>
          <w:rFonts w:ascii="Times New Roman" w:hAnsi="Times New Roman"/>
          <w:sz w:val="20"/>
        </w:rPr>
        <w:t>”), with interest (computed on the basis of a 360-day year of twelve 30-day months) on the unpaid balance hereof at 7.25% per annum from the date hereof, payable semi-annually, on the 30th day of March and September in each year, commencing on March 30, 2027 (each, a “</w:t>
      </w:r>
      <w:r>
        <w:rPr>
          <w:rFonts w:ascii="Times New Roman" w:hAnsi="Times New Roman"/>
          <w:b/>
          <w:sz w:val="20"/>
        </w:rPr>
        <w:t>Payment Date</w:t>
      </w:r>
      <w:r>
        <w:rPr>
          <w:rFonts w:ascii="Times New Roman" w:hAnsi="Times New Roman"/>
          <w:sz w:val="20"/>
        </w:rPr>
        <w:t xml:space="preserve">”), and on the Maturity Date, until the principal hereof shall have become due and payable. </w:t>
      </w:r>
    </w:p>
    <w:p>
      <w:pPr>
        <w:pStyle w:val="TextBody"/>
        <w:bidi w:val="0"/>
        <w:spacing w:before="240" w:after="0"/>
        <w:jc w:val="left"/>
        <w:rPr>
          <w:rFonts w:ascii="Times New Roman" w:hAnsi="Times New Roman"/>
          <w:sz w:val="20"/>
        </w:rPr>
      </w:pPr>
      <w:r>
        <w:rPr>
          <w:rFonts w:ascii="Times New Roman" w:hAnsi="Times New Roman"/>
          <w:sz w:val="20"/>
        </w:rPr>
        <w:t>The Company shall pay interest on the Notes to the Persons who are registered Holders at the close of business on the calendar day immediately preceding the next Payment Date as specified in the Note (each a “</w:t>
      </w:r>
      <w:r>
        <w:rPr>
          <w:rFonts w:ascii="Times New Roman" w:hAnsi="Times New Roman"/>
          <w:b/>
          <w:sz w:val="20"/>
        </w:rPr>
        <w:t>Record Date</w:t>
      </w:r>
      <w:r>
        <w:rPr>
          <w:rFonts w:ascii="Times New Roman" w:hAnsi="Times New Roman"/>
          <w:sz w:val="20"/>
        </w:rPr>
        <w:t xml:space="preserve">”) even if Notes are canceled after the Record Date and on or before the applicable interest Payment Date (whether or not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Payments of principal of, interest on and any Make-Whole Amount with respect to this Note are to be made in lawful money of the United States of America through the facilities of DTC as provided in the Note Purchase Agreement referred to below. </w:t>
      </w:r>
    </w:p>
    <w:p>
      <w:pPr>
        <w:pStyle w:val="TextBody"/>
        <w:bidi w:val="0"/>
        <w:spacing w:before="240" w:after="0"/>
        <w:jc w:val="left"/>
        <w:rPr>
          <w:rFonts w:ascii="Times New Roman" w:hAnsi="Times New Roman"/>
          <w:sz w:val="20"/>
        </w:rPr>
      </w:pPr>
      <w:r>
        <w:rPr>
          <w:rFonts w:ascii="Times New Roman" w:hAnsi="Times New Roman"/>
          <w:sz w:val="20"/>
        </w:rPr>
        <w:t>This Global Note represents the Senior Notes (herein called the “</w:t>
      </w:r>
      <w:r>
        <w:rPr>
          <w:rFonts w:ascii="Times New Roman" w:hAnsi="Times New Roman"/>
          <w:b/>
          <w:sz w:val="20"/>
        </w:rPr>
        <w:t>Notes</w:t>
      </w:r>
      <w:r>
        <w:rPr>
          <w:rFonts w:ascii="Times New Roman" w:hAnsi="Times New Roman"/>
          <w:sz w:val="20"/>
        </w:rPr>
        <w:t>”) issued pursuant to the Note Purchase Agreement, dated September 1, 2026 (as from time to time amended, the “</w:t>
      </w:r>
      <w:r>
        <w:rPr>
          <w:rFonts w:ascii="Times New Roman" w:hAnsi="Times New Roman"/>
          <w:b/>
          <w:sz w:val="20"/>
        </w:rPr>
        <w:t>Note Purchase Agreement</w:t>
      </w:r>
      <w:r>
        <w:rPr>
          <w:rFonts w:ascii="Times New Roman" w:hAnsi="Times New Roman"/>
          <w:sz w:val="20"/>
        </w:rPr>
        <w:t xml:space="preserve">”), between the Company and the Purchasers named therein and is entitled to the benefits thereof. Each holder of this Note will be deemed, by its acceptance hereof, to have (i) agreed to the confidentiality provisions set forth in Section 20 of the Note Purchase Agreement and (ii) made the representation set forth in Section 6.2 of the Note Purchase Agreement. Unless otherwise indicated, capitalized terms used in this Note shall have the respective meanings ascribed to such terms in the Note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Note is subject to optional prepayment, in whole or from time to time in part, on the terms specified in the Note Purchase Agreement. Any partial prepayment will be processed through DTC, in accordance with the Applicable Depository Procedures, as pro rata pass-through distribution of principal.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an Event of Default occurs and is continuing, the principal of this Note may be declared or otherwise become due and payable in the manner, at the price (including any applicable Make-Whole Amount) and with the effect provided in the Note Purchase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Note shall be construed and enforced in accordance with, and the rights of the Company and the holder of this Note shall be governed by, the law of the State of New York excluding choice-of-law principles of the law of such State that would permit the application of the laws of a jurisdiction other than such State.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06"/>
        <w:gridCol w:w="61"/>
        <w:gridCol w:w="3715"/>
      </w:tblGrid>
      <w:tr>
        <w:trPr/>
        <w:tc>
          <w:tcPr>
            <w:tcW w:w="306"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71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w:t>
            </w:r>
            <w:r>
              <w:rPr>
                <w:b/>
                <w:sz w:val="20"/>
              </w:rPr>
              <w:t>ENNANT</w:t>
            </w:r>
            <w:r>
              <w:rPr>
                <w:b/>
              </w:rPr>
              <w:t>P</w:t>
            </w:r>
            <w:r>
              <w:rPr>
                <w:b/>
                <w:sz w:val="20"/>
              </w:rPr>
              <w:t>ARK</w:t>
            </w:r>
            <w:r>
              <w:rPr>
                <w:b/>
              </w:rPr>
              <w:t xml:space="preserve"> I</w:t>
            </w:r>
            <w:r>
              <w:rPr>
                <w:b/>
                <w:sz w:val="20"/>
              </w:rPr>
              <w:t>NVESTMENT</w:t>
            </w:r>
            <w:r>
              <w:rPr>
                <w:b/>
              </w:rPr>
              <w:t xml:space="preserve"> C</w:t>
            </w:r>
            <w:r>
              <w:rPr>
                <w:b/>
                <w:sz w:val="20"/>
              </w:rPr>
              <w:t>ORPORATION</w:t>
            </w:r>
          </w:p>
        </w:tc>
      </w:tr>
      <w:tr>
        <w:trPr>
          <w:trHeight w:val="240" w:hRule="atLeast"/>
        </w:trPr>
        <w:tc>
          <w:tcPr>
            <w:tcW w:w="306" w:type="dxa"/>
            <w:tcBorders/>
            <w:vAlign w:val="center"/>
          </w:tcPr>
          <w:p>
            <w:pPr>
              <w:pStyle w:val="TableContents"/>
              <w:bidi w:val="0"/>
              <w:spacing w:before="0" w:after="283"/>
              <w:jc w:val="left"/>
              <w:rPr>
                <w:sz w:val="4"/>
                <w:szCs w:val="4"/>
              </w:rPr>
            </w:pPr>
            <w:r>
              <w:rPr>
                <w:sz w:val="4"/>
                <w:szCs w:val="4"/>
              </w:rPr>
            </w:r>
          </w:p>
        </w:tc>
        <w:tc>
          <w:tcPr>
            <w:tcW w:w="3776" w:type="dxa"/>
            <w:gridSpan w:val="2"/>
            <w:tcBorders/>
            <w:vAlign w:val="center"/>
          </w:tcPr>
          <w:p>
            <w:pPr>
              <w:pStyle w:val="TableContents"/>
              <w:bidi w:val="0"/>
              <w:spacing w:before="0" w:after="283"/>
              <w:jc w:val="left"/>
              <w:rPr>
                <w:sz w:val="4"/>
                <w:szCs w:val="4"/>
              </w:rPr>
            </w:pPr>
            <w:r>
              <w:rPr>
                <w:sz w:val="4"/>
                <w:szCs w:val="4"/>
              </w:rPr>
            </w:r>
          </w:p>
        </w:tc>
      </w:tr>
      <w:tr>
        <w:trPr/>
        <w:tc>
          <w:tcPr>
            <w:tcW w:w="306"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715" w:type="dxa"/>
            <w:tcBorders/>
          </w:tcPr>
          <w:p>
            <w:pPr>
              <w:pStyle w:val="TableContents"/>
              <w:pBdr>
                <w:bottom w:val="single" w:sz="2" w:space="1" w:color="000000"/>
              </w:pBdr>
              <w:bidi w:val="0"/>
              <w:spacing w:before="0" w:after="20"/>
              <w:jc w:val="left"/>
              <w:rPr/>
            </w:pPr>
            <w:r>
              <w:rPr/>
              <w:t> </w:t>
            </w:r>
          </w:p>
        </w:tc>
      </w:tr>
      <w:tr>
        <w:trPr/>
        <w:tc>
          <w:tcPr>
            <w:tcW w:w="306"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5" w:type="dxa"/>
            <w:tcBorders/>
          </w:tcPr>
          <w:p>
            <w:pPr>
              <w:pStyle w:val="TableContents"/>
              <w:bidi w:val="0"/>
              <w:spacing w:before="0" w:after="283"/>
              <w:jc w:val="left"/>
              <w:rPr/>
            </w:pPr>
            <w:r>
              <w:rPr/>
              <w:t>Name: Arthur H. Penn</w:t>
            </w:r>
          </w:p>
        </w:tc>
      </w:tr>
      <w:tr>
        <w:trPr/>
        <w:tc>
          <w:tcPr>
            <w:tcW w:w="306"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5" w:type="dxa"/>
            <w:tcBorders/>
          </w:tcPr>
          <w:p>
            <w:pPr>
              <w:pStyle w:val="TableContents"/>
              <w:bidi w:val="0"/>
              <w:spacing w:before="0" w:after="283"/>
              <w:jc w:val="left"/>
              <w:rPr/>
            </w:pPr>
            <w:r>
              <w:rPr/>
              <w:t>Title: 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4.4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OPINION OF SPECIAL COUNSEL FOR THE COMPANY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5.3 </w:t>
      </w:r>
    </w:p>
    <w:p>
      <w:pPr>
        <w:pStyle w:val="TextBody"/>
        <w:bidi w:val="0"/>
        <w:spacing w:before="120" w:after="0"/>
        <w:jc w:val="center"/>
        <w:rPr>
          <w:rFonts w:ascii="Times New Roman" w:hAnsi="Times New Roman"/>
          <w:b/>
          <w:sz w:val="20"/>
        </w:rPr>
      </w:pPr>
      <w:r>
        <w:rPr>
          <w:rFonts w:ascii="Times New Roman" w:hAnsi="Times New Roman"/>
          <w:b/>
          <w:sz w:val="20"/>
        </w:rPr>
        <w:t xml:space="preserve">DISCLOSURE MATERIALS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the Company’s Form 10-K for the fiscal year ended September 30, 2025, dated as of November 24, 2025, the Company’s Form 10-K/As, dated as of January 23, 2026 and July 1, 2026, and the Company’s Form 10-Qs (i) for the fiscal quarter ended December 31, 2025, dated as of February 9, 2026, (ii) for the fiscal quarter ended March 31, 2026, dated as of May 7, 2026, and (iii) for the fiscal quarter ended June 30, 2026, dated as of August 10, 2026.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5.4 </w:t>
      </w:r>
    </w:p>
    <w:p>
      <w:pPr>
        <w:pStyle w:val="TextBody"/>
        <w:bidi w:val="0"/>
        <w:spacing w:before="120" w:after="0"/>
        <w:jc w:val="center"/>
        <w:rPr>
          <w:rFonts w:ascii="Times New Roman" w:hAnsi="Times New Roman"/>
          <w:b/>
          <w:sz w:val="20"/>
        </w:rPr>
      </w:pPr>
      <w:r>
        <w:rPr>
          <w:rFonts w:ascii="Times New Roman" w:hAnsi="Times New Roman"/>
          <w:b/>
          <w:sz w:val="20"/>
        </w:rPr>
        <w:t xml:space="preserve">SUBSIDIARIES OF THE COMPANY AND OWNERSHIP OF SUBSIDIARY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(I)</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Subsidiaries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46"/>
        <w:gridCol w:w="376"/>
        <w:gridCol w:w="1340"/>
        <w:gridCol w:w="376"/>
        <w:gridCol w:w="172"/>
        <w:gridCol w:w="1237"/>
        <w:gridCol w:w="358"/>
      </w:tblGrid>
      <w:tr>
        <w:trPr/>
        <w:tc>
          <w:tcPr>
            <w:tcW w:w="6346"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634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376" w:type="dxa"/>
            <w:tcBorders/>
            <w:vAlign w:val="bottom"/>
          </w:tcPr>
          <w:p>
            <w:pPr>
              <w:pStyle w:val="TableContents"/>
              <w:bidi w:val="0"/>
              <w:spacing w:before="0" w:after="283"/>
              <w:jc w:val="left"/>
              <w:rPr/>
            </w:pPr>
            <w:r>
              <w:rPr/>
              <w:t>  </w:t>
            </w:r>
          </w:p>
        </w:tc>
        <w:tc>
          <w:tcPr>
            <w:tcW w:w="1340" w:type="dxa"/>
            <w:tcBorders>
              <w:bottom w:val="single" w:sz="8" w:space="0" w:color="000000"/>
            </w:tcBorders>
            <w:tcMar>
              <w:bottom w:w="28" w:type="dxa"/>
            </w:tcMar>
            <w:vAlign w:val="bottom"/>
          </w:tcPr>
          <w:p>
            <w:pPr>
              <w:pStyle w:val="TableContents"/>
              <w:bidi w:val="0"/>
              <w:spacing w:before="0" w:after="283"/>
              <w:jc w:val="center"/>
              <w:rPr>
                <w:b/>
              </w:rPr>
            </w:pPr>
            <w:r>
              <w:rPr>
                <w:b/>
              </w:rPr>
              <w:t>Jurisdiction</w:t>
            </w:r>
          </w:p>
        </w:tc>
        <w:tc>
          <w:tcPr>
            <w:tcW w:w="376" w:type="dxa"/>
            <w:tcBorders/>
            <w:vAlign w:val="bottom"/>
          </w:tcPr>
          <w:p>
            <w:pPr>
              <w:pStyle w:val="TableContents"/>
              <w:bidi w:val="0"/>
              <w:spacing w:before="0" w:after="283"/>
              <w:jc w:val="left"/>
              <w:rPr/>
            </w:pPr>
            <w:r>
              <w:rPr/>
              <w:t>  </w:t>
            </w:r>
          </w:p>
        </w:tc>
        <w:tc>
          <w:tcPr>
            <w:tcW w:w="14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of Shares</w:t>
            </w:r>
          </w:p>
        </w:tc>
        <w:tc>
          <w:tcPr>
            <w:tcW w:w="358" w:type="dxa"/>
            <w:tcBorders/>
            <w:vAlign w:val="bottom"/>
          </w:tcPr>
          <w:p>
            <w:pPr>
              <w:pStyle w:val="TableContents"/>
              <w:bidi w:val="0"/>
              <w:spacing w:before="0" w:after="283"/>
              <w:jc w:val="left"/>
              <w:rPr/>
            </w:pPr>
            <w:r>
              <w:rPr/>
              <w:t> </w:t>
            </w:r>
          </w:p>
        </w:tc>
      </w:tr>
      <w:tr>
        <w:trPr/>
        <w:tc>
          <w:tcPr>
            <w:tcW w:w="63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PNNT Alabama Holdings Inc.</w:t>
            </w:r>
          </w:p>
        </w:tc>
        <w:tc>
          <w:tcPr>
            <w:tcW w:w="376"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bidi w:val="0"/>
              <w:spacing w:before="0" w:after="283"/>
              <w:jc w:val="center"/>
              <w:rPr/>
            </w:pPr>
            <w:r>
              <w:rPr/>
              <w:t>Delaware</w:t>
            </w:r>
          </w:p>
        </w:tc>
        <w:tc>
          <w:tcPr>
            <w:tcW w:w="37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100</w:t>
            </w:r>
          </w:p>
        </w:tc>
        <w:tc>
          <w:tcPr>
            <w:tcW w:w="358" w:type="dxa"/>
            <w:tcBorders/>
            <w:shd w:fill="CCEEFF" w:val="clear"/>
            <w:vAlign w:val="bottom"/>
          </w:tcPr>
          <w:p>
            <w:pPr>
              <w:pStyle w:val="TableContents"/>
              <w:bidi w:val="0"/>
              <w:spacing w:before="0" w:after="283"/>
              <w:jc w:val="left"/>
              <w:rPr/>
            </w:pPr>
            <w:r>
              <w:rPr/>
              <w:t>(1) </w:t>
            </w:r>
          </w:p>
        </w:tc>
      </w:tr>
      <w:tr>
        <w:trPr/>
        <w:tc>
          <w:tcPr>
            <w:tcW w:w="6346" w:type="dxa"/>
            <w:tcBorders/>
          </w:tcPr>
          <w:p>
            <w:pPr>
              <w:pStyle w:val="TableContents"/>
              <w:bidi w:val="0"/>
              <w:spacing w:before="0" w:after="0"/>
              <w:jc w:val="left"/>
              <w:rPr>
                <w:rFonts w:ascii="Times New Roman" w:hAnsi="Times New Roman"/>
                <w:sz w:val="20"/>
              </w:rPr>
            </w:pPr>
            <w:r>
              <w:rPr>
                <w:rFonts w:ascii="Times New Roman" w:hAnsi="Times New Roman"/>
                <w:sz w:val="20"/>
              </w:rPr>
              <w:t>PNNT Investment Holdings, LLC</w:t>
            </w:r>
          </w:p>
        </w:tc>
        <w:tc>
          <w:tcPr>
            <w:tcW w:w="376"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Delaware</w:t>
            </w:r>
          </w:p>
        </w:tc>
        <w:tc>
          <w:tcPr>
            <w:tcW w:w="37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100</w:t>
            </w:r>
          </w:p>
        </w:tc>
        <w:tc>
          <w:tcPr>
            <w:tcW w:w="358" w:type="dxa"/>
            <w:tcBorders/>
            <w:vAlign w:val="bottom"/>
          </w:tcPr>
          <w:p>
            <w:pPr>
              <w:pStyle w:val="TableContents"/>
              <w:bidi w:val="0"/>
              <w:spacing w:before="0" w:after="283"/>
              <w:jc w:val="left"/>
              <w:rPr/>
            </w:pPr>
            <w:r>
              <w:rPr/>
              <w:t>(1) </w:t>
            </w:r>
          </w:p>
        </w:tc>
      </w:tr>
      <w:tr>
        <w:trPr/>
        <w:tc>
          <w:tcPr>
            <w:tcW w:w="63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PNNT Investment Holdings II, LLC</w:t>
            </w:r>
          </w:p>
        </w:tc>
        <w:tc>
          <w:tcPr>
            <w:tcW w:w="376"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bidi w:val="0"/>
              <w:spacing w:before="0" w:after="283"/>
              <w:jc w:val="center"/>
              <w:rPr/>
            </w:pPr>
            <w:r>
              <w:rPr/>
              <w:t>Delaware</w:t>
            </w:r>
          </w:p>
        </w:tc>
        <w:tc>
          <w:tcPr>
            <w:tcW w:w="37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100</w:t>
            </w:r>
          </w:p>
        </w:tc>
        <w:tc>
          <w:tcPr>
            <w:tcW w:w="358" w:type="dxa"/>
            <w:tcBorders/>
            <w:shd w:fill="CCEEFF" w:val="clear"/>
            <w:vAlign w:val="bottom"/>
          </w:tcPr>
          <w:p>
            <w:pPr>
              <w:pStyle w:val="TableContents"/>
              <w:bidi w:val="0"/>
              <w:spacing w:before="0" w:after="283"/>
              <w:jc w:val="left"/>
              <w:rPr/>
            </w:pPr>
            <w:r>
              <w:rPr/>
              <w:t>(1) </w:t>
            </w:r>
          </w:p>
        </w:tc>
      </w:tr>
      <w:tr>
        <w:trPr/>
        <w:tc>
          <w:tcPr>
            <w:tcW w:w="6346" w:type="dxa"/>
            <w:tcBorders/>
          </w:tcPr>
          <w:p>
            <w:pPr>
              <w:pStyle w:val="TableContents"/>
              <w:bidi w:val="0"/>
              <w:spacing w:before="0" w:after="0"/>
              <w:jc w:val="left"/>
              <w:rPr>
                <w:rFonts w:ascii="Times New Roman" w:hAnsi="Times New Roman"/>
                <w:sz w:val="20"/>
              </w:rPr>
            </w:pPr>
            <w:r>
              <w:rPr>
                <w:rFonts w:ascii="Times New Roman" w:hAnsi="Times New Roman"/>
                <w:sz w:val="20"/>
              </w:rPr>
              <w:t>RAM Energy Holdings LLC</w:t>
            </w:r>
          </w:p>
        </w:tc>
        <w:tc>
          <w:tcPr>
            <w:tcW w:w="376"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Delaware</w:t>
            </w:r>
          </w:p>
        </w:tc>
        <w:tc>
          <w:tcPr>
            <w:tcW w:w="37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100</w:t>
            </w:r>
          </w:p>
        </w:tc>
        <w:tc>
          <w:tcPr>
            <w:tcW w:w="358" w:type="dxa"/>
            <w:tcBorders/>
            <w:vAlign w:val="bottom"/>
          </w:tcPr>
          <w:p>
            <w:pPr>
              <w:pStyle w:val="TableContents"/>
              <w:bidi w:val="0"/>
              <w:spacing w:before="0" w:after="283"/>
              <w:jc w:val="left"/>
              <w:rPr/>
            </w:pPr>
            <w:r>
              <w:rPr/>
              <w:t>(2) </w:t>
            </w:r>
          </w:p>
        </w:tc>
      </w:tr>
      <w:tr>
        <w:trPr/>
        <w:tc>
          <w:tcPr>
            <w:tcW w:w="63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MSpark, LLC</w:t>
            </w:r>
          </w:p>
        </w:tc>
        <w:tc>
          <w:tcPr>
            <w:tcW w:w="376"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bidi w:val="0"/>
              <w:spacing w:before="0" w:after="283"/>
              <w:jc w:val="center"/>
              <w:rPr/>
            </w:pPr>
            <w:r>
              <w:rPr/>
              <w:t>Alabama</w:t>
            </w:r>
          </w:p>
        </w:tc>
        <w:tc>
          <w:tcPr>
            <w:tcW w:w="37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51</w:t>
            </w:r>
          </w:p>
        </w:tc>
        <w:tc>
          <w:tcPr>
            <w:tcW w:w="358" w:type="dxa"/>
            <w:tcBorders/>
            <w:shd w:fill="CCEEFF" w:val="clear"/>
            <w:vAlign w:val="bottom"/>
          </w:tcPr>
          <w:p>
            <w:pPr>
              <w:pStyle w:val="TableContents"/>
              <w:bidi w:val="0"/>
              <w:spacing w:before="0" w:after="283"/>
              <w:jc w:val="left"/>
              <w:rPr/>
            </w:pPr>
            <w:r>
              <w:rPr/>
              <w:t>(2) </w:t>
            </w:r>
          </w:p>
        </w:tc>
      </w:tr>
      <w:tr>
        <w:trPr/>
        <w:tc>
          <w:tcPr>
            <w:tcW w:w="6346" w:type="dxa"/>
            <w:tcBorders/>
          </w:tcPr>
          <w:p>
            <w:pPr>
              <w:pStyle w:val="TableContents"/>
              <w:bidi w:val="0"/>
              <w:spacing w:before="0" w:after="0"/>
              <w:jc w:val="left"/>
              <w:rPr>
                <w:rFonts w:ascii="Times New Roman" w:hAnsi="Times New Roman"/>
                <w:sz w:val="20"/>
              </w:rPr>
            </w:pPr>
            <w:r>
              <w:rPr>
                <w:rFonts w:ascii="Times New Roman" w:hAnsi="Times New Roman"/>
                <w:sz w:val="20"/>
              </w:rPr>
              <w:t>PennantPark Senior Loan Fund, LLC</w:t>
            </w:r>
          </w:p>
        </w:tc>
        <w:tc>
          <w:tcPr>
            <w:tcW w:w="376"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Delaware</w:t>
            </w:r>
          </w:p>
        </w:tc>
        <w:tc>
          <w:tcPr>
            <w:tcW w:w="37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56</w:t>
            </w:r>
          </w:p>
        </w:tc>
        <w:tc>
          <w:tcPr>
            <w:tcW w:w="358" w:type="dxa"/>
            <w:tcBorders/>
            <w:vAlign w:val="bottom"/>
          </w:tcPr>
          <w:p>
            <w:pPr>
              <w:pStyle w:val="TableContents"/>
              <w:bidi w:val="0"/>
              <w:spacing w:before="0" w:after="283"/>
              <w:jc w:val="left"/>
              <w:rPr/>
            </w:pPr>
            <w:r>
              <w:rPr/>
              <w:t>(2) </w:t>
            </w:r>
          </w:p>
        </w:tc>
      </w:tr>
      <w:tr>
        <w:trPr/>
        <w:tc>
          <w:tcPr>
            <w:tcW w:w="63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AKW Holdings Limited</w:t>
            </w:r>
          </w:p>
        </w:tc>
        <w:tc>
          <w:tcPr>
            <w:tcW w:w="376"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bidi w:val="0"/>
              <w:spacing w:before="0" w:after="283"/>
              <w:jc w:val="center"/>
              <w:rPr/>
            </w:pPr>
            <w:r>
              <w:rPr/>
              <w:t>Isle of Man</w:t>
            </w:r>
          </w:p>
        </w:tc>
        <w:tc>
          <w:tcPr>
            <w:tcW w:w="376"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237" w:type="dxa"/>
            <w:tcBorders/>
            <w:shd w:fill="CCEEFF" w:val="clear"/>
            <w:vAlign w:val="bottom"/>
          </w:tcPr>
          <w:p>
            <w:pPr>
              <w:pStyle w:val="TableContents"/>
              <w:bidi w:val="0"/>
              <w:spacing w:before="0" w:after="283"/>
              <w:jc w:val="right"/>
              <w:rPr/>
            </w:pPr>
            <w:r>
              <w:rPr/>
              <w:t>77</w:t>
            </w:r>
          </w:p>
        </w:tc>
        <w:tc>
          <w:tcPr>
            <w:tcW w:w="358" w:type="dxa"/>
            <w:tcBorders/>
            <w:shd w:fill="CCEEFF" w:val="clear"/>
            <w:vAlign w:val="bottom"/>
          </w:tcPr>
          <w:p>
            <w:pPr>
              <w:pStyle w:val="TableContents"/>
              <w:bidi w:val="0"/>
              <w:spacing w:before="0" w:after="283"/>
              <w:jc w:val="left"/>
              <w:rPr/>
            </w:pPr>
            <w:r>
              <w:rPr/>
              <w:t>(2) </w:t>
            </w:r>
          </w:p>
        </w:tc>
      </w:tr>
      <w:tr>
        <w:trPr/>
        <w:tc>
          <w:tcPr>
            <w:tcW w:w="6346" w:type="dxa"/>
            <w:tcBorders/>
          </w:tcPr>
          <w:p>
            <w:pPr>
              <w:pStyle w:val="TableContents"/>
              <w:bidi w:val="0"/>
              <w:spacing w:before="0" w:after="0"/>
              <w:jc w:val="left"/>
              <w:rPr>
                <w:rFonts w:ascii="Times New Roman" w:hAnsi="Times New Roman"/>
                <w:sz w:val="20"/>
              </w:rPr>
            </w:pPr>
            <w:r>
              <w:rPr>
                <w:rFonts w:ascii="Times New Roman" w:hAnsi="Times New Roman"/>
                <w:sz w:val="20"/>
              </w:rPr>
              <w:t>Flock Financial, LLC</w:t>
            </w:r>
          </w:p>
        </w:tc>
        <w:tc>
          <w:tcPr>
            <w:tcW w:w="376"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center"/>
              <w:rPr/>
            </w:pPr>
            <w:r>
              <w:rPr/>
              <w:t>Delaware</w:t>
            </w:r>
          </w:p>
        </w:tc>
        <w:tc>
          <w:tcPr>
            <w:tcW w:w="376"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237" w:type="dxa"/>
            <w:tcBorders/>
            <w:vAlign w:val="bottom"/>
          </w:tcPr>
          <w:p>
            <w:pPr>
              <w:pStyle w:val="TableContents"/>
              <w:bidi w:val="0"/>
              <w:spacing w:before="0" w:after="283"/>
              <w:jc w:val="right"/>
              <w:rPr/>
            </w:pPr>
            <w:r>
              <w:rPr/>
              <w:t>75</w:t>
            </w:r>
          </w:p>
        </w:tc>
        <w:tc>
          <w:tcPr>
            <w:tcW w:w="358" w:type="dxa"/>
            <w:tcBorders/>
            <w:vAlign w:val="bottom"/>
          </w:tcPr>
          <w:p>
            <w:pPr>
              <w:pStyle w:val="TableContents"/>
              <w:bidi w:val="0"/>
              <w:spacing w:before="0" w:after="283"/>
              <w:jc w:val="left"/>
              <w:rPr/>
            </w:pPr>
            <w:r>
              <w:rPr/>
              <w:t>(2)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entity is not operational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is a controlled affiliated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(II)</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Company’s Directors and Senior Officers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73"/>
        <w:gridCol w:w="203"/>
        <w:gridCol w:w="3266"/>
        <w:gridCol w:w="203"/>
        <w:gridCol w:w="2960"/>
      </w:tblGrid>
      <w:tr>
        <w:trPr/>
        <w:tc>
          <w:tcPr>
            <w:tcW w:w="357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b/>
              </w:rPr>
            </w:pPr>
            <w:r>
              <w:rPr>
                <w:b/>
              </w:rPr>
              <w:t>Directors</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283"/>
              <w:jc w:val="left"/>
              <w:rPr/>
            </w:pPr>
            <w:r>
              <w:rPr/>
              <w:t>Arthur H. Penn</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283"/>
              <w:jc w:val="left"/>
              <w:rPr/>
            </w:pPr>
            <w:r>
              <w:rPr/>
              <w:t>José A. Briones, Jr.</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283"/>
              <w:jc w:val="left"/>
              <w:rPr/>
            </w:pPr>
            <w:r>
              <w:rPr/>
              <w:t>Adam K. Bernstein</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283"/>
              <w:jc w:val="left"/>
              <w:rPr/>
            </w:pPr>
            <w:r>
              <w:rPr/>
              <w:t>Marshall Brozost</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283"/>
              <w:jc w:val="left"/>
              <w:rPr/>
            </w:pPr>
            <w:r>
              <w:rPr/>
              <w:t>Jeffrey Flug</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283"/>
              <w:jc w:val="left"/>
              <w:rPr/>
            </w:pPr>
            <w:r>
              <w:rPr/>
              <w:t>Samuel L. Katz</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b/>
              </w:rPr>
            </w:pPr>
            <w:r>
              <w:rPr>
                <w:b/>
              </w:rPr>
              <w:t>Officers</w:t>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283"/>
              <w:jc w:val="left"/>
              <w:rPr/>
            </w:pPr>
            <w:r>
              <w:rPr/>
              <w:t>Arthur H. Penn</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r>
        <w:trPr/>
        <w:tc>
          <w:tcPr>
            <w:tcW w:w="3573" w:type="dxa"/>
            <w:tcBorders/>
          </w:tcPr>
          <w:p>
            <w:pPr>
              <w:pStyle w:val="TableContents"/>
              <w:bidi w:val="0"/>
              <w:spacing w:before="0" w:after="283"/>
              <w:jc w:val="left"/>
              <w:rPr/>
            </w:pPr>
            <w:r>
              <w:rPr/>
              <w:t>Richard T. Allorto, Jr.</w:t>
            </w:r>
          </w:p>
        </w:tc>
        <w:tc>
          <w:tcPr>
            <w:tcW w:w="203"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96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5.5 </w:t>
      </w:r>
    </w:p>
    <w:p>
      <w:pPr>
        <w:pStyle w:val="TextBody"/>
        <w:bidi w:val="0"/>
        <w:spacing w:before="120" w:after="0"/>
        <w:jc w:val="center"/>
        <w:rPr>
          <w:rFonts w:ascii="Times New Roman" w:hAnsi="Times New Roman"/>
          <w:b/>
          <w:sz w:val="20"/>
        </w:rPr>
      </w:pPr>
      <w:r>
        <w:rPr>
          <w:rFonts w:ascii="Times New Roman" w:hAnsi="Times New Roman"/>
          <w:b/>
          <w:sz w:val="20"/>
        </w:rPr>
        <w:t xml:space="preserve">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the Company’s Form 10-K for the fiscal year ended September 30, 2025, dated as of November 24, 2025, the Company’s Form 10-K/As, dated as of January 23, 2026 and July 1, 2026, and the Company’s Form 10-Qs (i) for the fiscal quarter ended December 31, 2025, dated as of February 9, 2026, (ii) for the fiscal quarter ended March 31, 2026, dated as of May 7, 2026, and (iii) for the fiscal quarter ended June 30, 2026, dated as of August 10, 2026.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5.15 </w:t>
      </w:r>
    </w:p>
    <w:p>
      <w:pPr>
        <w:pStyle w:val="TextBody"/>
        <w:bidi w:val="0"/>
        <w:spacing w:before="120" w:after="0"/>
        <w:jc w:val="center"/>
        <w:rPr>
          <w:rFonts w:ascii="Times New Roman" w:hAnsi="Times New Roman"/>
          <w:b/>
          <w:sz w:val="20"/>
        </w:rPr>
      </w:pPr>
      <w:r>
        <w:rPr>
          <w:rFonts w:ascii="Times New Roman" w:hAnsi="Times New Roman"/>
          <w:b/>
          <w:sz w:val="20"/>
        </w:rPr>
        <w:t xml:space="preserve">EXISTING INDEBTEDNESS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Truist Credit Facility.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4.00% Notes due November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7.00% Notes due February 2029.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PURCHASER SCHEDULE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RELATING TO THE PURCHASER </w:t>
      </w:r>
    </w:p>
    <w:p>
      <w:pPr>
        <w:pStyle w:val="TextBody"/>
        <w:bidi w:val="0"/>
        <w:spacing w:before="12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REGISTRATION RIGHTS AGREEMENT (2029 NOTES-2)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REGISTRATION RIGHTS AGREEMENT (2031 NOTES) </w:t>
      </w:r>
    </w:p>
    <w:p>
      <w:pPr>
        <w:pStyle w:val="TextBody"/>
        <w:bidi w:val="0"/>
        <w:spacing w:before="0" w:after="0"/>
        <w:jc w:val="right"/>
        <w:rPr>
          <w:rFonts w:ascii="Times New Roman" w:hAnsi="Times New Roman"/>
          <w:b/>
          <w:sz w:val="20"/>
        </w:rPr>
      </w:pPr>
      <w:bookmarkStart w:id="4" w:name="d528646dex102.htm"/>
      <w:bookmarkStart w:id="5" w:name="ksd528646dex102"/>
      <w:bookmarkEnd w:id="4"/>
      <w:bookmarkEnd w:id="5"/>
      <w:r>
        <w:rPr>
          <w:rFonts w:ascii="Times New Roman" w:hAnsi="Times New Roman"/>
          <w:b/>
          <w:sz w:val="20"/>
        </w:rPr>
        <w:t xml:space="preserve">Exhibit 10.2 </w:t>
      </w:r>
      <w:r>
        <w:br w:type="page"/>
      </w:r>
    </w:p>
    <w:p>
      <w:pPr>
        <w:pStyle w:val="TextBody"/>
        <w:bidi w:val="0"/>
        <w:spacing w:before="24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between </w:t>
      </w:r>
    </w:p>
    <w:p>
      <w:pPr>
        <w:pStyle w:val="TextBody"/>
        <w:bidi w:val="0"/>
        <w:spacing w:before="240" w:after="0"/>
        <w:jc w:val="center"/>
        <w:rPr>
          <w:rFonts w:ascii="Times New Roman" w:hAnsi="Times New Roman"/>
          <w:b/>
          <w:sz w:val="20"/>
        </w:rPr>
      </w:pPr>
      <w:r>
        <w:rPr>
          <w:rFonts w:ascii="Times New Roman" w:hAnsi="Times New Roman"/>
          <w:b/>
          <w:sz w:val="20"/>
        </w:rPr>
        <w:t xml:space="preserve">PennantPark Investment Corporation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the Purchasers listed on Schedule I hereto </w:t>
      </w:r>
    </w:p>
    <w:p>
      <w:pPr>
        <w:pStyle w:val="TextBody"/>
        <w:bidi w:val="0"/>
        <w:spacing w:before="240" w:after="0"/>
        <w:jc w:val="center"/>
        <w:rPr>
          <w:rFonts w:ascii="Times New Roman" w:hAnsi="Times New Roman"/>
          <w:sz w:val="20"/>
        </w:rPr>
      </w:pPr>
      <w:r>
        <w:rPr>
          <w:rFonts w:ascii="Times New Roman" w:hAnsi="Times New Roman"/>
          <w:sz w:val="20"/>
        </w:rPr>
        <w:t xml:space="preserve">Dated as of September 1,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sz w:val="20"/>
        </w:rPr>
        <w:t>This Registration Rights Agreement (this “</w:t>
      </w:r>
      <w:r>
        <w:rPr>
          <w:rFonts w:ascii="Times New Roman" w:hAnsi="Times New Roman"/>
          <w:b/>
          <w:i/>
          <w:sz w:val="20"/>
        </w:rPr>
        <w:t>Agreement</w:t>
      </w:r>
      <w:r>
        <w:rPr>
          <w:rFonts w:ascii="Times New Roman" w:hAnsi="Times New Roman"/>
          <w:sz w:val="20"/>
        </w:rPr>
        <w:t>”) is made and entered into as of September 1, 2026, by and between PennantPark Investment Corporation, a Maryland corporation (the “</w:t>
      </w:r>
      <w:r>
        <w:rPr>
          <w:rFonts w:ascii="Times New Roman" w:hAnsi="Times New Roman"/>
          <w:b/>
          <w:i/>
          <w:sz w:val="20"/>
        </w:rPr>
        <w:t>Company</w:t>
      </w:r>
      <w:r>
        <w:rPr>
          <w:rFonts w:ascii="Times New Roman" w:hAnsi="Times New Roman"/>
          <w:sz w:val="20"/>
        </w:rPr>
        <w:t>”), and the Purchasers listed on Schedule I hereto (each, a “</w:t>
      </w:r>
      <w:r>
        <w:rPr>
          <w:rFonts w:ascii="Times New Roman" w:hAnsi="Times New Roman"/>
          <w:b/>
          <w:i/>
          <w:sz w:val="20"/>
        </w:rPr>
        <w:t>Purchaser</w:t>
      </w:r>
      <w:r>
        <w:rPr>
          <w:rFonts w:ascii="Times New Roman" w:hAnsi="Times New Roman"/>
          <w:sz w:val="20"/>
        </w:rPr>
        <w:t>” and, collectively, the “</w:t>
      </w:r>
      <w:r>
        <w:rPr>
          <w:rFonts w:ascii="Times New Roman" w:hAnsi="Times New Roman"/>
          <w:b/>
          <w:i/>
          <w:sz w:val="20"/>
        </w:rPr>
        <w:t>Purchasers</w:t>
      </w:r>
      <w:r>
        <w:rPr>
          <w:rFonts w:ascii="Times New Roman" w:hAnsi="Times New Roman"/>
          <w:sz w:val="20"/>
        </w:rPr>
        <w:t>”) in connection with the sale by the Company of $62,000,000 aggregate principal amount of the Company’s 8.00% Senior Unsecured Notes due September 1, 2031 (the “</w:t>
      </w:r>
      <w:r>
        <w:rPr>
          <w:rFonts w:ascii="Times New Roman" w:hAnsi="Times New Roman"/>
          <w:b/>
          <w:i/>
          <w:sz w:val="20"/>
        </w:rPr>
        <w:t>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This Agreement is made pursuant to the Note Purchase Agreement, dated as of September 1, 2026 (the “</w:t>
      </w:r>
      <w:r>
        <w:rPr>
          <w:rFonts w:ascii="Times New Roman" w:hAnsi="Times New Roman"/>
          <w:b/>
          <w:i/>
          <w:sz w:val="20"/>
        </w:rPr>
        <w:t>Purchase Agreement</w:t>
      </w:r>
      <w:r>
        <w:rPr>
          <w:rFonts w:ascii="Times New Roman" w:hAnsi="Times New Roman"/>
          <w:sz w:val="20"/>
        </w:rPr>
        <w:t xml:space="preserve">”), by and between the Company and the Purchasers for the benefit of the Purchasers. In order to induce the Purchasers to purchase the Notes, the Company has agreed to provide the registration rights set forth in this Agreement. The execution and delivery of this Agreement is a condition to the obligations of the Purchasers as set forth in Section 4.7 of the Purchase Agreement. The parties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1. </w:t>
      </w:r>
      <w:r>
        <w:rPr>
          <w:rFonts w:ascii="Times New Roman" w:hAnsi="Times New Roman"/>
          <w:i/>
          <w:sz w:val="20"/>
        </w:rPr>
        <w:t>Definitions</w:t>
      </w:r>
      <w:r>
        <w:rPr>
          <w:rFonts w:ascii="Times New Roman" w:hAnsi="Times New Roman"/>
          <w:sz w:val="20"/>
        </w:rPr>
        <w:t xml:space="preserve">. As used in this Agreement, the following capitalized terms shall have the following meanings: </w:t>
      </w:r>
    </w:p>
    <w:p>
      <w:pPr>
        <w:pStyle w:val="TextBody"/>
        <w:bidi w:val="0"/>
        <w:spacing w:before="120" w:after="0"/>
        <w:jc w:val="left"/>
        <w:rPr>
          <w:rFonts w:ascii="Times New Roman" w:hAnsi="Times New Roman"/>
          <w:sz w:val="20"/>
        </w:rPr>
      </w:pPr>
      <w:r>
        <w:rPr>
          <w:rFonts w:ascii="Times New Roman" w:hAnsi="Times New Roman"/>
          <w:b/>
          <w:i/>
          <w:sz w:val="20"/>
        </w:rPr>
        <w:t>Additional Interest</w:t>
      </w:r>
      <w:r>
        <w:rPr>
          <w:rFonts w:ascii="Times New Roman" w:hAnsi="Times New Roman"/>
          <w:sz w:val="20"/>
        </w:rPr>
        <w:t xml:space="preserve">: As defined in Section 5 hereof. </w:t>
      </w:r>
    </w:p>
    <w:p>
      <w:pPr>
        <w:pStyle w:val="TextBody"/>
        <w:bidi w:val="0"/>
        <w:spacing w:before="240" w:after="0"/>
        <w:jc w:val="left"/>
        <w:rPr>
          <w:rFonts w:ascii="Times New Roman" w:hAnsi="Times New Roman"/>
          <w:sz w:val="20"/>
        </w:rPr>
      </w:pPr>
      <w:r>
        <w:rPr>
          <w:rFonts w:ascii="Times New Roman" w:hAnsi="Times New Roman"/>
          <w:b/>
          <w:i/>
          <w:sz w:val="20"/>
        </w:rPr>
        <w:t>Advice</w:t>
      </w:r>
      <w:r>
        <w:rPr>
          <w:rFonts w:ascii="Times New Roman" w:hAnsi="Times New Roman"/>
          <w:sz w:val="20"/>
        </w:rPr>
        <w:t xml:space="preserve">: As defined in the last paragraph of Section 6 hereof. </w:t>
      </w:r>
    </w:p>
    <w:p>
      <w:pPr>
        <w:pStyle w:val="TextBody"/>
        <w:bidi w:val="0"/>
        <w:spacing w:before="240" w:after="0"/>
        <w:jc w:val="left"/>
        <w:rPr>
          <w:rFonts w:ascii="Times New Roman" w:hAnsi="Times New Roman"/>
          <w:sz w:val="20"/>
        </w:rPr>
      </w:pPr>
      <w:r>
        <w:rPr>
          <w:rFonts w:ascii="Times New Roman" w:hAnsi="Times New Roman"/>
          <w:b/>
          <w:i/>
          <w:sz w:val="20"/>
        </w:rPr>
        <w:t>Agreement</w:t>
      </w:r>
      <w:r>
        <w:rPr>
          <w:rFonts w:ascii="Times New Roman" w:hAnsi="Times New Roman"/>
          <w:sz w:val="20"/>
        </w:rPr>
        <w:t xml:space="preserve">: 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Business Day</w:t>
      </w:r>
      <w:r>
        <w:rPr>
          <w:rFonts w:ascii="Times New Roman" w:hAnsi="Times New Roman"/>
          <w:sz w:val="20"/>
        </w:rPr>
        <w:t xml:space="preserve">: Any day other than a Saturday, a Sunday or a day on which commercial banks in New York, New York are required or authorized to be closed. </w:t>
      </w:r>
    </w:p>
    <w:p>
      <w:pPr>
        <w:pStyle w:val="TextBody"/>
        <w:bidi w:val="0"/>
        <w:spacing w:before="240" w:after="0"/>
        <w:jc w:val="left"/>
        <w:rPr>
          <w:rFonts w:ascii="Times New Roman" w:hAnsi="Times New Roman"/>
          <w:sz w:val="20"/>
        </w:rPr>
      </w:pPr>
      <w:r>
        <w:rPr>
          <w:rFonts w:ascii="Times New Roman" w:hAnsi="Times New Roman"/>
          <w:b/>
          <w:i/>
          <w:sz w:val="20"/>
        </w:rPr>
        <w:t>Commission</w:t>
      </w:r>
      <w:r>
        <w:rPr>
          <w:rFonts w:ascii="Times New Roman" w:hAnsi="Times New Roman"/>
          <w:sz w:val="20"/>
        </w:rPr>
        <w:t xml:space="preserve">: The U.S. Securities and Exchange Commission. </w:t>
      </w:r>
    </w:p>
    <w:p>
      <w:pPr>
        <w:pStyle w:val="TextBody"/>
        <w:bidi w:val="0"/>
        <w:spacing w:before="240" w:after="0"/>
        <w:jc w:val="left"/>
        <w:rPr>
          <w:rFonts w:ascii="Times New Roman" w:hAnsi="Times New Roman"/>
          <w:sz w:val="20"/>
        </w:rPr>
      </w:pPr>
      <w:r>
        <w:rPr>
          <w:rFonts w:ascii="Times New Roman" w:hAnsi="Times New Roman"/>
          <w:b/>
          <w:i/>
          <w:sz w:val="20"/>
        </w:rPr>
        <w:t>Company</w:t>
      </w:r>
      <w:r>
        <w:rPr>
          <w:rFonts w:ascii="Times New Roman" w:hAnsi="Times New Roman"/>
          <w:sz w:val="20"/>
        </w:rPr>
        <w:t xml:space="preserve">: 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Consummate</w:t>
      </w:r>
      <w:r>
        <w:rPr>
          <w:rFonts w:ascii="Times New Roman" w:hAnsi="Times New Roman"/>
          <w:sz w:val="20"/>
        </w:rPr>
        <w:t xml:space="preserve">: An Exchange Offer shall be deemed “Consummated” for purposes of this Agreement upon the occurrence of (a) the filing with the Commission of the Exchange Offer Registration Statement relating to the Exchange Notes to be issued in the Exchange Offer and its being declared effective under the Securities Act, (b) the maintenance of the continuous effectiveness of such Registration Statement, and the keeping of the Exchange Offer open, for a period not less than the minimum period required pursuant to Section 3(b) hereof, and (c) the delivery by the Company to the Holder of Exchange Notes in the same aggregate principal amount as the aggregate principal amount of Notes that were tendered by the Holder thereof pursuant to the Exchange Offer. </w:t>
      </w:r>
    </w:p>
    <w:p>
      <w:pPr>
        <w:pStyle w:val="TextBody"/>
        <w:bidi w:val="0"/>
        <w:spacing w:before="240" w:after="0"/>
        <w:jc w:val="left"/>
        <w:rPr>
          <w:rFonts w:ascii="Times New Roman" w:hAnsi="Times New Roman"/>
          <w:sz w:val="20"/>
        </w:rPr>
      </w:pPr>
      <w:r>
        <w:rPr>
          <w:rFonts w:ascii="Times New Roman" w:hAnsi="Times New Roman"/>
          <w:b/>
          <w:i/>
          <w:sz w:val="20"/>
        </w:rPr>
        <w:t>Controlling Person</w:t>
      </w:r>
      <w:r>
        <w:rPr>
          <w:rFonts w:ascii="Times New Roman" w:hAnsi="Times New Roman"/>
          <w:sz w:val="20"/>
        </w:rPr>
        <w:t xml:space="preserve">: As defined in Section 8(a) hereof. </w:t>
      </w:r>
    </w:p>
    <w:p>
      <w:pPr>
        <w:pStyle w:val="TextBody"/>
        <w:bidi w:val="0"/>
        <w:spacing w:before="240" w:after="0"/>
        <w:jc w:val="left"/>
        <w:rPr>
          <w:rFonts w:ascii="Times New Roman" w:hAnsi="Times New Roman"/>
          <w:sz w:val="20"/>
        </w:rPr>
      </w:pPr>
      <w:r>
        <w:rPr>
          <w:rFonts w:ascii="Times New Roman" w:hAnsi="Times New Roman"/>
          <w:b/>
          <w:i/>
          <w:sz w:val="20"/>
        </w:rPr>
        <w:t>Exchange Act</w:t>
      </w:r>
      <w:r>
        <w:rPr>
          <w:rFonts w:ascii="Times New Roman" w:hAnsi="Times New Roman"/>
          <w:sz w:val="20"/>
        </w:rPr>
        <w:t xml:space="preserve">: The Securities Exchange Act of 1934, as amended, and the rules and regulations promulgated thereunder.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Exchange Notes</w:t>
      </w:r>
      <w:r>
        <w:rPr>
          <w:rFonts w:ascii="Times New Roman" w:hAnsi="Times New Roman"/>
          <w:sz w:val="20"/>
        </w:rPr>
        <w:t xml:space="preserve">: The Notes represented by the global note issued pursuant to the Purchase Agreement, to be issued to the Holder in exchange for Registrable Notes pursuant to this Agreement. </w:t>
      </w:r>
    </w:p>
    <w:p>
      <w:pPr>
        <w:pStyle w:val="TextBody"/>
        <w:bidi w:val="0"/>
        <w:spacing w:before="240" w:after="0"/>
        <w:jc w:val="left"/>
        <w:rPr>
          <w:rFonts w:ascii="Times New Roman" w:hAnsi="Times New Roman"/>
          <w:sz w:val="20"/>
        </w:rPr>
      </w:pPr>
      <w:r>
        <w:rPr>
          <w:rFonts w:ascii="Times New Roman" w:hAnsi="Times New Roman"/>
          <w:b/>
          <w:i/>
          <w:sz w:val="20"/>
        </w:rPr>
        <w:t>Exchange Offer</w:t>
      </w:r>
      <w:r>
        <w:rPr>
          <w:rFonts w:ascii="Times New Roman" w:hAnsi="Times New Roman"/>
          <w:sz w:val="20"/>
        </w:rPr>
        <w:t xml:space="preserve">: The registration by the Company under the Securities Act of the Exchange Notes pursuant to a Registration Statement pursuant to which the Company offers the Holder of all outstanding Registrable Notes the opportunity to exchange all such outstanding Registrable Notes held by such Holder for Exchange Notes in an aggregate principal amount equal to the aggregate principal amount of the Registrable Notes tendered in such exchange offer by such Holder. </w:t>
      </w:r>
    </w:p>
    <w:p>
      <w:pPr>
        <w:pStyle w:val="TextBody"/>
        <w:bidi w:val="0"/>
        <w:spacing w:before="240" w:after="0"/>
        <w:jc w:val="left"/>
        <w:rPr>
          <w:rFonts w:ascii="Times New Roman" w:hAnsi="Times New Roman"/>
          <w:sz w:val="20"/>
        </w:rPr>
      </w:pPr>
      <w:r>
        <w:rPr>
          <w:rFonts w:ascii="Times New Roman" w:hAnsi="Times New Roman"/>
          <w:b/>
          <w:i/>
          <w:sz w:val="20"/>
        </w:rPr>
        <w:t>Exchange Offer Registration Statement</w:t>
      </w:r>
      <w:r>
        <w:rPr>
          <w:rFonts w:ascii="Times New Roman" w:hAnsi="Times New Roman"/>
          <w:sz w:val="20"/>
        </w:rPr>
        <w:t xml:space="preserve">: The Registration Statement relating to the Exchange Offer, including the related Prospectus. </w:t>
      </w:r>
    </w:p>
    <w:p>
      <w:pPr>
        <w:pStyle w:val="TextBody"/>
        <w:bidi w:val="0"/>
        <w:spacing w:before="240" w:after="0"/>
        <w:jc w:val="left"/>
        <w:rPr>
          <w:rFonts w:ascii="Times New Roman" w:hAnsi="Times New Roman"/>
          <w:sz w:val="20"/>
        </w:rPr>
      </w:pPr>
      <w:r>
        <w:rPr>
          <w:rFonts w:ascii="Times New Roman" w:hAnsi="Times New Roman"/>
          <w:b/>
          <w:i/>
          <w:sz w:val="20"/>
        </w:rPr>
        <w:t>FINRA</w:t>
      </w:r>
      <w:r>
        <w:rPr>
          <w:rFonts w:ascii="Times New Roman" w:hAnsi="Times New Roman"/>
          <w:sz w:val="20"/>
        </w:rPr>
        <w:t xml:space="preserve">: Financial Industry Regulatory Authority, Inc. </w:t>
      </w:r>
    </w:p>
    <w:p>
      <w:pPr>
        <w:pStyle w:val="TextBody"/>
        <w:bidi w:val="0"/>
        <w:spacing w:before="240" w:after="0"/>
        <w:jc w:val="left"/>
        <w:rPr>
          <w:rFonts w:ascii="Times New Roman" w:hAnsi="Times New Roman"/>
          <w:sz w:val="20"/>
        </w:rPr>
      </w:pPr>
      <w:r>
        <w:rPr>
          <w:rFonts w:ascii="Times New Roman" w:hAnsi="Times New Roman"/>
          <w:b/>
          <w:i/>
          <w:sz w:val="20"/>
        </w:rPr>
        <w:t>Holder</w:t>
      </w:r>
      <w:r>
        <w:rPr>
          <w:rFonts w:ascii="Times New Roman" w:hAnsi="Times New Roman"/>
          <w:sz w:val="20"/>
        </w:rPr>
        <w:t xml:space="preserve">: As defined in Section 2(b) hereof. </w:t>
      </w:r>
    </w:p>
    <w:p>
      <w:pPr>
        <w:pStyle w:val="TextBody"/>
        <w:bidi w:val="0"/>
        <w:spacing w:before="240" w:after="0"/>
        <w:jc w:val="left"/>
        <w:rPr>
          <w:rFonts w:ascii="Times New Roman" w:hAnsi="Times New Roman"/>
          <w:sz w:val="20"/>
        </w:rPr>
      </w:pPr>
      <w:r>
        <w:rPr>
          <w:rFonts w:ascii="Times New Roman" w:hAnsi="Times New Roman"/>
          <w:b/>
          <w:i/>
          <w:sz w:val="20"/>
        </w:rPr>
        <w:t>Indemnified Holder</w:t>
      </w:r>
      <w:r>
        <w:rPr>
          <w:rFonts w:ascii="Times New Roman" w:hAnsi="Times New Roman"/>
          <w:sz w:val="20"/>
        </w:rPr>
        <w:t xml:space="preserve">: As defined in Section 8(a) hereof. </w:t>
      </w:r>
    </w:p>
    <w:p>
      <w:pPr>
        <w:pStyle w:val="TextBody"/>
        <w:bidi w:val="0"/>
        <w:spacing w:before="240" w:after="0"/>
        <w:jc w:val="left"/>
        <w:rPr>
          <w:rFonts w:ascii="Times New Roman" w:hAnsi="Times New Roman"/>
          <w:sz w:val="20"/>
        </w:rPr>
      </w:pPr>
      <w:r>
        <w:rPr>
          <w:rFonts w:ascii="Times New Roman" w:hAnsi="Times New Roman"/>
          <w:b/>
          <w:i/>
          <w:sz w:val="20"/>
        </w:rPr>
        <w:t>Investment Company Act</w:t>
      </w:r>
      <w:r>
        <w:rPr>
          <w:rFonts w:ascii="Times New Roman" w:hAnsi="Times New Roman"/>
          <w:sz w:val="20"/>
        </w:rPr>
        <w:t xml:space="preserve">: As defined in Section 8(c) hereof. </w:t>
      </w:r>
    </w:p>
    <w:p>
      <w:pPr>
        <w:pStyle w:val="TextBody"/>
        <w:bidi w:val="0"/>
        <w:spacing w:before="240" w:after="0"/>
        <w:jc w:val="left"/>
        <w:rPr>
          <w:rFonts w:ascii="Times New Roman" w:hAnsi="Times New Roman"/>
          <w:sz w:val="20"/>
        </w:rPr>
      </w:pPr>
      <w:r>
        <w:rPr>
          <w:rFonts w:ascii="Times New Roman" w:hAnsi="Times New Roman"/>
          <w:b/>
          <w:i/>
          <w:sz w:val="20"/>
        </w:rPr>
        <w:t>Issue Date</w:t>
      </w:r>
      <w:r>
        <w:rPr>
          <w:rFonts w:ascii="Times New Roman" w:hAnsi="Times New Roman"/>
          <w:sz w:val="20"/>
        </w:rPr>
        <w:t xml:space="preserve">: September 1, 2026. </w:t>
      </w:r>
    </w:p>
    <w:p>
      <w:pPr>
        <w:pStyle w:val="TextBody"/>
        <w:bidi w:val="0"/>
        <w:spacing w:before="240" w:after="0"/>
        <w:jc w:val="left"/>
        <w:rPr>
          <w:rFonts w:ascii="Times New Roman" w:hAnsi="Times New Roman"/>
          <w:sz w:val="20"/>
        </w:rPr>
      </w:pPr>
      <w:r>
        <w:rPr>
          <w:rFonts w:ascii="Times New Roman" w:hAnsi="Times New Roman"/>
          <w:b/>
          <w:i/>
          <w:sz w:val="20"/>
        </w:rPr>
        <w:t>Notes</w:t>
      </w:r>
      <w:r>
        <w:rPr>
          <w:rFonts w:ascii="Times New Roman" w:hAnsi="Times New Roman"/>
          <w:sz w:val="20"/>
        </w:rPr>
        <w:t xml:space="preserve">: 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Payment Date</w:t>
      </w:r>
      <w:r>
        <w:rPr>
          <w:rFonts w:ascii="Times New Roman" w:hAnsi="Times New Roman"/>
          <w:sz w:val="20"/>
        </w:rPr>
        <w:t xml:space="preserve">: As defined in the global note representing the Notes. </w:t>
      </w:r>
    </w:p>
    <w:p>
      <w:pPr>
        <w:pStyle w:val="TextBody"/>
        <w:bidi w:val="0"/>
        <w:spacing w:before="240" w:after="0"/>
        <w:jc w:val="left"/>
        <w:rPr>
          <w:rFonts w:ascii="Times New Roman" w:hAnsi="Times New Roman"/>
          <w:sz w:val="20"/>
        </w:rPr>
      </w:pPr>
      <w:r>
        <w:rPr>
          <w:rFonts w:ascii="Times New Roman" w:hAnsi="Times New Roman"/>
          <w:b/>
          <w:i/>
          <w:sz w:val="20"/>
        </w:rPr>
        <w:t>Person</w:t>
      </w:r>
      <w:r>
        <w:rPr>
          <w:rFonts w:ascii="Times New Roman" w:hAnsi="Times New Roman"/>
          <w:sz w:val="20"/>
        </w:rPr>
        <w:t xml:space="preserve">: Any individual, corporation, limited liability company, partnership, joint venture, association, joint stock company, trust, unincorporated organization, government or any agency or political subdivision thereof or any other entity. </w:t>
      </w:r>
    </w:p>
    <w:p>
      <w:pPr>
        <w:pStyle w:val="TextBody"/>
        <w:bidi w:val="0"/>
        <w:spacing w:before="240" w:after="0"/>
        <w:jc w:val="left"/>
        <w:rPr>
          <w:rFonts w:ascii="Times New Roman" w:hAnsi="Times New Roman"/>
          <w:sz w:val="20"/>
        </w:rPr>
      </w:pPr>
      <w:r>
        <w:rPr>
          <w:rFonts w:ascii="Times New Roman" w:hAnsi="Times New Roman"/>
          <w:b/>
          <w:i/>
          <w:sz w:val="20"/>
        </w:rPr>
        <w:t>Placement</w:t>
      </w:r>
      <w:r>
        <w:rPr>
          <w:rFonts w:ascii="Times New Roman" w:hAnsi="Times New Roman"/>
          <w:sz w:val="20"/>
        </w:rPr>
        <w:t xml:space="preserve">: The issuance and sale by the Company of the Notes to the Purchasers pursuant to the Purchase Agreement. </w:t>
      </w:r>
    </w:p>
    <w:p>
      <w:pPr>
        <w:pStyle w:val="TextBody"/>
        <w:bidi w:val="0"/>
        <w:spacing w:before="240" w:after="0"/>
        <w:jc w:val="left"/>
        <w:rPr>
          <w:rFonts w:ascii="Times New Roman" w:hAnsi="Times New Roman"/>
          <w:sz w:val="20"/>
        </w:rPr>
      </w:pPr>
      <w:r>
        <w:rPr>
          <w:rFonts w:ascii="Times New Roman" w:hAnsi="Times New Roman"/>
          <w:b/>
          <w:i/>
          <w:sz w:val="20"/>
        </w:rPr>
        <w:t>Prospectus</w:t>
      </w:r>
      <w:r>
        <w:rPr>
          <w:rFonts w:ascii="Times New Roman" w:hAnsi="Times New Roman"/>
          <w:sz w:val="20"/>
        </w:rPr>
        <w:t xml:space="preserve">: The prospectus included in a Registration Statement, as amended or supplemented by any prospectus supplement and by all other amendments thereto, including post-effective amendments, and all material incorporated by reference into such prospectus. </w:t>
      </w:r>
    </w:p>
    <w:p>
      <w:pPr>
        <w:pStyle w:val="TextBody"/>
        <w:bidi w:val="0"/>
        <w:spacing w:before="240" w:after="0"/>
        <w:jc w:val="left"/>
        <w:rPr>
          <w:rFonts w:ascii="Times New Roman" w:hAnsi="Times New Roman"/>
          <w:sz w:val="20"/>
        </w:rPr>
      </w:pPr>
      <w:r>
        <w:rPr>
          <w:rFonts w:ascii="Times New Roman" w:hAnsi="Times New Roman"/>
          <w:b/>
          <w:i/>
          <w:sz w:val="20"/>
        </w:rPr>
        <w:t>Purchase Agreement</w:t>
      </w:r>
      <w:r>
        <w:rPr>
          <w:rFonts w:ascii="Times New Roman" w:hAnsi="Times New Roman"/>
          <w:sz w:val="20"/>
        </w:rPr>
        <w:t xml:space="preserve">: 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Purchaser</w:t>
      </w:r>
      <w:r>
        <w:rPr>
          <w:rFonts w:ascii="Times New Roman" w:hAnsi="Times New Roman"/>
          <w:sz w:val="20"/>
        </w:rPr>
        <w:t>/</w:t>
      </w:r>
      <w:r>
        <w:rPr>
          <w:rFonts w:ascii="Times New Roman" w:hAnsi="Times New Roman"/>
          <w:b/>
          <w:i/>
          <w:sz w:val="20"/>
        </w:rPr>
        <w:t>Purchasers</w:t>
      </w:r>
      <w:r>
        <w:rPr>
          <w:rFonts w:ascii="Times New Roman" w:hAnsi="Times New Roman"/>
          <w:sz w:val="20"/>
        </w:rPr>
        <w:t xml:space="preserve">: 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Registrable Notes</w:t>
      </w:r>
      <w:r>
        <w:rPr>
          <w:rFonts w:ascii="Times New Roman" w:hAnsi="Times New Roman"/>
          <w:sz w:val="20"/>
        </w:rPr>
        <w:t xml:space="preserve">: Each Note, until the earliest to occur of (a) the date on which such Note is exchanged in the Exchange Offer for an Exchange Note entitled to be resold to the public by the Holder thereof without complying with the prospectus delivery requirements of the Securities Act, (b) the date on which such Note has been effectively registered under the Securities Act and disposed of in accordance with a Shelf Registration Statement, (c) the date on which such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does not bear a restricted CUSIP number and is sold pursuant to Rule 144 under the Securities Act under circumstances in which any legend borne by such Note relating to restrictions on transferability thereof, under the Securities Act or otherwise, is removed by the Company and (d) the date on which such Note ceases to be outstanding. </w:t>
      </w:r>
    </w:p>
    <w:p>
      <w:pPr>
        <w:pStyle w:val="TextBody"/>
        <w:bidi w:val="0"/>
        <w:spacing w:before="240" w:after="0"/>
        <w:jc w:val="left"/>
        <w:rPr>
          <w:rFonts w:ascii="Times New Roman" w:hAnsi="Times New Roman"/>
          <w:sz w:val="20"/>
        </w:rPr>
      </w:pPr>
      <w:r>
        <w:rPr>
          <w:rFonts w:ascii="Times New Roman" w:hAnsi="Times New Roman"/>
          <w:b/>
          <w:i/>
          <w:sz w:val="20"/>
        </w:rPr>
        <w:t>Registrar</w:t>
      </w:r>
      <w:r>
        <w:rPr>
          <w:rFonts w:ascii="Times New Roman" w:hAnsi="Times New Roman"/>
          <w:sz w:val="20"/>
        </w:rPr>
        <w:t xml:space="preserve">: Equiniti Trust Company, LLC. </w:t>
      </w:r>
    </w:p>
    <w:p>
      <w:pPr>
        <w:pStyle w:val="TextBody"/>
        <w:bidi w:val="0"/>
        <w:spacing w:before="240" w:after="0"/>
        <w:jc w:val="left"/>
        <w:rPr>
          <w:rFonts w:ascii="Times New Roman" w:hAnsi="Times New Roman"/>
          <w:sz w:val="20"/>
        </w:rPr>
      </w:pPr>
      <w:r>
        <w:rPr>
          <w:rFonts w:ascii="Times New Roman" w:hAnsi="Times New Roman"/>
          <w:b/>
          <w:i/>
          <w:sz w:val="20"/>
        </w:rPr>
        <w:t>Registration Default</w:t>
      </w:r>
      <w:r>
        <w:rPr>
          <w:rFonts w:ascii="Times New Roman" w:hAnsi="Times New Roman"/>
          <w:sz w:val="20"/>
        </w:rPr>
        <w:t xml:space="preserve">: As defined in Section 5 hereof. </w:t>
      </w:r>
    </w:p>
    <w:p>
      <w:pPr>
        <w:pStyle w:val="TextBody"/>
        <w:bidi w:val="0"/>
        <w:spacing w:before="240" w:after="0"/>
        <w:jc w:val="left"/>
        <w:rPr>
          <w:rFonts w:ascii="Times New Roman" w:hAnsi="Times New Roman"/>
          <w:sz w:val="20"/>
        </w:rPr>
      </w:pPr>
      <w:r>
        <w:rPr>
          <w:rFonts w:ascii="Times New Roman" w:hAnsi="Times New Roman"/>
          <w:b/>
          <w:i/>
          <w:sz w:val="20"/>
        </w:rPr>
        <w:t>Registration Statement</w:t>
      </w:r>
      <w:r>
        <w:rPr>
          <w:rFonts w:ascii="Times New Roman" w:hAnsi="Times New Roman"/>
          <w:sz w:val="20"/>
        </w:rPr>
        <w:t xml:space="preserve">: Any registration statement of the Company relating to (a) an offering of Exchange Notes pursuant to an Exchange Offer or (b) the registration for resale of Registrable Notes pursuant to the Shelf Registration Statement, which is filed pursuant to the provisions of this Agreement, in each case, including the Prospectus included therein, all amendments and supplements thereto (including post-effective amendments) and all exhibits and material incorporated by reference therein. </w:t>
      </w:r>
    </w:p>
    <w:p>
      <w:pPr>
        <w:pStyle w:val="TextBody"/>
        <w:bidi w:val="0"/>
        <w:spacing w:before="240" w:after="0"/>
        <w:jc w:val="left"/>
        <w:rPr>
          <w:rFonts w:ascii="Times New Roman" w:hAnsi="Times New Roman"/>
          <w:sz w:val="20"/>
        </w:rPr>
      </w:pPr>
      <w:r>
        <w:rPr>
          <w:rFonts w:ascii="Times New Roman" w:hAnsi="Times New Roman"/>
          <w:b/>
          <w:i/>
          <w:sz w:val="20"/>
        </w:rPr>
        <w:t>Securities Act</w:t>
      </w:r>
      <w:r>
        <w:rPr>
          <w:rFonts w:ascii="Times New Roman" w:hAnsi="Times New Roman"/>
          <w:sz w:val="20"/>
        </w:rPr>
        <w:t xml:space="preserve">: The Securities Act of 1933,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b/>
          <w:i/>
          <w:sz w:val="20"/>
        </w:rPr>
        <w:t>Shelf Filing Deadline</w:t>
      </w:r>
      <w:r>
        <w:rPr>
          <w:rFonts w:ascii="Times New Roman" w:hAnsi="Times New Roman"/>
          <w:sz w:val="20"/>
        </w:rPr>
        <w:t xml:space="preserve">: As defined in Section 4(a)(x) hereof. </w:t>
      </w:r>
    </w:p>
    <w:p>
      <w:pPr>
        <w:pStyle w:val="TextBody"/>
        <w:bidi w:val="0"/>
        <w:spacing w:before="240" w:after="0"/>
        <w:jc w:val="left"/>
        <w:rPr>
          <w:rFonts w:ascii="Times New Roman" w:hAnsi="Times New Roman"/>
          <w:sz w:val="20"/>
        </w:rPr>
      </w:pPr>
      <w:r>
        <w:rPr>
          <w:rFonts w:ascii="Times New Roman" w:hAnsi="Times New Roman"/>
          <w:b/>
          <w:i/>
          <w:sz w:val="20"/>
        </w:rPr>
        <w:t>Shelf Registration Statement</w:t>
      </w:r>
      <w:r>
        <w:rPr>
          <w:rFonts w:ascii="Times New Roman" w:hAnsi="Times New Roman"/>
          <w:sz w:val="20"/>
        </w:rPr>
        <w:t xml:space="preserve">: As defined in Section 4(a)(x) hereof. </w:t>
      </w:r>
    </w:p>
    <w:p>
      <w:pPr>
        <w:pStyle w:val="TextBody"/>
        <w:bidi w:val="0"/>
        <w:spacing w:before="240" w:after="0"/>
        <w:jc w:val="left"/>
        <w:rPr>
          <w:rFonts w:ascii="Times New Roman" w:hAnsi="Times New Roman"/>
          <w:sz w:val="20"/>
        </w:rPr>
      </w:pPr>
      <w:r>
        <w:rPr>
          <w:rFonts w:ascii="Times New Roman" w:hAnsi="Times New Roman"/>
          <w:b/>
          <w:i/>
          <w:sz w:val="20"/>
        </w:rPr>
        <w:t>Suspension Period</w:t>
      </w:r>
      <w:r>
        <w:rPr>
          <w:rFonts w:ascii="Times New Roman" w:hAnsi="Times New Roman"/>
          <w:sz w:val="20"/>
        </w:rPr>
        <w:t xml:space="preserve">: As defined in the final paragraph of Section 6(c) hereof. </w:t>
      </w:r>
    </w:p>
    <w:p>
      <w:pPr>
        <w:pStyle w:val="TextBody"/>
        <w:bidi w:val="0"/>
        <w:spacing w:before="240" w:after="0"/>
        <w:jc w:val="left"/>
        <w:rPr>
          <w:rFonts w:ascii="Times New Roman" w:hAnsi="Times New Roman"/>
          <w:sz w:val="20"/>
        </w:rPr>
      </w:pPr>
      <w:r>
        <w:rPr>
          <w:rFonts w:ascii="Times New Roman" w:hAnsi="Times New Roman"/>
          <w:b/>
          <w:i/>
          <w:sz w:val="20"/>
        </w:rPr>
        <w:t>Underwritten Registration or Underwritten Offering</w:t>
      </w:r>
      <w:r>
        <w:rPr>
          <w:rFonts w:ascii="Times New Roman" w:hAnsi="Times New Roman"/>
          <w:sz w:val="20"/>
        </w:rPr>
        <w:t xml:space="preserve">: A registration in which securities of the Company are sold to one or more underwriters for reoffering to the public.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i/>
          <w:sz w:val="20"/>
        </w:rPr>
        <w:t>Notes Subject to this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Registrable Notes.</w:t>
      </w:r>
      <w:r>
        <w:rPr>
          <w:rFonts w:ascii="Times New Roman" w:hAnsi="Times New Roman"/>
          <w:sz w:val="20"/>
        </w:rPr>
        <w:t xml:space="preserve"> The securities entitled to the benefits of this Agreement are the Registrable Notes.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Holder of Registrable Notes.</w:t>
      </w:r>
      <w:r>
        <w:rPr>
          <w:rFonts w:ascii="Times New Roman" w:hAnsi="Times New Roman"/>
          <w:sz w:val="20"/>
        </w:rPr>
        <w:t xml:space="preserve"> A Person is deemed to be a holder of Registrable Notes (each, a “</w:t>
      </w:r>
      <w:r>
        <w:rPr>
          <w:rFonts w:ascii="Times New Roman" w:hAnsi="Times New Roman"/>
          <w:b/>
          <w:i/>
          <w:sz w:val="20"/>
        </w:rPr>
        <w:t>Holder</w:t>
      </w:r>
      <w:r>
        <w:rPr>
          <w:rFonts w:ascii="Times New Roman" w:hAnsi="Times New Roman"/>
          <w:sz w:val="20"/>
        </w:rPr>
        <w:t xml:space="preserve">”) whenever such Person owns Registrable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i/>
          <w:sz w:val="20"/>
        </w:rPr>
        <w:t>Registered Exchange Offer.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the Exchange Offer shall not be permissible under applicable law or Commission policy, the Company shall (i) use its commercially reasonable efforts to cause the Exchange Offer to be Consummated on the earliest practicable date after the Exchange Offer Registration Statement has become or been declared effective, but in no event later than 365 days after the Issue Date (or if such 365th day is not a Business Day, the next succeeding Business Day) and (ii) in connection with the foregoing, (A) file all pre-effective amendments to such Registration Statement as may be necessary in order to cause such Registration Statement to be declared effective, (B) if applicable, file a post-effective amendment under the Securities Act to such Registration Statement and (C) cause all necessary filings in connection with the registration and qualification of the Exchange Notes to be made under the state securities or blue sky laws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jurisdictions as are necessary to permit Consummation of the Exchange Offer. The Exchange Offer Registration Statement shall be on the appropriate form permitting registration of the Exchange Notes to be offered in exchange for the Registrable Notes. The Company shall use its commercially reasonable efforts to cause all Exchange Notes to have the same CUSIP number.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use its commercially reasonable efforts to cause the Exchange Offer Registration Statement to be effective continuously and shall keep the Exchange Offer open for a period of not less than the minimum period required under applicable federal and state securities laws to Consummate the Exchange Offer;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shall such period be less than 20 Business Days after the commencement of the Exchange Offer. The Company shall cause the Exchange Offer to comply with all applicable federal and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i/>
          <w:sz w:val="20"/>
        </w:rPr>
        <w:t>Shelf 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Shelf Registration</w:t>
      </w:r>
      <w:r>
        <w:rPr>
          <w:rFonts w:ascii="Times New Roman" w:hAnsi="Times New Roman"/>
          <w:sz w:val="20"/>
        </w:rPr>
        <w:t xml:space="preserve">. If (i) the Company is not required to file an Exchange Offer Registration Statement or to consummate the Exchange Offer because the Exchange Offer is not permitted by applicable law or Commission policy, (ii) for any reason the Exchange Offer is not Consummated by 365 days after the Issue Date (or if such 365th day is not a Business Day, the next succeeding Business Day), or (iii) with respect to any Holder of Registrable Notes (A) such Holder is prohibited by applicable law or Commission policy from participating in the Exchange Offer, or (B) such Holder may not resell the Exchange Notes acquired by it in the Exchange Offer to the public without delivering a prospectus and the Prospectus contained in the Exchange Offer Registration Statement is not appropriate or available for such resales by such Holder, the Company shall: </w:t>
      </w:r>
    </w:p>
    <w:p>
      <w:pPr>
        <w:pStyle w:val="TextBody"/>
        <w:bidi w:val="0"/>
        <w:spacing w:before="120" w:after="0"/>
        <w:jc w:val="left"/>
        <w:rPr>
          <w:rFonts w:ascii="Times New Roman" w:hAnsi="Times New Roman"/>
          <w:sz w:val="20"/>
        </w:rPr>
      </w:pPr>
      <w:r>
        <w:rPr>
          <w:rFonts w:ascii="Times New Roman" w:hAnsi="Times New Roman"/>
          <w:sz w:val="20"/>
        </w:rPr>
        <w:t>(x) cause to be filed a shelf registration statement pursuant to Rule 415 under the Securities Act, which may be an amendment to the Exchange Offer Registration Statement (in either event, the “</w:t>
      </w:r>
      <w:r>
        <w:rPr>
          <w:rFonts w:ascii="Times New Roman" w:hAnsi="Times New Roman"/>
          <w:b/>
          <w:i/>
          <w:sz w:val="20"/>
        </w:rPr>
        <w:t>Shelf Registration Statement</w:t>
      </w:r>
      <w:r>
        <w:rPr>
          <w:rFonts w:ascii="Times New Roman" w:hAnsi="Times New Roman"/>
          <w:sz w:val="20"/>
        </w:rPr>
        <w:t>”), as soon as practicable, but in no event later than the earliest to occur of (1) the 60th day after the date on which the Company determines that it is not required to file the Exchange Offer Registration Statement, (2) the 60th day after the date on which the Company receives notice from a Holder of Registrable Notes as contemplated by clause (iii) above and (3) 365 days after the Issue Date (or if such 365th day is not a Business Day, the next succeeding Business Day) (the “</w:t>
      </w:r>
      <w:r>
        <w:rPr>
          <w:rFonts w:ascii="Times New Roman" w:hAnsi="Times New Roman"/>
          <w:b/>
          <w:i/>
          <w:sz w:val="20"/>
        </w:rPr>
        <w:t>Shelf Filing Deadline</w:t>
      </w:r>
      <w:r>
        <w:rPr>
          <w:rFonts w:ascii="Times New Roman" w:hAnsi="Times New Roman"/>
          <w:sz w:val="20"/>
        </w:rPr>
        <w:t xml:space="preserve">”), which Shelf Registration Statement shall provide for resales of all Registrable Notes the Holder of which shall have provided the information required pursuant to Section 4(b) hereof; and </w:t>
      </w:r>
    </w:p>
    <w:p>
      <w:pPr>
        <w:pStyle w:val="TextBody"/>
        <w:bidi w:val="0"/>
        <w:spacing w:before="120" w:after="0"/>
        <w:jc w:val="left"/>
        <w:rPr>
          <w:rFonts w:ascii="Times New Roman" w:hAnsi="Times New Roman"/>
          <w:sz w:val="20"/>
        </w:rPr>
      </w:pPr>
      <w:r>
        <w:rPr>
          <w:rFonts w:ascii="Times New Roman" w:hAnsi="Times New Roman"/>
          <w:sz w:val="20"/>
        </w:rPr>
        <w:t xml:space="preserve">(y) use its commercially reasonable efforts to cause such Shelf Registration Statement to become or be declared effective by the Commission at the earliest possible time, but in no event later than the 120th day after the Shelf Filing Deadline (or if such 120th day is not a Business Day, the next succeeding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shall use its commercially reasonable efforts to keep such Shelf Registration Statement continuously effective, supplemented and amended as required by the provisions of Sections 6(b) and (c) hereof to the extent necessary to ensure that it is available for resales of Registrable Notes entitled to the benefit of this Section 4(a), and to ensure that it conforms with the requirements of this Agreement, the Securities Act and the policies, rules and regulations of the Commission as announced from time to time, for a period of at least one year following the effective date of such Shelf Registration Statement (or such shorter period that will terminate when all the Notes covered by such Shelf Registration Statement have been sold pursuant to such Shelf Registration Statement or are otherwise no longer Registrable Notes).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Provision by Holder of Certain Information in Connection with the Shelf Registration Statement</w:t>
      </w:r>
      <w:r>
        <w:rPr>
          <w:rFonts w:ascii="Times New Roman" w:hAnsi="Times New Roman"/>
          <w:sz w:val="20"/>
        </w:rPr>
        <w:t xml:space="preserve">. No Holder of Registrable Notes may include any of its Registrable Notes in any Shelf Registration Statement pursuant to this Agreement unless and until such Holder furnishes to the Company in writing, within 10 Business Days after receipt of a request therefor, such information as the Company may reasonably request for use in connection with any Shelf Registration Statement or Prospectus or preliminary Prospectus included therein or amendment or supplement thereto. The Holder as to which any Shelf Registration Statement is being effected agrees to furnish promptly to the Company all information required to be disclosed in order to make the information previously furnished to the Company by such Holder not materially misleading.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i/>
          <w:sz w:val="20"/>
        </w:rPr>
        <w:t>Additional Interest.</w:t>
      </w:r>
      <w:r>
        <w:rPr>
          <w:rFonts w:ascii="Times New Roman" w:hAnsi="Times New Roman"/>
          <w:sz w:val="20"/>
        </w:rPr>
        <w:t xml:space="preserve"> If (i) unless the Exchange Offer shall not be permissible under applicable law or Commission policy, the Exchange Offer Registration Statement has not been Consummated on or prior to 365 days after the Issue Date (or if such 365th day is not a Business Day, the next succeeding Business Day), (ii) in the event the Company is required to file a Shelf Registration Statement pursuant to Section 4(a) hereof, (A) the Shelf Registration Statement is not filed by the Shelf Filing Deadline or (B) the Shelf Registration Statement has not become or been declared effective by the Commission on or prior to the 120th day after the Shelf Filing Deadline (or if such 120th day is not a Business Day, the next succeeding Business Day), or (iii) any Registration Statement required by this Agreement is filed and declared effective but shall thereafter cease to be effective or fail to be usable for its intended purpose without being immediately succeeded by a post-effective amendment to such Registration Statement that cures such failure and that is itself immediately declared effective (each such event referred to in clauses (i) through (iii) a “</w:t>
      </w:r>
      <w:r>
        <w:rPr>
          <w:rFonts w:ascii="Times New Roman" w:hAnsi="Times New Roman"/>
          <w:b/>
          <w:i/>
          <w:sz w:val="20"/>
        </w:rPr>
        <w:t>Registration Default</w:t>
      </w:r>
      <w:r>
        <w:rPr>
          <w:rFonts w:ascii="Times New Roman" w:hAnsi="Times New Roman"/>
          <w:sz w:val="20"/>
        </w:rPr>
        <w:t>”) then, with respect to the first 90-day period immediately following the occurrence of such Registration Default, the interest rate on the Registrable Notes will be increased by 0.25% per annum and will increase by an additional 0.25% per annum on the principal amount of Notes with respect to the subsequent 90-day period, for a maximum of 0.50% per annum of additional interest (“</w:t>
      </w:r>
      <w:r>
        <w:rPr>
          <w:rFonts w:ascii="Times New Roman" w:hAnsi="Times New Roman"/>
          <w:b/>
          <w:i/>
          <w:sz w:val="20"/>
        </w:rPr>
        <w:t>Additional Interest</w:t>
      </w:r>
      <w:r>
        <w:rPr>
          <w:rFonts w:ascii="Times New Roman" w:hAnsi="Times New Roman"/>
          <w:sz w:val="20"/>
        </w:rPr>
        <w:t xml:space="preserve">”). Any amounts of Additional Interest due pursuant to this Section 5 will be paid in cash on the relevant Payment Date to the Holder of record on the relevant regular record dates. Following the cure of all Registration Defaults relating to any particular Registrable Notes, the interest rate borne by the relevant Registrable Notes will be reduced to the original interest rate borne by such Registrable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after any such reduction in interest rate, a different Registration Default occurs, the interest rate borne by the relevant Registrable Notes shall again be increased pursuant to the foregoing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obligations of the Company set forth in the preceding paragraph that are outstanding with respect to any Registrable Note at the time such security ceases to be a Registrable Note shall survive until such time as all such obligations with respect to such security shall have been satisfied in full.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 the amount of Additional Interest payable shall not increase because more than one Registration Default has occurred and is pending at any given time and (ii) a Holder of Registrable Notes that has not provided the information required pursuant to Section 4(b) hereof within the time period set forth therein shall not be entitled to Additional Interest with respect to a Registration Default that pertains to the relevant Shelf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i/>
          <w:sz w:val="20"/>
        </w:rPr>
        <w:t>Registration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Exchange Offer Registration Statement.</w:t>
      </w:r>
      <w:r>
        <w:rPr>
          <w:rFonts w:ascii="Times New Roman" w:hAnsi="Times New Roman"/>
          <w:sz w:val="20"/>
        </w:rPr>
        <w:t xml:space="preserve"> In connection with the Exchange Offer, the Company shall comply with all of the applicable provisions of Section 6(c) hereof, shall use its commercially reasonable efforts to effect such exchange to permit the sale of Registrable Notes being sold in accordance with the intended method or methods of distribution thereof, and shall comply with all of the following provisions: </w:t>
      </w:r>
    </w:p>
    <w:p>
      <w:pPr>
        <w:pStyle w:val="TextBody"/>
        <w:bidi w:val="0"/>
        <w:spacing w:before="120" w:after="0"/>
        <w:jc w:val="left"/>
        <w:rPr>
          <w:rFonts w:ascii="Times New Roman" w:hAnsi="Times New Roman"/>
          <w:sz w:val="20"/>
        </w:rPr>
      </w:pPr>
      <w:r>
        <w:rPr>
          <w:rFonts w:ascii="Times New Roman" w:hAnsi="Times New Roman"/>
          <w:sz w:val="20"/>
        </w:rPr>
        <w:t xml:space="preserve">(i) As a condition to its participation in the Exchange Offer pursuant to the terms of this Agreement, the Holder of Registrable Notes shall furnish, upon the request of the Company, prior to the Consummation thereof, a written representation to the Company (which may be contained in the letter of transmittal contemplated by the Exchange Offer Registration Statement) to the effect that (A) it is not an affiliate of the Company, (B) it is not engaged in, and does not intend to engage in, and has no arrangement or understanding with any Person to participate in, a distribution of the Exchange Notes to be issued in the Exchange Offer, and (C) it is acquiring the Exchange Notes in its ordinary course of business. In addition, such Holder of Registrable Notes shall otherwise cooperate in the Company’s preparations for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Shelf Registration Statement.</w:t>
      </w:r>
      <w:r>
        <w:rPr>
          <w:rFonts w:ascii="Times New Roman" w:hAnsi="Times New Roman"/>
          <w:sz w:val="20"/>
        </w:rPr>
        <w:t xml:space="preserve"> In connection with the Shelf Registration Statement, the Company shall comply with all the provisions of Section 6(c) hereof and shall use its commercially reasonable efforts to effect such registration to permit the sale of the Registrable Notes being sold in accordance with the intended method or methods of distribution thereof, and pursuant thereto the Company will as expeditiously as is commercially reasonable prepare and file with the Commission a Shelf Registration Statement relating to the registration on any appropriate form under the Securities Act, which form shall be available for the sale of the Registrable Notes in accordance with the intended method or methods of distribution thereof.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General Provisions.</w:t>
      </w:r>
      <w:r>
        <w:rPr>
          <w:rFonts w:ascii="Times New Roman" w:hAnsi="Times New Roman"/>
          <w:sz w:val="20"/>
        </w:rPr>
        <w:t xml:space="preserve"> In connection with any Registration Statement and any Prospectus required by this Agreement to permit the sale or resale of Registrable Notes, the Company shall: </w:t>
      </w:r>
    </w:p>
    <w:p>
      <w:pPr>
        <w:pStyle w:val="TextBody"/>
        <w:bidi w:val="0"/>
        <w:spacing w:before="120" w:after="0"/>
        <w:jc w:val="left"/>
        <w:rPr>
          <w:rFonts w:ascii="Times New Roman" w:hAnsi="Times New Roman"/>
          <w:sz w:val="20"/>
        </w:rPr>
      </w:pPr>
      <w:r>
        <w:rPr>
          <w:rFonts w:ascii="Times New Roman" w:hAnsi="Times New Roman"/>
          <w:sz w:val="20"/>
        </w:rPr>
        <w:t xml:space="preserve">(i) use its commercially reasonable efforts to keep such Registration Statement continuously effective during the period required by this Agreement and provide all requisite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upon the occurrence of any event that would cause any such Registration Statement or the Prospectus contained therein (A) to contain a material misstatement or omission or (B) not to be effective and usable for resale of Registrable Notes during the period required by this Agreement, the Company shall file promptly an appropriate amendment to such Registration Statement, in the case of clause (A), correcting any such misstatement or omission, and, in the case of either clause (A) or (B), use its commercially reasonable efforts to cause such amendment to become or be declared effective and such Registration Statement and the related Prospectus to become usable for their intended purpose(s) as soon as practicable thereafter; </w:t>
      </w:r>
    </w:p>
    <w:p>
      <w:pPr>
        <w:pStyle w:val="TextBody"/>
        <w:bidi w:val="0"/>
        <w:spacing w:before="120" w:after="0"/>
        <w:jc w:val="left"/>
        <w:rPr>
          <w:rFonts w:ascii="Times New Roman" w:hAnsi="Times New Roman"/>
          <w:sz w:val="20"/>
        </w:rPr>
      </w:pPr>
      <w:r>
        <w:rPr>
          <w:rFonts w:ascii="Times New Roman" w:hAnsi="Times New Roman"/>
          <w:sz w:val="20"/>
        </w:rPr>
        <w:t xml:space="preserve">(iii) prepare and file with the Commission such amendments and post-effective amendments to the applicable Registration Statement as may be necessary to keep the Registration Statement effective for the applicable period set forth in Section 3 or 4 hereof, as applicable, or such shorter period as will terminate when all Registrable Notes covered by such Registration Statement have been sold; cause the Prospectus to be supplemented by any required Prospectus supplement, and as so supplemented to be filed pursuant to Rule 424 under the Securities Act, and to comply fully with the applicable provisions of Rules 424, 430A and 430B under the Securities Act in a timely manner; and comply with the provisions of the Securities Act with respect to the disposition of all securities covered by such Registration Statement during the applicable period in accordance with the intended method or methods of distribution by the sellers thereof set forth in such Registration Statement or supplement to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(iv) advise the underwriter(s), if any, and selling Holder promptly and, if requested by such Persons, to confirm such advice in writing, (A) when the Prospectus or any Prospectus supplement or post-effective amendment has been filed, and, with respect to any Registration Statement or any post-effective amendment thereto, when the same has been declared effective, (B) of any request by the Commission for amendments to the Registration Statement or amendments or supplements to the Prospectus or for additional information relating thereto, (C) of the issuance by the Commission of any stop order suspending the effectiveness of the Registration Statement under the Securities Act or of the suspension by any state securities commission of the qualification of the Registrable Notes for offering or sale in any jurisdiction, or the initiation of any proceeding for any of the preceding purposes, (D) of the existence of any fact or the happening of any event that makes any statement of a material fact made in the Registration Statement, the Prospectus, any amendment or supplement thereto, or any document incorporated by reference therein untrue, or that requires the making of any additions to or changes in the Registration Statement or the Prospectus in order to make the statements therein not misleading. If at any time the Commission shall issue any stop order suspending the effectiveness of the Registration Statement, or any state securities commission or other regulatory authority shall issue an order suspending the qualification or exemption from qualification of the Registrable Notes under state securities or blue sky laws, the Company shall use its commercially reasonable efforts to obtain the withdrawal or lifting of such order at the earliest possible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furnish without charge to the Purchasers, each selling Holder named in any Registration Statement that has requested such copies, if any, and each of the underwriter(s), if any, before filing with the Commission, copies of any Registration Statement or any Prospectus included therein or any amendments or supplements to any such Registration Statement or Prospectus (other than any documents that will be incorporated by reference in such Registration Statement or Prospectus), which documents will be subject to the review and comment of such requesting Holder and underwriter(s) in connection with such sale, if any, for a period of at least five Business Days, and the Company will not file any such Registration Statement or Prospectus or any amendment or supplement to any such Registration Statement or Prospectus to which the Purchasers of Registrable Notes covered by such Registration Statement or the underwriter(s), if any, shall reasonably object in writing within five Business Days after the receipt thereof (such objection to be deemed timely made upon confirmation of email or facsimile transmission within such period). The objection of the Purchasers or underwriter, if any, shall be deemed to be reasonable if such Registration Statement, amendment, Prospectus or supplement, as applicable, as proposed to be filed, contains a material misstatement or omission; </w:t>
      </w:r>
    </w:p>
    <w:p>
      <w:pPr>
        <w:pStyle w:val="TextBody"/>
        <w:bidi w:val="0"/>
        <w:spacing w:before="120" w:after="0"/>
        <w:jc w:val="left"/>
        <w:rPr>
          <w:rFonts w:ascii="Times New Roman" w:hAnsi="Times New Roman"/>
          <w:sz w:val="20"/>
        </w:rPr>
      </w:pPr>
      <w:r>
        <w:rPr>
          <w:rFonts w:ascii="Times New Roman" w:hAnsi="Times New Roman"/>
          <w:sz w:val="20"/>
        </w:rPr>
        <w:t xml:space="preserve">(vi) make the Company’s representatives reasonably available to the Purchasers for customary due diligence matters; </w:t>
      </w:r>
    </w:p>
    <w:p>
      <w:pPr>
        <w:pStyle w:val="TextBody"/>
        <w:bidi w:val="0"/>
        <w:spacing w:before="120" w:after="0"/>
        <w:jc w:val="left"/>
        <w:rPr>
          <w:rFonts w:ascii="Times New Roman" w:hAnsi="Times New Roman"/>
          <w:sz w:val="20"/>
        </w:rPr>
      </w:pPr>
      <w:r>
        <w:rPr>
          <w:rFonts w:ascii="Times New Roman" w:hAnsi="Times New Roman"/>
          <w:sz w:val="20"/>
        </w:rPr>
        <w:t xml:space="preserve">(vii) make available at reasonable times for inspection by the Purchasers, any Holder, the managing underwriter(s), if any, participating in any disposition pursuant to such Registration Statement and any attorney or accountant retained by the Purchasers, Holder or any of the underwriter(s), in each case subject to confidentiality agreements in form and substance customarily entered into by the Purchasers or underwriters, all financial and other records, pertinent corporate documents and properties of the Company and cause the Company’s officers and directors to supply all information reasonably requested by any such Holder, underwriter, attorney or accountant in connection with such Registration Statement or any post-effective amendment thereto subsequent to the filing thereof and prior to its effectiveness and to participate in meetings with investors to the extent reasonably requested by the managing underwriter(s), if any; </w:t>
      </w:r>
    </w:p>
    <w:p>
      <w:pPr>
        <w:pStyle w:val="TextBody"/>
        <w:bidi w:val="0"/>
        <w:spacing w:before="120" w:after="0"/>
        <w:jc w:val="left"/>
        <w:rPr>
          <w:rFonts w:ascii="Times New Roman" w:hAnsi="Times New Roman"/>
          <w:sz w:val="20"/>
        </w:rPr>
      </w:pPr>
      <w:r>
        <w:rPr>
          <w:rFonts w:ascii="Times New Roman" w:hAnsi="Times New Roman"/>
          <w:sz w:val="20"/>
        </w:rPr>
        <w:t xml:space="preserve">(viii) if requested by the selling Holder listed as selling securityholders in any Registration Statement or the underwriter(s), if any, promptly incorporate in any Registration Statement or Prospectus, pursuant to a supplement or post-effective amendment if necessary, such information as such selling Holder and underwriter(s), if any, may reasonably request to have included therein, including, without limitation, information relating to the “Plan of Distribution” of the Registrable Notes, information with respect to the principal amount of Registrable Notes being sold to such underwriter(s), the purchase price being paid therefor and any other terms of the offering of the Registrable Notes to be sold in such offering; and make all required filings of such Prospectus supplement or post-effective amendment as soon as practicable after the Company is notified of the matters to be incorporated in such Prospectus supplement or post-effective amendment; </w:t>
      </w:r>
    </w:p>
    <w:p>
      <w:pPr>
        <w:pStyle w:val="TextBody"/>
        <w:bidi w:val="0"/>
        <w:spacing w:before="120" w:after="0"/>
        <w:jc w:val="left"/>
        <w:rPr>
          <w:rFonts w:ascii="Times New Roman" w:hAnsi="Times New Roman"/>
          <w:sz w:val="20"/>
        </w:rPr>
      </w:pPr>
      <w:r>
        <w:rPr>
          <w:rFonts w:ascii="Times New Roman" w:hAnsi="Times New Roman"/>
          <w:sz w:val="20"/>
        </w:rPr>
        <w:t xml:space="preserve">(ix) deliver to each selling Holder and each of the underwriter(s), if any, without charge, as many copies of the Prospectus (including each preliminary prospectus) and any amendment or supplement thereto as such Persons reasonably may request; the Company hereby consents to the use of the Prospectus and any amendment or supplement thereto by the selling Holder and each of the underwriter(s), if any, in connection with the offering and the sale of the Registrable Notes covered by the Prospectus or any amendment or supplement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in connection with an underwritten offering pursuant to a Shelf Registration Statement, enter into such agreements (including an underwriting agreement), and make such representations and warranties, and take all such other commercially reasonable actions in connection therewith in order to expedite or facilitate the disposition of the Registrable Notes. In furtherance of the foregoing, the Company shall: </w:t>
      </w:r>
    </w:p>
    <w:p>
      <w:pPr>
        <w:pStyle w:val="TextBody"/>
        <w:bidi w:val="0"/>
        <w:spacing w:before="120" w:after="0"/>
        <w:jc w:val="left"/>
        <w:rPr>
          <w:rFonts w:ascii="Times New Roman" w:hAnsi="Times New Roman"/>
          <w:sz w:val="20"/>
        </w:rPr>
      </w:pPr>
      <w:r>
        <w:rPr>
          <w:rFonts w:ascii="Times New Roman" w:hAnsi="Times New Roman"/>
          <w:sz w:val="20"/>
        </w:rPr>
        <w:t xml:space="preserve">(A) furnish to the Purchasers, each selling Holder and each underwriter in such substance and scope as they may reasonably request and as are customarily made by issuers to underwriters in primary underwritten offerings, upon the date of the effectiveness of the Shelf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(1) a certificate, dated the effectiveness of the Shelf Registration Statement, signed by (y) the Chief Executive Officer, the President or any Vice President and (z) a principal financial or accounting officer of the Company, confirming customary matters; </w:t>
      </w:r>
    </w:p>
    <w:p>
      <w:pPr>
        <w:pStyle w:val="TextBody"/>
        <w:bidi w:val="0"/>
        <w:spacing w:before="120" w:after="0"/>
        <w:jc w:val="left"/>
        <w:rPr>
          <w:rFonts w:ascii="Times New Roman" w:hAnsi="Times New Roman"/>
          <w:sz w:val="20"/>
        </w:rPr>
      </w:pPr>
      <w:r>
        <w:rPr>
          <w:rFonts w:ascii="Times New Roman" w:hAnsi="Times New Roman"/>
          <w:sz w:val="20"/>
        </w:rPr>
        <w:t xml:space="preserve">(2) if requested by such selling Holder, an opinion, dated the date of effectiveness of the Shelf Registration Statement, of counsel for the Company, covering the matters customarily covered in opinions requested in underwritten offerings; </w:t>
      </w:r>
    </w:p>
    <w:p>
      <w:pPr>
        <w:pStyle w:val="TextBody"/>
        <w:bidi w:val="0"/>
        <w:spacing w:before="120" w:after="0"/>
        <w:jc w:val="left"/>
        <w:rPr>
          <w:rFonts w:ascii="Times New Roman" w:hAnsi="Times New Roman"/>
          <w:sz w:val="20"/>
        </w:rPr>
      </w:pPr>
      <w:r>
        <w:rPr>
          <w:rFonts w:ascii="Times New Roman" w:hAnsi="Times New Roman"/>
          <w:sz w:val="20"/>
        </w:rPr>
        <w:t xml:space="preserve">(B) set forth in full or incorporate by reference in the underwriting agreement, if any, the indemnification provisions and procedures of Section 8 hereof with respect to all parties to be indemnified pursuant to said Section; and </w:t>
      </w:r>
    </w:p>
    <w:p>
      <w:pPr>
        <w:pStyle w:val="TextBody"/>
        <w:bidi w:val="0"/>
        <w:spacing w:before="120" w:after="0"/>
        <w:jc w:val="left"/>
        <w:rPr>
          <w:rFonts w:ascii="Times New Roman" w:hAnsi="Times New Roman"/>
          <w:sz w:val="20"/>
        </w:rPr>
      </w:pPr>
      <w:r>
        <w:rPr>
          <w:rFonts w:ascii="Times New Roman" w:hAnsi="Times New Roman"/>
          <w:sz w:val="20"/>
        </w:rPr>
        <w:t xml:space="preserve">(C) deliver such other documents and certificates as may be reasonably requested by such parties to evidence compliance with Section 6(c)(x)(A) hereof and with any customary conditions contained in the underwriting agreement or other agreement entered into by the Company pursuant to this Section 6(c)(x), if any.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the representations and warranties of the Company contemplated in Section 6(c)(x)(A)(1) hereof cease to be true and correct, the Company shall so advise the Purchasers and the underwriter(s), if any, and each selling Holder promptly and, if requested by such Persons, shall confirm such advice in writing; </w:t>
      </w:r>
    </w:p>
    <w:p>
      <w:pPr>
        <w:pStyle w:val="TextBody"/>
        <w:bidi w:val="0"/>
        <w:spacing w:before="120" w:after="0"/>
        <w:jc w:val="left"/>
        <w:rPr>
          <w:rFonts w:ascii="Times New Roman" w:hAnsi="Times New Roman"/>
          <w:sz w:val="20"/>
        </w:rPr>
      </w:pPr>
      <w:r>
        <w:rPr>
          <w:rFonts w:ascii="Times New Roman" w:hAnsi="Times New Roman"/>
          <w:sz w:val="20"/>
        </w:rPr>
        <w:t xml:space="preserve">(xi) prior to any public offering of Registrable Notes, cooperate with the selling Holder, the underwriter(s), if any, and their respective counsel in connection with the registration and qualification of the Registrable Notes under the state securities or blue sky laws of such jurisdictions as the selling Holder or underwriter(s), if any, may request and do any and all other acts or things necessary or advisable to enable the disposition in such jurisdictions of the Registrable Notes covered by the Shelf Registration Statement;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not be required to register or qualify as a foreign corporation where it is not then so qualified or to take any action that would subject it to the service of process in suits or to taxation, other than as to matters and transactions relating to the Registration Statement, in any jurisdiction where it is not then so subject;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 in the case of a Shelf Registration Statement, shall issue, upon the request of any Holder of Notes covered by the Shelf Registration Statement and only in connection with any valid sale of Notes by such Holder pursuant to such registration statement (and provided that such Holder delivers such certificates or opinions reasonably requested by the Company in connection with such sale), Exchange Notes having an aggregate principal amount equal to the aggregate principal amount of Notes surrendered to the Company by such Holder in exchange therefor or being sold by such Holder; such Exchange Notes to be registered in the name of such Holder or in the name of the purchaser(s) of such Exchange Notes, as the case may be; in return, the Notes held by such Holder shall be surrendered to the Company for cancellation; </w:t>
      </w:r>
    </w:p>
    <w:p>
      <w:pPr>
        <w:pStyle w:val="TextBody"/>
        <w:bidi w:val="0"/>
        <w:spacing w:before="120" w:after="0"/>
        <w:jc w:val="left"/>
        <w:rPr>
          <w:rFonts w:ascii="Times New Roman" w:hAnsi="Times New Roman"/>
          <w:sz w:val="20"/>
        </w:rPr>
      </w:pPr>
      <w:r>
        <w:rPr>
          <w:rFonts w:ascii="Times New Roman" w:hAnsi="Times New Roman"/>
          <w:sz w:val="20"/>
        </w:rPr>
        <w:t xml:space="preserve">(xiii) in the case of a Shelf Registration Statement, cooperate with the selling Holder and the underwriter(s), if any, to facilitate the timely preparation and delivery of certificates or book-entry receipts, as applicable, representing Registrable Notes to be sold and not bearing any restrictive legends; and enable such Registrable Notes or such book-entry receipts, as applicable, to be in such denominations and registered in such names as the Holder or the underwriter(s), if any, may request at least two Business Days prior to any sale of Registrable Notes made by such Holder or underwriter(s); </w:t>
      </w:r>
    </w:p>
    <w:p>
      <w:pPr>
        <w:pStyle w:val="TextBody"/>
        <w:bidi w:val="0"/>
        <w:spacing w:before="120" w:after="0"/>
        <w:jc w:val="left"/>
        <w:rPr>
          <w:rFonts w:ascii="Times New Roman" w:hAnsi="Times New Roman"/>
          <w:sz w:val="20"/>
        </w:rPr>
      </w:pPr>
      <w:r>
        <w:rPr>
          <w:rFonts w:ascii="Times New Roman" w:hAnsi="Times New Roman"/>
          <w:sz w:val="20"/>
        </w:rPr>
        <w:t xml:space="preserve">(xiv) use its commercially reasonable efforts to cause the Registrable Notes covered by the Registration Statement to be registered with or approved by such other governmental agencies or authorities as may be necessary to enable the seller or sellers thereof or the underwriter(s), if any, to consummate the disposition of such Registrable Notes, subject to the proviso contained in Section 6(c)(xi) hereof; </w:t>
      </w:r>
    </w:p>
    <w:p>
      <w:pPr>
        <w:pStyle w:val="TextBody"/>
        <w:bidi w:val="0"/>
        <w:spacing w:before="120" w:after="0"/>
        <w:jc w:val="left"/>
        <w:rPr>
          <w:rFonts w:ascii="Times New Roman" w:hAnsi="Times New Roman"/>
          <w:sz w:val="20"/>
        </w:rPr>
      </w:pPr>
      <w:r>
        <w:rPr>
          <w:rFonts w:ascii="Times New Roman" w:hAnsi="Times New Roman"/>
          <w:sz w:val="20"/>
        </w:rPr>
        <w:t xml:space="preserve">(xv) if any fact or event contemplated by Section 6(c)(iv)(D) hereof shall exist or have occurred, prepare a supplement or post-effective amendment to the Registration Statement or related Prospectus or any document incorporated therein by reference or file any other required document so that, as thereafter delivered to the purchasers of Registrable Notes, the Prospectus will not contain an untrue statement of a material fact or omit to state any material fact necessary in order to make the statements therein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(xvi) not later than the effective date of the Registration Statement covering such Exchange Notes, provide that the CUSIP and ISIN numbers for all Exchange Notes shall be the same unrestricted CUSIP and ISIN numbers as borne by the Notes; </w:t>
      </w:r>
    </w:p>
    <w:p>
      <w:pPr>
        <w:pStyle w:val="TextBody"/>
        <w:bidi w:val="0"/>
        <w:spacing w:before="120" w:after="0"/>
        <w:jc w:val="left"/>
        <w:rPr>
          <w:rFonts w:ascii="Times New Roman" w:hAnsi="Times New Roman"/>
          <w:sz w:val="20"/>
        </w:rPr>
      </w:pPr>
      <w:r>
        <w:rPr>
          <w:rFonts w:ascii="Times New Roman" w:hAnsi="Times New Roman"/>
          <w:sz w:val="20"/>
        </w:rPr>
        <w:t xml:space="preserve">(xvii) cooperate and assist in any filings required to be made with FINRA and in the performance of any due diligence investigation by any underwriter (including any “qualified independent underwriter”) that is required to be retained in accordance with the rules and regulations of FINRA;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(xviii) otherwise use its commercially reasonable efforts to comply with all applicable rules and regulations of the Commission, and make generally available to its security holders, as soon as practicable, a consolidated earnings statement meeting the requirements of Rule 158 under the Securities Act (which need not be audited) for the twelve-month period (A) commencing at the end of any fiscal quarter in which Registrable Notes are sold to underwriters in a firm commitment or commercially reasonable efforts Underwritten Offering or (B) if not sold to underwriters in such an offering, beginning with the first month of the Company’s first fiscal quarter commencing after the effective date of the Registration Statement. </w:t>
      </w:r>
    </w:p>
    <w:p>
      <w:pPr>
        <w:pStyle w:val="TextBody"/>
        <w:bidi w:val="0"/>
        <w:spacing w:before="240" w:after="0"/>
        <w:jc w:val="left"/>
        <w:rPr>
          <w:rFonts w:ascii="Times New Roman" w:hAnsi="Times New Roman"/>
          <w:sz w:val="20"/>
        </w:rPr>
      </w:pPr>
      <w:r>
        <w:rPr>
          <w:rFonts w:ascii="Times New Roman" w:hAnsi="Times New Roman"/>
          <w:sz w:val="20"/>
        </w:rPr>
        <w:t>Notwithstanding the foregoing, the Company may suspend the offering and sale under a Registration Statement (the “</w:t>
      </w:r>
      <w:r>
        <w:rPr>
          <w:rFonts w:ascii="Times New Roman" w:hAnsi="Times New Roman"/>
          <w:b/>
          <w:i/>
          <w:sz w:val="20"/>
        </w:rPr>
        <w:t>Suspension Period</w:t>
      </w:r>
      <w:r>
        <w:rPr>
          <w:rFonts w:ascii="Times New Roman" w:hAnsi="Times New Roman"/>
          <w:sz w:val="20"/>
        </w:rPr>
        <w:t xml:space="preserve">”) for a period or periods if (i) the board of directors reasonably determines that the continued use of such Registration Statement would (A) require the Company to make a public disclosure of material non-public information, which disclosure in the good faith judgment of the board of directors of the Company (1) would be required to be made in such Registration Statement so that such Registration Statement would not be materially misleading and (2) would not be required to be made at such time but for the continued use of such Shelf Registration Statement or (B) would in the good faith and judgment of the board of directors of the Company be expected to have a material adverse effect on the Company or its business or on the Company’s ability to effect a planned or proposed acquisition, disposition, financing, reorganization, recapitalization or similar transaction and (ii) the Company notifies the underwriters, if any, and the Holder of Registrable Notes (in the case of a Shelf Registration) and the Purchasers within five days after the board of directors makes the relevant determination set forth in clause (i); provided that the period or periods of suspension under clause (i) above shall not exceed, in the aggregate, 60 days in any twelve-month period during which the Registration Statement is required to be effective. </w:t>
      </w:r>
    </w:p>
    <w:p>
      <w:pPr>
        <w:pStyle w:val="TextBody"/>
        <w:bidi w:val="0"/>
        <w:spacing w:before="240" w:after="0"/>
        <w:jc w:val="left"/>
        <w:rPr>
          <w:rFonts w:ascii="Times New Roman" w:hAnsi="Times New Roman"/>
          <w:sz w:val="20"/>
        </w:rPr>
      </w:pPr>
      <w:r>
        <w:rPr>
          <w:rFonts w:ascii="Times New Roman" w:hAnsi="Times New Roman"/>
          <w:sz w:val="20"/>
        </w:rPr>
        <w:t>The Holder agrees by acquisition of a Registrable Note that, upon receipt of any notice from the Company of the existence of any fact of the kind described in Section 6(c)(iv)(D) hereof or any Suspension Period, such Holder will forthwith discontinue disposition of Registrable Notes pursuant to the applicable Registration Statement until such Holder’s receipt of the copies of the supplemented or amended Prospectus contemplated by Section 6(c)(xv) hereof, or until it is advised in writing (the “</w:t>
      </w:r>
      <w:r>
        <w:rPr>
          <w:rFonts w:ascii="Times New Roman" w:hAnsi="Times New Roman"/>
          <w:b/>
          <w:i/>
          <w:sz w:val="20"/>
        </w:rPr>
        <w:t>Advice</w:t>
      </w:r>
      <w:r>
        <w:rPr>
          <w:rFonts w:ascii="Times New Roman" w:hAnsi="Times New Roman"/>
          <w:sz w:val="20"/>
        </w:rPr>
        <w:t xml:space="preserve">”) by the Company that the use of the Prospectus may be resumed, and has received copies of any additional or supplemental filings that are incorporated by reference in the Prospectus. In the event the Company shall give any such notice, the time period regarding the effectiveness of such Registration Statement set forth in Section 3 or 4 hereof, as applicable, shall be extended by the number of days during the period from and including the date of the giving of such notice pursuant to Section 6(c)(iv)(D) hereof or notice of any Suspension Period to and including the date when each selling Holder covered by such Registration Statement shall have received the copies of the supplemented or amended Prospectus contemplated by Section 6(c)(xv) hereof or shall have received the Advice;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extension shall be taken into account in determining whether Additional Interest is due pursuant to Section 5 hereof or the amount of such Additional Interest, it being agreed that the Company’s option to suspend use of a Registration Statement pursuant to this paragraph shall be treated as a Registration Default for purposes of Section 5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i/>
          <w:sz w:val="20"/>
        </w:rPr>
        <w:t>Registration Expenses</w:t>
      </w:r>
      <w:r>
        <w:rPr>
          <w:rFonts w:ascii="Times New Roman" w:hAnsi="Times New Roman"/>
          <w:sz w:val="20"/>
        </w:rPr>
        <w:t xml:space="preserve">. All expenses incident to the Company’s performance of or compliance with this Agreement will be borne by the Company regardless of whether a Registration Statement becomes or is declared effective, including (i) all registration and filing fees and expenses (including filings made by the Purchasers or any Holder with FINRA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if applicable, the fees and expenses of any “qualified independent underwriter” and its counsel that may be required by the rules and regulations of FINRA)); (ii) all fees and expenses of compliance with federal securities and state securities or blue sky laws; (iii) all expenses of printing (including printing certificates for the Exchange Notes to be issued in the Exchange Offer and printing of Prospectuses), messenger and delivery services and telephone; (iv) all fees and disbursements of counsel for the Company; (v) application and filing fees in connection with listing the Notes on a securities exchange or automated quotation system pursuant to the requirements thereof; and (vi) all fees and disbursements of independent certified public accountants of the Company (including the expenses of any special audit and comfort letters required by or incident to such performance).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in any event, bear its internal expenses (including all expenses of its officers performing legal or accounting duties), the expenses of any annual audit and the fees and expenses of any Person, including special experts, retained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8. Indemnification. </w:t>
      </w:r>
    </w:p>
    <w:p>
      <w:pPr>
        <w:pStyle w:val="TextBody"/>
        <w:bidi w:val="0"/>
        <w:spacing w:before="240" w:after="0"/>
        <w:jc w:val="left"/>
        <w:rPr>
          <w:rFonts w:ascii="Times New Roman" w:hAnsi="Times New Roman"/>
          <w:sz w:val="20"/>
        </w:rPr>
      </w:pPr>
      <w:r>
        <w:rPr>
          <w:rFonts w:ascii="Times New Roman" w:hAnsi="Times New Roman"/>
          <w:sz w:val="20"/>
        </w:rPr>
        <w:t>(a) The Company agrees to indemnify and hold harmless (i) each Holder and (ii) each Person, if any, who controls (within the meaning of Section 15 of the Securities Act or Section 20 of the Exchange Act) any Holder (any of the Persons referred to in this clause (ii) being hereinafter referred to as a “</w:t>
      </w:r>
      <w:r>
        <w:rPr>
          <w:rFonts w:ascii="Times New Roman" w:hAnsi="Times New Roman"/>
          <w:b/>
          <w:i/>
          <w:sz w:val="20"/>
        </w:rPr>
        <w:t>Controlling Person</w:t>
      </w:r>
      <w:r>
        <w:rPr>
          <w:rFonts w:ascii="Times New Roman" w:hAnsi="Times New Roman"/>
          <w:sz w:val="20"/>
        </w:rPr>
        <w:t>”) and (iii) the respective officers, directors, partners, employees, representatives and agents of any Holder or any Controlling Person (any Person referred to in clause (i), (ii) or (iii) may hereinafter be referred to as an “</w:t>
      </w:r>
      <w:r>
        <w:rPr>
          <w:rFonts w:ascii="Times New Roman" w:hAnsi="Times New Roman"/>
          <w:b/>
          <w:i/>
          <w:sz w:val="20"/>
        </w:rPr>
        <w:t>Indemnified Holder</w:t>
      </w:r>
      <w:r>
        <w:rPr>
          <w:rFonts w:ascii="Times New Roman" w:hAnsi="Times New Roman"/>
          <w:sz w:val="20"/>
        </w:rPr>
        <w:t xml:space="preserve">”), to the fullest extent lawful, from and against any and all losses, claims, damages, liabilities, judgments, actions and expenses (including, as incurred, reimbursement of all reasonable costs of investigating, preparing, pursuing, settling, compromising, paying or defending any claim or action, or any investigation or proceeding by any governmental agency or body, commenced or threatened, including the reasonable and documented fees and expenses of counsel to any Indemnified Holder), joint or several, directly or indirectly caused by, related to, based upon, arising out of or in connection with any untrue statement or alleged untrue statement of a material fact contained in any Registration Statement or Prospectus (or any amendment or supplement thereto), or any omission or alleged omission to state therein a material fact required to be stated therein or necessary to make the statements therein (in the case of any Prospectus, in the light of the circumstances under which they were made), not misleading, except insofar as such losses, claims, damages, liabilities or expenses are caused by an untrue statement or omission or alleged untrue statement or omission that is made in reliance upon and in conformity with information relating to any Holder furnished in writing to the Company by or on behalf of such Holder expressly for use therein. This indemnity agreement shall be in addition to any liability which the Company may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In case any action or proceeding (including any governmental or regulatory investigation or proceeding) shall be brought or asserted against the Indemnified Holder with respect to which indemnity may be sought against the Company, such Indemnified Holder (or the Indemnified Holder controlled by such Controlling Person) shall promptly notify the Company in writing;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failure to give such notice shall not relieve any of the Company of its obligations pursuant to this Agreement unless and to the extent the Company did not otherwise learn of such action and such failure results in the forfeiture by the Company of substantial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defenses. Such Indemnified Holder shall have the right to employ its own counsel in any such action and the reasonable and documented fees and expenses of such counsel shall be paid, as incurred, by the Company (regardless of whether it is ultimately determined that an Indemnified Holder is not entitled to indemnification hereunder). The Company shall not, in connection with any one such action or proceeding or separate but substantially similar or related actions or proceedings in the same jurisdiction arising out of the same general allegations or circumstances, be liable for the reasonable and documented fees and expenses of more than one separate firm of attorneys (in addition to one local counsel for all indemnified parties taken as a whole in each jurisdiction reasonably required and, in the event of an actual or potential conflict, one additional counsel in each relevant jurisdiction for the affected indemnified parties similarly situated taken as a whole) at any time for such Indemnified Holder, which firm shall be designated by the Holder. The Company shall be liable for any settlement of any such action or proceeding effected with the Company’s prior written consent, which consent shall not be unreasonably withheld or delayed, and the Company agrees to indemnify and hold harmless any Indemnified Holder from and against any loss, claim, damage, liability or expense by reason of any settlement of any action effected with the written consent of the Company. The Company shall not, without the prior written consent of each Indemnified Holder, settle or compromise or consent to the entry of judgment in or otherwise seek to terminate any pending or threatened action, claim, litigation or proceeding in respect of which indemnification or contribution may be sought hereunder (whether or not any Indemnified Holder is a party thereto), unless such settlement, compromise, consent or termination (i) includes a complete and unconditional release of each Indemnified Holder from all liability arising out of such action, claim, litigation or proceeding and (ii) does not include a statement as to or an admission of fault, culpability or a failure to act, by or on behalf of any Indemnified Holder. </w:t>
      </w:r>
    </w:p>
    <w:p>
      <w:pPr>
        <w:pStyle w:val="TextBody"/>
        <w:bidi w:val="0"/>
        <w:spacing w:before="240" w:after="0"/>
        <w:jc w:val="left"/>
        <w:rPr>
          <w:rFonts w:ascii="Times New Roman" w:hAnsi="Times New Roman"/>
          <w:sz w:val="20"/>
        </w:rPr>
      </w:pPr>
      <w:r>
        <w:rPr>
          <w:rFonts w:ascii="Times New Roman" w:hAnsi="Times New Roman"/>
          <w:sz w:val="20"/>
        </w:rPr>
        <w:t xml:space="preserve">(b) The Holders of Registrable Notes agree, severally and not jointly, to indemnify and hold harmless the Company and its directors and officers who sign a Registration Statement, and any Person controlling (within the meaning of Section 15 of the Securities Act or Section 20 of the Exchange Act) the Company and its officers, directors, partners, employees, representatives and agents, to the same extent as the foregoing indemnity from the Company to the Indemnified Holder, but only with respect to claims and actions based on information relating to such Holder furnished in writing by or on behalf of such Holder expressly for use in any Registration Statement. In case any action or proceeding shall be brought against the Company or its directors or officers or any such Controlling Person in respect of which indemnity may be sought against a Holder of Registrable Notes, such Holder shall have the rights and duties given to the Company, and the Company and its directors and officers and such Controlling Person shall have the rights and duties given to the Holder by the preceding paragraph. This indemnity agreement shall be in addition to any liability which Holder may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(c) If the indemnification provided for in this Section 8 is unavailable to an indemnified party under Section 8(a) or (b) hereof (other than by reason of exceptions provided in those Sections) in respect of any losses, claims, damages, liabilities, judgments, actions or expenses referred to therein, then each applicable indemnifying party, in lieu of indemnifying such indemnified party, shall contribute to the amount paid or payable by such indemnified party as a result of such losses, claims, damages, liabilities, judgments, actions or expenses in such proportion as is appropriate to reflect the relative benefits received by the Company, on the one hand, and the Holders, on the other hand, from the Placement (which in the case of the Company shall be deemed to be equal to the total gross proceeds to the Company from the Placement),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amount of Additional Interest which did not become payable as a result of the filing of the Registration Statement resulting in such losses, claims, damages, liabilities, judgments, actions or expenses, and such Registration Statement, or if such allocation is not permitted by applicable law, the relative fault of the Company, on the one hand, and the Holders, on the other hand, in connection with the statements or omissions which resulted in such losses, claims, damages, liabilities or expenses, as well as any other relevant equitable considerations. The relative fault of the Company, on the one hand, and of the Indemnified Holders, on the other hand, shall be determined by reference to, among other things, whether the untrue or alleged untrue statement of a material fact or the omission or alleged omission to state a material fact relates to information supplied by the Company, on the one hand, or the Indemnified Holders, on the other hand, and the parties’ relative intent, knowledge, access to information and opportunity to correct or prevent such statement or omission. The amount paid or payable by a party as a result of the losses, claims, damages, liabilities and expenses referred to above shall be deemed to include, subject to the limitations set forth in the second paragraph of Section 8(a) hereof, any legal or other fees or expenses reasonably incurred by such party in connection with investigating or defending any action or claim.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Holders of Registrable Notes agree that it would not be just and equitable if contribution pursuant to this Section 8(c) were determined by pro rata allocation (even if the Holders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liabilities or expenses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8, the Holders (and their related Indemnified Holders) shall not be required to contribute, in the aggregate, any amount in excess of the amount by which the total discount received by such Holders with respect to the Notes exceeds the amount of any damages which such Holders have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Each Holder’s obligations to contribute pursuant to this Section 8(c) are several in proportion to the respective principal amount of Notes held by the Holders hereunder and not joint. </w:t>
      </w:r>
    </w:p>
    <w:p>
      <w:pPr>
        <w:pStyle w:val="TextBody"/>
        <w:bidi w:val="0"/>
        <w:spacing w:before="240" w:after="0"/>
        <w:jc w:val="left"/>
        <w:rPr>
          <w:rFonts w:ascii="Times New Roman" w:hAnsi="Times New Roman"/>
          <w:sz w:val="20"/>
        </w:rPr>
      </w:pPr>
      <w:r>
        <w:rPr>
          <w:rFonts w:ascii="Times New Roman" w:hAnsi="Times New Roman"/>
          <w:sz w:val="20"/>
        </w:rPr>
        <w:t>Notwithstanding any other provision in this Section 8, no party shall be entitled to indemnification or contribution under this Agreement in violation of Section 17(j) of the Investment Company Act of 1940, as amended (the “</w:t>
      </w:r>
      <w:r>
        <w:rPr>
          <w:rFonts w:ascii="Times New Roman" w:hAnsi="Times New Roman"/>
          <w:b/>
          <w:i/>
          <w:sz w:val="20"/>
        </w:rPr>
        <w:t>Investment Company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i/>
          <w:sz w:val="20"/>
        </w:rPr>
        <w:t>Participation in Underwritten Registrations.</w:t>
      </w:r>
      <w:r>
        <w:rPr>
          <w:rFonts w:ascii="Times New Roman" w:hAnsi="Times New Roman"/>
          <w:sz w:val="20"/>
        </w:rPr>
        <w:t xml:space="preserve"> No Holder may participate in any Underwritten Registration hereunder unless such Holder (a) agrees to sell such Holder’s Registrable Notes on the basis provided in any underwriting arrangements approved by the Persons entitled hereunder to approve such arrangements and (b) completes and executes all reasonable questionnaires, powers of attorney, indemnities, underwriting agreements, and other documents required under the terms of such underwriting arrangements.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 </w:t>
      </w:r>
      <w:r>
        <w:rPr>
          <w:rFonts w:ascii="Times New Roman" w:hAnsi="Times New Roman"/>
          <w:i/>
          <w:sz w:val="20"/>
        </w:rPr>
        <w:t>Selection of Underwriters.</w:t>
      </w:r>
      <w:r>
        <w:rPr>
          <w:rFonts w:ascii="Times New Roman" w:hAnsi="Times New Roman"/>
          <w:sz w:val="20"/>
        </w:rPr>
        <w:t xml:space="preserve"> If requested by the Holders covered by the Shelf Registration Statement, the Holders of Registrable Notes covered by the Shelf Registration Statement who desire to do so may sell such Registrable Notes in an Underwritten Offering. In such Underwritten Offering, the investment banker(s) and managing underwriter(s) that will administer such offering will be selected by the Holders;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investment banker(s) and managing underwriter(s) must be reasonably satisfactory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i/>
          <w:sz w:val="20"/>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Remedies.</w:t>
      </w:r>
      <w:r>
        <w:rPr>
          <w:rFonts w:ascii="Times New Roman" w:hAnsi="Times New Roman"/>
          <w:sz w:val="20"/>
        </w:rPr>
        <w:t xml:space="preserve"> The Company hereby agrees that monetary damages would not be adequate compensation for any loss incurred by reason of a breach by it of the provisions of this Agreement and hereby agrees to waive the defense in any action for specific performance that a remedy at law would be adequate.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Inconsistent Agreements.</w:t>
      </w:r>
      <w:r>
        <w:rPr>
          <w:rFonts w:ascii="Times New Roman" w:hAnsi="Times New Roman"/>
          <w:sz w:val="20"/>
        </w:rPr>
        <w:t xml:space="preserve"> The Company will not on or after the date of this Agreement enter into any agreement with respect to its securities that is inconsistent with the rights granted to the Holders in this Agreement or otherwise conflicts with the provisions hereof. The rights granted to the Holder hereunder do not in any way conflict with and are not inconsistent with the rights granted to the holders of the Company’s securities under any agreement in effect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Adjustments Affecting the Notes.</w:t>
      </w:r>
      <w:r>
        <w:rPr>
          <w:rFonts w:ascii="Times New Roman" w:hAnsi="Times New Roman"/>
          <w:sz w:val="20"/>
        </w:rPr>
        <w:t xml:space="preserve"> The Company will not take any action, or permit any change to occur, with respect to the Registrable Notes that would materially and adversely affect the ability of the Holders to Consummate any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Amendments and Waivers.</w:t>
      </w:r>
      <w:r>
        <w:rPr>
          <w:rFonts w:ascii="Times New Roman" w:hAnsi="Times New Roman"/>
          <w:sz w:val="20"/>
        </w:rPr>
        <w:t xml:space="preserve"> The provisions of this Agreement may not be amended, modified or supplemented, and waivers or consents to or departures from the provisions hereof may not be given unless the Company has obtained the written consent of the Holders of the Registrable Notes.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Notices.</w:t>
      </w:r>
      <w:r>
        <w:rPr>
          <w:rFonts w:ascii="Times New Roman" w:hAnsi="Times New Roman"/>
          <w:sz w:val="20"/>
        </w:rPr>
        <w:t xml:space="preserve"> All notices and other communications provided for or permitted hereunder shall be made in writing by hand-delivery, first-class mail (registered or certified, return receipt requested), facsimile, email, or air courier guaranteeing overnight delivery: </w:t>
      </w:r>
    </w:p>
    <w:p>
      <w:pPr>
        <w:pStyle w:val="TextBody"/>
        <w:bidi w:val="0"/>
        <w:spacing w:before="120" w:after="0"/>
        <w:jc w:val="left"/>
        <w:rPr>
          <w:rFonts w:ascii="Times New Roman" w:hAnsi="Times New Roman"/>
          <w:sz w:val="20"/>
        </w:rPr>
      </w:pPr>
      <w:r>
        <w:rPr>
          <w:rFonts w:ascii="Times New Roman" w:hAnsi="Times New Roman"/>
          <w:sz w:val="20"/>
        </w:rPr>
        <w:t xml:space="preserve">(i) if to a Holder, at the address set forth in the records of the Registrar, with a copy to the Registrar; and </w:t>
      </w:r>
    </w:p>
    <w:p>
      <w:pPr>
        <w:pStyle w:val="TextBody"/>
        <w:bidi w:val="0"/>
        <w:spacing w:before="120" w:after="0"/>
        <w:jc w:val="left"/>
        <w:rPr>
          <w:rFonts w:ascii="Times New Roman" w:hAnsi="Times New Roman"/>
          <w:sz w:val="20"/>
        </w:rPr>
      </w:pPr>
      <w:r>
        <w:rPr>
          <w:rFonts w:ascii="Times New Roman" w:hAnsi="Times New Roman"/>
          <w:sz w:val="20"/>
        </w:rPr>
        <w:t xml:space="preserve">(ii) 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PennantPark Investment Corporation </w:t>
      </w:r>
    </w:p>
    <w:p>
      <w:pPr>
        <w:pStyle w:val="TextBody"/>
        <w:bidi w:val="0"/>
        <w:spacing w:before="0" w:after="0"/>
        <w:jc w:val="left"/>
        <w:rPr>
          <w:rFonts w:ascii="Times New Roman" w:hAnsi="Times New Roman"/>
          <w:sz w:val="20"/>
        </w:rPr>
      </w:pPr>
      <w:r>
        <w:rPr>
          <w:rFonts w:ascii="Times New Roman" w:hAnsi="Times New Roman"/>
          <w:sz w:val="20"/>
        </w:rPr>
        <w:t xml:space="preserve">1691 Michigan Avenue </w:t>
      </w:r>
    </w:p>
    <w:p>
      <w:pPr>
        <w:pStyle w:val="TextBody"/>
        <w:bidi w:val="0"/>
        <w:spacing w:before="0" w:after="0"/>
        <w:jc w:val="left"/>
        <w:rPr>
          <w:rFonts w:ascii="Times New Roman" w:hAnsi="Times New Roman"/>
          <w:sz w:val="20"/>
        </w:rPr>
      </w:pPr>
      <w:r>
        <w:rPr>
          <w:rFonts w:ascii="Times New Roman" w:hAnsi="Times New Roman"/>
          <w:sz w:val="20"/>
        </w:rPr>
        <w:t xml:space="preserve">Miami Beach, FL 33139 </w:t>
      </w:r>
    </w:p>
    <w:p>
      <w:pPr>
        <w:pStyle w:val="TextBody"/>
        <w:bidi w:val="0"/>
        <w:spacing w:before="0" w:after="0"/>
        <w:jc w:val="left"/>
        <w:rPr>
          <w:rFonts w:ascii="Times New Roman" w:hAnsi="Times New Roman"/>
          <w:sz w:val="20"/>
        </w:rPr>
      </w:pPr>
      <w:r>
        <w:rPr>
          <w:rFonts w:ascii="Times New Roman" w:hAnsi="Times New Roman"/>
          <w:sz w:val="20"/>
        </w:rPr>
        <w:t xml:space="preserve">Attention: Arthur H. Penn </w:t>
      </w:r>
    </w:p>
    <w:p>
      <w:pPr>
        <w:pStyle w:val="TextBody"/>
        <w:bidi w:val="0"/>
        <w:spacing w:before="120" w:after="0"/>
        <w:jc w:val="left"/>
        <w:rPr>
          <w:rFonts w:ascii="Times New Roman" w:hAnsi="Times New Roman"/>
          <w:sz w:val="20"/>
        </w:rPr>
      </w:pPr>
      <w:r>
        <w:rPr>
          <w:rFonts w:ascii="Times New Roman" w:hAnsi="Times New Roman"/>
          <w:sz w:val="20"/>
        </w:rPr>
        <w:t xml:space="preserve">Email: legal@pennantpark.com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Dechert LLP </w:t>
      </w:r>
    </w:p>
    <w:p>
      <w:pPr>
        <w:pStyle w:val="TextBody"/>
        <w:bidi w:val="0"/>
        <w:spacing w:before="0" w:after="0"/>
        <w:jc w:val="left"/>
        <w:rPr>
          <w:rFonts w:ascii="Times New Roman" w:hAnsi="Times New Roman"/>
          <w:sz w:val="20"/>
        </w:rPr>
      </w:pPr>
      <w:r>
        <w:rPr>
          <w:rFonts w:ascii="Times New Roman" w:hAnsi="Times New Roman"/>
          <w:sz w:val="20"/>
        </w:rPr>
        <w:t xml:space="preserve">One International Place, 40th Floor </w:t>
      </w:r>
    </w:p>
    <w:p>
      <w:pPr>
        <w:pStyle w:val="TextBody"/>
        <w:bidi w:val="0"/>
        <w:spacing w:before="0" w:after="0"/>
        <w:jc w:val="left"/>
        <w:rPr>
          <w:rFonts w:ascii="Times New Roman" w:hAnsi="Times New Roman"/>
          <w:sz w:val="20"/>
        </w:rPr>
      </w:pPr>
      <w:r>
        <w:rPr>
          <w:rFonts w:ascii="Times New Roman" w:hAnsi="Times New Roman"/>
          <w:sz w:val="20"/>
        </w:rPr>
        <w:t xml:space="preserve">100 Oliver Street </w:t>
      </w:r>
    </w:p>
    <w:p>
      <w:pPr>
        <w:pStyle w:val="TextBody"/>
        <w:bidi w:val="0"/>
        <w:spacing w:before="0" w:after="0"/>
        <w:jc w:val="left"/>
        <w:rPr>
          <w:rFonts w:ascii="Times New Roman" w:hAnsi="Times New Roman"/>
          <w:sz w:val="20"/>
        </w:rPr>
      </w:pPr>
      <w:r>
        <w:rPr>
          <w:rFonts w:ascii="Times New Roman" w:hAnsi="Times New Roman"/>
          <w:sz w:val="20"/>
        </w:rPr>
        <w:t xml:space="preserve">Boston, MA </w:t>
      </w:r>
    </w:p>
    <w:p>
      <w:pPr>
        <w:pStyle w:val="TextBody"/>
        <w:bidi w:val="0"/>
        <w:spacing w:before="120" w:after="0"/>
        <w:jc w:val="left"/>
        <w:rPr>
          <w:rFonts w:ascii="Times New Roman" w:hAnsi="Times New Roman"/>
          <w:sz w:val="20"/>
        </w:rPr>
      </w:pPr>
      <w:r>
        <w:rPr>
          <w:rFonts w:ascii="Times New Roman" w:hAnsi="Times New Roman"/>
          <w:sz w:val="20"/>
        </w:rPr>
        <w:t xml:space="preserve">Attention: Thomas J. Friedmann </w:t>
      </w:r>
    </w:p>
    <w:p>
      <w:pPr>
        <w:pStyle w:val="TextBody"/>
        <w:bidi w:val="0"/>
        <w:spacing w:before="120" w:after="0"/>
        <w:jc w:val="left"/>
        <w:rPr>
          <w:rFonts w:ascii="Times New Roman" w:hAnsi="Times New Roman"/>
          <w:sz w:val="20"/>
        </w:rPr>
      </w:pPr>
      <w:r>
        <w:rPr>
          <w:rFonts w:ascii="Times New Roman" w:hAnsi="Times New Roman"/>
          <w:sz w:val="20"/>
        </w:rPr>
        <w:t xml:space="preserve">Email: thomas.friedmann@dechert.com </w:t>
      </w:r>
    </w:p>
    <w:p>
      <w:pPr>
        <w:pStyle w:val="TextBody"/>
        <w:bidi w:val="0"/>
        <w:spacing w:before="120" w:after="0"/>
        <w:jc w:val="left"/>
        <w:rPr>
          <w:rFonts w:ascii="Times New Roman" w:hAnsi="Times New Roman"/>
          <w:sz w:val="20"/>
        </w:rPr>
      </w:pPr>
      <w:r>
        <w:rPr>
          <w:rFonts w:ascii="Times New Roman" w:hAnsi="Times New Roman"/>
          <w:sz w:val="20"/>
        </w:rPr>
        <w:t xml:space="preserve">Attention: Stephen Pratt </w:t>
      </w:r>
    </w:p>
    <w:p>
      <w:pPr>
        <w:pStyle w:val="TextBody"/>
        <w:bidi w:val="0"/>
        <w:spacing w:before="120" w:after="0"/>
        <w:jc w:val="left"/>
        <w:rPr>
          <w:rFonts w:ascii="Times New Roman" w:hAnsi="Times New Roman"/>
          <w:sz w:val="20"/>
        </w:rPr>
      </w:pPr>
      <w:r>
        <w:rPr>
          <w:rFonts w:ascii="Times New Roman" w:hAnsi="Times New Roman"/>
          <w:sz w:val="20"/>
        </w:rPr>
        <w:t xml:space="preserve">Email: stephen.pratt@dechert.com </w:t>
      </w:r>
    </w:p>
    <w:p>
      <w:pPr>
        <w:pStyle w:val="TextBody"/>
        <w:bidi w:val="0"/>
        <w:spacing w:before="120" w:after="0"/>
        <w:jc w:val="left"/>
        <w:rPr>
          <w:rFonts w:ascii="Times New Roman" w:hAnsi="Times New Roman"/>
          <w:sz w:val="20"/>
        </w:rPr>
      </w:pPr>
      <w:r>
        <w:rPr>
          <w:rFonts w:ascii="Times New Roman" w:hAnsi="Times New Roman"/>
          <w:sz w:val="20"/>
        </w:rPr>
        <w:t xml:space="preserve">Attention: Ross MacConnell </w:t>
      </w:r>
    </w:p>
    <w:p>
      <w:pPr>
        <w:pStyle w:val="TextBody"/>
        <w:bidi w:val="0"/>
        <w:spacing w:before="120" w:after="0"/>
        <w:jc w:val="left"/>
        <w:rPr>
          <w:rFonts w:ascii="Times New Roman" w:hAnsi="Times New Roman"/>
          <w:sz w:val="20"/>
        </w:rPr>
      </w:pPr>
      <w:r>
        <w:rPr>
          <w:rFonts w:ascii="Times New Roman" w:hAnsi="Times New Roman"/>
          <w:sz w:val="20"/>
        </w:rPr>
        <w:t xml:space="preserve">Email: ross.macconnell@dechert.com </w:t>
      </w:r>
    </w:p>
    <w:p>
      <w:pPr>
        <w:pStyle w:val="TextBody"/>
        <w:bidi w:val="0"/>
        <w:spacing w:before="240" w:after="0"/>
        <w:jc w:val="left"/>
        <w:rPr>
          <w:rFonts w:ascii="Times New Roman" w:hAnsi="Times New Roman"/>
          <w:sz w:val="20"/>
        </w:rPr>
      </w:pPr>
      <w:r>
        <w:rPr>
          <w:rFonts w:ascii="Times New Roman" w:hAnsi="Times New Roman"/>
          <w:sz w:val="20"/>
        </w:rPr>
        <w:t xml:space="preserve">All such notices and communications shall be deemed to have been duly given: at the time delivered by hand, if personally delivered; five Business Days after being deposited in the mail, postage prepaid, if mailed; when receipt acknowledged, if sent by facsimile; and on the next Business Day, if timely delivered to an air courier guaranteeing overnight delivery.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Successors and Assigns.</w:t>
      </w:r>
      <w:r>
        <w:rPr>
          <w:rFonts w:ascii="Times New Roman" w:hAnsi="Times New Roman"/>
          <w:sz w:val="20"/>
        </w:rPr>
        <w:t xml:space="preserve"> This Agreement shall inure to the benefit of and be binding upon the successors and assigns of each of the parties, including, without the need for an express assignment, subsequent Holders of Registrable Notes; </w:t>
      </w:r>
      <w:r>
        <w:rPr>
          <w:rFonts w:ascii="Times New Roman" w:hAnsi="Times New Roman"/>
          <w:i/>
          <w:sz w:val="20"/>
        </w:rPr>
        <w:t>provided, however</w:t>
      </w:r>
      <w:r>
        <w:rPr>
          <w:rFonts w:ascii="Times New Roman" w:hAnsi="Times New Roman"/>
          <w:sz w:val="20"/>
        </w:rPr>
        <w:t xml:space="preserve">, that this Agreement shall not inure to the benefit of or be binding upon a successor or assign of a Holder unless and to the extent such successor or assign acquired Registrable Notes from such Holder.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Counterparts.</w:t>
      </w:r>
      <w:r>
        <w:rPr>
          <w:rFonts w:ascii="Times New Roman" w:hAnsi="Times New Roman"/>
          <w:sz w:val="20"/>
        </w:rPr>
        <w:t xml:space="preserve"> This Agreement may be signed in counterparts, each of which shall be an original and all of which together shall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Headings.</w:t>
      </w:r>
      <w:r>
        <w:rPr>
          <w:rFonts w:ascii="Times New Roman" w:hAnsi="Times New Roman"/>
          <w:sz w:val="20"/>
        </w:rPr>
        <w:t xml:space="preserve"> The headings in this Agreement are for convenience of reference only and shall not limit or otherwise affect the meaning hereof.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Governing Law.</w:t>
      </w:r>
      <w:r>
        <w:rPr>
          <w:rFonts w:ascii="Times New Roman" w:hAnsi="Times New Roman"/>
          <w:sz w:val="20"/>
        </w:rPr>
        <w:t xml:space="preserve"> THIS AGREEMENT SHALL BE CONSTRUED AND ENFORCED IN ACCORDANCE WITH, AND THE RIGHTS OF THE PARTIES SHALL BE GOVERNED BY, THE LAW OF THE STATE OF NEW YORK EXCLUDING CHOICE-OF-LAW PRINCIPLES OF THE LAW OF SUCH STATE THAT WOULD PERMIT THE APPLICATION OF THE LAWS OF A JURISDICTION OTHER THAN SUCH STATE.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Severability.</w:t>
      </w:r>
      <w:r>
        <w:rPr>
          <w:rFonts w:ascii="Times New Roman" w:hAnsi="Times New Roman"/>
          <w:sz w:val="20"/>
        </w:rPr>
        <w:t xml:space="preserve"> 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Entire Agreement.</w:t>
      </w:r>
      <w:r>
        <w:rPr>
          <w:rFonts w:ascii="Times New Roman" w:hAnsi="Times New Roman"/>
          <w:sz w:val="20"/>
        </w:rPr>
        <w:t xml:space="preserve"> This Agreement is intended by the parties as a final expression of their agreement and intended to be a complete and exclusive statement of the agreement and understanding of the parties hereto in respect of the subject matter contained herein. There are no restrictions, promises, warranties or undertakings, other than those set forth or referred to herein with respect to the registration rights granted by the Company with respect to the Registrable Notes. This Agreement supersedes all prior agreements and understandings between the parties with respect to such subject matter.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Third Party Beneficiaries.</w:t>
      </w:r>
      <w:r>
        <w:rPr>
          <w:rFonts w:ascii="Times New Roman" w:hAnsi="Times New Roman"/>
          <w:sz w:val="20"/>
        </w:rPr>
        <w:t xml:space="preserve"> The Holders shall be a third-party beneficiary to the agreements made hereunder between the Company, on the one hand, and the Purchasers, on the other hand, and shall have the right to enforce such agreements directly to the extent it deems such enforcement necessary or advisable to protect its rights or the rights of other Holders hereunder.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PennantPark Investment Corporation</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Arthur H. Penn</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Name: Arthur H. Penn</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Title: Chief Executive Officer</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Registration Rights Agreement (2031 Notes)]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Registration Rights Agreement is hereby confirmed and accepted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5"/>
        <w:gridCol w:w="61"/>
        <w:gridCol w:w="3646"/>
      </w:tblGrid>
      <w:tr>
        <w:trPr/>
        <w:tc>
          <w:tcPr>
            <w:tcW w:w="37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 HCM MASTER FUND LIMITED</w:t>
            </w:r>
          </w:p>
        </w:tc>
      </w:tr>
      <w:tr>
        <w:trPr>
          <w:trHeight w:val="24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6" w:type="dxa"/>
            <w:tcBorders>
              <w:bottom w:val="single" w:sz="2" w:space="0" w:color="000000"/>
            </w:tcBorders>
            <w:tcMar>
              <w:bottom w:w="28" w:type="dxa"/>
            </w:tcMar>
          </w:tcPr>
          <w:p>
            <w:pPr>
              <w:pStyle w:val="TableContents"/>
              <w:bidi w:val="0"/>
              <w:spacing w:before="0" w:after="283"/>
              <w:jc w:val="left"/>
              <w:rPr/>
            </w:pPr>
            <w:r>
              <w:rPr/>
              <w:t>/s/ Erik M. Herzfeld</w:t>
            </w:r>
          </w:p>
        </w:tc>
      </w:tr>
      <w:tr>
        <w:trPr/>
        <w:tc>
          <w:tcPr>
            <w:tcW w:w="375"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283"/>
              <w:jc w:val="left"/>
              <w:rPr/>
            </w:pPr>
            <w:r>
              <w:rPr/>
              <w:t xml:space="preserve">Name: </w:t>
            </w:r>
            <w:r>
              <w:rPr>
                <w:b/>
              </w:rPr>
              <w:t>E</w:t>
            </w:r>
            <w:r>
              <w:rPr>
                <w:b/>
                <w:sz w:val="20"/>
              </w:rPr>
              <w:t>RIK</w:t>
            </w:r>
            <w:r>
              <w:rPr>
                <w:b/>
              </w:rPr>
              <w:t xml:space="preserve"> M. H</w:t>
            </w:r>
            <w:r>
              <w:rPr>
                <w:b/>
                <w:sz w:val="20"/>
              </w:rPr>
              <w:t>ERZFELD</w:t>
            </w:r>
          </w:p>
        </w:tc>
      </w:tr>
      <w:tr>
        <w:trPr/>
        <w:tc>
          <w:tcPr>
            <w:tcW w:w="375"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283"/>
              <w:jc w:val="left"/>
              <w:rPr/>
            </w:pPr>
            <w:r>
              <w:rPr/>
              <w:t xml:space="preserve">Title: </w:t>
            </w:r>
            <w:r>
              <w:rPr>
                <w:b/>
              </w:rPr>
              <w:t>D</w:t>
            </w:r>
            <w:r>
              <w:rPr>
                <w:b/>
                <w:sz w:val="20"/>
              </w:rPr>
              <w:t>IRECTOR</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Registration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Registration Rights Agreement is hereby confirmed and accepted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7"/>
        <w:gridCol w:w="61"/>
        <w:gridCol w:w="3644"/>
      </w:tblGrid>
      <w:tr>
        <w:trPr/>
        <w:tc>
          <w:tcPr>
            <w:tcW w:w="37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w:t>
            </w:r>
            <w:r>
              <w:rPr>
                <w:b/>
                <w:sz w:val="20"/>
              </w:rPr>
              <w:t>OLBROOK</w:t>
            </w:r>
            <w:r>
              <w:rPr>
                <w:b/>
              </w:rPr>
              <w:t xml:space="preserve"> H</w:t>
            </w:r>
            <w:r>
              <w:rPr>
                <w:b/>
                <w:sz w:val="20"/>
              </w:rPr>
              <w:t>OLDINGS</w:t>
            </w:r>
            <w:r>
              <w:rPr>
                <w:b/>
              </w:rPr>
              <w:t>, I</w:t>
            </w:r>
            <w:r>
              <w:rPr>
                <w:b/>
                <w:sz w:val="20"/>
              </w:rPr>
              <w:t>NC</w:t>
            </w:r>
          </w:p>
        </w:tc>
      </w:tr>
      <w:tr>
        <w:trPr>
          <w:trHeight w:val="240" w:hRule="atLeast"/>
        </w:trPr>
        <w:tc>
          <w:tcPr>
            <w:tcW w:w="377" w:type="dxa"/>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r>
      <w:tr>
        <w:trPr/>
        <w:tc>
          <w:tcPr>
            <w:tcW w:w="377"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4" w:type="dxa"/>
            <w:tcBorders>
              <w:bottom w:val="single" w:sz="2" w:space="0" w:color="000000"/>
            </w:tcBorders>
            <w:tcMar>
              <w:bottom w:w="28" w:type="dxa"/>
            </w:tcMar>
          </w:tcPr>
          <w:p>
            <w:pPr>
              <w:pStyle w:val="TableContents"/>
              <w:bidi w:val="0"/>
              <w:spacing w:before="0" w:after="283"/>
              <w:jc w:val="left"/>
              <w:rPr/>
            </w:pPr>
            <w:r>
              <w:rPr/>
              <w:t>/s/ Scott Carmack</w:t>
            </w:r>
          </w:p>
        </w:tc>
      </w:tr>
      <w:tr>
        <w:trPr/>
        <w:tc>
          <w:tcPr>
            <w:tcW w:w="37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283"/>
              <w:jc w:val="left"/>
              <w:rPr/>
            </w:pPr>
            <w:r>
              <w:rPr/>
              <w:t>Name: Scott Carmack</w:t>
            </w:r>
          </w:p>
        </w:tc>
      </w:tr>
      <w:tr>
        <w:trPr/>
        <w:tc>
          <w:tcPr>
            <w:tcW w:w="37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283"/>
              <w:jc w:val="left"/>
              <w:rPr/>
            </w:pPr>
            <w:r>
              <w:rPr/>
              <w:t>Title: CEO</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Registration Rights Agreement]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Registration Rights Agreement is hereby confirmed and accepted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CROSSINGBRIDGE ADVISORS LLC AS INVESTMENT ADVISOR TO:</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b/>
              </w:rPr>
            </w:pPr>
            <w:r>
              <w:rPr>
                <w:rFonts w:ascii="Times New Roman" w:hAnsi="Times New Roman"/>
                <w:b/>
              </w:rPr>
              <w:t>C</w:t>
            </w:r>
            <w:r>
              <w:rPr>
                <w:rFonts w:ascii="Times New Roman" w:hAnsi="Times New Roman"/>
                <w:b/>
                <w:sz w:val="20"/>
              </w:rPr>
              <w:t>ROSSING</w:t>
            </w:r>
            <w:r>
              <w:rPr>
                <w:rFonts w:ascii="Times New Roman" w:hAnsi="Times New Roman"/>
                <w:b/>
              </w:rPr>
              <w:t>B</w:t>
            </w:r>
            <w:r>
              <w:rPr>
                <w:rFonts w:ascii="Times New Roman" w:hAnsi="Times New Roman"/>
                <w:b/>
                <w:sz w:val="20"/>
              </w:rPr>
              <w:t>RIDGE</w:t>
            </w:r>
            <w:r>
              <w:rPr>
                <w:rFonts w:ascii="Times New Roman" w:hAnsi="Times New Roman"/>
                <w:b/>
              </w:rPr>
              <w:t xml:space="preserve"> L</w:t>
            </w:r>
            <w:r>
              <w:rPr>
                <w:rFonts w:ascii="Times New Roman" w:hAnsi="Times New Roman"/>
                <w:b/>
                <w:sz w:val="20"/>
              </w:rPr>
              <w:t>OW</w:t>
            </w:r>
            <w:r>
              <w:rPr>
                <w:rFonts w:ascii="Times New Roman" w:hAnsi="Times New Roman"/>
                <w:b/>
              </w:rPr>
              <w:t xml:space="preserve"> D</w:t>
            </w:r>
            <w:r>
              <w:rPr>
                <w:rFonts w:ascii="Times New Roman" w:hAnsi="Times New Roman"/>
                <w:b/>
                <w:sz w:val="20"/>
              </w:rPr>
              <w:t>URATION</w:t>
            </w:r>
            <w:r>
              <w:rPr>
                <w:rFonts w:ascii="Times New Roman" w:hAnsi="Times New Roman"/>
                <w:b/>
              </w:rPr>
              <w:t xml:space="preserve"> H</w:t>
            </w:r>
            <w:r>
              <w:rPr>
                <w:rFonts w:ascii="Times New Roman" w:hAnsi="Times New Roman"/>
                <w:b/>
                <w:sz w:val="20"/>
              </w:rPr>
              <w:t>IGH</w:t>
            </w:r>
            <w:r>
              <w:rPr>
                <w:rFonts w:ascii="Times New Roman" w:hAnsi="Times New Roman"/>
                <w:b/>
              </w:rPr>
              <w:t xml:space="preserve"> I</w:t>
            </w:r>
            <w:r>
              <w:rPr>
                <w:rFonts w:ascii="Times New Roman" w:hAnsi="Times New Roman"/>
                <w:b/>
                <w:sz w:val="20"/>
              </w:rPr>
              <w:t>NCOME</w:t>
            </w:r>
            <w:r>
              <w:rPr>
                <w:rFonts w:ascii="Times New Roman" w:hAnsi="Times New Roman"/>
                <w:b/>
              </w:rPr>
              <w:t xml:space="preserve"> F</w:t>
            </w:r>
            <w:r>
              <w:rPr>
                <w:rFonts w:ascii="Times New Roman" w:hAnsi="Times New Roman"/>
                <w:b/>
                <w:sz w:val="20"/>
              </w:rPr>
              <w:t>UND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b/>
              </w:rPr>
            </w:pPr>
            <w:r>
              <w:rPr>
                <w:rFonts w:ascii="Times New Roman" w:hAnsi="Times New Roman"/>
                <w:b/>
              </w:rPr>
              <w:t>D</w:t>
            </w:r>
            <w:r>
              <w:rPr>
                <w:rFonts w:ascii="Times New Roman" w:hAnsi="Times New Roman"/>
                <w:b/>
                <w:sz w:val="20"/>
              </w:rPr>
              <w:t>ESTINATIONS</w:t>
            </w:r>
            <w:r>
              <w:rPr>
                <w:rFonts w:ascii="Times New Roman" w:hAnsi="Times New Roman"/>
                <w:b/>
              </w:rPr>
              <w:t xml:space="preserve"> L</w:t>
            </w:r>
            <w:r>
              <w:rPr>
                <w:rFonts w:ascii="Times New Roman" w:hAnsi="Times New Roman"/>
                <w:b/>
                <w:sz w:val="20"/>
              </w:rPr>
              <w:t>OW</w:t>
            </w:r>
            <w:r>
              <w:rPr>
                <w:rFonts w:ascii="Times New Roman" w:hAnsi="Times New Roman"/>
                <w:b/>
              </w:rPr>
              <w:t xml:space="preserve"> D</w:t>
            </w:r>
            <w:r>
              <w:rPr>
                <w:rFonts w:ascii="Times New Roman" w:hAnsi="Times New Roman"/>
                <w:b/>
                <w:sz w:val="20"/>
              </w:rPr>
              <w:t>URATION</w:t>
            </w:r>
            <w:r>
              <w:rPr>
                <w:rFonts w:ascii="Times New Roman" w:hAnsi="Times New Roman"/>
                <w:b/>
              </w:rPr>
              <w:t xml:space="preserve"> F</w:t>
            </w:r>
            <w:r>
              <w:rPr>
                <w:rFonts w:ascii="Times New Roman" w:hAnsi="Times New Roman"/>
                <w:b/>
                <w:sz w:val="20"/>
              </w:rPr>
              <w:t>IXED</w:t>
            </w:r>
            <w:r>
              <w:rPr>
                <w:rFonts w:ascii="Times New Roman" w:hAnsi="Times New Roman"/>
                <w:b/>
              </w:rPr>
              <w:t xml:space="preserve"> I</w:t>
            </w:r>
            <w:r>
              <w:rPr>
                <w:rFonts w:ascii="Times New Roman" w:hAnsi="Times New Roman"/>
                <w:b/>
                <w:sz w:val="20"/>
              </w:rPr>
              <w:t>NCOME</w:t>
            </w:r>
            <w:r>
              <w:rPr>
                <w:rFonts w:ascii="Times New Roman" w:hAnsi="Times New Roman"/>
                <w:b/>
              </w:rPr>
              <w:t xml:space="preserve"> F</w:t>
            </w:r>
            <w:r>
              <w:rPr>
                <w:rFonts w:ascii="Times New Roman" w:hAnsi="Times New Roman"/>
                <w:b/>
                <w:sz w:val="20"/>
              </w:rPr>
              <w:t>UND</w:t>
            </w:r>
          </w:p>
          <w:p>
            <w:pPr>
              <w:pStyle w:val="TableContents"/>
              <w:bidi w:val="0"/>
              <w:spacing w:before="0" w:after="0"/>
              <w:jc w:val="left"/>
              <w:rPr/>
            </w:pPr>
            <w:r>
              <w:rPr/>
              <w:t> </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b/>
              </w:rPr>
            </w:pPr>
            <w:r>
              <w:rPr>
                <w:rFonts w:ascii="Times New Roman" w:hAnsi="Times New Roman"/>
                <w:b/>
              </w:rPr>
              <w:t>C</w:t>
            </w:r>
            <w:r>
              <w:rPr>
                <w:rFonts w:ascii="Times New Roman" w:hAnsi="Times New Roman"/>
                <w:b/>
                <w:sz w:val="20"/>
              </w:rPr>
              <w:t>ROSSING</w:t>
            </w:r>
            <w:r>
              <w:rPr>
                <w:rFonts w:ascii="Times New Roman" w:hAnsi="Times New Roman"/>
                <w:b/>
              </w:rPr>
              <w:t>B</w:t>
            </w:r>
            <w:r>
              <w:rPr>
                <w:rFonts w:ascii="Times New Roman" w:hAnsi="Times New Roman"/>
                <w:b/>
                <w:sz w:val="20"/>
              </w:rPr>
              <w:t>RIDGE</w:t>
            </w:r>
            <w:r>
              <w:rPr>
                <w:rFonts w:ascii="Times New Roman" w:hAnsi="Times New Roman"/>
                <w:b/>
              </w:rPr>
              <w:t xml:space="preserve"> L</w:t>
            </w:r>
            <w:r>
              <w:rPr>
                <w:rFonts w:ascii="Times New Roman" w:hAnsi="Times New Roman"/>
                <w:b/>
                <w:sz w:val="20"/>
              </w:rPr>
              <w:t>OW</w:t>
            </w:r>
            <w:r>
              <w:rPr>
                <w:rFonts w:ascii="Times New Roman" w:hAnsi="Times New Roman"/>
                <w:b/>
              </w:rPr>
              <w:t xml:space="preserve"> D</w:t>
            </w:r>
            <w:r>
              <w:rPr>
                <w:rFonts w:ascii="Times New Roman" w:hAnsi="Times New Roman"/>
                <w:b/>
                <w:sz w:val="20"/>
              </w:rPr>
              <w:t>URATION</w:t>
            </w:r>
            <w:r>
              <w:rPr>
                <w:rFonts w:ascii="Times New Roman" w:hAnsi="Times New Roman"/>
                <w:b/>
              </w:rPr>
              <w:t xml:space="preserve"> H</w:t>
            </w:r>
            <w:r>
              <w:rPr>
                <w:rFonts w:ascii="Times New Roman" w:hAnsi="Times New Roman"/>
                <w:b/>
                <w:sz w:val="20"/>
              </w:rPr>
              <w:t>IGH</w:t>
            </w:r>
            <w:r>
              <w:rPr>
                <w:rFonts w:ascii="Times New Roman" w:hAnsi="Times New Roman"/>
                <w:b/>
              </w:rPr>
              <w:t xml:space="preserve"> I</w:t>
            </w:r>
            <w:r>
              <w:rPr>
                <w:rFonts w:ascii="Times New Roman" w:hAnsi="Times New Roman"/>
                <w:b/>
                <w:sz w:val="20"/>
              </w:rPr>
              <w:t>NCOME</w:t>
            </w:r>
            <w:r>
              <w:rPr>
                <w:rFonts w:ascii="Times New Roman" w:hAnsi="Times New Roman"/>
                <w:b/>
              </w:rPr>
              <w:t xml:space="preserve"> F</w:t>
            </w:r>
            <w:r>
              <w:rPr>
                <w:rFonts w:ascii="Times New Roman" w:hAnsi="Times New Roman"/>
                <w:b/>
                <w:sz w:val="20"/>
              </w:rPr>
              <w:t>UND</w:t>
            </w:r>
            <w:r>
              <w:rPr>
                <w:rFonts w:ascii="Times New Roman" w:hAnsi="Times New Roman"/>
                <w:b/>
              </w:rPr>
              <w:t xml:space="preserve"> (UCIT)</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4" w:type="dxa"/>
            <w:tcBorders>
              <w:bottom w:val="single" w:sz="2" w:space="0" w:color="000000"/>
            </w:tcBorders>
            <w:tcMar>
              <w:bottom w:w="28" w:type="dxa"/>
            </w:tcMar>
          </w:tcPr>
          <w:p>
            <w:pPr>
              <w:pStyle w:val="TableContents"/>
              <w:bidi w:val="0"/>
              <w:spacing w:before="0" w:after="283"/>
              <w:jc w:val="left"/>
              <w:rPr/>
            </w:pPr>
            <w:r>
              <w:rPr/>
              <w:t>/s/ David Sherman</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 xml:space="preserve">Name: </w:t>
            </w:r>
            <w:r>
              <w:rPr>
                <w:b/>
              </w:rPr>
              <w:t>D</w:t>
            </w:r>
            <w:r>
              <w:rPr>
                <w:b/>
                <w:sz w:val="20"/>
              </w:rPr>
              <w:t>AVID</w:t>
            </w:r>
            <w:r>
              <w:rPr>
                <w:b/>
              </w:rPr>
              <w:t xml:space="preserve"> S</w:t>
            </w:r>
            <w:r>
              <w:rPr>
                <w:b/>
                <w:sz w:val="20"/>
              </w:rPr>
              <w:t>HERMAN</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Title: </w:t>
            </w:r>
            <w:r>
              <w:rPr>
                <w:rFonts w:ascii="Times New Roman" w:hAnsi="Times New Roman"/>
                <w:b/>
                <w:sz w:val="20"/>
              </w:rPr>
              <w:t>AUTHORIZED AGENT AS INVESTMENT</w:t>
            </w:r>
          </w:p>
          <w:p>
            <w:pPr>
              <w:pStyle w:val="TableContents"/>
              <w:bidi w:val="0"/>
              <w:spacing w:before="0" w:after="20"/>
              <w:jc w:val="left"/>
              <w:rPr>
                <w:rFonts w:ascii="Times New Roman" w:hAnsi="Times New Roman"/>
                <w:b/>
                <w:sz w:val="20"/>
              </w:rPr>
            </w:pPr>
            <w:r>
              <w:rPr>
                <w:rFonts w:ascii="Times New Roman" w:hAnsi="Times New Roman"/>
                <w:b/>
                <w:sz w:val="20"/>
              </w:rPr>
              <w:t>ADVISOR</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Registration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Registration Rights Agreement is hereby confirmed and accepted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w:t>
            </w:r>
            <w:r>
              <w:rPr>
                <w:b/>
                <w:sz w:val="20"/>
              </w:rPr>
              <w:t>IFESECURE</w:t>
            </w:r>
            <w:r>
              <w:rPr>
                <w:b/>
              </w:rPr>
              <w:t xml:space="preserve"> I</w:t>
            </w:r>
            <w:r>
              <w:rPr>
                <w:b/>
                <w:sz w:val="20"/>
              </w:rPr>
              <w:t>NSURANCE</w:t>
            </w:r>
            <w:r>
              <w:rPr>
                <w:b/>
              </w:rPr>
              <w:t xml:space="preserve"> C</w:t>
            </w:r>
            <w:r>
              <w:rPr>
                <w:b/>
                <w:sz w:val="20"/>
              </w:rPr>
              <w:t>OMPANY</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Zach Alpern</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Name: Zach Alpern</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283"/>
              <w:jc w:val="left"/>
              <w:rPr/>
            </w:pPr>
            <w:r>
              <w:rPr/>
              <w:t>Title: P</w:t>
            </w:r>
            <w:r>
              <w:rPr>
                <w:sz w:val="20"/>
              </w:rPr>
              <w:t>ORTFOLIO</w:t>
            </w:r>
            <w:r>
              <w:rPr/>
              <w:t xml:space="preserve"> M</w:t>
            </w:r>
            <w:r>
              <w:rPr>
                <w:sz w:val="20"/>
              </w:rPr>
              <w:t>ANAGER</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Registration Rights Agreement]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Registration Rights Agreement is hereby confirmed and accepted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3"/>
        <w:gridCol w:w="60"/>
        <w:gridCol w:w="3649"/>
      </w:tblGrid>
      <w:tr>
        <w:trPr/>
        <w:tc>
          <w:tcPr>
            <w:tcW w:w="3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w:t>
            </w:r>
            <w:r>
              <w:rPr>
                <w:b/>
                <w:sz w:val="20"/>
              </w:rPr>
              <w:t>HE</w:t>
            </w:r>
            <w:r>
              <w:rPr>
                <w:b/>
              </w:rPr>
              <w:t xml:space="preserve"> F</w:t>
            </w:r>
            <w:r>
              <w:rPr>
                <w:b/>
                <w:sz w:val="20"/>
              </w:rPr>
              <w:t>IRST</w:t>
            </w:r>
            <w:r>
              <w:rPr>
                <w:b/>
              </w:rPr>
              <w:t xml:space="preserve"> N</w:t>
            </w:r>
            <w:r>
              <w:rPr>
                <w:b/>
                <w:sz w:val="20"/>
              </w:rPr>
              <w:t>ATIONAL</w:t>
            </w:r>
            <w:r>
              <w:rPr>
                <w:b/>
              </w:rPr>
              <w:t xml:space="preserve"> B</w:t>
            </w:r>
            <w:r>
              <w:rPr>
                <w:b/>
                <w:sz w:val="20"/>
              </w:rPr>
              <w:t>ANK</w:t>
            </w:r>
            <w:r>
              <w:rPr>
                <w:b/>
              </w:rPr>
              <w:t xml:space="preserve"> </w:t>
            </w:r>
            <w:r>
              <w:rPr>
                <w:b/>
                <w:sz w:val="20"/>
              </w:rPr>
              <w:t>AND</w:t>
            </w:r>
            <w:r>
              <w:rPr>
                <w:b/>
              </w:rPr>
              <w:t xml:space="preserve"> T</w:t>
            </w:r>
            <w:r>
              <w:rPr>
                <w:b/>
                <w:sz w:val="20"/>
              </w:rPr>
              <w:t>RUST</w:t>
            </w:r>
            <w:r>
              <w:rPr>
                <w:b/>
              </w:rPr>
              <w:t xml:space="preserve"> C</w:t>
            </w:r>
            <w:r>
              <w:rPr>
                <w:b/>
                <w:sz w:val="20"/>
              </w:rPr>
              <w:t>O</w:t>
            </w:r>
            <w:r>
              <w:rPr>
                <w:b/>
              </w:rPr>
              <w:t>.</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9" w:type="dxa"/>
            <w:tcBorders>
              <w:bottom w:val="single" w:sz="2" w:space="0" w:color="000000"/>
            </w:tcBorders>
            <w:tcMar>
              <w:bottom w:w="28" w:type="dxa"/>
            </w:tcMar>
          </w:tcPr>
          <w:p>
            <w:pPr>
              <w:pStyle w:val="TableContents"/>
              <w:bidi w:val="0"/>
              <w:spacing w:before="0" w:after="283"/>
              <w:jc w:val="left"/>
              <w:rPr/>
            </w:pPr>
            <w:r>
              <w:rPr/>
              <w:t>/s/ Kyle A. Abrahams</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 xml:space="preserve">Name: </w:t>
            </w:r>
            <w:r>
              <w:rPr>
                <w:b/>
              </w:rPr>
              <w:t>K</w:t>
            </w:r>
            <w:r>
              <w:rPr>
                <w:b/>
                <w:sz w:val="20"/>
              </w:rPr>
              <w:t>YLE</w:t>
            </w:r>
            <w:r>
              <w:rPr>
                <w:b/>
              </w:rPr>
              <w:t xml:space="preserve"> A. A</w:t>
            </w:r>
            <w:r>
              <w:rPr>
                <w:b/>
                <w:sz w:val="20"/>
              </w:rPr>
              <w:t>BRAHAMS</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 xml:space="preserve">Title: </w:t>
            </w:r>
            <w:r>
              <w:rPr>
                <w:b/>
              </w:rPr>
              <w:t>EVP / CFO</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Registration Rights Agreement]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Registration Rights Agreement is hereby confirmed and accepted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W</w:t>
            </w:r>
            <w:r>
              <w:rPr>
                <w:b/>
                <w:sz w:val="20"/>
              </w:rPr>
              <w:t>INTHROP</w:t>
            </w:r>
            <w:r>
              <w:rPr>
                <w:b/>
              </w:rPr>
              <w:t xml:space="preserve"> C</w:t>
            </w:r>
            <w:r>
              <w:rPr>
                <w:b/>
                <w:sz w:val="20"/>
              </w:rPr>
              <w:t>APITAL</w:t>
            </w:r>
            <w:r>
              <w:rPr>
                <w:b/>
              </w:rPr>
              <w:t xml:space="preserve"> M</w:t>
            </w:r>
            <w:r>
              <w:rPr>
                <w:b/>
                <w:sz w:val="20"/>
              </w:rPr>
              <w:t>ANAGEMENT</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5" w:type="dxa"/>
            <w:tcBorders>
              <w:bottom w:val="single" w:sz="2" w:space="0" w:color="000000"/>
            </w:tcBorders>
            <w:tcMar>
              <w:bottom w:w="28" w:type="dxa"/>
            </w:tcMar>
          </w:tcPr>
          <w:p>
            <w:pPr>
              <w:pStyle w:val="TableContents"/>
              <w:bidi w:val="0"/>
              <w:spacing w:before="0" w:after="283"/>
              <w:jc w:val="left"/>
              <w:rPr/>
            </w:pPr>
            <w:r>
              <w:rPr/>
              <w:t>/s/ Adam Coons</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Adam Coons</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Chief Investment Officer</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Registration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Registration Rights Agreement is hereby confirmed and accepted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KSKJ Life</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7" w:type="dxa"/>
            <w:tcBorders>
              <w:bottom w:val="single" w:sz="2" w:space="0" w:color="000000"/>
            </w:tcBorders>
            <w:tcMar>
              <w:bottom w:w="28" w:type="dxa"/>
            </w:tcMar>
          </w:tcPr>
          <w:p>
            <w:pPr>
              <w:pStyle w:val="TableContents"/>
              <w:bidi w:val="0"/>
              <w:spacing w:before="0" w:after="283"/>
              <w:jc w:val="left"/>
              <w:rPr/>
            </w:pPr>
            <w:r>
              <w:rPr/>
              <w:t>/s/ Brian Sharp</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Name: Brian Sharp</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Title: CFO</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Registration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Registration Rights Agreement is hereby confirmed and accepted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3"/>
        <w:gridCol w:w="60"/>
        <w:gridCol w:w="3649"/>
      </w:tblGrid>
      <w:tr>
        <w:trPr/>
        <w:tc>
          <w:tcPr>
            <w:tcW w:w="3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w:t>
            </w:r>
            <w:r>
              <w:rPr>
                <w:b/>
                <w:sz w:val="20"/>
              </w:rPr>
              <w:t>ANK</w:t>
            </w:r>
            <w:r>
              <w:rPr>
                <w:b/>
              </w:rPr>
              <w:t xml:space="preserve"> </w:t>
            </w:r>
            <w:r>
              <w:rPr>
                <w:b/>
                <w:sz w:val="20"/>
              </w:rPr>
              <w:t>OF</w:t>
            </w:r>
            <w:r>
              <w:rPr>
                <w:b/>
              </w:rPr>
              <w:t xml:space="preserve"> G</w:t>
            </w:r>
            <w:r>
              <w:rPr>
                <w:b/>
                <w:sz w:val="20"/>
              </w:rPr>
              <w:t>UYANA</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9" w:type="dxa"/>
            <w:tcBorders>
              <w:bottom w:val="single" w:sz="2" w:space="0" w:color="000000"/>
            </w:tcBorders>
            <w:tcMar>
              <w:bottom w:w="28" w:type="dxa"/>
            </w:tcMar>
          </w:tcPr>
          <w:p>
            <w:pPr>
              <w:pStyle w:val="TableContents"/>
              <w:bidi w:val="0"/>
              <w:spacing w:before="0" w:after="283"/>
              <w:jc w:val="left"/>
              <w:rPr/>
            </w:pPr>
            <w:r>
              <w:rPr/>
              <w:t>/s/ Maurice Munro</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Name: Maurice Munro</w:t>
            </w:r>
          </w:p>
        </w:tc>
      </w:tr>
      <w:tr>
        <w:trPr/>
        <w:tc>
          <w:tcPr>
            <w:tcW w:w="37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9" w:type="dxa"/>
            <w:tcBorders/>
          </w:tcPr>
          <w:p>
            <w:pPr>
              <w:pStyle w:val="TableContents"/>
              <w:bidi w:val="0"/>
              <w:spacing w:before="0" w:after="283"/>
              <w:jc w:val="left"/>
              <w:rPr/>
            </w:pPr>
            <w:r>
              <w:rPr/>
              <w:t>Title: Chief Accountant</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Registration Rights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Registration Rights Agreement is hereby confirmed and accepted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w:t>
            </w:r>
            <w:r>
              <w:rPr>
                <w:b/>
                <w:sz w:val="20"/>
              </w:rPr>
              <w:t>EW</w:t>
            </w:r>
            <w:r>
              <w:rPr>
                <w:b/>
              </w:rPr>
              <w:t>G</w:t>
            </w:r>
            <w:r>
              <w:rPr>
                <w:b/>
                <w:sz w:val="20"/>
              </w:rPr>
              <w:t>EN</w:t>
            </w:r>
            <w:r>
              <w:rPr>
                <w:b/>
              </w:rPr>
              <w:t xml:space="preserve"> C</w:t>
            </w:r>
            <w:r>
              <w:rPr>
                <w:b/>
                <w:sz w:val="20"/>
              </w:rPr>
              <w:t>REDIT</w:t>
            </w:r>
            <w:r>
              <w:rPr>
                <w:b/>
              </w:rPr>
              <w:t xml:space="preserve"> S</w:t>
            </w:r>
            <w:r>
              <w:rPr>
                <w:b/>
                <w:sz w:val="20"/>
              </w:rPr>
              <w:t>TRATEGIES</w:t>
            </w:r>
            <w:r>
              <w:rPr>
                <w:b/>
              </w:rPr>
              <w:t xml:space="preserve"> F</w:t>
            </w:r>
            <w:r>
              <w:rPr>
                <w:b/>
                <w:sz w:val="20"/>
              </w:rPr>
              <w:t>UND</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/s/ Adam Mitchell</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 xml:space="preserve">Name: </w:t>
            </w:r>
            <w:r>
              <w:rPr>
                <w:b/>
              </w:rPr>
              <w:t>A</w:t>
            </w:r>
            <w:r>
              <w:rPr>
                <w:b/>
                <w:sz w:val="20"/>
              </w:rPr>
              <w:t>DAM</w:t>
            </w:r>
            <w:r>
              <w:rPr>
                <w:b/>
              </w:rPr>
              <w:t xml:space="preserve"> M</w:t>
            </w:r>
            <w:r>
              <w:rPr>
                <w:b/>
                <w:sz w:val="20"/>
              </w:rPr>
              <w:t>ITCHELL</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 xml:space="preserve">Title: </w:t>
            </w:r>
            <w:r>
              <w:rPr>
                <w:b/>
              </w:rPr>
              <w:t>P</w:t>
            </w:r>
            <w:r>
              <w:rPr>
                <w:b/>
                <w:sz w:val="20"/>
              </w:rPr>
              <w:t>ORTFOLIO</w:t>
            </w:r>
            <w:r>
              <w:rPr>
                <w:b/>
              </w:rPr>
              <w:t xml:space="preserve"> M</w:t>
            </w:r>
            <w:r>
              <w:rPr>
                <w:b/>
                <w:sz w:val="20"/>
              </w:rPr>
              <w:t>ANAGER</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Registration Rights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I </w:t>
      </w:r>
    </w:p>
    <w:p>
      <w:pPr>
        <w:pStyle w:val="TextBody"/>
        <w:bidi w:val="0"/>
        <w:spacing w:before="240" w:after="0"/>
        <w:jc w:val="center"/>
        <w:rPr>
          <w:rFonts w:ascii="Times New Roman" w:hAnsi="Times New Roman"/>
          <w:b/>
          <w:sz w:val="20"/>
        </w:rPr>
      </w:pPr>
      <w:r>
        <w:rPr>
          <w:rFonts w:ascii="Times New Roman" w:hAnsi="Times New Roman"/>
          <w:b/>
          <w:sz w:val="20"/>
        </w:rPr>
        <w:t xml:space="preserve">Purchasers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p>
    <w:p>
      <w:pPr>
        <w:pStyle w:val="TextBody"/>
        <w:bidi w:val="0"/>
        <w:spacing w:before="0" w:after="0"/>
        <w:jc w:val="right"/>
        <w:rPr>
          <w:rFonts w:ascii="Times New Roman" w:hAnsi="Times New Roman"/>
          <w:b/>
          <w:sz w:val="20"/>
        </w:rPr>
      </w:pPr>
      <w:bookmarkStart w:id="6" w:name="d528646dex103.htm"/>
      <w:bookmarkStart w:id="7" w:name="ksd528646dex103"/>
      <w:bookmarkEnd w:id="6"/>
      <w:bookmarkEnd w:id="7"/>
      <w:r>
        <w:rPr>
          <w:rFonts w:ascii="Times New Roman" w:hAnsi="Times New Roman"/>
          <w:b/>
          <w:sz w:val="20"/>
        </w:rPr>
        <w:t xml:space="preserve">Exhibit 10.3 </w:t>
      </w:r>
      <w:r>
        <w:br w:type="page"/>
      </w:r>
    </w:p>
    <w:p>
      <w:pPr>
        <w:pStyle w:val="TextBody"/>
        <w:bidi w:val="0"/>
        <w:spacing w:before="24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between </w:t>
      </w:r>
    </w:p>
    <w:p>
      <w:pPr>
        <w:pStyle w:val="TextBody"/>
        <w:bidi w:val="0"/>
        <w:spacing w:before="240" w:after="0"/>
        <w:jc w:val="center"/>
        <w:rPr>
          <w:rFonts w:ascii="Times New Roman" w:hAnsi="Times New Roman"/>
          <w:b/>
          <w:sz w:val="20"/>
        </w:rPr>
      </w:pPr>
      <w:r>
        <w:rPr>
          <w:rFonts w:ascii="Times New Roman" w:hAnsi="Times New Roman"/>
          <w:b/>
          <w:sz w:val="20"/>
        </w:rPr>
        <w:t xml:space="preserve">PennantPark Investment Corporation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the Purchaser listed on Schedule I hereto </w:t>
      </w:r>
    </w:p>
    <w:p>
      <w:pPr>
        <w:pStyle w:val="TextBody"/>
        <w:bidi w:val="0"/>
        <w:spacing w:before="240" w:after="0"/>
        <w:jc w:val="center"/>
        <w:rPr>
          <w:rFonts w:ascii="Times New Roman" w:hAnsi="Times New Roman"/>
          <w:sz w:val="20"/>
        </w:rPr>
      </w:pPr>
      <w:r>
        <w:rPr>
          <w:rFonts w:ascii="Times New Roman" w:hAnsi="Times New Roman"/>
          <w:sz w:val="20"/>
        </w:rPr>
        <w:t xml:space="preserve">Dated as of September 1,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sz w:val="20"/>
        </w:rPr>
        <w:t>This Registration Rights Agreement (this “</w:t>
      </w:r>
      <w:r>
        <w:rPr>
          <w:rFonts w:ascii="Times New Roman" w:hAnsi="Times New Roman"/>
          <w:b/>
          <w:i/>
          <w:sz w:val="20"/>
        </w:rPr>
        <w:t>Agreement</w:t>
      </w:r>
      <w:r>
        <w:rPr>
          <w:rFonts w:ascii="Times New Roman" w:hAnsi="Times New Roman"/>
          <w:sz w:val="20"/>
        </w:rPr>
        <w:t>”) is made and entered into as of September 1, 2026, by and between PennantPark Investment Corporation, a Maryland corporation (the “</w:t>
      </w:r>
      <w:r>
        <w:rPr>
          <w:rFonts w:ascii="Times New Roman" w:hAnsi="Times New Roman"/>
          <w:b/>
          <w:i/>
          <w:sz w:val="20"/>
        </w:rPr>
        <w:t>Company</w:t>
      </w:r>
      <w:r>
        <w:rPr>
          <w:rFonts w:ascii="Times New Roman" w:hAnsi="Times New Roman"/>
          <w:sz w:val="20"/>
        </w:rPr>
        <w:t>”), and the Purchaser listed on Schedule I hereto (the “</w:t>
      </w:r>
      <w:r>
        <w:rPr>
          <w:rFonts w:ascii="Times New Roman" w:hAnsi="Times New Roman"/>
          <w:b/>
          <w:i/>
          <w:sz w:val="20"/>
        </w:rPr>
        <w:t>Purchaser</w:t>
      </w:r>
      <w:r>
        <w:rPr>
          <w:rFonts w:ascii="Times New Roman" w:hAnsi="Times New Roman"/>
          <w:sz w:val="20"/>
        </w:rPr>
        <w:t>”) in connection with the sale by the Company of $2,000,000 aggregate principal amount of the Company’s 7.25% Senior Unsecured Notes due September 30, 2029 (the “</w:t>
      </w:r>
      <w:r>
        <w:rPr>
          <w:rFonts w:ascii="Times New Roman" w:hAnsi="Times New Roman"/>
          <w:b/>
          <w:i/>
          <w:sz w:val="20"/>
        </w:rPr>
        <w:t>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This Agreement is made pursuant to the Note Purchase Agreement, dated as of September 1, 2026 (the “</w:t>
      </w:r>
      <w:r>
        <w:rPr>
          <w:rFonts w:ascii="Times New Roman" w:hAnsi="Times New Roman"/>
          <w:b/>
          <w:i/>
          <w:sz w:val="20"/>
        </w:rPr>
        <w:t>Purchase Agreement</w:t>
      </w:r>
      <w:r>
        <w:rPr>
          <w:rFonts w:ascii="Times New Roman" w:hAnsi="Times New Roman"/>
          <w:sz w:val="20"/>
        </w:rPr>
        <w:t xml:space="preserve">”), by and between the Company and the Purchaser for the benefit of the Purchaser. In order to induce the Purchaser to purchase the Notes, the Company has agreed to provide the registration rights set forth in this Agreement. The execution and delivery of this Agreement is a condition to the obligations of the Purchaser as set forth in Section 4.7 of the Purchase Agreement. The parties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1. </w:t>
      </w:r>
      <w:r>
        <w:rPr>
          <w:rFonts w:ascii="Times New Roman" w:hAnsi="Times New Roman"/>
          <w:i/>
          <w:sz w:val="20"/>
        </w:rPr>
        <w:t>Definitions</w:t>
      </w:r>
      <w:r>
        <w:rPr>
          <w:rFonts w:ascii="Times New Roman" w:hAnsi="Times New Roman"/>
          <w:sz w:val="20"/>
        </w:rPr>
        <w:t xml:space="preserve">. As used in this Agreement, the following capitalized terms shall have the following meanings: </w:t>
      </w:r>
    </w:p>
    <w:p>
      <w:pPr>
        <w:pStyle w:val="TextBody"/>
        <w:bidi w:val="0"/>
        <w:spacing w:before="120" w:after="0"/>
        <w:jc w:val="left"/>
        <w:rPr>
          <w:rFonts w:ascii="Times New Roman" w:hAnsi="Times New Roman"/>
          <w:sz w:val="20"/>
        </w:rPr>
      </w:pPr>
      <w:r>
        <w:rPr>
          <w:rFonts w:ascii="Times New Roman" w:hAnsi="Times New Roman"/>
          <w:b/>
          <w:i/>
          <w:sz w:val="20"/>
        </w:rPr>
        <w:t>Additional Interest</w:t>
      </w:r>
      <w:r>
        <w:rPr>
          <w:rFonts w:ascii="Times New Roman" w:hAnsi="Times New Roman"/>
          <w:sz w:val="20"/>
        </w:rPr>
        <w:t xml:space="preserve">: As defined in Section 5 hereof. </w:t>
      </w:r>
    </w:p>
    <w:p>
      <w:pPr>
        <w:pStyle w:val="TextBody"/>
        <w:bidi w:val="0"/>
        <w:spacing w:before="240" w:after="0"/>
        <w:jc w:val="left"/>
        <w:rPr>
          <w:rFonts w:ascii="Times New Roman" w:hAnsi="Times New Roman"/>
          <w:sz w:val="20"/>
        </w:rPr>
      </w:pPr>
      <w:r>
        <w:rPr>
          <w:rFonts w:ascii="Times New Roman" w:hAnsi="Times New Roman"/>
          <w:b/>
          <w:i/>
          <w:sz w:val="20"/>
        </w:rPr>
        <w:t>Advice</w:t>
      </w:r>
      <w:r>
        <w:rPr>
          <w:rFonts w:ascii="Times New Roman" w:hAnsi="Times New Roman"/>
          <w:sz w:val="20"/>
        </w:rPr>
        <w:t xml:space="preserve">: As defined in the last paragraph of Section 6 hereof. </w:t>
      </w:r>
    </w:p>
    <w:p>
      <w:pPr>
        <w:pStyle w:val="TextBody"/>
        <w:bidi w:val="0"/>
        <w:spacing w:before="240" w:after="0"/>
        <w:jc w:val="left"/>
        <w:rPr>
          <w:rFonts w:ascii="Times New Roman" w:hAnsi="Times New Roman"/>
          <w:sz w:val="20"/>
        </w:rPr>
      </w:pPr>
      <w:r>
        <w:rPr>
          <w:rFonts w:ascii="Times New Roman" w:hAnsi="Times New Roman"/>
          <w:b/>
          <w:i/>
          <w:sz w:val="20"/>
        </w:rPr>
        <w:t>Agreement</w:t>
      </w:r>
      <w:r>
        <w:rPr>
          <w:rFonts w:ascii="Times New Roman" w:hAnsi="Times New Roman"/>
          <w:sz w:val="20"/>
        </w:rPr>
        <w:t xml:space="preserve">: 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Business Day</w:t>
      </w:r>
      <w:r>
        <w:rPr>
          <w:rFonts w:ascii="Times New Roman" w:hAnsi="Times New Roman"/>
          <w:sz w:val="20"/>
        </w:rPr>
        <w:t xml:space="preserve">: Any day other than a Saturday, a Sunday or a day on which commercial banks in New York, New York are required or authorized to be closed. </w:t>
      </w:r>
    </w:p>
    <w:p>
      <w:pPr>
        <w:pStyle w:val="TextBody"/>
        <w:bidi w:val="0"/>
        <w:spacing w:before="240" w:after="0"/>
        <w:jc w:val="left"/>
        <w:rPr>
          <w:rFonts w:ascii="Times New Roman" w:hAnsi="Times New Roman"/>
          <w:sz w:val="20"/>
        </w:rPr>
      </w:pPr>
      <w:r>
        <w:rPr>
          <w:rFonts w:ascii="Times New Roman" w:hAnsi="Times New Roman"/>
          <w:b/>
          <w:i/>
          <w:sz w:val="20"/>
        </w:rPr>
        <w:t>Commission</w:t>
      </w:r>
      <w:r>
        <w:rPr>
          <w:rFonts w:ascii="Times New Roman" w:hAnsi="Times New Roman"/>
          <w:sz w:val="20"/>
        </w:rPr>
        <w:t xml:space="preserve">: The U.S. Securities and Exchange Commission. </w:t>
      </w:r>
    </w:p>
    <w:p>
      <w:pPr>
        <w:pStyle w:val="TextBody"/>
        <w:bidi w:val="0"/>
        <w:spacing w:before="240" w:after="0"/>
        <w:jc w:val="left"/>
        <w:rPr>
          <w:rFonts w:ascii="Times New Roman" w:hAnsi="Times New Roman"/>
          <w:sz w:val="20"/>
        </w:rPr>
      </w:pPr>
      <w:r>
        <w:rPr>
          <w:rFonts w:ascii="Times New Roman" w:hAnsi="Times New Roman"/>
          <w:b/>
          <w:i/>
          <w:sz w:val="20"/>
        </w:rPr>
        <w:t>Company</w:t>
      </w:r>
      <w:r>
        <w:rPr>
          <w:rFonts w:ascii="Times New Roman" w:hAnsi="Times New Roman"/>
          <w:sz w:val="20"/>
        </w:rPr>
        <w:t xml:space="preserve">: 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Consummate</w:t>
      </w:r>
      <w:r>
        <w:rPr>
          <w:rFonts w:ascii="Times New Roman" w:hAnsi="Times New Roman"/>
          <w:sz w:val="20"/>
        </w:rPr>
        <w:t xml:space="preserve">: An Exchange Offer shall be deemed “Consummated” for purposes of this Agreement upon the occurrence of (a) the filing with the Commission of the Exchange Offer Registration Statement relating to the Exchange Notes to be issued in the Exchange Offer and its being declared effective under the Securities Act, (b) the maintenance of the continuous effectiveness of such Registration Statement, and the keeping of the Exchange Offer open, for a period not less than the minimum period required pursuant to Section 3(b) hereof, and (c) the delivery by the Company to the Holder of Exchange Notes in the same aggregate principal amount as the aggregate principal amount of Notes that were tendered by the Holder thereof pursuant to the Exchange Offer. </w:t>
      </w:r>
    </w:p>
    <w:p>
      <w:pPr>
        <w:pStyle w:val="TextBody"/>
        <w:bidi w:val="0"/>
        <w:spacing w:before="240" w:after="0"/>
        <w:jc w:val="left"/>
        <w:rPr>
          <w:rFonts w:ascii="Times New Roman" w:hAnsi="Times New Roman"/>
          <w:sz w:val="20"/>
        </w:rPr>
      </w:pPr>
      <w:r>
        <w:rPr>
          <w:rFonts w:ascii="Times New Roman" w:hAnsi="Times New Roman"/>
          <w:b/>
          <w:i/>
          <w:sz w:val="20"/>
        </w:rPr>
        <w:t>Controlling Person</w:t>
      </w:r>
      <w:r>
        <w:rPr>
          <w:rFonts w:ascii="Times New Roman" w:hAnsi="Times New Roman"/>
          <w:sz w:val="20"/>
        </w:rPr>
        <w:t xml:space="preserve">: As defined in Section 8(a) hereof. </w:t>
      </w:r>
    </w:p>
    <w:p>
      <w:pPr>
        <w:pStyle w:val="TextBody"/>
        <w:bidi w:val="0"/>
        <w:spacing w:before="240" w:after="0"/>
        <w:jc w:val="left"/>
        <w:rPr>
          <w:rFonts w:ascii="Times New Roman" w:hAnsi="Times New Roman"/>
          <w:sz w:val="20"/>
        </w:rPr>
      </w:pPr>
      <w:r>
        <w:rPr>
          <w:rFonts w:ascii="Times New Roman" w:hAnsi="Times New Roman"/>
          <w:b/>
          <w:i/>
          <w:sz w:val="20"/>
        </w:rPr>
        <w:t>Exchange Act</w:t>
      </w:r>
      <w:r>
        <w:rPr>
          <w:rFonts w:ascii="Times New Roman" w:hAnsi="Times New Roman"/>
          <w:sz w:val="20"/>
        </w:rPr>
        <w:t xml:space="preserve">: The Securities Exchange Act of 1934, as amended, and the rules and regulations promulgated thereunder.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Exchange Notes</w:t>
      </w:r>
      <w:r>
        <w:rPr>
          <w:rFonts w:ascii="Times New Roman" w:hAnsi="Times New Roman"/>
          <w:sz w:val="20"/>
        </w:rPr>
        <w:t xml:space="preserve">: The Notes represented by the global note issued pursuant to the Purchase Agreement, to be issued to the Holder in exchange for Registrable Notes pursuant to this Agreement. </w:t>
      </w:r>
    </w:p>
    <w:p>
      <w:pPr>
        <w:pStyle w:val="TextBody"/>
        <w:bidi w:val="0"/>
        <w:spacing w:before="240" w:after="0"/>
        <w:jc w:val="left"/>
        <w:rPr>
          <w:rFonts w:ascii="Times New Roman" w:hAnsi="Times New Roman"/>
          <w:sz w:val="20"/>
        </w:rPr>
      </w:pPr>
      <w:r>
        <w:rPr>
          <w:rFonts w:ascii="Times New Roman" w:hAnsi="Times New Roman"/>
          <w:b/>
          <w:i/>
          <w:sz w:val="20"/>
        </w:rPr>
        <w:t>Exchange Offer</w:t>
      </w:r>
      <w:r>
        <w:rPr>
          <w:rFonts w:ascii="Times New Roman" w:hAnsi="Times New Roman"/>
          <w:sz w:val="20"/>
        </w:rPr>
        <w:t xml:space="preserve">: The registration by the Company under the Securities Act of the Exchange Notes pursuant to a Registration Statement pursuant to which the Company offers the Holder of all outstanding Registrable Notes the opportunity to exchange all such outstanding Registrable Notes held by such Holder for Exchange Notes in an aggregate principal amount equal to the aggregate principal amount of the Registrable Notes tendered in such exchange offer by such Holder. </w:t>
      </w:r>
    </w:p>
    <w:p>
      <w:pPr>
        <w:pStyle w:val="TextBody"/>
        <w:bidi w:val="0"/>
        <w:spacing w:before="240" w:after="0"/>
        <w:jc w:val="left"/>
        <w:rPr>
          <w:rFonts w:ascii="Times New Roman" w:hAnsi="Times New Roman"/>
          <w:sz w:val="20"/>
        </w:rPr>
      </w:pPr>
      <w:r>
        <w:rPr>
          <w:rFonts w:ascii="Times New Roman" w:hAnsi="Times New Roman"/>
          <w:b/>
          <w:i/>
          <w:sz w:val="20"/>
        </w:rPr>
        <w:t>Exchange Offer Registration Statement</w:t>
      </w:r>
      <w:r>
        <w:rPr>
          <w:rFonts w:ascii="Times New Roman" w:hAnsi="Times New Roman"/>
          <w:sz w:val="20"/>
        </w:rPr>
        <w:t xml:space="preserve">: The Registration Statement relating to the Exchange Offer, including the related Prospectus. </w:t>
      </w:r>
    </w:p>
    <w:p>
      <w:pPr>
        <w:pStyle w:val="TextBody"/>
        <w:bidi w:val="0"/>
        <w:spacing w:before="240" w:after="0"/>
        <w:jc w:val="left"/>
        <w:rPr>
          <w:rFonts w:ascii="Times New Roman" w:hAnsi="Times New Roman"/>
          <w:sz w:val="20"/>
        </w:rPr>
      </w:pPr>
      <w:r>
        <w:rPr>
          <w:rFonts w:ascii="Times New Roman" w:hAnsi="Times New Roman"/>
          <w:b/>
          <w:i/>
          <w:sz w:val="20"/>
        </w:rPr>
        <w:t>FINRA</w:t>
      </w:r>
      <w:r>
        <w:rPr>
          <w:rFonts w:ascii="Times New Roman" w:hAnsi="Times New Roman"/>
          <w:sz w:val="20"/>
        </w:rPr>
        <w:t xml:space="preserve">: Financial Industry Regulatory Authority, Inc. </w:t>
      </w:r>
    </w:p>
    <w:p>
      <w:pPr>
        <w:pStyle w:val="TextBody"/>
        <w:bidi w:val="0"/>
        <w:spacing w:before="240" w:after="0"/>
        <w:jc w:val="left"/>
        <w:rPr>
          <w:rFonts w:ascii="Times New Roman" w:hAnsi="Times New Roman"/>
          <w:sz w:val="20"/>
        </w:rPr>
      </w:pPr>
      <w:r>
        <w:rPr>
          <w:rFonts w:ascii="Times New Roman" w:hAnsi="Times New Roman"/>
          <w:b/>
          <w:i/>
          <w:sz w:val="20"/>
        </w:rPr>
        <w:t>Holder</w:t>
      </w:r>
      <w:r>
        <w:rPr>
          <w:rFonts w:ascii="Times New Roman" w:hAnsi="Times New Roman"/>
          <w:sz w:val="20"/>
        </w:rPr>
        <w:t xml:space="preserve">: As defined in Section 2(b) hereof. </w:t>
      </w:r>
    </w:p>
    <w:p>
      <w:pPr>
        <w:pStyle w:val="TextBody"/>
        <w:bidi w:val="0"/>
        <w:spacing w:before="240" w:after="0"/>
        <w:jc w:val="left"/>
        <w:rPr>
          <w:rFonts w:ascii="Times New Roman" w:hAnsi="Times New Roman"/>
          <w:sz w:val="20"/>
        </w:rPr>
      </w:pPr>
      <w:r>
        <w:rPr>
          <w:rFonts w:ascii="Times New Roman" w:hAnsi="Times New Roman"/>
          <w:b/>
          <w:i/>
          <w:sz w:val="20"/>
        </w:rPr>
        <w:t>Indemnified Holder</w:t>
      </w:r>
      <w:r>
        <w:rPr>
          <w:rFonts w:ascii="Times New Roman" w:hAnsi="Times New Roman"/>
          <w:sz w:val="20"/>
        </w:rPr>
        <w:t xml:space="preserve">: As defined in Section 8(a) hereof. </w:t>
      </w:r>
    </w:p>
    <w:p>
      <w:pPr>
        <w:pStyle w:val="TextBody"/>
        <w:bidi w:val="0"/>
        <w:spacing w:before="240" w:after="0"/>
        <w:jc w:val="left"/>
        <w:rPr>
          <w:rFonts w:ascii="Times New Roman" w:hAnsi="Times New Roman"/>
          <w:sz w:val="20"/>
        </w:rPr>
      </w:pPr>
      <w:r>
        <w:rPr>
          <w:rFonts w:ascii="Times New Roman" w:hAnsi="Times New Roman"/>
          <w:b/>
          <w:i/>
          <w:sz w:val="20"/>
        </w:rPr>
        <w:t>Investment Company Act</w:t>
      </w:r>
      <w:r>
        <w:rPr>
          <w:rFonts w:ascii="Times New Roman" w:hAnsi="Times New Roman"/>
          <w:sz w:val="20"/>
        </w:rPr>
        <w:t xml:space="preserve">: As defined in Section 8(c) hereof. </w:t>
      </w:r>
    </w:p>
    <w:p>
      <w:pPr>
        <w:pStyle w:val="TextBody"/>
        <w:bidi w:val="0"/>
        <w:spacing w:before="240" w:after="0"/>
        <w:jc w:val="left"/>
        <w:rPr>
          <w:rFonts w:ascii="Times New Roman" w:hAnsi="Times New Roman"/>
          <w:sz w:val="20"/>
        </w:rPr>
      </w:pPr>
      <w:r>
        <w:rPr>
          <w:rFonts w:ascii="Times New Roman" w:hAnsi="Times New Roman"/>
          <w:b/>
          <w:i/>
          <w:sz w:val="20"/>
        </w:rPr>
        <w:t>Issue Date</w:t>
      </w:r>
      <w:r>
        <w:rPr>
          <w:rFonts w:ascii="Times New Roman" w:hAnsi="Times New Roman"/>
          <w:sz w:val="20"/>
        </w:rPr>
        <w:t xml:space="preserve">: September 1, 2026. </w:t>
      </w:r>
    </w:p>
    <w:p>
      <w:pPr>
        <w:pStyle w:val="TextBody"/>
        <w:bidi w:val="0"/>
        <w:spacing w:before="240" w:after="0"/>
        <w:jc w:val="left"/>
        <w:rPr>
          <w:rFonts w:ascii="Times New Roman" w:hAnsi="Times New Roman"/>
          <w:sz w:val="20"/>
        </w:rPr>
      </w:pPr>
      <w:r>
        <w:rPr>
          <w:rFonts w:ascii="Times New Roman" w:hAnsi="Times New Roman"/>
          <w:b/>
          <w:i/>
          <w:sz w:val="20"/>
        </w:rPr>
        <w:t>Notes</w:t>
      </w:r>
      <w:r>
        <w:rPr>
          <w:rFonts w:ascii="Times New Roman" w:hAnsi="Times New Roman"/>
          <w:sz w:val="20"/>
        </w:rPr>
        <w:t xml:space="preserve">: 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Payment Date</w:t>
      </w:r>
      <w:r>
        <w:rPr>
          <w:rFonts w:ascii="Times New Roman" w:hAnsi="Times New Roman"/>
          <w:sz w:val="20"/>
        </w:rPr>
        <w:t xml:space="preserve">: As defined in the global note representing the Notes. </w:t>
      </w:r>
    </w:p>
    <w:p>
      <w:pPr>
        <w:pStyle w:val="TextBody"/>
        <w:bidi w:val="0"/>
        <w:spacing w:before="240" w:after="0"/>
        <w:jc w:val="left"/>
        <w:rPr>
          <w:rFonts w:ascii="Times New Roman" w:hAnsi="Times New Roman"/>
          <w:sz w:val="20"/>
        </w:rPr>
      </w:pPr>
      <w:r>
        <w:rPr>
          <w:rFonts w:ascii="Times New Roman" w:hAnsi="Times New Roman"/>
          <w:b/>
          <w:i/>
          <w:sz w:val="20"/>
        </w:rPr>
        <w:t>Person</w:t>
      </w:r>
      <w:r>
        <w:rPr>
          <w:rFonts w:ascii="Times New Roman" w:hAnsi="Times New Roman"/>
          <w:sz w:val="20"/>
        </w:rPr>
        <w:t xml:space="preserve">: Any individual, corporation, limited liability company, partnership, joint venture, association, joint stock company, trust, unincorporated organization, government or any agency or political subdivision thereof or any other entity. </w:t>
      </w:r>
    </w:p>
    <w:p>
      <w:pPr>
        <w:pStyle w:val="TextBody"/>
        <w:bidi w:val="0"/>
        <w:spacing w:before="240" w:after="0"/>
        <w:jc w:val="left"/>
        <w:rPr>
          <w:rFonts w:ascii="Times New Roman" w:hAnsi="Times New Roman"/>
          <w:sz w:val="20"/>
        </w:rPr>
      </w:pPr>
      <w:r>
        <w:rPr>
          <w:rFonts w:ascii="Times New Roman" w:hAnsi="Times New Roman"/>
          <w:b/>
          <w:i/>
          <w:sz w:val="20"/>
        </w:rPr>
        <w:t>Placement</w:t>
      </w:r>
      <w:r>
        <w:rPr>
          <w:rFonts w:ascii="Times New Roman" w:hAnsi="Times New Roman"/>
          <w:sz w:val="20"/>
        </w:rPr>
        <w:t xml:space="preserve">: The issuance and sale by the Company of the Notes to the Purchaser pursuant to the Purchase Agreement. </w:t>
      </w:r>
    </w:p>
    <w:p>
      <w:pPr>
        <w:pStyle w:val="TextBody"/>
        <w:bidi w:val="0"/>
        <w:spacing w:before="240" w:after="0"/>
        <w:jc w:val="left"/>
        <w:rPr>
          <w:rFonts w:ascii="Times New Roman" w:hAnsi="Times New Roman"/>
          <w:sz w:val="20"/>
        </w:rPr>
      </w:pPr>
      <w:r>
        <w:rPr>
          <w:rFonts w:ascii="Times New Roman" w:hAnsi="Times New Roman"/>
          <w:b/>
          <w:i/>
          <w:sz w:val="20"/>
        </w:rPr>
        <w:t>Prospectus</w:t>
      </w:r>
      <w:r>
        <w:rPr>
          <w:rFonts w:ascii="Times New Roman" w:hAnsi="Times New Roman"/>
          <w:sz w:val="20"/>
        </w:rPr>
        <w:t xml:space="preserve">: The prospectus included in a Registration Statement, as amended or supplemented by any prospectus supplement and by all other amendments thereto, including post-effective amendments, and all material incorporated by reference into such prospectus. </w:t>
      </w:r>
    </w:p>
    <w:p>
      <w:pPr>
        <w:pStyle w:val="TextBody"/>
        <w:bidi w:val="0"/>
        <w:spacing w:before="240" w:after="0"/>
        <w:jc w:val="left"/>
        <w:rPr>
          <w:rFonts w:ascii="Times New Roman" w:hAnsi="Times New Roman"/>
          <w:sz w:val="20"/>
        </w:rPr>
      </w:pPr>
      <w:r>
        <w:rPr>
          <w:rFonts w:ascii="Times New Roman" w:hAnsi="Times New Roman"/>
          <w:b/>
          <w:i/>
          <w:sz w:val="20"/>
        </w:rPr>
        <w:t>Purchase Agreement</w:t>
      </w:r>
      <w:r>
        <w:rPr>
          <w:rFonts w:ascii="Times New Roman" w:hAnsi="Times New Roman"/>
          <w:sz w:val="20"/>
        </w:rPr>
        <w:t xml:space="preserve">: 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Purchaser</w:t>
      </w:r>
      <w:r>
        <w:rPr>
          <w:rFonts w:ascii="Times New Roman" w:hAnsi="Times New Roman"/>
          <w:sz w:val="20"/>
        </w:rPr>
        <w:t xml:space="preserve">: 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Registrable Notes</w:t>
      </w:r>
      <w:r>
        <w:rPr>
          <w:rFonts w:ascii="Times New Roman" w:hAnsi="Times New Roman"/>
          <w:sz w:val="20"/>
        </w:rPr>
        <w:t xml:space="preserve">: Each Note, until the earliest to occur of (a) the date on which such Note is exchanged in the Exchange Offer for an Exchange Note entitled to be resold to the public by the Holder thereof without complying with the prospectus delivery requirements of the Securities Act, (b) the date on which such Note has been effectively registered under the Securities Act and disposed of in accordance with a Shelf Registration Statement, (c) the date on which such Note does not bear a restricted CUSIP number and is sold pursuant to Rule 144 under the Securities Act under circumstances in which any legend borne by such Note relating to restrictions on transferability thereof, under the Securities Act or otherwise, is removed by the Company and (d) the date on which such Note ceases to be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Registrar</w:t>
      </w:r>
      <w:r>
        <w:rPr>
          <w:rFonts w:ascii="Times New Roman" w:hAnsi="Times New Roman"/>
          <w:sz w:val="20"/>
        </w:rPr>
        <w:t xml:space="preserve">: Equiniti Trust Company, LLC. </w:t>
      </w:r>
    </w:p>
    <w:p>
      <w:pPr>
        <w:pStyle w:val="TextBody"/>
        <w:bidi w:val="0"/>
        <w:spacing w:before="240" w:after="0"/>
        <w:jc w:val="left"/>
        <w:rPr>
          <w:rFonts w:ascii="Times New Roman" w:hAnsi="Times New Roman"/>
          <w:sz w:val="20"/>
        </w:rPr>
      </w:pPr>
      <w:r>
        <w:rPr>
          <w:rFonts w:ascii="Times New Roman" w:hAnsi="Times New Roman"/>
          <w:b/>
          <w:i/>
          <w:sz w:val="20"/>
        </w:rPr>
        <w:t>Registration Default</w:t>
      </w:r>
      <w:r>
        <w:rPr>
          <w:rFonts w:ascii="Times New Roman" w:hAnsi="Times New Roman"/>
          <w:sz w:val="20"/>
        </w:rPr>
        <w:t xml:space="preserve">: As defined in Section 5 hereof. </w:t>
      </w:r>
    </w:p>
    <w:p>
      <w:pPr>
        <w:pStyle w:val="TextBody"/>
        <w:bidi w:val="0"/>
        <w:spacing w:before="240" w:after="0"/>
        <w:jc w:val="left"/>
        <w:rPr>
          <w:rFonts w:ascii="Times New Roman" w:hAnsi="Times New Roman"/>
          <w:sz w:val="20"/>
        </w:rPr>
      </w:pPr>
      <w:r>
        <w:rPr>
          <w:rFonts w:ascii="Times New Roman" w:hAnsi="Times New Roman"/>
          <w:b/>
          <w:i/>
          <w:sz w:val="20"/>
        </w:rPr>
        <w:t>Registration Statement</w:t>
      </w:r>
      <w:r>
        <w:rPr>
          <w:rFonts w:ascii="Times New Roman" w:hAnsi="Times New Roman"/>
          <w:sz w:val="20"/>
        </w:rPr>
        <w:t xml:space="preserve">: Any registration statement of the Company relating to (a) an offering of Exchange Notes pursuant to an Exchange Offer or (b) the registration for resale of Registrable Notes pursuant to the Shelf Registration Statement, which is filed pursuant to the provisions of this Agreement, in each case, including the Prospectus included therein, all amendments and supplements thereto (including post-effective amendments) and all exhibits and material incorporated by reference therein. </w:t>
      </w:r>
    </w:p>
    <w:p>
      <w:pPr>
        <w:pStyle w:val="TextBody"/>
        <w:bidi w:val="0"/>
        <w:spacing w:before="240" w:after="0"/>
        <w:jc w:val="left"/>
        <w:rPr>
          <w:rFonts w:ascii="Times New Roman" w:hAnsi="Times New Roman"/>
          <w:sz w:val="20"/>
        </w:rPr>
      </w:pPr>
      <w:r>
        <w:rPr>
          <w:rFonts w:ascii="Times New Roman" w:hAnsi="Times New Roman"/>
          <w:b/>
          <w:i/>
          <w:sz w:val="20"/>
        </w:rPr>
        <w:t>Securities Act</w:t>
      </w:r>
      <w:r>
        <w:rPr>
          <w:rFonts w:ascii="Times New Roman" w:hAnsi="Times New Roman"/>
          <w:sz w:val="20"/>
        </w:rPr>
        <w:t xml:space="preserve">: The Securities Act of 1933,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b/>
          <w:i/>
          <w:sz w:val="20"/>
        </w:rPr>
        <w:t>Shelf Filing Deadline</w:t>
      </w:r>
      <w:r>
        <w:rPr>
          <w:rFonts w:ascii="Times New Roman" w:hAnsi="Times New Roman"/>
          <w:sz w:val="20"/>
        </w:rPr>
        <w:t xml:space="preserve">: As defined in Section 4(a)(x) hereof. </w:t>
      </w:r>
    </w:p>
    <w:p>
      <w:pPr>
        <w:pStyle w:val="TextBody"/>
        <w:bidi w:val="0"/>
        <w:spacing w:before="240" w:after="0"/>
        <w:jc w:val="left"/>
        <w:rPr>
          <w:rFonts w:ascii="Times New Roman" w:hAnsi="Times New Roman"/>
          <w:sz w:val="20"/>
        </w:rPr>
      </w:pPr>
      <w:r>
        <w:rPr>
          <w:rFonts w:ascii="Times New Roman" w:hAnsi="Times New Roman"/>
          <w:b/>
          <w:i/>
          <w:sz w:val="20"/>
        </w:rPr>
        <w:t>Shelf Registration Statement</w:t>
      </w:r>
      <w:r>
        <w:rPr>
          <w:rFonts w:ascii="Times New Roman" w:hAnsi="Times New Roman"/>
          <w:sz w:val="20"/>
        </w:rPr>
        <w:t xml:space="preserve">: As defined in Section 4(a)(x) hereof. </w:t>
      </w:r>
    </w:p>
    <w:p>
      <w:pPr>
        <w:pStyle w:val="TextBody"/>
        <w:bidi w:val="0"/>
        <w:spacing w:before="240" w:after="0"/>
        <w:jc w:val="left"/>
        <w:rPr>
          <w:rFonts w:ascii="Times New Roman" w:hAnsi="Times New Roman"/>
          <w:sz w:val="20"/>
        </w:rPr>
      </w:pPr>
      <w:r>
        <w:rPr>
          <w:rFonts w:ascii="Times New Roman" w:hAnsi="Times New Roman"/>
          <w:b/>
          <w:i/>
          <w:sz w:val="20"/>
        </w:rPr>
        <w:t>Suspension Period</w:t>
      </w:r>
      <w:r>
        <w:rPr>
          <w:rFonts w:ascii="Times New Roman" w:hAnsi="Times New Roman"/>
          <w:sz w:val="20"/>
        </w:rPr>
        <w:t xml:space="preserve">: As defined in the final paragraph of Section 6(c) hereof. </w:t>
      </w:r>
    </w:p>
    <w:p>
      <w:pPr>
        <w:pStyle w:val="TextBody"/>
        <w:bidi w:val="0"/>
        <w:spacing w:before="240" w:after="0"/>
        <w:jc w:val="left"/>
        <w:rPr>
          <w:rFonts w:ascii="Times New Roman" w:hAnsi="Times New Roman"/>
          <w:sz w:val="20"/>
        </w:rPr>
      </w:pPr>
      <w:r>
        <w:rPr>
          <w:rFonts w:ascii="Times New Roman" w:hAnsi="Times New Roman"/>
          <w:b/>
          <w:i/>
          <w:sz w:val="20"/>
        </w:rPr>
        <w:t>Underwritten Registration or Underwritten Offering</w:t>
      </w:r>
      <w:r>
        <w:rPr>
          <w:rFonts w:ascii="Times New Roman" w:hAnsi="Times New Roman"/>
          <w:sz w:val="20"/>
        </w:rPr>
        <w:t xml:space="preserve">: A registration in which securities of the Company are sold to one or more underwriters for reoffering to the public.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i/>
          <w:sz w:val="20"/>
        </w:rPr>
        <w:t>Notes Subject to this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Registrable Notes.</w:t>
      </w:r>
      <w:r>
        <w:rPr>
          <w:rFonts w:ascii="Times New Roman" w:hAnsi="Times New Roman"/>
          <w:sz w:val="20"/>
        </w:rPr>
        <w:t xml:space="preserve"> The securities entitled to the benefits of this Agreement are the Registrable Notes.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Holder of Registrable Notes.</w:t>
      </w:r>
      <w:r>
        <w:rPr>
          <w:rFonts w:ascii="Times New Roman" w:hAnsi="Times New Roman"/>
          <w:sz w:val="20"/>
        </w:rPr>
        <w:t xml:space="preserve"> A Person is deemed to be a holder of Registrable Notes (each, a “</w:t>
      </w:r>
      <w:r>
        <w:rPr>
          <w:rFonts w:ascii="Times New Roman" w:hAnsi="Times New Roman"/>
          <w:b/>
          <w:i/>
          <w:sz w:val="20"/>
        </w:rPr>
        <w:t>Holder</w:t>
      </w:r>
      <w:r>
        <w:rPr>
          <w:rFonts w:ascii="Times New Roman" w:hAnsi="Times New Roman"/>
          <w:sz w:val="20"/>
        </w:rPr>
        <w:t xml:space="preserve">”) whenever such Person owns Registrable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i/>
          <w:sz w:val="20"/>
        </w:rPr>
        <w:t>Registered Exchange Offer.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the Exchange Offer shall not be permissible under applicable law or Commission policy, the Company shall (i) use its commercially reasonable efforts to cause the Exchange Offer to be Consummated on the earliest practicable date after the Exchange Offer Registration Statement has become or been declared effective, but in no event later than 365 days after the Issue Date (or if such 365th day is not a Business Day, the next succeeding Business Day) and (ii) in connection with the foregoing, (A) file all pre-effective amendments to such Registration Statement as may be necessary in order to cause such Registration Statement to be declared effective, (B) if applicable, file a post-effective amendment under the Securities Act to such Registration Statement and (C) cause all necessary filings in connection with the registration and qualification of the Exchange Notes to be made under the state securities or blue sky laws of such jurisdictions as are necessary to permit Consummation of the Exchange Offer. The Exchange Offer Registration Statement shall be on the appropriate form permitting registration of the Exchange Notes to be offered in exchange for the Registrable Notes. The Company shall use its commercially reasonable efforts to cause all Exchange Notes to have the same CUSIP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shall use its commercially reasonable efforts to cause the Exchange Offer Registration Statement to be effective continuously and shall keep the Exchange Offer open for a period of not less than the minimum period required under applicable federal and state securities laws to Consummate the Exchange Offer;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shall such period be less than 20 Business Days after the commencement of the Exchange Offer. The Company shall cause the Exchange Offer to comply with all applicable federal and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i/>
          <w:sz w:val="20"/>
        </w:rPr>
        <w:t>Shelf 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Shelf Registration</w:t>
      </w:r>
      <w:r>
        <w:rPr>
          <w:rFonts w:ascii="Times New Roman" w:hAnsi="Times New Roman"/>
          <w:sz w:val="20"/>
        </w:rPr>
        <w:t xml:space="preserve">. If (i) the Company is not required to file an Exchange Offer Registration Statement or to consummate the Exchange Offer because the Exchange Offer is not permitted by applicable law or Commission policy, (ii) for any reason the Exchange Offer is not Consummated by 365 days after the Issue Date (or if such 365th day is not a Business Day, the next succeeding Business Day), or (iii) with respect to any Holder of Registrable Notes (A) such Holder is prohibited by applicable law or Commission policy from participating in the Exchange Offer, or (B) such Holder may not resell the Exchange Notes acquired by it in the Exchange Offer to the public without delivering a prospectus and the Prospectus contained in the Exchange Offer Registration Statement is not appropriate or available for such resales by such Holder, the Company shall: </w:t>
      </w:r>
    </w:p>
    <w:p>
      <w:pPr>
        <w:pStyle w:val="TextBody"/>
        <w:bidi w:val="0"/>
        <w:spacing w:before="120" w:after="0"/>
        <w:jc w:val="left"/>
        <w:rPr>
          <w:rFonts w:ascii="Times New Roman" w:hAnsi="Times New Roman"/>
          <w:sz w:val="20"/>
        </w:rPr>
      </w:pPr>
      <w:r>
        <w:rPr>
          <w:rFonts w:ascii="Times New Roman" w:hAnsi="Times New Roman"/>
          <w:sz w:val="20"/>
        </w:rPr>
        <w:t>(x) cause to be filed a shelf registration statement pursuant to Rule 415 under the Securities Act, which may be an amendment to the Exchange Offer Registration Statement (in either event, the “</w:t>
      </w:r>
      <w:r>
        <w:rPr>
          <w:rFonts w:ascii="Times New Roman" w:hAnsi="Times New Roman"/>
          <w:b/>
          <w:i/>
          <w:sz w:val="20"/>
        </w:rPr>
        <w:t>Shelf Registration Statement</w:t>
      </w:r>
      <w:r>
        <w:rPr>
          <w:rFonts w:ascii="Times New Roman" w:hAnsi="Times New Roman"/>
          <w:sz w:val="20"/>
        </w:rPr>
        <w:t>”), as soon as practicable, but in no event later than the earliest to occur of (1) the 60th day after the date on which the Company determines that it is not required to file the Exchange Offer Registration Statement, (2) the 60th day after the date on which the Company receives notice from a Holder of Registrable Notes as contemplated by clause (iii) above and (3) 365 days after the Issue Date (or if such 365th day is not a Business Day, the next succeeding Business Day) (the “</w:t>
      </w:r>
      <w:r>
        <w:rPr>
          <w:rFonts w:ascii="Times New Roman" w:hAnsi="Times New Roman"/>
          <w:b/>
          <w:i/>
          <w:sz w:val="20"/>
        </w:rPr>
        <w:t>Shelf Filing Deadline</w:t>
      </w:r>
      <w:r>
        <w:rPr>
          <w:rFonts w:ascii="Times New Roman" w:hAnsi="Times New Roman"/>
          <w:sz w:val="20"/>
        </w:rPr>
        <w:t xml:space="preserve">”), which Shelf Registration Statement shall provide for resales of all Registrable Notes the Holder of which shall have provided the information required pursuant to Section 4(b) hereof; and </w:t>
      </w:r>
    </w:p>
    <w:p>
      <w:pPr>
        <w:pStyle w:val="TextBody"/>
        <w:bidi w:val="0"/>
        <w:spacing w:before="120" w:after="0"/>
        <w:jc w:val="left"/>
        <w:rPr>
          <w:rFonts w:ascii="Times New Roman" w:hAnsi="Times New Roman"/>
          <w:sz w:val="20"/>
        </w:rPr>
      </w:pPr>
      <w:r>
        <w:rPr>
          <w:rFonts w:ascii="Times New Roman" w:hAnsi="Times New Roman"/>
          <w:sz w:val="20"/>
        </w:rPr>
        <w:t xml:space="preserve">(y) use its commercially reasonable efforts to cause such Shelf Registration Statement to become or be declared effective by the Commission at the earliest possible time, but in no event later than the 120th day after the Shelf Filing Deadline (or if such 120th day is not a Business Day, the next succeeding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shall use its commercially reasonable efforts to keep such Shelf Registration Statement continuously effective, supplemented and amended as required by the provisions of Sections 6(b) and (c) hereof to the extent necessary to ensure that it is available for resales of Registrable Notes entitled to the benefit of this Section 4(a), and to ensure that it conforms with the requirements of this Agreement, the Securities Act and the policies, rules and regulations of the Commission as announced from time to time, for a period of at least one year following the effective date of such Shelf Registration Statement (or such shorter period that will terminate when all the Notes covered by such Shelf Registration Statement have been sold pursuant to such Shelf Registration Statement or are otherwise no longer Registrable Notes).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Provision by Holder of Certain Information in Connection with the Shelf Registration Statement</w:t>
      </w:r>
      <w:r>
        <w:rPr>
          <w:rFonts w:ascii="Times New Roman" w:hAnsi="Times New Roman"/>
          <w:sz w:val="20"/>
        </w:rPr>
        <w:t xml:space="preserve">. No Holder of Registrable Notes may include any of its Registrable Notes in any Shelf Registration Statement pursuant to this Agreement unless and until such Holder furnishes to the Company in writing, within 10 Business Days after receipt of a request therefor, such information as the Company may reasonably request for use in connection with any Shelf Registration Statement or Prospectus or preliminary Prospectus included therein or amendment or supplement thereto. The Holder as to which any Shelf Registration Statement is being effected agrees to furnish promptly to the Company all information required to be disclosed in order to make the information previously furnished to the Company by such Holder not materially misleading.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i/>
          <w:sz w:val="20"/>
        </w:rPr>
        <w:t>Additional Interest.</w:t>
      </w:r>
      <w:r>
        <w:rPr>
          <w:rFonts w:ascii="Times New Roman" w:hAnsi="Times New Roman"/>
          <w:sz w:val="20"/>
        </w:rPr>
        <w:t xml:space="preserve"> If (i) unless the Exchange Offer shall not be permissible under applicable law or Commission policy, the Exchange Offer Registration Statement has not been Consummated on or prior to 365 days after the Issue Date (or if such 365th day is not a Business Day, the next succeeding Business Day), (ii) in the event the Company is required to file a Shelf Registration Statement pursuant to Section 4(a) hereof, (A) the Shelf Registration Statement is not filed by the Shelf Filing Deadline or (B) the Shelf Registration Statement has not become or been declared effective by the Commission on or prior to the 120th day after the Shelf Filing Deadline (or if such 120th day is not a Business Day, the next succeeding Business Day), or (iii) any Registration Statement required by this Agreement is filed and declared effective but shall thereafter cease to be effective or fail to be usable for its intended purpose without being immediately succeeded by a post-effective amendment to such Registration Statement that cures such failure and that is itself immediately declared effective (each such event referred to in clauses (i) through (iii) a “</w:t>
      </w:r>
      <w:r>
        <w:rPr>
          <w:rFonts w:ascii="Times New Roman" w:hAnsi="Times New Roman"/>
          <w:b/>
          <w:i/>
          <w:sz w:val="20"/>
        </w:rPr>
        <w:t>Registration Default</w:t>
      </w:r>
      <w:r>
        <w:rPr>
          <w:rFonts w:ascii="Times New Roman" w:hAnsi="Times New Roman"/>
          <w:sz w:val="20"/>
        </w:rPr>
        <w:t>”) then, with respect to the first 90-day period immediately following the occurrence of such Registration Default, the interest rate on the Registrable Notes will be increased by 0.25% per annum and will increase by an additional 0.25% per annum on the principal amount of Notes with respect to the subsequent 90-day period, for a maximum of 0.50% per annum of additional interest (“</w:t>
      </w:r>
      <w:r>
        <w:rPr>
          <w:rFonts w:ascii="Times New Roman" w:hAnsi="Times New Roman"/>
          <w:b/>
          <w:i/>
          <w:sz w:val="20"/>
        </w:rPr>
        <w:t>Additional Interest</w:t>
      </w:r>
      <w:r>
        <w:rPr>
          <w:rFonts w:ascii="Times New Roman" w:hAnsi="Times New Roman"/>
          <w:sz w:val="20"/>
        </w:rPr>
        <w:t xml:space="preserve">”). Any amounts of Additional Interest due pursuant to this Section 5 will be paid in cash on the relevant Payment Date to the Holder of record on the relevant regular record dates. Following the cure of all Registration Defaults relating to any particular Registrable Notes, the interest rate borne by the relevant Registrable Notes will be reduced to the original interest rate borne by such Registrable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after any such reduction in interest rate, a different Registration Default occurs, the interest rate borne by the relevant Registrable Notes shall again be increased pursuant to the foregoing provisions. </w:t>
      </w:r>
    </w:p>
    <w:p>
      <w:pPr>
        <w:pStyle w:val="TextBody"/>
        <w:bidi w:val="0"/>
        <w:spacing w:before="240" w:after="0"/>
        <w:jc w:val="left"/>
        <w:rPr>
          <w:rFonts w:ascii="Times New Roman" w:hAnsi="Times New Roman"/>
          <w:sz w:val="20"/>
        </w:rPr>
      </w:pPr>
      <w:r>
        <w:rPr>
          <w:rFonts w:ascii="Times New Roman" w:hAnsi="Times New Roman"/>
          <w:sz w:val="20"/>
        </w:rPr>
        <w:t xml:space="preserve">All obligations of the Company set forth in the preceding paragraph that are outstanding with respect to any Registrable Note at the time such security ceases to be a Registrable Note shall survive until such time as all such obligations with respect to such security shall have been satisfied in full.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(i) the amount of Additional Interest payable shall not increase because more than one Registration Default has occurred and is pending at any given time and (ii) a Holder of Registrable Notes that has not provided the information required pursuant to Section 4(b) hereof within the time period set forth therein shall not be entitled to Additional Interest with respect to a Registration Default that pertains to the relevant Shelf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i/>
          <w:sz w:val="20"/>
        </w:rPr>
        <w:t>Registration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Exchange Offer Registration Statement.</w:t>
      </w:r>
      <w:r>
        <w:rPr>
          <w:rFonts w:ascii="Times New Roman" w:hAnsi="Times New Roman"/>
          <w:sz w:val="20"/>
        </w:rPr>
        <w:t xml:space="preserve"> In connection with the Exchange Offer, the Company shall comply with all of the applicable provisions of Section 6(c) hereof, shall use its commercially reasonable efforts to effect such exchange to permit the sale of Registrable Notes being sold in accordance with the intended method or methods of distribution thereof, and shall comply with all of the following provisions: </w:t>
      </w:r>
    </w:p>
    <w:p>
      <w:pPr>
        <w:pStyle w:val="TextBody"/>
        <w:bidi w:val="0"/>
        <w:spacing w:before="120" w:after="0"/>
        <w:jc w:val="left"/>
        <w:rPr>
          <w:rFonts w:ascii="Times New Roman" w:hAnsi="Times New Roman"/>
          <w:sz w:val="20"/>
        </w:rPr>
      </w:pPr>
      <w:r>
        <w:rPr>
          <w:rFonts w:ascii="Times New Roman" w:hAnsi="Times New Roman"/>
          <w:sz w:val="20"/>
        </w:rPr>
        <w:t xml:space="preserve">(i) As a condition to its participation in the Exchange Offer pursuant to the terms of this Agreement, the Holder of Registrable Notes shall furnish, upon the request of the Company, prior to the Consummation thereof, a written representation to the Company (which may be contained in the letter of transmittal contemplated by the Exchange Offer Registration Statement) to the effect that (A) it is not an affiliate of the Company, (B) it is not engaged in, and does not intend to engage in, and has no arrangement or understanding with any Person to participate in, a distribution of the Exchange Notes to be issued in the Exchange Offer, and (C) it is acquiring the Exchange Notes in its ordinary course of business. In addition, such Holder of Registrable Notes shall otherwise cooperate in the Company’s preparations for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Shelf Registration Statement.</w:t>
      </w:r>
      <w:r>
        <w:rPr>
          <w:rFonts w:ascii="Times New Roman" w:hAnsi="Times New Roman"/>
          <w:sz w:val="20"/>
        </w:rPr>
        <w:t xml:space="preserve"> In connection with the Shelf Registration Statement, the Company shall comply with all the provisions of Section 6(c) hereof and shall use its commercially reasonable efforts to effect such registration to permit the sale of the Registrable Notes being sold in accordance with the intended method or methods of distribution thereof, and pursuant thereto the Company will as expeditiously as is commercially reasonable prepare and file with the Commission a Shelf Registration Statement relating to the registration on any appropriate form under the Securities Act, which form shall be available for the sale of the Registrable Notes in accordance with the intended method or methods of distribution thereof.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General Provisions.</w:t>
      </w:r>
      <w:r>
        <w:rPr>
          <w:rFonts w:ascii="Times New Roman" w:hAnsi="Times New Roman"/>
          <w:sz w:val="20"/>
        </w:rPr>
        <w:t xml:space="preserve"> In connection with any Registration Statement and any Prospectus required by this Agreement to permit the sale or resale of Registrable Notes, the Company shall: </w:t>
      </w:r>
    </w:p>
    <w:p>
      <w:pPr>
        <w:pStyle w:val="TextBody"/>
        <w:bidi w:val="0"/>
        <w:spacing w:before="120" w:after="0"/>
        <w:jc w:val="left"/>
        <w:rPr>
          <w:rFonts w:ascii="Times New Roman" w:hAnsi="Times New Roman"/>
          <w:sz w:val="20"/>
        </w:rPr>
      </w:pPr>
      <w:r>
        <w:rPr>
          <w:rFonts w:ascii="Times New Roman" w:hAnsi="Times New Roman"/>
          <w:sz w:val="20"/>
        </w:rPr>
        <w:t xml:space="preserve">(i) use its commercially reasonable efforts to keep such Registration Statement continuously effective during the period required by this Agreement and provide all requisite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upon the occurrence of any event that would cause any such Registration Statement or the Prospectus contained therein (A) to contain a material misstatement or omission or (B) not to be effective and usable for resale of Registrable Notes during the period required by this Agreement, the Company shall file promptly an appropriate amendment to such Registration Statement, in the case of clause (A), correcting any such misstatement or omission, and, in the case of either clause (A) or (B), use its commercially reasonable efforts to cause such amendment to become or be declared effective and such Registration Statement and the related Prospectus to become usable for their intended purpose(s) as soon as practicable thereafter; </w:t>
      </w:r>
    </w:p>
    <w:p>
      <w:pPr>
        <w:pStyle w:val="TextBody"/>
        <w:bidi w:val="0"/>
        <w:spacing w:before="120" w:after="0"/>
        <w:jc w:val="left"/>
        <w:rPr>
          <w:rFonts w:ascii="Times New Roman" w:hAnsi="Times New Roman"/>
          <w:sz w:val="20"/>
        </w:rPr>
      </w:pPr>
      <w:r>
        <w:rPr>
          <w:rFonts w:ascii="Times New Roman" w:hAnsi="Times New Roman"/>
          <w:sz w:val="20"/>
        </w:rPr>
        <w:t xml:space="preserve">(iii) prepare and file with the Commission such amendments and post-effective amendments to the applicable Registration Statement as may be necessary to keep the Registration Statement effective for the applicable period set forth in Section 3 or 4 hereof, as applicable, or such shorter period as will terminate when all Registrable Notes covered by such Registration Statement have been sold; cause the Prospectus to be supplemented by any required Prospectus supplement, and as so supplemented to be filed pursuant to Rule 424 under the Securities Act, and to comply fully with the applicable provisions of Rules 424, 430A and 430B under the Securities Act in a timely manner; and comply with the provisions of the Securities Act with respect to the disposition of all securities covered by such Registration Statement during the applicable period in accordance with the intended method or methods of distribution by the sellers thereof set forth in such Registration Statement or supplement to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(iv) advise the underwriter(s), if any, and selling Holder promptly and, if requested by such Persons, to confirm such advice in writing, (A) when the Prospectus or any Prospectus supplement or post-effective amendment has been filed, and, with respect to any Registration Statement or any post-effective amendment thereto, when the same has been declared effective, (B) of any request by the Commission for amendments to the Registration Statement or amendments or supplements to the Prospectus or for additional information relating thereto, (C) of the issuance by the Commission of any stop order suspending the effectiveness of the Registration Statement under the Securities Act or of the suspension by any state securities commission of the qualification of the Registrable Notes for offering or sale in any jurisdiction, or the initiation of any proceeding for any of the preceding purposes, (D) of the existence of any fact or the happening of any event that makes any statement of a material fact made in the Registration Statement, the Prospectus, any amendment or supplement thereto, or any document incorporated by reference therein untrue, or that requires the making of any additions to or changes in the Registration Statement or the Prospectus in order to make the statements therein not misleading. If at any time the Commission shall issue any stop order suspending the effectiveness of the Registration Statement, or any state securities commission or other regulatory authority shall issue an order suspending the qualification or exemption from qualification of the Registrable Notes under state securities or blue sky laws, the Company shall use its commercially reasonable efforts to obtain the withdrawal or lifting of such order at the earliest possible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furnish without charge to the Purchaser, each selling Holder named in any Registration Statement that has requested such copies, if any, and each of the underwriter(s), if any, before filing with the Commission, copies of any Registration Statement or any Prospectus included therein or any amendments or supplements to any such Registration Statement or Prospectus (other than any documents that will be incorporated by reference in such Registration Statement or Prospectus), which documents will be subject to the review and comment of such requesting Holder and underwriter(s) in connection with such sale, if any, for a period of at least five Business Days, and the Company will not file any such Registration Statement or Prospectus or any amendment or supplement to any such Registration Statement or Prospectus to which the Purchaser of Registrable Notes covered by such Registration Statement or the underwriter(s), if any, shall reasonably object in writing within five Business Days after the receipt thereof (such objection to be deemed timely made upon confirmation of email or facsimile transmission within such period). The objection of the Purchaser or underwriter, if any, shall be deemed to be reasonable if such Registration Statement, amendment, Prospectus or supplement, as applicable, as proposed to be filed, contains a material misstatement or omission; </w:t>
      </w:r>
    </w:p>
    <w:p>
      <w:pPr>
        <w:pStyle w:val="TextBody"/>
        <w:bidi w:val="0"/>
        <w:spacing w:before="120" w:after="0"/>
        <w:jc w:val="left"/>
        <w:rPr>
          <w:rFonts w:ascii="Times New Roman" w:hAnsi="Times New Roman"/>
          <w:sz w:val="20"/>
        </w:rPr>
      </w:pPr>
      <w:r>
        <w:rPr>
          <w:rFonts w:ascii="Times New Roman" w:hAnsi="Times New Roman"/>
          <w:sz w:val="20"/>
        </w:rPr>
        <w:t xml:space="preserve">(vi) make the Company’s representatives reasonably available to the Purchaser for customary due diligence matters; </w:t>
      </w:r>
    </w:p>
    <w:p>
      <w:pPr>
        <w:pStyle w:val="TextBody"/>
        <w:bidi w:val="0"/>
        <w:spacing w:before="120" w:after="0"/>
        <w:jc w:val="left"/>
        <w:rPr>
          <w:rFonts w:ascii="Times New Roman" w:hAnsi="Times New Roman"/>
          <w:sz w:val="20"/>
        </w:rPr>
      </w:pPr>
      <w:r>
        <w:rPr>
          <w:rFonts w:ascii="Times New Roman" w:hAnsi="Times New Roman"/>
          <w:sz w:val="20"/>
        </w:rPr>
        <w:t xml:space="preserve">(vii) make available at reasonable times for inspection by the Purchaser, any Holder, the managing underwriter(s), if any, participating in any disposition pursuant to such Registration Statement and any attorney or accountant retained by the Purchaser, Holder or any of the underwriter(s), in each case subject to confidentiality agreements in form and substance customarily entered into by the Purchaser or underwriters, all financial and other records, pertinent corporate documents and properties of the Company and cause the Company’s officers and directors to supply all information reasonably requested by any such Holder, underwriter, attorney or accountant in connection with such Registration Statement or any post-effective amendment thereto subsequent to the filing thereof and prior to its effectiveness and to participate in meetings with investors to the extent reasonably requested by the managing underwriter(s), if any; </w:t>
      </w:r>
    </w:p>
    <w:p>
      <w:pPr>
        <w:pStyle w:val="TextBody"/>
        <w:bidi w:val="0"/>
        <w:spacing w:before="120" w:after="0"/>
        <w:jc w:val="left"/>
        <w:rPr>
          <w:rFonts w:ascii="Times New Roman" w:hAnsi="Times New Roman"/>
          <w:sz w:val="20"/>
        </w:rPr>
      </w:pPr>
      <w:r>
        <w:rPr>
          <w:rFonts w:ascii="Times New Roman" w:hAnsi="Times New Roman"/>
          <w:sz w:val="20"/>
        </w:rPr>
        <w:t xml:space="preserve">(viii) if requested by the selling Holder listed as selling securityholders in any Registration Statement or the underwriter(s), if any, promptly incorporate in any Registration Statement or Prospectus, pursuant to a supplement or post-effective amendment if necessary, such information as such selling Holder and underwriter(s), if any, may reasonably request to have included therein, including, without limitation, information relating to the “Plan of Distribution” of the Registrable Notes, information with respect to the principal amount of Registrable Notes being sold to such underwriter(s), the purchase price being paid therefor and any other terms of the offering of the Registrable Notes to be sold in such offering; and make all required filings of such Prospectus supplement or post-effective amendment as soon as practicable after the Company is notified of the matters to be incorporated in such Prospectus supplement or post-effective amendment; </w:t>
      </w:r>
    </w:p>
    <w:p>
      <w:pPr>
        <w:pStyle w:val="TextBody"/>
        <w:bidi w:val="0"/>
        <w:spacing w:before="120" w:after="0"/>
        <w:jc w:val="left"/>
        <w:rPr>
          <w:rFonts w:ascii="Times New Roman" w:hAnsi="Times New Roman"/>
          <w:sz w:val="20"/>
        </w:rPr>
      </w:pPr>
      <w:r>
        <w:rPr>
          <w:rFonts w:ascii="Times New Roman" w:hAnsi="Times New Roman"/>
          <w:sz w:val="20"/>
        </w:rPr>
        <w:t xml:space="preserve">(ix) deliver to each selling Holder and each of the underwriter(s), if any, without charge, as many copies of the Prospectus (including each preliminary prospectus) and any amendment or supplement thereto as such Persons reasonably may request; the Company hereby consents to the use of the Prospectus and any amendment or supplement thereto by the selling Holder and each of the underwriter(s), if any, in connection with the offering and the sale of the Registrable Notes covered by the Prospectus or any amendment or supplement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in connection with an underwritten offering pursuant to a Shelf Registration Statement, enter into such agreements (including an underwriting agreement), and make such representations and warranties, and take all such other commercially reasonable actions in connection therewith in order to expedite or facilitate the disposition of the Registrable Notes. In furtherance of the foregoing, the Company shall: </w:t>
      </w:r>
    </w:p>
    <w:p>
      <w:pPr>
        <w:pStyle w:val="TextBody"/>
        <w:bidi w:val="0"/>
        <w:spacing w:before="120" w:after="0"/>
        <w:jc w:val="left"/>
        <w:rPr>
          <w:rFonts w:ascii="Times New Roman" w:hAnsi="Times New Roman"/>
          <w:sz w:val="20"/>
        </w:rPr>
      </w:pPr>
      <w:r>
        <w:rPr>
          <w:rFonts w:ascii="Times New Roman" w:hAnsi="Times New Roman"/>
          <w:sz w:val="20"/>
        </w:rPr>
        <w:t xml:space="preserve">(A) furnish to the Purchaser, each selling Holder and each underwriter in such substance and scope as they may reasonably request and as are customarily made by issuers to underwriters in primary underwritten offerings, upon the date of the effectiveness of the Shelf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(1) a certificate, dated the effectiveness of the Shelf Registration Statement, signed by (y) the Chief Executive Officer, the President or any Vice President and (z) a principal financial or accounting officer of the Company, confirming customary matters; </w:t>
      </w:r>
    </w:p>
    <w:p>
      <w:pPr>
        <w:pStyle w:val="TextBody"/>
        <w:bidi w:val="0"/>
        <w:spacing w:before="120" w:after="0"/>
        <w:jc w:val="left"/>
        <w:rPr>
          <w:rFonts w:ascii="Times New Roman" w:hAnsi="Times New Roman"/>
          <w:sz w:val="20"/>
        </w:rPr>
      </w:pPr>
      <w:r>
        <w:rPr>
          <w:rFonts w:ascii="Times New Roman" w:hAnsi="Times New Roman"/>
          <w:sz w:val="20"/>
        </w:rPr>
        <w:t xml:space="preserve">(2) if requested by such selling Holder, an opinion, dated the date of effectiveness of the Shelf Registration Statement, of counsel for the Company, covering the matters customarily covered in opinions requested in underwritten offerings; </w:t>
      </w:r>
    </w:p>
    <w:p>
      <w:pPr>
        <w:pStyle w:val="TextBody"/>
        <w:bidi w:val="0"/>
        <w:spacing w:before="120" w:after="0"/>
        <w:jc w:val="left"/>
        <w:rPr>
          <w:rFonts w:ascii="Times New Roman" w:hAnsi="Times New Roman"/>
          <w:sz w:val="20"/>
        </w:rPr>
      </w:pPr>
      <w:r>
        <w:rPr>
          <w:rFonts w:ascii="Times New Roman" w:hAnsi="Times New Roman"/>
          <w:sz w:val="20"/>
        </w:rPr>
        <w:t xml:space="preserve">(B) set forth in full or incorporate by reference in the underwriting agreement, if any, the indemnification provisions and procedures of Section 8 hereof with respect to all parties to be indemnified pursuant to said Section; and </w:t>
      </w:r>
    </w:p>
    <w:p>
      <w:pPr>
        <w:pStyle w:val="TextBody"/>
        <w:bidi w:val="0"/>
        <w:spacing w:before="120" w:after="0"/>
        <w:jc w:val="left"/>
        <w:rPr>
          <w:rFonts w:ascii="Times New Roman" w:hAnsi="Times New Roman"/>
          <w:sz w:val="20"/>
        </w:rPr>
      </w:pPr>
      <w:r>
        <w:rPr>
          <w:rFonts w:ascii="Times New Roman" w:hAnsi="Times New Roman"/>
          <w:sz w:val="20"/>
        </w:rPr>
        <w:t xml:space="preserve">(C) deliver such other documents and certificates as may be reasonably requested by such parties to evidence compliance with Section 6(c)(x)(A) hereof and with any customary conditions contained in the underwriting agreement or other agreement entered into by the Company pursuant to this Section 6(c)(x), if any.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the representations and warranties of the Company contemplated in Section 6(c)(x)(A)(1) hereof cease to be true and correct, the Company shall so advise the Purchaser and the underwriter(s), if any, and each selling Holder promptly and, if requested by such Persons, shall confirm such advice in writing; </w:t>
      </w:r>
    </w:p>
    <w:p>
      <w:pPr>
        <w:pStyle w:val="TextBody"/>
        <w:bidi w:val="0"/>
        <w:spacing w:before="120" w:after="0"/>
        <w:jc w:val="left"/>
        <w:rPr>
          <w:rFonts w:ascii="Times New Roman" w:hAnsi="Times New Roman"/>
          <w:sz w:val="20"/>
        </w:rPr>
      </w:pPr>
      <w:r>
        <w:rPr>
          <w:rFonts w:ascii="Times New Roman" w:hAnsi="Times New Roman"/>
          <w:sz w:val="20"/>
        </w:rPr>
        <w:t xml:space="preserve">(xi) prior to any public offering of Registrable Notes, cooperate with the selling Holder, the underwriter(s), if any, and their respective counsel in connection with the registration and qualification of the Registrable Notes under the state securities or blue sky laws of such jurisdictions as the selling Holder or underwriter(s), if any, may request and do any and all other acts or things necessary or advisable to enable the disposition in such jurisdictions of the Registrable Notes covered by the Shelf Registration Statement;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not be required to register or qualify as a foreign corporation where it is not then so qualified or to take any action that would subject it to the service of process in suits or to taxation, other than as to matters and transactions relating to the Registration Statement, in any jurisdiction where it is not then so subject;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 in the case of a Shelf Registration Statement, shall issue, upon the request of any Holder of Notes covered by the Shelf Registration Statement and only in connection with any valid sale of Notes by such Holder pursuant to such registration statement (and provided that such Holder delivers such certificates or opinions reasonably requested by the Company in connection with such sale), Exchange Notes having an aggregate principal amount equal to the aggregate principal amount of Notes surrendered to the Company by such Holder in exchange therefor or being sold by such Holder; such Exchange Notes to be registered in the name of such Holder or in the name of the purchaser(s) of such Exchange Notes, as the case may be; in return, the Notes held by such Holder shall be surrendered to the Company for cancellation; </w:t>
      </w:r>
    </w:p>
    <w:p>
      <w:pPr>
        <w:pStyle w:val="TextBody"/>
        <w:bidi w:val="0"/>
        <w:spacing w:before="120" w:after="0"/>
        <w:jc w:val="left"/>
        <w:rPr>
          <w:rFonts w:ascii="Times New Roman" w:hAnsi="Times New Roman"/>
          <w:sz w:val="20"/>
        </w:rPr>
      </w:pPr>
      <w:r>
        <w:rPr>
          <w:rFonts w:ascii="Times New Roman" w:hAnsi="Times New Roman"/>
          <w:sz w:val="20"/>
        </w:rPr>
        <w:t xml:space="preserve">(xiii) in the case of a Shelf Registration Statement, cooperate with the selling Holder and the underwriter(s), if any, to facilitate the timely preparation and delivery of certificates or book-entry receipts, as applicable, representing Registrable Notes to be sold and not bearing any restrictive legends; and enable such Registrable Notes or such book-entry receipts, as applicable, to be in such denominations and registered in such names as the Holder or the underwriter(s), if any, may request at least two Business Days prior to any sale of Registrable Notes made by such Holder or underwriter(s); </w:t>
      </w:r>
    </w:p>
    <w:p>
      <w:pPr>
        <w:pStyle w:val="TextBody"/>
        <w:bidi w:val="0"/>
        <w:spacing w:before="120" w:after="0"/>
        <w:jc w:val="left"/>
        <w:rPr>
          <w:rFonts w:ascii="Times New Roman" w:hAnsi="Times New Roman"/>
          <w:sz w:val="20"/>
        </w:rPr>
      </w:pPr>
      <w:r>
        <w:rPr>
          <w:rFonts w:ascii="Times New Roman" w:hAnsi="Times New Roman"/>
          <w:sz w:val="20"/>
        </w:rPr>
        <w:t xml:space="preserve">(xiv) use its commercially reasonable efforts to cause the Registrable Notes covered by the Registration Statement to be registered with or approved by such other governmental agencies or authorities as may be necessary to enable the seller or sellers thereof or the underwriter(s), if any, to consummate the disposition of such Registrable Notes, subject to the proviso contained in Section 6(c)(xi) hereof; </w:t>
      </w:r>
    </w:p>
    <w:p>
      <w:pPr>
        <w:pStyle w:val="TextBody"/>
        <w:bidi w:val="0"/>
        <w:spacing w:before="120" w:after="0"/>
        <w:jc w:val="left"/>
        <w:rPr>
          <w:rFonts w:ascii="Times New Roman" w:hAnsi="Times New Roman"/>
          <w:sz w:val="20"/>
        </w:rPr>
      </w:pPr>
      <w:r>
        <w:rPr>
          <w:rFonts w:ascii="Times New Roman" w:hAnsi="Times New Roman"/>
          <w:sz w:val="20"/>
        </w:rPr>
        <w:t xml:space="preserve">(xv) if any fact or event contemplated by Section 6(c)(iv)(D) hereof shall exist or have occurred, prepare a supplement or post-effective amendment to the Registration Statement or related Prospectus or any document incorporated therein by reference or file any other required document so that, as thereafter delivered to the purchasers of Registrable Notes, the Prospectus will not contain an untrue statement of a material fact or omit to state any material fact necessary in order to make the statements therein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(xvi) not later than the effective date of the Registration Statement covering such Exchange Notes, provide that the CUSIP and ISIN numbers for all Exchange Notes shall be the same unrestricted CUSIP and ISIN numbers as borne by the Notes; </w:t>
      </w:r>
    </w:p>
    <w:p>
      <w:pPr>
        <w:pStyle w:val="TextBody"/>
        <w:bidi w:val="0"/>
        <w:spacing w:before="120" w:after="0"/>
        <w:jc w:val="left"/>
        <w:rPr>
          <w:rFonts w:ascii="Times New Roman" w:hAnsi="Times New Roman"/>
          <w:sz w:val="20"/>
        </w:rPr>
      </w:pPr>
      <w:r>
        <w:rPr>
          <w:rFonts w:ascii="Times New Roman" w:hAnsi="Times New Roman"/>
          <w:sz w:val="20"/>
        </w:rPr>
        <w:t xml:space="preserve">(xvii) cooperate and assist in any filings required to be made with FINRA and in the performance of any due diligence investigation by any underwriter (including any “qualified independent underwriter”) that is required to be retained in accordance with the rules and regulations of FINRA;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(xviii) otherwise use its commercially reasonable efforts to comply with all applicable rules and regulations of the Commission, and make generally available to its security holders, as soon as practicable, a consolidated earnings statement meeting the requirements of Rule 158 under the Securities Act (which need not be audited) for the twelve-month period (A) commencing at the end of any fiscal quarter in which Registrable Notes are sold to underwriters in a firm commitment or commercially reasonable efforts Underwritten Offering or (B) if not sold to underwriters in such an offering, beginning with the first month of the Company’s first fiscal quarter commencing after the effective date of the Registration Statement. </w:t>
      </w:r>
    </w:p>
    <w:p>
      <w:pPr>
        <w:pStyle w:val="TextBody"/>
        <w:bidi w:val="0"/>
        <w:spacing w:before="240" w:after="0"/>
        <w:jc w:val="left"/>
        <w:rPr>
          <w:rFonts w:ascii="Times New Roman" w:hAnsi="Times New Roman"/>
          <w:sz w:val="20"/>
        </w:rPr>
      </w:pPr>
      <w:r>
        <w:rPr>
          <w:rFonts w:ascii="Times New Roman" w:hAnsi="Times New Roman"/>
          <w:sz w:val="20"/>
        </w:rPr>
        <w:t>Notwithstanding the foregoing, the Company may suspend the offering and sale under a Registration Statement (the “</w:t>
      </w:r>
      <w:r>
        <w:rPr>
          <w:rFonts w:ascii="Times New Roman" w:hAnsi="Times New Roman"/>
          <w:b/>
          <w:i/>
          <w:sz w:val="20"/>
        </w:rPr>
        <w:t>Suspension Period</w:t>
      </w:r>
      <w:r>
        <w:rPr>
          <w:rFonts w:ascii="Times New Roman" w:hAnsi="Times New Roman"/>
          <w:sz w:val="20"/>
        </w:rPr>
        <w:t xml:space="preserve">”) for a period or periods if (i) the board of directors reasonably determines that the continued use of such Registration Statement would (A) require the Company to make a public disclosure of material non-public information, which disclosure in the good faith judgment of the board of directors of the Company (1) would be required to be made in such Registration Statement so that such Registration Statement would not be materially misleading and (2) would not be required to be made at such time but for the continued use of such Shelf Registration Statement or (B) would in the good faith and judgment of the board of directors of the Company be expected to have a material adverse effect on the Company or its business or on the Company’s ability to effect a planned or proposed acquisition, disposition, financing, reorganization, recapitalization or similar transaction and (ii) the Company notifies the underwriters, if any, and the Holder of Registrable Notes (in the case of a Shelf Registration) and the Purchaser within five days after the board of directors makes the relevant determination set forth in clause (i); provided that the period or periods of suspension under clause (i) above shall not exceed, in the aggregate, 60 days in any twelve-month period during which the Registration Statement is required to be effective. </w:t>
      </w:r>
    </w:p>
    <w:p>
      <w:pPr>
        <w:pStyle w:val="TextBody"/>
        <w:bidi w:val="0"/>
        <w:spacing w:before="240" w:after="0"/>
        <w:jc w:val="left"/>
        <w:rPr>
          <w:rFonts w:ascii="Times New Roman" w:hAnsi="Times New Roman"/>
          <w:sz w:val="20"/>
        </w:rPr>
      </w:pPr>
      <w:r>
        <w:rPr>
          <w:rFonts w:ascii="Times New Roman" w:hAnsi="Times New Roman"/>
          <w:sz w:val="20"/>
        </w:rPr>
        <w:t>The Holder agrees by acquisition of a Registrable Note that, upon receipt of any notice from the Company of the existence of any fact of the kind described in Section 6(c)(iv)(D) hereof or any Suspension Period, such Holder will forthwith discontinue disposition of Registrable Notes pursuant to the applicable Registration Statement until such Holder’s receipt of the copies of the supplemented or amended Prospectus contemplated by Section 6(c)(xv) hereof, or until it is advised in writing (the “</w:t>
      </w:r>
      <w:r>
        <w:rPr>
          <w:rFonts w:ascii="Times New Roman" w:hAnsi="Times New Roman"/>
          <w:b/>
          <w:i/>
          <w:sz w:val="20"/>
        </w:rPr>
        <w:t>Advice</w:t>
      </w:r>
      <w:r>
        <w:rPr>
          <w:rFonts w:ascii="Times New Roman" w:hAnsi="Times New Roman"/>
          <w:sz w:val="20"/>
        </w:rPr>
        <w:t xml:space="preserve">”) by the Company that the use of the Prospectus may be resumed, and has received copies of any additional or supplemental filings that are incorporated by reference in the Prospectus. In the event the Company shall give any such notice, the time period regarding the effectiveness of such Registration Statement set forth in Section 3 or 4 hereof, as applicable, shall be extended by the number of days during the period from and including the date of the giving of such notice pursuant to Section 6(c)(iv)(D) hereof or notice of any Suspension Period to and including the date when each selling Holder covered by such Registration Statement shall have received the copies of the supplemented or amended Prospectus contemplated by Section 6(c)(xv) hereof or shall have received the Advice;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extension shall be taken into account in determining whether Additional Interest is due pursuant to Section 5 hereof or the amount of such Additional Interest, it being agreed that the Company’s option to suspend use of a Registration Statement pursuant to this paragraph shall be treated as a Registration Default for purposes of Section 5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 </w:t>
      </w:r>
      <w:r>
        <w:rPr>
          <w:rFonts w:ascii="Times New Roman" w:hAnsi="Times New Roman"/>
          <w:i/>
          <w:sz w:val="20"/>
        </w:rPr>
        <w:t>Registration Expenses</w:t>
      </w:r>
      <w:r>
        <w:rPr>
          <w:rFonts w:ascii="Times New Roman" w:hAnsi="Times New Roman"/>
          <w:sz w:val="20"/>
        </w:rPr>
        <w:t xml:space="preserve">. All expenses incident to the Company’s performance of or compliance with this Agreement will be borne by the Company regardless of whether a Registration Statement becomes or is declared effective, including (i) all registration and filing fees and expenses (including filings made by the Purchaser or any Holder with FINRA (and, if applicable, the fees and expenses of any “qualified independent underwriter” and its counsel that may be required by the rules and regulations of FINRA)); (ii) all fees and expenses of compliance with federal securities and state securities or blue sky laws; (iii) all expenses of printing (including printing certificates for the Exchange Notes to be issued in the Exchange Offer and printing of Prospectuses), messenger and delivery services and telephone; (iv) all fees and disbursements of counsel for the Company; (v) application and filing fees in connection with listing the Notes on a securities exchange or automated quotation system pursuant to the requirements thereof; and (vi) all fees and disbursements of independent certified public accountants of the Company (including the expenses of any special audit and comfort letters required by or incident to such performance).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in any event, bear its internal expenses (including all expenses of its officers performing legal or accounting duties), the expenses of any annual audit and the fees and expenses of any Person, including special experts, retained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8. Indemnification. </w:t>
      </w:r>
    </w:p>
    <w:p>
      <w:pPr>
        <w:pStyle w:val="TextBody"/>
        <w:bidi w:val="0"/>
        <w:spacing w:before="240" w:after="0"/>
        <w:jc w:val="left"/>
        <w:rPr>
          <w:rFonts w:ascii="Times New Roman" w:hAnsi="Times New Roman"/>
          <w:sz w:val="20"/>
        </w:rPr>
      </w:pPr>
      <w:r>
        <w:rPr>
          <w:rFonts w:ascii="Times New Roman" w:hAnsi="Times New Roman"/>
          <w:sz w:val="20"/>
        </w:rPr>
        <w:t>(a) The Company agrees to indemnify and hold harmless (i) each Holder and (ii) each Person, if any, who controls (within the meaning of Section 15 of the Securities Act or Section 20 of the Exchange Act) any Holder (any of the Persons referred to in this clause (ii) being hereinafter referred to as a “</w:t>
      </w:r>
      <w:r>
        <w:rPr>
          <w:rFonts w:ascii="Times New Roman" w:hAnsi="Times New Roman"/>
          <w:b/>
          <w:i/>
          <w:sz w:val="20"/>
        </w:rPr>
        <w:t>Controlling Person</w:t>
      </w:r>
      <w:r>
        <w:rPr>
          <w:rFonts w:ascii="Times New Roman" w:hAnsi="Times New Roman"/>
          <w:sz w:val="20"/>
        </w:rPr>
        <w:t>”) and (iii) the respective officers, directors, partners, employees, representatives and agents of any Holder or any Controlling Person (any Person referred to in clause (i), (ii) or (iii) may hereinafter be referred to as an “</w:t>
      </w:r>
      <w:r>
        <w:rPr>
          <w:rFonts w:ascii="Times New Roman" w:hAnsi="Times New Roman"/>
          <w:b/>
          <w:i/>
          <w:sz w:val="20"/>
        </w:rPr>
        <w:t>Indemnified Holder</w:t>
      </w:r>
      <w:r>
        <w:rPr>
          <w:rFonts w:ascii="Times New Roman" w:hAnsi="Times New Roman"/>
          <w:sz w:val="20"/>
        </w:rPr>
        <w:t xml:space="preserve">”), to the fullest extent lawful, from and against any and all losses, claims, damages, liabilities, judgments, actions and expenses (including, as incurred, reimbursement of all reasonable costs of investigating, preparing, pursuing, settling, compromising, paying or defending any claim or action, or any investigation or proceeding by any governmental agency or body, commenced or threatened, including the reasonable and documented fees and expenses of counsel to any Indemnified Holder), joint or several, directly or indirectly caused by, related to, based upon, arising out of or in connection with any untrue statement or alleged untrue statement of a material fact contained in any Registration Statement or Prospectus (or any amendment or supplement thereto), or any omission or alleged omission to state therein a material fact required to be stated therein or necessary to make the statements therein (in the case of any Prospectus, in the light of the circumstances under which they were made), not misleading, except insofar as such losses, claims, damages, liabilities or expenses are caused by an untrue statement or omission or alleged untrue statement or omission that is made in reliance upon and in conformity with information relating to any Holder furnished in writing to the Company by or on behalf of such Holder expressly for use therein. This indemnity agreement shall be in addition to any liability which the Company may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In case any action or proceeding (including any governmental or regulatory investigation or proceeding) shall be brought or asserted against the Indemnified Holder with respect to which indemnity may be sought against the Company, such Indemnified Holder (or the Indemnified Holder controlled by such Controlling Person) shall promptly notify the Company in writing;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failure to give such notice shall not relieve any of the Company of its obligations pursuant to this Agreement unless and to the extent the Company did not otherwise learn of such action and such failure results in the forfeiture by the Company of substantial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defenses. Such Indemnified Holder shall have the right to employ its own counsel in any such action and the reasonable and documented fees and expenses of such counsel shall be paid, as incurred, by the Company (regardless of whether it is ultimately determined that an Indemnified Holder is not entitled to indemnification hereunder). The Company shall not, in connection with any one such action or proceeding or separate but substantially similar or related actions or proceedings in the same jurisdiction arising out of the same general allegations or circumstances, be liable for the reasonable and documented fees and expenses of more than one separate firm of attorneys (in addition to one local counsel for all indemnified parties taken as a whole in each jurisdiction reasonably required and, in the event of an actual or potential conflict, one additional counsel in each relevant jurisdiction for the affected indemnified parties similarly situated taken as a whole) at any time for such Indemnified Holder, which firm shall be designated by the Holder. The Company shall be liable for any settlement of any such action or proceeding effected with the Company’s prior written consent, which consent shall not be unreasonably withheld or delayed, and the Company agrees to indemnify and hold harmless any Indemnified Holder from and against any loss, claim, damage, liability or expense by reason of any settlement of any action effected with the written consent of the Company. The Company shall not, without the prior written consent of each Indemnified Holder, settle or compromise or consent to the entry of judgment in or otherwise seek to terminate any pending or threatened action, claim, litigation or proceeding in respect of which indemnification or contribution may be sought hereunder (whether or not any Indemnified Holder is a party thereto), unless such settlement, compromise, consent or termination (i) includes a complete and unconditional release of each Indemnified Holder from all liability arising out of such action, claim, litigation or proceeding and (ii) does not include a statement as to or an admission of fault, culpability or a failure to act, by or on behalf of any Indemnified Holder. </w:t>
      </w:r>
    </w:p>
    <w:p>
      <w:pPr>
        <w:pStyle w:val="TextBody"/>
        <w:bidi w:val="0"/>
        <w:spacing w:before="240" w:after="0"/>
        <w:jc w:val="left"/>
        <w:rPr>
          <w:rFonts w:ascii="Times New Roman" w:hAnsi="Times New Roman"/>
          <w:sz w:val="20"/>
        </w:rPr>
      </w:pPr>
      <w:r>
        <w:rPr>
          <w:rFonts w:ascii="Times New Roman" w:hAnsi="Times New Roman"/>
          <w:sz w:val="20"/>
        </w:rPr>
        <w:t xml:space="preserve">(b) The Holders of Registrable Notes agree, severally and not jointly, to indemnify and hold harmless the Company and its directors and officers who sign a Registration Statement, and any Person controlling (within the meaning of Section 15 of the Securities Act or Section 20 of the Exchange Act) the Company and its officers, directors, partners, employees, representatives and agents, to the same extent as the foregoing indemnity from the Company to the Indemnified Holder, but only with respect to claims and actions based on information relating to such Holder furnished in writing by or on behalf of such Holder expressly for use in any Registration Statement. In case any action or proceeding shall be brought against the Company or its directors or officers or any such Controlling Person in respect of which indemnity may be sought against a Holder of Registrable Notes, such Holder shall have the rights and duties given to the Company, and the Company and its directors and officers and such Controlling Person shall have the rights and duties given to the Holder by the preceding paragraph. This indemnity agreement shall be in addition to any liability which Holder may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(c) If the indemnification provided for in this Section 8 is unavailable to an indemnified party under Section 8(a) or (b) hereof (other than by reason of exceptions provided in those Sections) in respect of any losses, claims, damages, liabilities, judgments, actions or expenses referred to therein, then each applicable indemnifying party, in lieu of indemnifying such indemnified party, shall contribute to the amount paid or payable by such indemnified party as a result of such losses, claims, damages, liabilities, judgments, actions or expenses in such proportion as is appropriate to reflect the relative benefits received by the Company, on the one hand, and the Holders, on the other hand, from the Placement (which in the case of the Company shall be deemed to be equal to the total gross proceeds to the Company from the Placement),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amount of Additional Interest which did not become payable as a result of the filing of the Registration Statement resulting in such losses, claims, damages, liabilities, judgments, actions or expenses, and such Registration Statement, or if such allocation is not permitted by applicable law, the relative fault of the Company, on the one hand, and the Holders, on the other hand, in connection with the statements or omissions which resulted in such losses, claims, damages, liabilities or expenses, as well as any other relevant equitable considerations. The relative fault of the Company, on the one hand, and of the Indemnified Holders, on the other hand, shall be determined by reference to, among other things, whether the untrue or alleged untrue statement of a material fact or the omission or alleged omission to state a material fact relates to information supplied by the Company, on the one hand, or the Indemnified Holders, on the other hand, and the parties’ relative intent, knowledge, access to information and opportunity to correct or prevent such statement or omission. The amount paid or payable by a party as a result of the losses, claims, damages, liabilities and expenses referred to above shall be deemed to include, subject to the limitations set forth in the second paragraph of Section 8(a) hereof, any legal or other fees or expenses reasonably incurred by such party in connection with investigating or defending any action or claim.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Holders of Registrable Notes agree that it would not be just and equitable if contribution pursuant to this Section 8(c) were determined by pro rata allocation (even if the Holders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liabilities or expenses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8, the Holders (and their related Indemnified Holders) shall not be required to contribute, in the aggregate, any amount in excess of the amount by which the total discount received by such Holders with respect to the Notes exceeds the amount of any damages which such Holders have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Each Holder’s obligations to contribute pursuant to this Section 8(c) are several in proportion to the respective principal amount of Notes held by the Holders hereunder and not joint. </w:t>
      </w:r>
    </w:p>
    <w:p>
      <w:pPr>
        <w:pStyle w:val="TextBody"/>
        <w:bidi w:val="0"/>
        <w:spacing w:before="240" w:after="0"/>
        <w:jc w:val="left"/>
        <w:rPr>
          <w:rFonts w:ascii="Times New Roman" w:hAnsi="Times New Roman"/>
          <w:sz w:val="20"/>
        </w:rPr>
      </w:pPr>
      <w:r>
        <w:rPr>
          <w:rFonts w:ascii="Times New Roman" w:hAnsi="Times New Roman"/>
          <w:sz w:val="20"/>
        </w:rPr>
        <w:t>Notwithstanding any other provision in this Section 8, no party shall be entitled to indemnification or contribution under this Agreement in violation of Section 17(j) of the Investment Company Act of 1940, as amended (the “</w:t>
      </w:r>
      <w:r>
        <w:rPr>
          <w:rFonts w:ascii="Times New Roman" w:hAnsi="Times New Roman"/>
          <w:b/>
          <w:i/>
          <w:sz w:val="20"/>
        </w:rPr>
        <w:t>Investment Company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i/>
          <w:sz w:val="20"/>
        </w:rPr>
        <w:t>Participation in Underwritten Registrations.</w:t>
      </w:r>
      <w:r>
        <w:rPr>
          <w:rFonts w:ascii="Times New Roman" w:hAnsi="Times New Roman"/>
          <w:sz w:val="20"/>
        </w:rPr>
        <w:t xml:space="preserve"> No Holder may participate in any Underwritten Registration hereunder unless such Holder (a) agrees to sell such Holder’s Registrable Notes on the basis provided in any underwriting arrangements approved by the Persons entitled hereunder to approve such arrangements and (b) completes and executes all reasonable questionnaires, powers of attorney, indemnities, underwriting agreements, and other documents required under the terms of such underwriting arrangements.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 </w:t>
      </w:r>
      <w:r>
        <w:rPr>
          <w:rFonts w:ascii="Times New Roman" w:hAnsi="Times New Roman"/>
          <w:i/>
          <w:sz w:val="20"/>
        </w:rPr>
        <w:t>Selection of Underwriters.</w:t>
      </w:r>
      <w:r>
        <w:rPr>
          <w:rFonts w:ascii="Times New Roman" w:hAnsi="Times New Roman"/>
          <w:sz w:val="20"/>
        </w:rPr>
        <w:t xml:space="preserve"> If requested by the Holders covered by the Shelf Registration Statement, the Holders of Registrable Notes covered by the Shelf Registration Statement who desire to do so may sell such Registrable Notes in an Underwritten Offering. In such Underwritten Offering, the investment banker(s) and managing underwriter(s) that will administer such offering will be selected by the Holders;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investment banker(s) and managing underwriter(s) must be reasonably satisfactory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i/>
          <w:sz w:val="20"/>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Remedies.</w:t>
      </w:r>
      <w:r>
        <w:rPr>
          <w:rFonts w:ascii="Times New Roman" w:hAnsi="Times New Roman"/>
          <w:sz w:val="20"/>
        </w:rPr>
        <w:t xml:space="preserve"> The Company hereby agrees that monetary damages would not be adequate compensation for any loss incurred by reason of a breach by it of the provisions of this Agreement and hereby agrees to waive the defense in any action for specific performance that a remedy at law would be adequate.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Inconsistent Agreements.</w:t>
      </w:r>
      <w:r>
        <w:rPr>
          <w:rFonts w:ascii="Times New Roman" w:hAnsi="Times New Roman"/>
          <w:sz w:val="20"/>
        </w:rPr>
        <w:t xml:space="preserve"> The Company will not on or after the date of this Agreement enter into any agreement with respect to its securities that is inconsistent with the rights granted to the Holders in this Agreement or otherwise conflicts with the provisions hereof. The rights granted to the Holder hereunder do not in any way conflict with and are not inconsistent with the rights granted to the holders of the Company’s securities under any agreement in effect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Adjustments Affecting the Notes.</w:t>
      </w:r>
      <w:r>
        <w:rPr>
          <w:rFonts w:ascii="Times New Roman" w:hAnsi="Times New Roman"/>
          <w:sz w:val="20"/>
        </w:rPr>
        <w:t xml:space="preserve"> The Company will not take any action, or permit any change to occur, with respect to the Registrable Notes that would materially and adversely affect the ability of the Holders to Consummate any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Amendments and Waivers.</w:t>
      </w:r>
      <w:r>
        <w:rPr>
          <w:rFonts w:ascii="Times New Roman" w:hAnsi="Times New Roman"/>
          <w:sz w:val="20"/>
        </w:rPr>
        <w:t xml:space="preserve"> The provisions of this Agreement may not be amended, modified or supplemented, and waivers or consents to or departures from the provisions hereof may not be given unless the Company has obtained the written consent of the Holders of the Registrable Notes.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Notices.</w:t>
      </w:r>
      <w:r>
        <w:rPr>
          <w:rFonts w:ascii="Times New Roman" w:hAnsi="Times New Roman"/>
          <w:sz w:val="20"/>
        </w:rPr>
        <w:t xml:space="preserve"> All notices and other communications provided for or permitted hereunder shall be made in writing by hand-delivery, first-class mail (registered or certified, return receipt requested), facsimile, email, or air courier guaranteeing overnight delivery: </w:t>
      </w:r>
    </w:p>
    <w:p>
      <w:pPr>
        <w:pStyle w:val="TextBody"/>
        <w:bidi w:val="0"/>
        <w:spacing w:before="120" w:after="0"/>
        <w:jc w:val="left"/>
        <w:rPr>
          <w:rFonts w:ascii="Times New Roman" w:hAnsi="Times New Roman"/>
          <w:sz w:val="20"/>
        </w:rPr>
      </w:pPr>
      <w:r>
        <w:rPr>
          <w:rFonts w:ascii="Times New Roman" w:hAnsi="Times New Roman"/>
          <w:sz w:val="20"/>
        </w:rPr>
        <w:t xml:space="preserve">(i) if to a Holder, at the address set forth in the records of the Registrar, with a copy to the Registrar; and </w:t>
      </w:r>
    </w:p>
    <w:p>
      <w:pPr>
        <w:pStyle w:val="TextBody"/>
        <w:bidi w:val="0"/>
        <w:spacing w:before="120" w:after="0"/>
        <w:jc w:val="left"/>
        <w:rPr>
          <w:rFonts w:ascii="Times New Roman" w:hAnsi="Times New Roman"/>
          <w:sz w:val="20"/>
        </w:rPr>
      </w:pPr>
      <w:r>
        <w:rPr>
          <w:rFonts w:ascii="Times New Roman" w:hAnsi="Times New Roman"/>
          <w:sz w:val="20"/>
        </w:rPr>
        <w:t xml:space="preserve">(ii) 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PennantPark Investment Corporation </w:t>
      </w:r>
    </w:p>
    <w:p>
      <w:pPr>
        <w:pStyle w:val="TextBody"/>
        <w:bidi w:val="0"/>
        <w:spacing w:before="0" w:after="0"/>
        <w:jc w:val="left"/>
        <w:rPr>
          <w:rFonts w:ascii="Times New Roman" w:hAnsi="Times New Roman"/>
          <w:sz w:val="20"/>
        </w:rPr>
      </w:pPr>
      <w:r>
        <w:rPr>
          <w:rFonts w:ascii="Times New Roman" w:hAnsi="Times New Roman"/>
          <w:sz w:val="20"/>
        </w:rPr>
        <w:t xml:space="preserve">1691 Michigan Avenue </w:t>
      </w:r>
    </w:p>
    <w:p>
      <w:pPr>
        <w:pStyle w:val="TextBody"/>
        <w:bidi w:val="0"/>
        <w:spacing w:before="0" w:after="0"/>
        <w:jc w:val="left"/>
        <w:rPr>
          <w:rFonts w:ascii="Times New Roman" w:hAnsi="Times New Roman"/>
          <w:sz w:val="20"/>
        </w:rPr>
      </w:pPr>
      <w:r>
        <w:rPr>
          <w:rFonts w:ascii="Times New Roman" w:hAnsi="Times New Roman"/>
          <w:sz w:val="20"/>
        </w:rPr>
        <w:t xml:space="preserve">Miami Beach, FL 33139 </w:t>
      </w:r>
    </w:p>
    <w:p>
      <w:pPr>
        <w:pStyle w:val="TextBody"/>
        <w:bidi w:val="0"/>
        <w:spacing w:before="0" w:after="0"/>
        <w:jc w:val="left"/>
        <w:rPr>
          <w:rFonts w:ascii="Times New Roman" w:hAnsi="Times New Roman"/>
          <w:sz w:val="20"/>
        </w:rPr>
      </w:pPr>
      <w:r>
        <w:rPr>
          <w:rFonts w:ascii="Times New Roman" w:hAnsi="Times New Roman"/>
          <w:sz w:val="20"/>
        </w:rPr>
        <w:t xml:space="preserve">Attention: Arthur H. Penn </w:t>
      </w:r>
    </w:p>
    <w:p>
      <w:pPr>
        <w:pStyle w:val="TextBody"/>
        <w:bidi w:val="0"/>
        <w:spacing w:before="120" w:after="0"/>
        <w:jc w:val="left"/>
        <w:rPr>
          <w:rFonts w:ascii="Times New Roman" w:hAnsi="Times New Roman"/>
          <w:sz w:val="20"/>
        </w:rPr>
      </w:pPr>
      <w:r>
        <w:rPr>
          <w:rFonts w:ascii="Times New Roman" w:hAnsi="Times New Roman"/>
          <w:sz w:val="20"/>
        </w:rPr>
        <w:t xml:space="preserve">Email: legal@pennantpark.com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Dechert LLP </w:t>
      </w:r>
    </w:p>
    <w:p>
      <w:pPr>
        <w:pStyle w:val="TextBody"/>
        <w:bidi w:val="0"/>
        <w:spacing w:before="0" w:after="0"/>
        <w:jc w:val="left"/>
        <w:rPr>
          <w:rFonts w:ascii="Times New Roman" w:hAnsi="Times New Roman"/>
          <w:sz w:val="20"/>
        </w:rPr>
      </w:pPr>
      <w:r>
        <w:rPr>
          <w:rFonts w:ascii="Times New Roman" w:hAnsi="Times New Roman"/>
          <w:sz w:val="20"/>
        </w:rPr>
        <w:t xml:space="preserve">One International Place, 40th Floor </w:t>
      </w:r>
    </w:p>
    <w:p>
      <w:pPr>
        <w:pStyle w:val="TextBody"/>
        <w:bidi w:val="0"/>
        <w:spacing w:before="0" w:after="0"/>
        <w:jc w:val="left"/>
        <w:rPr>
          <w:rFonts w:ascii="Times New Roman" w:hAnsi="Times New Roman"/>
          <w:sz w:val="20"/>
        </w:rPr>
      </w:pPr>
      <w:r>
        <w:rPr>
          <w:rFonts w:ascii="Times New Roman" w:hAnsi="Times New Roman"/>
          <w:sz w:val="20"/>
        </w:rPr>
        <w:t xml:space="preserve">100 Oliver Street </w:t>
      </w:r>
    </w:p>
    <w:p>
      <w:pPr>
        <w:pStyle w:val="TextBody"/>
        <w:bidi w:val="0"/>
        <w:spacing w:before="0" w:after="0"/>
        <w:jc w:val="left"/>
        <w:rPr>
          <w:rFonts w:ascii="Times New Roman" w:hAnsi="Times New Roman"/>
          <w:sz w:val="20"/>
        </w:rPr>
      </w:pPr>
      <w:r>
        <w:rPr>
          <w:rFonts w:ascii="Times New Roman" w:hAnsi="Times New Roman"/>
          <w:sz w:val="20"/>
        </w:rPr>
        <w:t xml:space="preserve">Boston, MA </w:t>
      </w:r>
    </w:p>
    <w:p>
      <w:pPr>
        <w:pStyle w:val="TextBody"/>
        <w:bidi w:val="0"/>
        <w:spacing w:before="120" w:after="0"/>
        <w:jc w:val="left"/>
        <w:rPr>
          <w:rFonts w:ascii="Times New Roman" w:hAnsi="Times New Roman"/>
          <w:sz w:val="20"/>
        </w:rPr>
      </w:pPr>
      <w:r>
        <w:rPr>
          <w:rFonts w:ascii="Times New Roman" w:hAnsi="Times New Roman"/>
          <w:sz w:val="20"/>
        </w:rPr>
        <w:t xml:space="preserve">Attention: Thomas J. Friedmann </w:t>
      </w:r>
    </w:p>
    <w:p>
      <w:pPr>
        <w:pStyle w:val="TextBody"/>
        <w:bidi w:val="0"/>
        <w:spacing w:before="120" w:after="0"/>
        <w:jc w:val="left"/>
        <w:rPr>
          <w:rFonts w:ascii="Times New Roman" w:hAnsi="Times New Roman"/>
          <w:sz w:val="20"/>
        </w:rPr>
      </w:pPr>
      <w:r>
        <w:rPr>
          <w:rFonts w:ascii="Times New Roman" w:hAnsi="Times New Roman"/>
          <w:sz w:val="20"/>
        </w:rPr>
        <w:t xml:space="preserve">Email: thomas.friedmann@dechert.com </w:t>
      </w:r>
    </w:p>
    <w:p>
      <w:pPr>
        <w:pStyle w:val="TextBody"/>
        <w:bidi w:val="0"/>
        <w:spacing w:before="120" w:after="0"/>
        <w:jc w:val="left"/>
        <w:rPr>
          <w:rFonts w:ascii="Times New Roman" w:hAnsi="Times New Roman"/>
          <w:sz w:val="20"/>
        </w:rPr>
      </w:pPr>
      <w:r>
        <w:rPr>
          <w:rFonts w:ascii="Times New Roman" w:hAnsi="Times New Roman"/>
          <w:sz w:val="20"/>
        </w:rPr>
        <w:t xml:space="preserve">Attention: Stephen Pratt </w:t>
      </w:r>
    </w:p>
    <w:p>
      <w:pPr>
        <w:pStyle w:val="TextBody"/>
        <w:bidi w:val="0"/>
        <w:spacing w:before="120" w:after="0"/>
        <w:jc w:val="left"/>
        <w:rPr>
          <w:rFonts w:ascii="Times New Roman" w:hAnsi="Times New Roman"/>
          <w:sz w:val="20"/>
        </w:rPr>
      </w:pPr>
      <w:r>
        <w:rPr>
          <w:rFonts w:ascii="Times New Roman" w:hAnsi="Times New Roman"/>
          <w:sz w:val="20"/>
        </w:rPr>
        <w:t xml:space="preserve">Email: stephen.pratt@dechert.com </w:t>
      </w:r>
    </w:p>
    <w:p>
      <w:pPr>
        <w:pStyle w:val="TextBody"/>
        <w:bidi w:val="0"/>
        <w:spacing w:before="120" w:after="0"/>
        <w:jc w:val="left"/>
        <w:rPr>
          <w:rFonts w:ascii="Times New Roman" w:hAnsi="Times New Roman"/>
          <w:sz w:val="20"/>
        </w:rPr>
      </w:pPr>
      <w:r>
        <w:rPr>
          <w:rFonts w:ascii="Times New Roman" w:hAnsi="Times New Roman"/>
          <w:sz w:val="20"/>
        </w:rPr>
        <w:t xml:space="preserve">Attention: Ross MacConnell </w:t>
      </w:r>
    </w:p>
    <w:p>
      <w:pPr>
        <w:pStyle w:val="TextBody"/>
        <w:bidi w:val="0"/>
        <w:spacing w:before="120" w:after="0"/>
        <w:jc w:val="left"/>
        <w:rPr>
          <w:rFonts w:ascii="Times New Roman" w:hAnsi="Times New Roman"/>
          <w:sz w:val="20"/>
        </w:rPr>
      </w:pPr>
      <w:r>
        <w:rPr>
          <w:rFonts w:ascii="Times New Roman" w:hAnsi="Times New Roman"/>
          <w:sz w:val="20"/>
        </w:rPr>
        <w:t xml:space="preserve">Email: ross.macconnell@dechert.com </w:t>
      </w:r>
    </w:p>
    <w:p>
      <w:pPr>
        <w:pStyle w:val="TextBody"/>
        <w:bidi w:val="0"/>
        <w:spacing w:before="240" w:after="0"/>
        <w:jc w:val="left"/>
        <w:rPr>
          <w:rFonts w:ascii="Times New Roman" w:hAnsi="Times New Roman"/>
          <w:sz w:val="20"/>
        </w:rPr>
      </w:pPr>
      <w:r>
        <w:rPr>
          <w:rFonts w:ascii="Times New Roman" w:hAnsi="Times New Roman"/>
          <w:sz w:val="20"/>
        </w:rPr>
        <w:t xml:space="preserve">All such notices and communications shall be deemed to have been duly given: at the time delivered by hand, if personally delivered; five Business Days after being deposited in the mail, postage prepaid, if mailed; when receipt acknowledged, if sent by facsimile; and on the next Business Day, if timely delivered to an air courier guaranteeing overnight delivery.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Successors and Assigns.</w:t>
      </w:r>
      <w:r>
        <w:rPr>
          <w:rFonts w:ascii="Times New Roman" w:hAnsi="Times New Roman"/>
          <w:sz w:val="20"/>
        </w:rPr>
        <w:t xml:space="preserve"> This Agreement shall inure to the benefit of and be binding upon the successors and assigns of each of the parties, including, without the need for an express assignment, subsequent Holders of Registrable Notes; </w:t>
      </w:r>
      <w:r>
        <w:rPr>
          <w:rFonts w:ascii="Times New Roman" w:hAnsi="Times New Roman"/>
          <w:i/>
          <w:sz w:val="20"/>
        </w:rPr>
        <w:t>provided, however</w:t>
      </w:r>
      <w:r>
        <w:rPr>
          <w:rFonts w:ascii="Times New Roman" w:hAnsi="Times New Roman"/>
          <w:sz w:val="20"/>
        </w:rPr>
        <w:t xml:space="preserve">, that this Agreement shall not inure to the benefit of or be binding upon a successor or assign of a Holder unless and to the extent such successor or assign acquired Registrable Notes from such Holder.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Counterparts.</w:t>
      </w:r>
      <w:r>
        <w:rPr>
          <w:rFonts w:ascii="Times New Roman" w:hAnsi="Times New Roman"/>
          <w:sz w:val="20"/>
        </w:rPr>
        <w:t xml:space="preserve"> This Agreement may be signed in counterparts, each of which shall be an original and all of which together shall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Headings.</w:t>
      </w:r>
      <w:r>
        <w:rPr>
          <w:rFonts w:ascii="Times New Roman" w:hAnsi="Times New Roman"/>
          <w:sz w:val="20"/>
        </w:rPr>
        <w:t xml:space="preserve"> The headings in this Agreement are for convenience of reference only and shall not limit or otherwise affect the meaning hereof.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Governing Law.</w:t>
      </w:r>
      <w:r>
        <w:rPr>
          <w:rFonts w:ascii="Times New Roman" w:hAnsi="Times New Roman"/>
          <w:sz w:val="20"/>
        </w:rPr>
        <w:t xml:space="preserve"> THIS AGREEMENT SHALL BE CONSTRUED AND ENFORCED IN ACCORDANCE WITH, AND THE RIGHTS OF THE PARTIES SHALL BE GOVERNED BY, THE LAW OF THE STATE OF NEW YORK EXCLUDING CHOICE-OF-LAW PRINCIPLES OF THE LAW OF SUCH STATE THAT WOULD PERMIT THE APPLICATION OF THE LAWS OF A JURISDICTION OTHER THAN SUCH STATE.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Severability.</w:t>
      </w:r>
      <w:r>
        <w:rPr>
          <w:rFonts w:ascii="Times New Roman" w:hAnsi="Times New Roman"/>
          <w:sz w:val="20"/>
        </w:rPr>
        <w:t xml:space="preserve"> 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Entire Agreement.</w:t>
      </w:r>
      <w:r>
        <w:rPr>
          <w:rFonts w:ascii="Times New Roman" w:hAnsi="Times New Roman"/>
          <w:sz w:val="20"/>
        </w:rPr>
        <w:t xml:space="preserve"> This Agreement is intended by the parties as a final expression of their agreement and intended to be a complete and exclusive statement of the agreement and understanding of the parties hereto in respect of the subject matter contained herein. There are no restrictions, promises, warranties or undertakings, other than those set forth or referred to herein with respect to the registration rights granted by the Company with respect to the Registrable Notes. This Agreement supersedes all prior agreements and understandings between the parties with respect to such subject matter.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Third Party Beneficiaries.</w:t>
      </w:r>
      <w:r>
        <w:rPr>
          <w:rFonts w:ascii="Times New Roman" w:hAnsi="Times New Roman"/>
          <w:sz w:val="20"/>
        </w:rPr>
        <w:t xml:space="preserve"> The Holders shall be a third-party beneficiary to the agreements made hereunder between the Company, on the one hand, and the Purchaser, on the other hand, and shall have the right to enforce such agreements directly to the extent it deems such enforcement necessary or advisable to protect its rights or the rights of other Holders hereunder.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6"/>
        <w:gridCol w:w="60"/>
        <w:gridCol w:w="3666"/>
      </w:tblGrid>
      <w:tr>
        <w:trPr/>
        <w:tc>
          <w:tcPr>
            <w:tcW w:w="3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pPr>
            <w:r>
              <w:rPr/>
              <w:t>PennantPark Investment Corporation</w:t>
            </w:r>
          </w:p>
        </w:tc>
      </w:tr>
      <w:tr>
        <w:trPr>
          <w:trHeight w:val="240" w:hRule="atLeast"/>
        </w:trPr>
        <w:tc>
          <w:tcPr>
            <w:tcW w:w="356" w:type="dxa"/>
            <w:tcBorders/>
            <w:vAlign w:val="center"/>
          </w:tcPr>
          <w:p>
            <w:pPr>
              <w:pStyle w:val="TableContents"/>
              <w:bidi w:val="0"/>
              <w:spacing w:before="0" w:after="283"/>
              <w:jc w:val="left"/>
              <w:rPr>
                <w:sz w:val="4"/>
                <w:szCs w:val="4"/>
              </w:rPr>
            </w:pPr>
            <w:r>
              <w:rPr>
                <w:sz w:val="4"/>
                <w:szCs w:val="4"/>
              </w:rPr>
            </w:r>
          </w:p>
        </w:tc>
        <w:tc>
          <w:tcPr>
            <w:tcW w:w="3726" w:type="dxa"/>
            <w:gridSpan w:val="2"/>
            <w:tcBorders/>
            <w:vAlign w:val="center"/>
          </w:tcPr>
          <w:p>
            <w:pPr>
              <w:pStyle w:val="TableContents"/>
              <w:bidi w:val="0"/>
              <w:spacing w:before="0" w:after="283"/>
              <w:jc w:val="left"/>
              <w:rPr>
                <w:sz w:val="4"/>
                <w:szCs w:val="4"/>
              </w:rPr>
            </w:pPr>
            <w:r>
              <w:rPr>
                <w:sz w:val="4"/>
                <w:szCs w:val="4"/>
              </w:rPr>
            </w:r>
          </w:p>
        </w:tc>
      </w:tr>
      <w:tr>
        <w:trPr/>
        <w:tc>
          <w:tcPr>
            <w:tcW w:w="356"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6"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Arthur H. Penn</w:t>
            </w:r>
          </w:p>
        </w:tc>
      </w:tr>
      <w:tr>
        <w:trPr/>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6" w:type="dxa"/>
            <w:tcBorders/>
            <w:vAlign w:val="bottom"/>
          </w:tcPr>
          <w:p>
            <w:pPr>
              <w:pStyle w:val="TableContents"/>
              <w:bidi w:val="0"/>
              <w:spacing w:before="0" w:after="283"/>
              <w:jc w:val="left"/>
              <w:rPr/>
            </w:pPr>
            <w:r>
              <w:rPr/>
              <w:t>Name: Arthur H. Penn</w:t>
            </w:r>
          </w:p>
        </w:tc>
      </w:tr>
      <w:tr>
        <w:trPr/>
        <w:tc>
          <w:tcPr>
            <w:tcW w:w="35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6" w:type="dxa"/>
            <w:tcBorders/>
            <w:vAlign w:val="bottom"/>
          </w:tcPr>
          <w:p>
            <w:pPr>
              <w:pStyle w:val="TableContents"/>
              <w:bidi w:val="0"/>
              <w:spacing w:before="0" w:after="283"/>
              <w:jc w:val="left"/>
              <w:rPr/>
            </w:pPr>
            <w:r>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Registration Rights Agreement (2029 Notes-2)]</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Registration Rights Agreement is hereby confirmed and accepted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3"/>
        <w:gridCol w:w="60"/>
        <w:gridCol w:w="3659"/>
      </w:tblGrid>
      <w:tr>
        <w:trPr/>
        <w:tc>
          <w:tcPr>
            <w:tcW w:w="3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HERZFELD REGULATED DEBT ISSUER</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9" w:type="dxa"/>
            <w:tcBorders/>
            <w:vAlign w:val="bottom"/>
          </w:tcPr>
          <w:p>
            <w:pPr>
              <w:pStyle w:val="TableContents"/>
              <w:bidi w:val="0"/>
              <w:spacing w:before="0" w:after="283"/>
              <w:jc w:val="left"/>
              <w:rPr>
                <w:b/>
              </w:rPr>
            </w:pPr>
            <w:r>
              <w:rPr>
                <w:b/>
              </w:rPr>
              <w:t>SUB LLC</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2"/>
            <w:tcBorders/>
            <w:vAlign w:val="center"/>
          </w:tcPr>
          <w:p>
            <w:pPr>
              <w:pStyle w:val="TableContents"/>
              <w:bidi w:val="0"/>
              <w:spacing w:before="0" w:after="283"/>
              <w:jc w:val="left"/>
              <w:rPr>
                <w:sz w:val="4"/>
                <w:szCs w:val="4"/>
              </w:rPr>
            </w:pPr>
            <w:r>
              <w:rPr>
                <w:sz w:val="4"/>
                <w:szCs w:val="4"/>
              </w:rPr>
            </w:r>
          </w:p>
        </w:tc>
      </w:tr>
      <w:tr>
        <w:trPr/>
        <w:tc>
          <w:tcPr>
            <w:tcW w:w="363" w:type="dxa"/>
            <w:tcBorders/>
            <w:vAlign w:val="bottom"/>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9"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Erik M. Herzfeld</w:t>
            </w:r>
          </w:p>
        </w:tc>
      </w:tr>
      <w:tr>
        <w:trPr/>
        <w:tc>
          <w:tcPr>
            <w:tcW w:w="3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9" w:type="dxa"/>
            <w:tcBorders/>
            <w:vAlign w:val="bottom"/>
          </w:tcPr>
          <w:p>
            <w:pPr>
              <w:pStyle w:val="TableContents"/>
              <w:bidi w:val="0"/>
              <w:spacing w:before="0" w:after="283"/>
              <w:jc w:val="left"/>
              <w:rPr/>
            </w:pPr>
            <w:r>
              <w:rPr/>
              <w:t xml:space="preserve">Name: </w:t>
            </w:r>
            <w:r>
              <w:rPr>
                <w:b/>
              </w:rPr>
              <w:t>E</w:t>
            </w:r>
            <w:r>
              <w:rPr>
                <w:b/>
                <w:sz w:val="20"/>
              </w:rPr>
              <w:t>RIK</w:t>
            </w:r>
            <w:r>
              <w:rPr>
                <w:b/>
              </w:rPr>
              <w:t xml:space="preserve"> M. H</w:t>
            </w:r>
            <w:r>
              <w:rPr>
                <w:b/>
                <w:sz w:val="20"/>
              </w:rPr>
              <w:t>ERZFELD</w:t>
            </w:r>
          </w:p>
        </w:tc>
      </w:tr>
      <w:tr>
        <w:trPr/>
        <w:tc>
          <w:tcPr>
            <w:tcW w:w="36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9" w:type="dxa"/>
            <w:tcBorders/>
            <w:vAlign w:val="bottom"/>
          </w:tcPr>
          <w:p>
            <w:pPr>
              <w:pStyle w:val="TableContents"/>
              <w:bidi w:val="0"/>
              <w:spacing w:before="0" w:after="283"/>
              <w:jc w:val="left"/>
              <w:rPr/>
            </w:pPr>
            <w:r>
              <w:rPr/>
              <w:t xml:space="preserve">Title: </w:t>
            </w:r>
            <w:r>
              <w:rPr>
                <w:b/>
              </w:rPr>
              <w:t>A</w:t>
            </w:r>
            <w:r>
              <w:rPr>
                <w:b/>
                <w:sz w:val="20"/>
              </w:rPr>
              <w:t>UTHORIZED</w:t>
            </w:r>
            <w:r>
              <w:rPr>
                <w:b/>
              </w:rPr>
              <w:t xml:space="preserve"> R</w:t>
            </w:r>
            <w:r>
              <w:rPr>
                <w:b/>
                <w:sz w:val="20"/>
              </w:rPr>
              <w:t>EPRESENTATIVE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Registration Rights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I </w:t>
      </w:r>
    </w:p>
    <w:p>
      <w:pPr>
        <w:pStyle w:val="TextBody"/>
        <w:bidi w:val="0"/>
        <w:spacing w:before="120" w:after="0"/>
        <w:jc w:val="center"/>
        <w:rPr>
          <w:rFonts w:ascii="Times New Roman" w:hAnsi="Times New Roman"/>
          <w:b/>
          <w:sz w:val="20"/>
        </w:rPr>
      </w:pPr>
      <w:r>
        <w:rPr>
          <w:rFonts w:ascii="Times New Roman" w:hAnsi="Times New Roman"/>
          <w:b/>
          <w:sz w:val="20"/>
        </w:rPr>
        <w:t xml:space="preserve">Purchaser </w:t>
      </w:r>
    </w:p>
    <w:p>
      <w:pPr>
        <w:pStyle w:val="TextBody"/>
        <w:bidi w:val="0"/>
        <w:spacing w:before="120" w:after="0"/>
        <w:jc w:val="center"/>
        <w:rPr>
          <w:rFonts w:ascii="Times New Roman" w:hAnsi="Times New Roman"/>
          <w:sz w:val="20"/>
        </w:rPr>
      </w:pPr>
      <w:r>
        <w:rPr>
          <w:rFonts w:ascii="Times New Roman" w:hAnsi="Times New Roman"/>
          <w:sz w:val="20"/>
        </w:rPr>
        <w:t xml:space="preserve">See attached.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143</Pages>
  <Words>51372</Words>
  <Characters>270606</Characters>
  <CharactersWithSpaces>322375</CharactersWithSpaces>
  <Paragraphs>2416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EX-10.3</dc:title>
</cp:coreProperties>
</file>