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May 25, 2017</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25"/>
        </w:trPr>
        <w:tc>
          <w:tcPr>
            <w:tcW w:w="4080" w:type="dxa"/>
            <w:vAlign w:val="bottom"/>
          </w:tcPr>
          <w:p>
            <w:pPr>
              <w:jc w:val="center"/>
              <w:ind w:right="2379"/>
              <w:spacing w:after="0"/>
              <w:rPr>
                <w:sz w:val="20"/>
                <w:szCs w:val="20"/>
                <w:color w:val="auto"/>
              </w:rPr>
            </w:pPr>
            <w:r>
              <w:rPr>
                <w:rFonts w:ascii="Arial" w:cs="Arial" w:eastAsia="Arial" w:hAnsi="Arial"/>
                <w:sz w:val="18"/>
                <w:szCs w:val="18"/>
                <w:b w:val="1"/>
                <w:bCs w:val="1"/>
                <w:color w:val="auto"/>
                <w:w w:val="98"/>
              </w:rPr>
              <w:t>Maryland</w:t>
            </w:r>
          </w:p>
        </w:tc>
        <w:tc>
          <w:tcPr>
            <w:tcW w:w="2260" w:type="dxa"/>
            <w:vAlign w:val="bottom"/>
          </w:tcPr>
          <w:p>
            <w:pPr>
              <w:ind w:left="180"/>
              <w:spacing w:after="0"/>
              <w:rPr>
                <w:sz w:val="20"/>
                <w:szCs w:val="20"/>
                <w:color w:val="auto"/>
              </w:rPr>
            </w:pPr>
            <w:r>
              <w:rPr>
                <w:rFonts w:ascii="Arial" w:cs="Arial" w:eastAsia="Arial" w:hAnsi="Arial"/>
                <w:sz w:val="18"/>
                <w:szCs w:val="18"/>
                <w:b w:val="1"/>
                <w:bCs w:val="1"/>
                <w:color w:val="auto"/>
              </w:rPr>
              <w:t>814-00736</w:t>
            </w:r>
          </w:p>
        </w:tc>
        <w:tc>
          <w:tcPr>
            <w:tcW w:w="272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8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720" w:type="dxa"/>
            <w:vAlign w:val="bottom"/>
          </w:tcPr>
          <w:p>
            <w:pPr>
              <w:jc w:val="center"/>
              <w:ind w:left="12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8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26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720" w:type="dxa"/>
            <w:vAlign w:val="bottom"/>
          </w:tcPr>
          <w:p>
            <w:pPr>
              <w:jc w:val="center"/>
              <w:ind w:left="122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8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590 Madison Avenue, 15th Floor</w:t>
            </w:r>
          </w:p>
        </w:tc>
        <w:tc>
          <w:tcPr>
            <w:tcW w:w="22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5"/>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95"/>
              </w:rPr>
              <w:t>New York, NY</w:t>
            </w:r>
          </w:p>
        </w:tc>
        <w:tc>
          <w:tcPr>
            <w:tcW w:w="2260" w:type="dxa"/>
            <w:vAlign w:val="bottom"/>
          </w:tcPr>
          <w:p>
            <w:pPr>
              <w:spacing w:after="0"/>
              <w:rPr>
                <w:sz w:val="19"/>
                <w:szCs w:val="19"/>
                <w:color w:val="auto"/>
              </w:rPr>
            </w:pPr>
          </w:p>
        </w:tc>
        <w:tc>
          <w:tcPr>
            <w:tcW w:w="2720" w:type="dxa"/>
            <w:vAlign w:val="bottom"/>
          </w:tcPr>
          <w:p>
            <w:pPr>
              <w:jc w:val="right"/>
              <w:ind w:right="42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8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spacing w:after="0"/>
              <w:rPr>
                <w:sz w:val="16"/>
                <w:szCs w:val="16"/>
                <w:color w:val="auto"/>
              </w:rPr>
            </w:pPr>
          </w:p>
        </w:tc>
        <w:tc>
          <w:tcPr>
            <w:tcW w:w="2720" w:type="dxa"/>
            <w:vAlign w:val="bottom"/>
          </w:tcPr>
          <w:p>
            <w:pPr>
              <w:jc w:val="center"/>
              <w:ind w:left="12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80"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368"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May 25, 2017, PennantPark Investment Corporation (the “Company”) entered into a First Omnibus Amendment to its Second Amended and Restated Senior Secured Revolving Credit Agreement (as amended, the “Credit Facility”) to, among other things, (i) extend the term of the revolving period to May 25, 2021 and the final maturity date to May 25, 2022, (ii) adjust the size of the Credit Facility to $445 million, (iii) increase the size of the accordion provision to permit increases to the Credit Facility up to $750,000,000 if certain conditions are satisfied and (iv) include certain restrictions on the Borrowing Base with respect to investments located in certain countries and equity interests. In addition, the Applicable Margin remains at 1.25% for ABR Loans and 2.25% for Eurocurrency Loans; provided that when the Borrowing Base is greater than or equal to 1.85 times the Combined Debt Amount (each as defined in the Credit Facility), the Applicable Margin will be reduced to 1.00% and 2.00%, respectively. SunTrust Robinson Humphrey, Inc. and JPMorgan Chase Bank, N.A. acted as joint lead arrangers and joint book runners. SunTrust Bank will serve as administrative agent for each of the lenders and JPMorgan Chase Bank, N.A. acted as syndication agent of the Credit Facility.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Credit Facility remains secured by substantially all of the assets of the Company excluding, among other things, assets held by either PennantPark SBIC LP or PennantPark SBIC II LP, which are the Company’s small business investment company subsidiaries.</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part of the amendment, the covenant regarding maintenance of a minimum shareholders’ equity was modified such that it must exceed the sum of (1) $230 million plus (2) 25% of the net proceeds from the sale of equity interests in the Company and its subsidiaries after the effective date (other than proceeds from the sale of equity interests by and among the Company and its subsidiaries).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description above is only a summary of the material provisions of the Credit Facility and is qualified in its entirety by reference to the Credit Facility, which will be filed with the Company’s Quarterly Report on Form 10-Q for the quarter ending June 30, 2017.</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25, 2017, the Company issued a press release that, among other things, announced the entry into the Credit Facility. A copy of the press release is furnished as Exhibit 99.1 to this report on Form 8-K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May 25, 2017, the Company notified American Stock Transfer &amp; Trust Company, LLC, the trustee (the “Trustee”) for the Company’s 6.25% Senior Notes due 2025 (the “Notes”), of the Company’s election to redeem the $71,250,000 aggregate principal amount of the Notes outstanding, and instructed the Trustee to provide notice of such redemption to the holders of the Notes in accordance with the terms of the indenture governing the Notes. The Company expects the redemption to be completed on June 29, 2017. Following the redemption, none of the Notes will remain outstanding, and they will be delisted from the New York Stock Exchange. This Current Report on Form 8-K does not constitute a notice of redemption of the Notes.</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May 25, 2017, the Company issued a press release that, among other things, announced the redemption of the Notes. A copy of the press release is furnished as Exhibit 99.1 to this report on Form 8-K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PennantPark Investment Corporation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ectPr>
          <w:pgSz w:w="11900" w:h="16838" w:orient="portrait"/>
          <w:cols w:equalWidth="0" w:num="1">
            <w:col w:w="11240"/>
          </w:cols>
          <w:pgMar w:left="320" w:top="27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 Financial Statements and Exhibits</w:t>
      </w:r>
    </w:p>
    <w:p>
      <w:pPr>
        <w:spacing w:after="0" w:line="117" w:lineRule="exact"/>
        <w:rPr>
          <w:sz w:val="20"/>
          <w:szCs w:val="20"/>
          <w:color w:val="auto"/>
        </w:rPr>
      </w:pPr>
    </w:p>
    <w:p>
      <w:pPr>
        <w:ind w:left="1100" w:right="8239" w:hanging="1092"/>
        <w:spacing w:after="0" w:line="488" w:lineRule="auto"/>
        <w:tabs>
          <w:tab w:leader="none" w:pos="25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15" w:lineRule="exact"/>
        <w:rPr>
          <w:rFonts w:ascii="Arial" w:cs="Arial" w:eastAsia="Arial" w:hAnsi="Arial"/>
          <w:sz w:val="16"/>
          <w:szCs w:val="16"/>
          <w:b w:val="1"/>
          <w:bCs w:val="1"/>
          <w:color w:val="auto"/>
        </w:rPr>
      </w:pPr>
    </w:p>
    <w:p>
      <w:pPr>
        <w:ind w:left="1100" w:right="7339" w:hanging="1092"/>
        <w:spacing w:after="0" w:line="407" w:lineRule="auto"/>
        <w:tabs>
          <w:tab w:leader="none" w:pos="26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jc w:val="center"/>
        <w:ind w:left="1100" w:right="7719" w:hanging="1092"/>
        <w:spacing w:after="0" w:line="536" w:lineRule="auto"/>
        <w:tabs>
          <w:tab w:leader="none" w:pos="249"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Shell company transactions: </w:t>
      </w:r>
      <w:r>
        <w:rPr>
          <w:rFonts w:ascii="Arial" w:cs="Arial" w:eastAsia="Arial" w:hAnsi="Arial"/>
          <w:sz w:val="15"/>
          <w:szCs w:val="15"/>
          <w:color w:val="auto"/>
        </w:rPr>
        <w:t>None</w:t>
      </w:r>
    </w:p>
    <w:p>
      <w:pPr>
        <w:spacing w:after="0" w:line="93" w:lineRule="exact"/>
        <w:rPr>
          <w:rFonts w:ascii="Arial" w:cs="Arial" w:eastAsia="Arial" w:hAnsi="Arial"/>
          <w:sz w:val="15"/>
          <w:szCs w:val="15"/>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jc w:val="right"/>
        <w:ind w:right="3019"/>
        <w:spacing w:after="0"/>
        <w:tabs>
          <w:tab w:leader="none" w:pos="5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auto"/>
        </w:rPr>
        <w:t>Press Release of PennantPark Investment Corporation dated May 25, 2017</w:t>
      </w:r>
    </w:p>
    <w:p>
      <w:pPr>
        <w:sectPr>
          <w:pgSz w:w="11900" w:h="16838" w:orient="portrait"/>
          <w:cols w:equalWidth="0" w:num="1">
            <w:col w:w="10139"/>
          </w:cols>
          <w:pgMar w:left="320" w:top="270" w:right="1440"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25, 2017</w:t>
      </w:r>
      <w:r>
        <w:rPr>
          <w:sz w:val="20"/>
          <w:szCs w:val="20"/>
          <w:color w:val="auto"/>
        </w:rPr>
        <w:tab/>
      </w:r>
      <w:r>
        <w:rPr>
          <w:rFonts w:ascii="Arial" w:cs="Arial" w:eastAsia="Arial" w:hAnsi="Arial"/>
          <w:sz w:val="18"/>
          <w:szCs w:val="18"/>
          <w:b w:val="1"/>
          <w:bCs w:val="1"/>
          <w:color w:val="auto"/>
        </w:rPr>
        <w:t>PENNANTPARK INVESTMENT CORPORATION</w:t>
      </w:r>
    </w:p>
    <w:p>
      <w:pPr>
        <w:spacing w:after="0" w:line="24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900"/>
          </w:cols>
          <w:pgMar w:left="320" w:top="270" w:right="679" w:bottom="1440" w:gutter="0" w:footer="0" w:header="0"/>
        </w:sectPr>
      </w:pPr>
    </w:p>
    <w:bookmarkStart w:id="4" w:name="page5"/>
    <w:bookmarkEnd w:id="4"/>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Investment Corporation dated May 25, 2017</w:t>
      </w:r>
    </w:p>
    <w:p>
      <w:pPr>
        <w:sectPr>
          <w:pgSz w:w="11900" w:h="16838" w:orient="portrait"/>
          <w:cols w:equalWidth="0" w:num="1">
            <w:col w:w="10139"/>
          </w:cols>
          <w:pgMar w:left="32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94205"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420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to Reduce Interest Expense with Extension of Credit Facility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6.25% Senior Notes due 2025</w:t>
      </w:r>
    </w:p>
    <w:p>
      <w:pPr>
        <w:spacing w:after="0" w:line="2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NEW YORK, May 25, 2017 (GLOBE NEWSWIRE) PennantPark Investment Corporation (NASDAQ:PNNT) (“PNNT” or the “Company”), a leading provider of capital to middle market companies, today announced that it has amended its multi-currency, senior secured revolving credit facility (the “Credit Facility”) to, among other things, (i) extend the term of the revolving period to May 25, 2021 and the final maturity date to May 25, 2022, (ii) adjust the size of the Credit Facility to $445 million and (iii) increase the size of the accordion provision to permit increases to the Credit Facility up to $750,000,000 if certain conditions are satisfied. The LIBOR pricing of the Credit Facility remains the same at LIBOR plus 225 basis points; however, the applicable margin may be reduced by 25 basis points if certain conditions are satisfied. SunTrust Robinson Humphrey, Inc. and JPMorgan Chase Bank, N.A. acted as joint lead arrangers and joint book runners and JPMorgan Chase Bank, N.A. acted as syndication agent of the Credit Facility. SunTrust Bank acted as administrative agent for each of the lenders.</w:t>
      </w:r>
    </w:p>
    <w:p>
      <w:pPr>
        <w:spacing w:after="0" w:line="19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are pleased with the extension of our Credit Facility while maintaining our cost, and are delighted to have received continuing support from virtually all of our existing lenders. Our Credit Facility amendment affords us the flexibility to redeem our 6.25% Notes, thereby creating considerable savings in interest expense while maintaining a comfortable level of liquidity,” commented Arthur H. Penn, the Company’s Chairman and Chief Executive Officer.</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also announced today that it will redeem its 6.25% Senior Notes due February 1, 2025 (NYSE: PNTA) with an aggregate principal amount outstanding of $71,250,000 (the “Notes”). The Company will redeem 100%, or $71,250,000, of the issued and outstanding Notes on June 29, 2017 (the “Redemption Date”), following which they will be delisted from the New York Stock Exchange. The redemption price will be par $25 for each Note plus accrued and unpaid interest through, but excluding, the Redemption Date. The redemption of the Notes is expected to result in interest savings through the original maturity date of the Notes.</w:t>
      </w:r>
    </w:p>
    <w:p>
      <w:pPr>
        <w:spacing w:after="0" w:line="18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Notes should be presented and surrendered by mail or by hand at the office of the paying agent, American Stock Transfer &amp; Trust Company, LLC, 6201 15th Avenue, Brooklyn, NY 11219, Corporate Trust Office, Attention: General Counsel. Questions related to the notice of redemption and related materials should be directed to American Stock Transfer &amp; Trust Company, LLC via telephone at (800) 937-5449.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CORPORATION</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primarily invests in U.S. middle-market companies in the form of senior secured debt, mezzanine debt and, to a lesser extent, equity investments. PennantPark Investment Corporation is managed by PennantPark Investment Advisers, LLC.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CONTACT:</w:t>
            </w:r>
          </w:p>
        </w:tc>
        <w:tc>
          <w:tcPr>
            <w:tcW w:w="2660" w:type="dxa"/>
            <w:vAlign w:val="bottom"/>
            <w:gridSpan w:val="2"/>
          </w:tcPr>
          <w:p>
            <w:pPr>
              <w:spacing w:after="0"/>
              <w:rPr>
                <w:sz w:val="20"/>
                <w:szCs w:val="20"/>
                <w:color w:val="auto"/>
              </w:rPr>
            </w:pPr>
            <w:r>
              <w:rPr>
                <w:rFonts w:ascii="Arial" w:cs="Arial" w:eastAsia="Arial" w:hAnsi="Arial"/>
                <w:sz w:val="18"/>
                <w:szCs w:val="18"/>
                <w:color w:val="auto"/>
              </w:rPr>
              <w:t>Aviv Efrat</w:t>
            </w:r>
          </w:p>
        </w:tc>
      </w:tr>
      <w:tr>
        <w:trPr>
          <w:trHeight w:val="216"/>
        </w:trPr>
        <w:tc>
          <w:tcPr>
            <w:tcW w:w="14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89"/>
              </w:rPr>
              <w:t>PennantPark Investment Corporation</w:t>
            </w:r>
          </w:p>
        </w:tc>
      </w:tr>
      <w:tr>
        <w:trPr>
          <w:trHeight w:val="216"/>
        </w:trPr>
        <w:tc>
          <w:tcPr>
            <w:tcW w:w="14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Reception: (212) 905-1000</w:t>
            </w:r>
          </w:p>
        </w:tc>
      </w:tr>
      <w:tr>
        <w:trPr>
          <w:trHeight w:val="190"/>
        </w:trPr>
        <w:tc>
          <w:tcPr>
            <w:tcW w:w="1480" w:type="dxa"/>
            <w:vAlign w:val="bottom"/>
          </w:tcPr>
          <w:p>
            <w:pPr>
              <w:spacing w:after="0"/>
              <w:rPr>
                <w:sz w:val="16"/>
                <w:szCs w:val="16"/>
                <w:color w:val="auto"/>
              </w:rPr>
            </w:pPr>
          </w:p>
        </w:tc>
        <w:tc>
          <w:tcPr>
            <w:tcW w:w="2660" w:type="dxa"/>
            <w:vAlign w:val="bottom"/>
            <w:gridSpan w:val="2"/>
          </w:tcPr>
          <w:p>
            <w:pPr>
              <w:spacing w:after="0" w:line="190" w:lineRule="exact"/>
              <w:rPr>
                <w:sz w:val="20"/>
                <w:szCs w:val="20"/>
                <w:color w:val="auto"/>
              </w:rPr>
            </w:pPr>
            <w:r>
              <w:rPr>
                <w:rFonts w:ascii="Arial" w:cs="Arial" w:eastAsia="Arial" w:hAnsi="Arial"/>
                <w:sz w:val="18"/>
                <w:szCs w:val="18"/>
                <w:color w:val="auto"/>
              </w:rPr>
              <w:t>www.pennantpark.com</w:t>
            </w:r>
          </w:p>
        </w:tc>
      </w:tr>
      <w:tr>
        <w:trPr>
          <w:trHeight w:val="20"/>
        </w:trPr>
        <w:tc>
          <w:tcPr>
            <w:tcW w:w="1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sectPr>
      <w:pgSz w:w="11900" w:h="16838" w:orient="portrait"/>
      <w:cols w:equalWidth="0" w:num="1">
        <w:col w:w="10139"/>
      </w:cols>
      <w:pgMar w:left="32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2020-05-05T15:16:55Z</dcterms:created>
  <dcterms:modified xsi:type="dcterms:W3CDTF">2020-05-05T15:16:55Z</dcterms:modified>
</cp:coreProperties>
</file>