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jc w:val="center"/>
              <w:ind w:left="759"/>
              <w:spacing w:after="0"/>
              <w:rPr>
                <w:sz w:val="20"/>
                <w:szCs w:val="20"/>
                <w:color w:val="auto"/>
              </w:rPr>
            </w:pPr>
            <w:r>
              <w:rPr>
                <w:rFonts w:ascii="Arial" w:cs="Arial" w:eastAsia="Arial" w:hAnsi="Arial"/>
                <w:sz w:val="18"/>
                <w:szCs w:val="18"/>
                <w:b w:val="1"/>
                <w:bCs w:val="1"/>
                <w:color w:val="auto"/>
              </w:rPr>
              <w:t>MARYLAND</w:t>
            </w:r>
          </w:p>
        </w:tc>
        <w:tc>
          <w:tcPr>
            <w:tcW w:w="2560" w:type="dxa"/>
            <w:vAlign w:val="bottom"/>
          </w:tcPr>
          <w:p>
            <w:pPr>
              <w:spacing w:after="0"/>
              <w:rPr>
                <w:sz w:val="20"/>
                <w:szCs w:val="20"/>
                <w:color w:val="auto"/>
              </w:rPr>
            </w:pPr>
          </w:p>
        </w:tc>
        <w:tc>
          <w:tcPr>
            <w:tcW w:w="3860" w:type="dxa"/>
            <w:vAlign w:val="bottom"/>
          </w:tcPr>
          <w:p>
            <w:pPr>
              <w:jc w:val="right"/>
              <w:ind w:right="2179"/>
              <w:spacing w:after="0"/>
              <w:rPr>
                <w:sz w:val="20"/>
                <w:szCs w:val="20"/>
                <w:color w:val="auto"/>
              </w:rPr>
            </w:pPr>
            <w:r>
              <w:rPr>
                <w:rFonts w:ascii="Arial" w:cs="Arial" w:eastAsia="Arial" w:hAnsi="Arial"/>
                <w:sz w:val="18"/>
                <w:szCs w:val="18"/>
                <w:b w:val="1"/>
                <w:bCs w:val="1"/>
                <w:color w:val="auto"/>
              </w:rPr>
              <w:t>20-8250744</w:t>
            </w:r>
          </w:p>
        </w:tc>
      </w:tr>
      <w:tr>
        <w:trPr>
          <w:trHeight w:val="190"/>
        </w:trPr>
        <w:tc>
          <w:tcPr>
            <w:tcW w:w="48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60" w:type="dxa"/>
            <w:vAlign w:val="bottom"/>
          </w:tcPr>
          <w:p>
            <w:pPr>
              <w:spacing w:after="0"/>
              <w:rPr>
                <w:sz w:val="16"/>
                <w:szCs w:val="16"/>
                <w:color w:val="auto"/>
              </w:rPr>
            </w:pPr>
          </w:p>
        </w:tc>
        <w:tc>
          <w:tcPr>
            <w:tcW w:w="3860" w:type="dxa"/>
            <w:vAlign w:val="bottom"/>
          </w:tcPr>
          <w:p>
            <w:pPr>
              <w:jc w:val="center"/>
              <w:ind w:right="14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590 Madison Avenue,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2"/>
        </w:trPr>
        <w:tc>
          <w:tcPr>
            <w:tcW w:w="4820" w:type="dxa"/>
            <w:vAlign w:val="bottom"/>
          </w:tcPr>
          <w:p>
            <w:pPr>
              <w:jc w:val="center"/>
              <w:ind w:left="739"/>
              <w:spacing w:after="0"/>
              <w:rPr>
                <w:sz w:val="20"/>
                <w:szCs w:val="20"/>
                <w:color w:val="auto"/>
              </w:rPr>
            </w:pPr>
            <w:r>
              <w:rPr>
                <w:rFonts w:ascii="Arial" w:cs="Arial" w:eastAsia="Arial" w:hAnsi="Arial"/>
                <w:sz w:val="18"/>
                <w:szCs w:val="18"/>
                <w:b w:val="1"/>
                <w:bCs w:val="1"/>
                <w:color w:val="auto"/>
                <w:w w:val="94"/>
              </w:rPr>
              <w:t>New York, N.Y.</w:t>
            </w:r>
          </w:p>
        </w:tc>
        <w:tc>
          <w:tcPr>
            <w:tcW w:w="2560" w:type="dxa"/>
            <w:vAlign w:val="bottom"/>
          </w:tcPr>
          <w:p>
            <w:pPr>
              <w:spacing w:after="0"/>
              <w:rPr>
                <w:sz w:val="18"/>
                <w:szCs w:val="18"/>
                <w:color w:val="auto"/>
              </w:rPr>
            </w:pPr>
          </w:p>
        </w:tc>
        <w:tc>
          <w:tcPr>
            <w:tcW w:w="3860" w:type="dxa"/>
            <w:vAlign w:val="bottom"/>
          </w:tcPr>
          <w:p>
            <w:pPr>
              <w:jc w:val="right"/>
              <w:ind w:right="2379"/>
              <w:spacing w:after="0"/>
              <w:rPr>
                <w:sz w:val="20"/>
                <w:szCs w:val="20"/>
                <w:color w:val="auto"/>
              </w:rPr>
            </w:pPr>
            <w:r>
              <w:rPr>
                <w:rFonts w:ascii="Arial" w:cs="Arial" w:eastAsia="Arial" w:hAnsi="Arial"/>
                <w:sz w:val="18"/>
                <w:szCs w:val="18"/>
                <w:b w:val="1"/>
                <w:bCs w:val="1"/>
                <w:color w:val="auto"/>
              </w:rPr>
              <w:t>10022</w:t>
            </w:r>
          </w:p>
        </w:tc>
      </w:tr>
      <w:tr>
        <w:trPr>
          <w:trHeight w:val="186"/>
        </w:trPr>
        <w:tc>
          <w:tcPr>
            <w:tcW w:w="4820" w:type="dxa"/>
            <w:vAlign w:val="bottom"/>
          </w:tcPr>
          <w:p>
            <w:pPr>
              <w:jc w:val="center"/>
              <w:ind w:left="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spacing w:after="0"/>
              <w:rPr>
                <w:sz w:val="16"/>
                <w:szCs w:val="16"/>
                <w:color w:val="auto"/>
              </w:rPr>
            </w:pPr>
          </w:p>
        </w:tc>
        <w:tc>
          <w:tcPr>
            <w:tcW w:w="38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4820" w:type="dxa"/>
            <w:vAlign w:val="bottom"/>
          </w:tcPr>
          <w:p>
            <w:pPr>
              <w:spacing w:after="0"/>
              <w:rPr>
                <w:sz w:val="16"/>
                <w:szCs w:val="16"/>
                <w:color w:val="auto"/>
              </w:rPr>
            </w:pPr>
          </w:p>
        </w:tc>
        <w:tc>
          <w:tcPr>
            <w:tcW w:w="2560" w:type="dxa"/>
            <w:vAlign w:val="bottom"/>
          </w:tcPr>
          <w:p>
            <w:pPr>
              <w:jc w:val="center"/>
              <w:ind w:right="861"/>
              <w:spacing w:after="0"/>
              <w:rPr>
                <w:sz w:val="20"/>
                <w:szCs w:val="20"/>
                <w:color w:val="auto"/>
              </w:rPr>
            </w:pPr>
            <w:r>
              <w:rPr>
                <w:rFonts w:ascii="Arial" w:cs="Arial" w:eastAsia="Arial" w:hAnsi="Arial"/>
                <w:sz w:val="14"/>
                <w:szCs w:val="14"/>
                <w:b w:val="1"/>
                <w:bCs w:val="1"/>
                <w:color w:val="auto"/>
                <w:w w:val="93"/>
              </w:rPr>
              <w:t>(212) 905-1000</w:t>
            </w:r>
          </w:p>
        </w:tc>
        <w:tc>
          <w:tcPr>
            <w:tcW w:w="3860" w:type="dxa"/>
            <w:vAlign w:val="bottom"/>
          </w:tcPr>
          <w:p>
            <w:pPr>
              <w:spacing w:after="0"/>
              <w:rPr>
                <w:sz w:val="16"/>
                <w:szCs w:val="16"/>
                <w:color w:val="auto"/>
              </w:rPr>
            </w:pPr>
          </w:p>
        </w:tc>
      </w:tr>
      <w:tr>
        <w:trPr>
          <w:trHeight w:val="186"/>
        </w:trPr>
        <w:tc>
          <w:tcPr>
            <w:tcW w:w="7380" w:type="dxa"/>
            <w:vAlign w:val="bottom"/>
            <w:gridSpan w:val="2"/>
          </w:tcPr>
          <w:p>
            <w:pPr>
              <w:jc w:val="center"/>
              <w:ind w:left="37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60" w:type="dxa"/>
            <w:vAlign w:val="bottom"/>
          </w:tcPr>
          <w:p>
            <w:pPr>
              <w:spacing w:after="0"/>
              <w:rPr>
                <w:sz w:val="16"/>
                <w:szCs w:val="16"/>
                <w:color w:val="auto"/>
              </w:rPr>
            </w:pPr>
          </w:p>
        </w:tc>
      </w:tr>
      <w:tr>
        <w:trPr>
          <w:trHeight w:val="66"/>
        </w:trPr>
        <w:tc>
          <w:tcPr>
            <w:tcW w:w="48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r>
      <w:tr>
        <w:trPr>
          <w:trHeight w:val="200"/>
        </w:trPr>
        <w:tc>
          <w:tcPr>
            <w:tcW w:w="4820" w:type="dxa"/>
            <w:vAlign w:val="bottom"/>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70"/>
        </w:trPr>
        <w:tc>
          <w:tcPr>
            <w:tcW w:w="4820" w:type="dxa"/>
            <w:vAlign w:val="bottom"/>
          </w:tcPr>
          <w:p>
            <w:pPr>
              <w:jc w:val="center"/>
              <w:ind w:right="999"/>
              <w:spacing w:after="0"/>
              <w:rPr>
                <w:sz w:val="20"/>
                <w:szCs w:val="20"/>
                <w:color w:val="auto"/>
              </w:rPr>
            </w:pPr>
            <w:r>
              <w:rPr>
                <w:rFonts w:ascii="Arial" w:cs="Arial" w:eastAsia="Arial" w:hAnsi="Arial"/>
                <w:sz w:val="16"/>
                <w:szCs w:val="16"/>
                <w:b w:val="1"/>
                <w:bCs w:val="1"/>
                <w:color w:val="auto"/>
                <w:w w:val="91"/>
              </w:rPr>
              <w:t>Title of Each Class</w:t>
            </w:r>
          </w:p>
        </w:tc>
        <w:tc>
          <w:tcPr>
            <w:tcW w:w="2560" w:type="dxa"/>
            <w:vAlign w:val="bottom"/>
          </w:tcPr>
          <w:p>
            <w:pPr>
              <w:jc w:val="center"/>
              <w:ind w:right="881"/>
              <w:spacing w:after="0"/>
              <w:rPr>
                <w:sz w:val="20"/>
                <w:szCs w:val="20"/>
                <w:color w:val="auto"/>
              </w:rPr>
            </w:pPr>
            <w:r>
              <w:rPr>
                <w:rFonts w:ascii="Arial" w:cs="Arial" w:eastAsia="Arial" w:hAnsi="Arial"/>
                <w:sz w:val="16"/>
                <w:szCs w:val="16"/>
                <w:b w:val="1"/>
                <w:bCs w:val="1"/>
                <w:color w:val="auto"/>
                <w:w w:val="91"/>
              </w:rPr>
              <w:t>Trading Symbol(s)</w:t>
            </w:r>
          </w:p>
        </w:tc>
        <w:tc>
          <w:tcPr>
            <w:tcW w:w="38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2"/>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Common Stock, par value $0.001 per share</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820" w:type="dxa"/>
            <w:vAlign w:val="bottom"/>
          </w:tcPr>
          <w:p>
            <w:pPr>
              <w:jc w:val="center"/>
              <w:ind w:right="979"/>
              <w:spacing w:after="0"/>
              <w:rPr>
                <w:sz w:val="20"/>
                <w:szCs w:val="20"/>
                <w:color w:val="auto"/>
              </w:rPr>
            </w:pPr>
            <w:r>
              <w:rPr>
                <w:rFonts w:ascii="Arial" w:cs="Arial" w:eastAsia="Arial" w:hAnsi="Arial"/>
                <w:sz w:val="16"/>
                <w:szCs w:val="16"/>
                <w:color w:val="auto"/>
                <w:w w:val="90"/>
              </w:rPr>
              <w:t>5.50% Notes due 2024</w:t>
            </w:r>
          </w:p>
        </w:tc>
        <w:tc>
          <w:tcPr>
            <w:tcW w:w="2560" w:type="dxa"/>
            <w:vAlign w:val="bottom"/>
          </w:tcPr>
          <w:p>
            <w:pPr>
              <w:jc w:val="center"/>
              <w:ind w:right="901"/>
              <w:spacing w:after="0"/>
              <w:rPr>
                <w:sz w:val="20"/>
                <w:szCs w:val="20"/>
                <w:color w:val="auto"/>
              </w:rPr>
            </w:pPr>
            <w:r>
              <w:rPr>
                <w:rFonts w:ascii="Arial" w:cs="Arial" w:eastAsia="Arial" w:hAnsi="Arial"/>
                <w:sz w:val="16"/>
                <w:szCs w:val="16"/>
                <w:color w:val="auto"/>
                <w:w w:val="96"/>
              </w:rPr>
              <w:t>PNNTG</w:t>
            </w:r>
          </w:p>
        </w:tc>
        <w:tc>
          <w:tcPr>
            <w:tcW w:w="3860" w:type="dxa"/>
            <w:vAlign w:val="bottom"/>
          </w:tcPr>
          <w:p>
            <w:pPr>
              <w:jc w:val="center"/>
              <w:ind w:left="19"/>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ind w:right="180" w:firstLine="49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firstLine="496"/>
        <w:spacing w:after="0" w:line="32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 w:lineRule="exact"/>
        <w:rPr>
          <w:sz w:val="24"/>
          <w:szCs w:val="24"/>
          <w:color w:val="auto"/>
        </w:rPr>
      </w:pPr>
    </w:p>
    <w:p>
      <w:pPr>
        <w:jc w:val="both"/>
        <w:ind w:right="260" w:firstLine="49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59" w:lineRule="exact"/>
        <w:rPr>
          <w:sz w:val="24"/>
          <w:szCs w:val="24"/>
          <w:color w:val="auto"/>
        </w:rPr>
      </w:pPr>
    </w:p>
    <w:p>
      <w:pPr>
        <w:jc w:val="both"/>
        <w:ind w:right="80" w:firstLine="4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00" w:right="21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$0.001 par value per share, outstanding as of May 11, 2020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MARCH 31, 2020</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40" w:type="dxa"/>
            <w:vAlign w:val="bottom"/>
          </w:tcPr>
          <w:p>
            <w:pPr>
              <w:spacing w:after="0"/>
              <w:rPr>
                <w:sz w:val="16"/>
                <w:szCs w:val="16"/>
                <w:color w:val="auto"/>
              </w:rPr>
            </w:pP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40" w:type="dxa"/>
            <w:vAlign w:val="bottom"/>
          </w:tcPr>
          <w:p>
            <w:pPr>
              <w:spacing w:after="0"/>
              <w:rPr>
                <w:sz w:val="24"/>
                <w:szCs w:val="24"/>
                <w:color w:val="auto"/>
              </w:rPr>
            </w:pP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2020 (unaudited) and September 30, 2019</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six months ended March 31,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99"/>
        </w:trPr>
        <w:tc>
          <w:tcPr>
            <w:tcW w:w="932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2020 (unaudited) and September 30, 2019</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459"/>
        </w:trPr>
        <w:tc>
          <w:tcPr>
            <w:tcW w:w="9320" w:type="dxa"/>
            <w:vAlign w:val="bottom"/>
          </w:tcPr>
          <w:p>
            <w:pPr>
              <w:ind w:left="36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27">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59"/>
        </w:trPr>
        <w:tc>
          <w:tcPr>
            <w:tcW w:w="9320" w:type="dxa"/>
            <w:vAlign w:val="bottom"/>
          </w:tcPr>
          <w:p>
            <w:pPr>
              <w:ind w:left="430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PART II. OTHER INFORMATION</w:t>
              </w:r>
            </w:hyperlink>
          </w:p>
        </w:tc>
        <w:tc>
          <w:tcPr>
            <w:tcW w:w="1940" w:type="dxa"/>
            <w:vAlign w:val="bottom"/>
          </w:tcPr>
          <w:p>
            <w:pPr>
              <w:spacing w:after="0"/>
              <w:rPr>
                <w:sz w:val="24"/>
                <w:szCs w:val="24"/>
                <w:color w:val="auto"/>
              </w:rPr>
            </w:pP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1A. Risk Factors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3. Defaults Upon Senior Securities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4. 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459"/>
        </w:trPr>
        <w:tc>
          <w:tcPr>
            <w:tcW w:w="9320" w:type="dxa"/>
            <w:vAlign w:val="bottom"/>
          </w:tcPr>
          <w:p>
            <w:pPr>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743"/>
        </w:trPr>
        <w:tc>
          <w:tcPr>
            <w:tcW w:w="9320" w:type="dxa"/>
            <w:vAlign w:val="bottom"/>
          </w:tcPr>
          <w:p>
            <w:pPr>
              <w:ind w:left="5580"/>
              <w:spacing w:after="0"/>
              <w:rPr>
                <w:sz w:val="20"/>
                <w:szCs w:val="20"/>
                <w:color w:val="auto"/>
              </w:rPr>
            </w:pPr>
            <w:r>
              <w:rPr>
                <w:rFonts w:ascii="Arial" w:cs="Arial" w:eastAsia="Arial" w:hAnsi="Arial"/>
                <w:sz w:val="14"/>
                <w:szCs w:val="14"/>
                <w:color w:val="auto"/>
              </w:rPr>
              <w:t>2</w:t>
            </w:r>
          </w:p>
        </w:tc>
        <w:tc>
          <w:tcPr>
            <w:tcW w:w="1940" w:type="dxa"/>
            <w:vAlign w:val="bottom"/>
          </w:tcPr>
          <w:p>
            <w:pPr>
              <w:spacing w:after="0"/>
              <w:rPr>
                <w:sz w:val="24"/>
                <w:szCs w:val="24"/>
                <w:color w:val="auto"/>
              </w:rPr>
            </w:pPr>
          </w:p>
        </w:tc>
      </w:tr>
      <w:tr>
        <w:trPr>
          <w:trHeight w:val="100"/>
        </w:trPr>
        <w:tc>
          <w:tcPr>
            <w:tcW w:w="93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21" w:lineRule="exact"/>
        <w:rPr>
          <w:sz w:val="20"/>
          <w:szCs w:val="20"/>
          <w:color w:val="auto"/>
        </w:rPr>
      </w:pPr>
    </w:p>
    <w:p>
      <w:pPr>
        <w:ind w:firstLine="438"/>
        <w:spacing w:after="0" w:line="225" w:lineRule="auto"/>
        <w:rPr>
          <w:sz w:val="20"/>
          <w:szCs w:val="20"/>
          <w:color w:val="auto"/>
        </w:rPr>
      </w:pPr>
      <w:r>
        <w:rPr>
          <w:rFonts w:ascii="Arial" w:cs="Arial" w:eastAsia="Arial" w:hAnsi="Arial"/>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“PennantPark Investment Advisers” or “Investment Adviser” refer to PennantPark Investment Advisers, LLC; “PennantPark Investment Administration” or “Administrator” refer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“Truist Credit Facility” refers to our multi-currency, senior secured revolving credit facility with Truist Bank (formerly SunTrust Bank), as amended and restated; “Credit Facilities” refers to the BNP Credit Facility and Truist Credit Facility collectively; “2019 Notes” refers to our 4.5% notes due 2019, which we redeemed in March 2019; “2024 Notes” refers to our 5.5% Notes due 2024;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our other consolidated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3"/>
                <w:szCs w:val="13"/>
                <w:color w:val="auto"/>
              </w:rPr>
              <w:t>Non-controlled, non-affiliated investments (cost—$1,136,891,439 and $922,304,099, respectively)</w:t>
            </w: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1,127,578,177</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936,632,099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3"/>
                <w:szCs w:val="13"/>
                <w:color w:val="auto"/>
              </w:rPr>
              <w:t>Non-controlled, affiliated investments (cost—$77,628,920 and $77,600,816, respectively)</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26,648,548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49,349,338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3"/>
                <w:szCs w:val="13"/>
                <w:color w:val="auto"/>
              </w:rPr>
              <w:t>Controlled, affiliated investments (cost—$274,448,367 and $257,117,800, respectively)</w:t>
            </w:r>
          </w:p>
        </w:tc>
        <w:tc>
          <w:tcPr>
            <w:tcW w:w="16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199,820,217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233,451,359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rPr>
                <w:sz w:val="20"/>
                <w:szCs w:val="20"/>
                <w:color w:val="auto"/>
              </w:rPr>
            </w:pPr>
            <w:r>
              <w:rPr>
                <w:rFonts w:ascii="Arial" w:cs="Arial" w:eastAsia="Arial" w:hAnsi="Arial"/>
                <w:sz w:val="13"/>
                <w:szCs w:val="13"/>
                <w:color w:val="auto"/>
              </w:rPr>
              <w:t>Total of investments (cost—$1,488,968,726 and $1,257,022,715, respectively)</w:t>
            </w:r>
          </w:p>
        </w:tc>
        <w:tc>
          <w:tcPr>
            <w:tcW w:w="16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1,354,046,942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Cash and cash equivalents (cost—$25,174,710 and $59,546,438, respectively)</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25,127,515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59,516,236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Interest receivable</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6,872,137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6,226,539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1,071,214</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662,442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1,387,117,808</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Liabilities</w:t>
            </w:r>
          </w:p>
        </w:tc>
        <w:tc>
          <w:tcPr>
            <w:tcW w:w="16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Distributions payable</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12,068,119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12,068,119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BNP Credit Facility payable, at fair value (cost—$245,000,000 and $171,000,000, respectively) (See Notes 5 and 10)</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228,585,000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170,145,000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Truist Credit Facility payable, at fair value (cost—$441,636,000 and $301,636,000, respectively) (See Notes 5 and 10)</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404,430,430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2024 Notes payable, net (par—$86,250,000 and $75,000,000, respectively) (See Notes 5 and 10)</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83,504,809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SBA debentures payable, net (par—$133,500,000 and $150,000,000, respectively) (See Notes 5 and 10)</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130,285,249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Base management fee payable, net (See Note 3)</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4,880,699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4,641,480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Performance-based incentive fee payable, net (See Note 3)</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1,913,047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Interest payable on debt</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4,612,690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2,895,695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Arial" w:cs="Arial" w:eastAsia="Arial" w:hAnsi="Arial"/>
                <w:sz w:val="13"/>
                <w:szCs w:val="13"/>
                <w:color w:val="auto"/>
              </w:rPr>
              <w:t>Accrued other expenses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158,528</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569,175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ind w:left="1000"/>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870,438,571</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703,932,345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rPr>
                <w:sz w:val="20"/>
                <w:szCs w:val="20"/>
                <w:color w:val="auto"/>
              </w:rPr>
            </w:pPr>
            <w:r>
              <w:rPr>
                <w:rFonts w:ascii="Arial" w:cs="Arial" w:eastAsia="Arial" w:hAnsi="Arial"/>
                <w:sz w:val="13"/>
                <w:szCs w:val="13"/>
                <w:color w:val="auto"/>
              </w:rPr>
              <w:t>Commitments and contingencies (See Note 11)</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Net assets</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20" w:type="dxa"/>
            <w:vAlign w:val="bottom"/>
          </w:tcPr>
          <w:p>
            <w:pPr>
              <w:spacing w:after="0"/>
              <w:rPr>
                <w:sz w:val="20"/>
                <w:szCs w:val="20"/>
                <w:color w:val="auto"/>
              </w:rPr>
            </w:pPr>
            <w:r>
              <w:rPr>
                <w:rFonts w:ascii="Arial" w:cs="Arial" w:eastAsia="Arial" w:hAnsi="Arial"/>
                <w:sz w:val="13"/>
                <w:szCs w:val="13"/>
                <w:color w:val="auto"/>
              </w:rPr>
              <w:t>Common stock, 67,045,105 and 67,045,105 shares issued and outstanding, respectively</w:t>
            </w:r>
          </w:p>
        </w:tc>
        <w:tc>
          <w:tcPr>
            <w:tcW w:w="1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67,045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67,045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20" w:type="dxa"/>
            <w:vAlign w:val="bottom"/>
          </w:tcPr>
          <w:p>
            <w:pPr>
              <w:ind w:left="100"/>
              <w:spacing w:after="0"/>
              <w:rPr>
                <w:sz w:val="20"/>
                <w:szCs w:val="20"/>
                <w:color w:val="auto"/>
              </w:rPr>
            </w:pPr>
            <w:r>
              <w:rPr>
                <w:rFonts w:ascii="Arial" w:cs="Arial" w:eastAsia="Arial" w:hAnsi="Arial"/>
                <w:sz w:val="13"/>
                <w:szCs w:val="13"/>
                <w:color w:val="auto"/>
              </w:rPr>
              <w:t>Par value $0.001 per share and 100,000,000 shares authorized</w:t>
            </w:r>
          </w:p>
        </w:tc>
        <w:tc>
          <w:tcPr>
            <w:tcW w:w="1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3"/>
                <w:szCs w:val="13"/>
                <w:color w:val="auto"/>
              </w:rPr>
              <w:t>Paid-in capital in excess of par value</w:t>
            </w:r>
          </w:p>
        </w:tc>
        <w:tc>
          <w:tcPr>
            <w:tcW w:w="16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788,192,159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788,192,159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3"/>
                <w:szCs w:val="13"/>
                <w:color w:val="auto"/>
              </w:rPr>
              <w:t>Accumulated distributable net loss</w:t>
            </w:r>
          </w:p>
        </w:tc>
        <w:tc>
          <w:tcPr>
            <w:tcW w:w="16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(271,579,967)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(206,353,536)</w:t>
            </w:r>
          </w:p>
        </w:tc>
        <w:tc>
          <w:tcPr>
            <w:tcW w:w="0" w:type="dxa"/>
            <w:vAlign w:val="bottom"/>
          </w:tcPr>
          <w:p>
            <w:pPr>
              <w:spacing w:after="0"/>
              <w:rPr>
                <w:sz w:val="1"/>
                <w:szCs w:val="1"/>
                <w:color w:val="auto"/>
              </w:rPr>
            </w:pPr>
          </w:p>
        </w:tc>
      </w:tr>
      <w:tr>
        <w:trPr>
          <w:trHeight w:val="156"/>
        </w:trPr>
        <w:tc>
          <w:tcPr>
            <w:tcW w:w="7820" w:type="dxa"/>
            <w:vAlign w:val="bottom"/>
            <w:tcBorders>
              <w:top w:val="single" w:sz="8" w:color="CCECFF"/>
            </w:tcBorders>
            <w:shd w:val="clear" w:color="auto" w:fill="CCECFF"/>
          </w:tcPr>
          <w:p>
            <w:pPr>
              <w:ind w:left="1000"/>
              <w:spacing w:after="0"/>
              <w:rPr>
                <w:sz w:val="20"/>
                <w:szCs w:val="20"/>
                <w:color w:val="auto"/>
              </w:rPr>
            </w:pPr>
            <w:r>
              <w:rPr>
                <w:rFonts w:ascii="Arial" w:cs="Arial" w:eastAsia="Arial" w:hAnsi="Arial"/>
                <w:sz w:val="13"/>
                <w:szCs w:val="13"/>
                <w:b w:val="1"/>
                <w:bCs w:val="1"/>
                <w:color w:val="auto"/>
              </w:rPr>
              <w:t>Total net assets</w:t>
            </w: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516,679,237</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581,905,668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820" w:type="dxa"/>
            <w:vAlign w:val="bottom"/>
            <w:tcBorders>
              <w:bottom w:val="single" w:sz="8" w:color="CCECFF"/>
            </w:tcBorders>
          </w:tcPr>
          <w:p>
            <w:pPr>
              <w:ind w:left="1000"/>
              <w:spacing w:after="0"/>
              <w:rPr>
                <w:sz w:val="20"/>
                <w:szCs w:val="20"/>
                <w:color w:val="auto"/>
              </w:rPr>
            </w:pPr>
            <w:r>
              <w:rPr>
                <w:rFonts w:ascii="Arial" w:cs="Arial" w:eastAsia="Arial" w:hAnsi="Arial"/>
                <w:sz w:val="13"/>
                <w:szCs w:val="13"/>
                <w:b w:val="1"/>
                <w:bCs w:val="1"/>
                <w:color w:val="auto"/>
              </w:rPr>
              <w:t>Total liabilities and net assets</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1,387,117,808</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1,285,838,013</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3"/>
                <w:szCs w:val="13"/>
                <w:b w:val="1"/>
                <w:bCs w:val="1"/>
                <w:color w:val="auto"/>
              </w:rPr>
              <w:t>Net asset value per share</w:t>
            </w: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7.71</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8.68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22,748,529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22,938,612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43,133,443</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46,447,193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1,978,894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2,626,193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3,863,400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3,872,209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751,284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1,016,381</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941,202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1,634,452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3,798</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108,903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559,934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2,048,653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1,204,624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3,837,256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Payment-in-kind</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1,496,251</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54,116</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4,395,988</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59,116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27,534,892</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28,687,753</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53,538,657</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56,067,754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4,880,699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4,510,830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9,623,129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8,930,092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1,913,047</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8,340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2,657,673</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2,675,610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8,962,513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7,032,019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17,828,583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13,310,866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521,520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532,625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1,043,040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1,054,250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648,881</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692,177</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1,292,841</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1,310,544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financing costs and provision for taxes</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16,926,660</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12,775,991</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32,445,266</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27,281,362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Debt issuance costs (See Notes 5 and 10)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2,696,498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2,696,498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Make-whole premium (See Notes 5 and 10)</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2,162,526</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2,162,526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600,000</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17,226,660</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17,935,015</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33,045,266</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32,740,386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10,308,232</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10,752,738</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20,493,391</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23,327,368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Net realized gain (loss) on investments 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1,424,778</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972,448</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39"/>
              <w:spacing w:after="0"/>
              <w:rPr>
                <w:sz w:val="20"/>
                <w:szCs w:val="20"/>
                <w:color w:val="auto"/>
              </w:rPr>
            </w:pPr>
            <w:r>
              <w:rPr>
                <w:rFonts w:ascii="Arial" w:cs="Arial" w:eastAsia="Arial" w:hAnsi="Arial"/>
                <w:sz w:val="14"/>
                <w:szCs w:val="14"/>
                <w:color w:val="auto"/>
              </w:rPr>
              <w:t>(10,609,375)</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4,710,367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4,792,067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4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1,424,778</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972,448</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(10,609,375)</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9,502,434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tcPr>
          <w:p>
            <w:pPr>
              <w:spacing w:after="0" w:line="155" w:lineRule="exact"/>
              <w:rPr>
                <w:sz w:val="20"/>
                <w:szCs w:val="20"/>
                <w:color w:val="auto"/>
              </w:rPr>
            </w:pPr>
            <w:r>
              <w:rPr>
                <w:rFonts w:ascii="Arial" w:cs="Arial" w:eastAsia="Arial" w:hAnsi="Arial"/>
                <w:sz w:val="14"/>
                <w:szCs w:val="14"/>
                <w:color w:val="auto"/>
              </w:rPr>
              <w:t>Net change in unrealized (depreciation) appreciation 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39"/>
              <w:spacing w:after="0"/>
              <w:rPr>
                <w:sz w:val="20"/>
                <w:szCs w:val="20"/>
                <w:color w:val="auto"/>
              </w:rPr>
            </w:pPr>
            <w:r>
              <w:rPr>
                <w:rFonts w:ascii="Arial" w:cs="Arial" w:eastAsia="Arial" w:hAnsi="Arial"/>
                <w:sz w:val="14"/>
                <w:szCs w:val="14"/>
                <w:color w:val="auto"/>
              </w:rPr>
              <w:t>(40,710,987)</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(6,753,803)</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39"/>
              <w:spacing w:after="0"/>
              <w:rPr>
                <w:sz w:val="20"/>
                <w:szCs w:val="20"/>
                <w:color w:val="auto"/>
              </w:rPr>
            </w:pPr>
            <w:r>
              <w:rPr>
                <w:rFonts w:ascii="Arial" w:cs="Arial" w:eastAsia="Arial" w:hAnsi="Arial"/>
                <w:sz w:val="14"/>
                <w:szCs w:val="14"/>
                <w:color w:val="auto"/>
              </w:rPr>
              <w:t>(23,658,391)</w:t>
            </w: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(13,683,685)</w:t>
            </w:r>
          </w:p>
        </w:tc>
        <w:tc>
          <w:tcPr>
            <w:tcW w:w="0" w:type="dxa"/>
            <w:vAlign w:val="bottom"/>
          </w:tcPr>
          <w:p>
            <w:pPr>
              <w:spacing w:after="0"/>
              <w:rPr>
                <w:sz w:val="1"/>
                <w:szCs w:val="1"/>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(80,260,831)</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(13,379,363)</w:t>
            </w:r>
          </w:p>
        </w:tc>
        <w:tc>
          <w:tcPr>
            <w:tcW w:w="160" w:type="dxa"/>
            <w:vAlign w:val="bottom"/>
          </w:tcPr>
          <w:p>
            <w:pPr>
              <w:spacing w:after="0"/>
              <w:rPr>
                <w:sz w:val="14"/>
                <w:szCs w:val="14"/>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4"/>
                <w:szCs w:val="14"/>
                <w:color w:val="auto"/>
              </w:rPr>
              <w:t>(73,690,603)</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(26,842,060)</w:t>
            </w:r>
          </w:p>
        </w:tc>
        <w:tc>
          <w:tcPr>
            <w:tcW w:w="0" w:type="dxa"/>
            <w:vAlign w:val="bottom"/>
          </w:tcPr>
          <w:p>
            <w:pPr>
              <w:spacing w:after="0"/>
              <w:rPr>
                <w:sz w:val="1"/>
                <w:szCs w:val="1"/>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(See Notes 5 and 10)</w:t>
            </w:r>
          </w:p>
        </w:tc>
        <w:tc>
          <w:tcPr>
            <w:tcW w:w="48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48,946,105</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3,661,483</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46,374,785</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9,727,635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48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(72,025,713)</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(16,471,683)</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(50,974,209)</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(30,798,110)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48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(70,600,935)</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(15,499,235)</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(61,583,584)</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(21,295,676)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48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(60,292,703</w:t>
            </w:r>
          </w:p>
        </w:tc>
        <w:tc>
          <w:tcPr>
            <w:tcW w:w="220" w:type="dxa"/>
            <w:vAlign w:val="bottom"/>
            <w:tcBorders>
              <w:bottom w:val="single" w:sz="8" w:color="CCECFF"/>
            </w:tcBorders>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(4,746,497)</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(41,090,193</w:t>
            </w:r>
          </w:p>
        </w:tc>
        <w:tc>
          <w:tcPr>
            <w:tcW w:w="220" w:type="dxa"/>
            <w:vAlign w:val="bottom"/>
            <w:tcBorders>
              <w:bottom w:val="single" w:sz="8" w:color="CCECFF"/>
            </w:tcBorders>
          </w:tcPr>
          <w:p>
            <w:pPr>
              <w:jc w:val="right"/>
              <w:ind w:right="139"/>
              <w:spacing w:after="0"/>
              <w:rPr>
                <w:sz w:val="20"/>
                <w:szCs w:val="20"/>
                <w:color w:val="auto"/>
              </w:rPr>
            </w:pPr>
            <w:r>
              <w:rPr>
                <w:rFonts w:ascii="Arial" w:cs="Arial" w:eastAsia="Arial" w:hAnsi="Arial"/>
                <w:sz w:val="8"/>
                <w:szCs w:val="8"/>
                <w:color w:val="auto"/>
                <w:w w:val="73"/>
              </w:rPr>
              <w:t>)</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2,031,692</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w w:val="99"/>
              </w:rPr>
              <w:t>Net (decrease) increase in net assets resulting from operations per common share (See Note 7)</w:t>
            </w:r>
          </w:p>
        </w:tc>
        <w:tc>
          <w:tcPr>
            <w:tcW w:w="4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(0.90)</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(0.07)</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(0.61)</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0.03</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0.31</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10,308,232</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10,752,738</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20,493,391</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23,327,368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1,424,778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972,448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(10,609,375)</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9,502,434</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(120,971,818)</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(20,133,166)</w:t>
            </w: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(97,348,994)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(40,525,745)</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1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48,946,105</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3,661,483</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46,374,785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9,727,635</w:t>
            </w:r>
          </w:p>
        </w:tc>
        <w:tc>
          <w:tcPr>
            <w:tcW w:w="100" w:type="dxa"/>
            <w:vAlign w:val="bottom"/>
            <w:shd w:val="clear" w:color="auto" w:fill="CCECFF"/>
          </w:tcPr>
          <w:p>
            <w:pPr>
              <w:spacing w:after="0"/>
              <w:rPr>
                <w:sz w:val="14"/>
                <w:szCs w:val="14"/>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(60,292,703)</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(4,746,497)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(41,090,193)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2,031,692</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(12,068,119)</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(12,068,119)</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(24,136,238)</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(24,313,076)</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(6,977,698)</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(14,471,720)</w:t>
            </w: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(72,360,822)</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(23,792,314)</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(65,226,431)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(36,753,104)</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589,040,059</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615,941,105</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581,905,668</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100" w:type="dxa"/>
            <w:vAlign w:val="bottom"/>
            <w:tcBorders>
              <w:bottom w:val="single" w:sz="8" w:color="CCECFF"/>
            </w:tcBorders>
          </w:tcPr>
          <w:p>
            <w:pPr>
              <w:spacing w:after="0"/>
              <w:rPr>
                <w:sz w:val="14"/>
                <w:szCs w:val="14"/>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516,679,237</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592,148,791</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516,679,237</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592,148,791</w:t>
            </w: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b w:val="1"/>
                <w:bCs w:val="1"/>
                <w:color w:val="auto"/>
              </w:rPr>
              <w:t>Capital share activity: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(982,432)</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(2,008,853)</w:t>
            </w: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(decrease)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(41,090,193)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2,031,692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(decrease)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97,348,994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40,525,745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(46,374,785)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(9,727,635)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10,609,375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(9,502,434)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(1,352,104)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(1,505,849)</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(280,494,214)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(378,352,580)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(8,245,142)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(4,723,070)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47,535,202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240,886,539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1,037,172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521,458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(645,598)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669,626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(408,772)</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648,842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4,480,173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interest payable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1,716,995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(4,133,108)</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base management fee payable,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239,219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423,998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1,913,047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(2,955,925)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(410,647)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(541,118)</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(218,621,451)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(121,253,646)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(14,471,720)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(24,136,238)</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(24,674,669)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Proceeds from 2024 Notes issuance</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10,912,500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of 2019 Notes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(250,000,000)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(16,500,000)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BNP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BNP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(16,000,000)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Truist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571,000,000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Truist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(133,000,000)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(262,384,000)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184,276,262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131,969,611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(34,345,189)</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10,715,965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(43,532)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84,910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59,516,236</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25,127,515</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30,307,029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15,074,416</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16,922,515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805,976</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516,156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91,204,799</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12,697,510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88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Expiration</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0" w:type="dxa"/>
            <w:vAlign w:val="bottom"/>
          </w:tcPr>
          <w:p>
            <w:pPr>
              <w:spacing w:after="0"/>
              <w:rPr>
                <w:sz w:val="1"/>
                <w:szCs w:val="1"/>
                <w:color w:val="auto"/>
              </w:rPr>
            </w:pPr>
          </w:p>
        </w:tc>
      </w:tr>
      <w:tr>
        <w:trPr>
          <w:trHeight w:val="128"/>
        </w:trPr>
        <w:tc>
          <w:tcPr>
            <w:tcW w:w="3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3"/>
              </w:rPr>
              <w:t xml:space="preserve">Investments in Non-Controlled, Non-Affiliated Portfolio Companies—218.2 </w:t>
            </w:r>
            <w:r>
              <w:rPr>
                <w:rFonts w:ascii="Arial" w:cs="Arial" w:eastAsia="Arial" w:hAnsi="Arial"/>
                <w:sz w:val="9"/>
                <w:szCs w:val="9"/>
                <w:b w:val="1"/>
                <w:bCs w:val="1"/>
                <w:color w:val="auto"/>
                <w:w w:val="93"/>
              </w:rPr>
              <w:t>(1), (2)</w:t>
            </w:r>
          </w:p>
        </w:tc>
        <w:tc>
          <w:tcPr>
            <w:tcW w:w="2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First Lien Secured Debt—151.1%</w:t>
            </w:r>
          </w:p>
        </w:tc>
        <w:tc>
          <w:tcPr>
            <w:tcW w:w="8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18 Freemont Street Acquisition, LLC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08/11/2025</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9.50%</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8,302,303</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7,487,422</w:t>
            </w:r>
          </w:p>
        </w:tc>
        <w:tc>
          <w:tcPr>
            <w:tcW w:w="34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7,721,142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Advantage Sales &amp; Marketing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07/23/2021</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1"/>
              </w:rPr>
              <w:t>Grocery</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4.70%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10,541,790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10,134,574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10,120,118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07/24/2025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7.78%</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987,500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973,833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967,750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07/24/2025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(3,750)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12/21/2023</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7.40%</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30,888,073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30,404,870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29,652,550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880" w:type="dxa"/>
            <w:vAlign w:val="bottom"/>
          </w:tcPr>
          <w:p>
            <w:pPr>
              <w:ind w:left="180"/>
              <w:spacing w:after="0"/>
              <w:rPr>
                <w:sz w:val="20"/>
                <w:szCs w:val="20"/>
                <w:color w:val="auto"/>
              </w:rPr>
            </w:pPr>
            <w:r>
              <w:rPr>
                <w:rFonts w:ascii="Arial" w:cs="Arial" w:eastAsia="Arial" w:hAnsi="Arial"/>
                <w:sz w:val="11"/>
                <w:szCs w:val="11"/>
                <w:color w:val="auto"/>
              </w:rPr>
              <w:t>07/31/2025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6,191,490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6,130,578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6,145,054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07/31/2021</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1,792,953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(13,447)</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02/01/2024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7.35%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14,701,965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14,591,077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13,966,867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02/13/2023</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6.57%</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21,536,172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20,923,137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Broder Bros., Co.</w:t>
            </w:r>
          </w:p>
        </w:tc>
        <w:tc>
          <w:tcPr>
            <w:tcW w:w="880" w:type="dxa"/>
            <w:vAlign w:val="bottom"/>
          </w:tcPr>
          <w:p>
            <w:pPr>
              <w:ind w:left="180"/>
              <w:spacing w:after="0"/>
              <w:rPr>
                <w:sz w:val="20"/>
                <w:szCs w:val="20"/>
                <w:color w:val="auto"/>
              </w:rPr>
            </w:pPr>
            <w:r>
              <w:rPr>
                <w:rFonts w:ascii="Arial" w:cs="Arial" w:eastAsia="Arial" w:hAnsi="Arial"/>
                <w:sz w:val="11"/>
                <w:szCs w:val="11"/>
                <w:color w:val="auto"/>
              </w:rPr>
              <w:t>12/02/2022</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9.77%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L+850</w:t>
            </w:r>
          </w:p>
        </w:tc>
        <w:tc>
          <w:tcPr>
            <w:tcW w:w="660" w:type="dxa"/>
            <w:vAlign w:val="bottom"/>
          </w:tcPr>
          <w:p>
            <w:pPr>
              <w:jc w:val="right"/>
              <w:spacing w:after="0"/>
              <w:rPr>
                <w:sz w:val="20"/>
                <w:szCs w:val="20"/>
                <w:color w:val="auto"/>
              </w:rPr>
            </w:pPr>
            <w:r>
              <w:rPr>
                <w:rFonts w:ascii="Arial" w:cs="Arial" w:eastAsia="Arial" w:hAnsi="Arial"/>
                <w:sz w:val="11"/>
                <w:szCs w:val="11"/>
                <w:color w:val="auto"/>
              </w:rPr>
              <w:t>26,931,337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26,931,337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26,662,024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12/23/2021</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7.84%</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38,433,140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38,125,379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38,433,140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880" w:type="dxa"/>
            <w:vAlign w:val="bottom"/>
          </w:tcPr>
          <w:p>
            <w:pPr>
              <w:ind w:left="180"/>
              <w:spacing w:after="0"/>
              <w:rPr>
                <w:sz w:val="20"/>
                <w:szCs w:val="20"/>
                <w:color w:val="auto"/>
              </w:rPr>
            </w:pPr>
            <w:r>
              <w:rPr>
                <w:rFonts w:ascii="Arial" w:cs="Arial" w:eastAsia="Arial" w:hAnsi="Arial"/>
                <w:sz w:val="11"/>
                <w:szCs w:val="11"/>
                <w:color w:val="auto"/>
              </w:rPr>
              <w:t>02/09/2026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7.34%</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3,624,014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3,553,272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3,438,102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02/09/2026</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1,549,743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(79,502)</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Compex Legal Services,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02/09/2026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6.82%</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655,660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655,660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Datalot Inc.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01/24/2025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7,152,659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7,014,558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6,867,983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Datalot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01/24/2025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1,788,165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1,788,165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1,716,996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DermaRite Industries LLC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03/03/2022</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Manufacturing / Basic Industries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8.07%</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9,084,181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9,013,637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8,426,486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DRS Holdings III, Inc.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11/03/2025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13,633,062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13,503,978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12,935,049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DRS Holdings III, Inc.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11/03/2025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1,222,482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1,222,482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1,159,891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305,620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(15,648)</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ECM Industries,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12/23/2025</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5.70%</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2,887,628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2,858,827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2,728,808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12/23/2025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5.70%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517,594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483,950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Empire Resorts, Inc.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03/22/2021</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3.25%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L+225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2,467,915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2,467,915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2,467,915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12/19/2025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7.45%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12,255,000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12,077,510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12,009,900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12/10/2024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17,392,742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17,243,974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16,870,960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12/10/2024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3,387,097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(101,613)</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06/27/2023</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8.03%</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19,995,193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19,905,512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17,095,889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Integrity Marketing Acquisition, LLC</w:t>
            </w:r>
          </w:p>
        </w:tc>
        <w:tc>
          <w:tcPr>
            <w:tcW w:w="880" w:type="dxa"/>
            <w:vAlign w:val="bottom"/>
          </w:tcPr>
          <w:p>
            <w:pPr>
              <w:ind w:left="180"/>
              <w:spacing w:after="0"/>
              <w:rPr>
                <w:sz w:val="20"/>
                <w:szCs w:val="20"/>
                <w:color w:val="auto"/>
              </w:rPr>
            </w:pPr>
            <w:r>
              <w:rPr>
                <w:rFonts w:ascii="Arial" w:cs="Arial" w:eastAsia="Arial" w:hAnsi="Arial"/>
                <w:sz w:val="11"/>
                <w:szCs w:val="11"/>
                <w:color w:val="auto"/>
              </w:rPr>
              <w:t>08/27/2025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7.26%</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3,505,671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3,480,002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3,365,444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08/27/2025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Insurance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21,185,543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(688,528)</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880" w:type="dxa"/>
            <w:vAlign w:val="bottom"/>
          </w:tcPr>
          <w:p>
            <w:pPr>
              <w:ind w:left="180"/>
              <w:spacing w:after="0"/>
              <w:rPr>
                <w:sz w:val="20"/>
                <w:szCs w:val="20"/>
                <w:color w:val="auto"/>
              </w:rPr>
            </w:pPr>
            <w:r>
              <w:rPr>
                <w:rFonts w:ascii="Arial" w:cs="Arial" w:eastAsia="Arial" w:hAnsi="Arial"/>
                <w:sz w:val="11"/>
                <w:szCs w:val="11"/>
                <w:color w:val="auto"/>
              </w:rPr>
              <w:t>12/22/2021</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Personal, Food and Miscellaneous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10.09%</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14,256,893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14,130,405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14,185,609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12/20/2023</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26,794,167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26,478,428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25,513,406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12/20/2023</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1,938,095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1,938,095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1,845,454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03/07/2025</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10.45%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10,050,777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9,865,167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10,000,524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ind w:left="320"/>
              <w:spacing w:after="0"/>
              <w:rPr>
                <w:sz w:val="20"/>
                <w:szCs w:val="20"/>
                <w:color w:val="auto"/>
              </w:rPr>
            </w:pPr>
            <w:r>
              <w:rPr>
                <w:rFonts w:ascii="Arial" w:cs="Arial" w:eastAsia="Arial" w:hAnsi="Arial"/>
                <w:sz w:val="11"/>
                <w:szCs w:val="11"/>
                <w:color w:val="auto"/>
              </w:rPr>
              <w:t>(PIK 3.00%)</w:t>
            </w: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03/07/2025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827,586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(4,138)</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Lash Opco, LLC - Term Loan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12/12/2024</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L+725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9,787,775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9,507,459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9,004,753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Lash Opco, LLC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12/12/2024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8.39%</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P+450</w:t>
            </w:r>
          </w:p>
        </w:tc>
        <w:tc>
          <w:tcPr>
            <w:tcW w:w="660" w:type="dxa"/>
            <w:vAlign w:val="bottom"/>
          </w:tcPr>
          <w:p>
            <w:pPr>
              <w:jc w:val="right"/>
              <w:spacing w:after="0"/>
              <w:rPr>
                <w:sz w:val="20"/>
                <w:szCs w:val="20"/>
                <w:color w:val="auto"/>
              </w:rPr>
            </w:pPr>
            <w:r>
              <w:rPr>
                <w:rFonts w:ascii="Arial" w:cs="Arial" w:eastAsia="Arial" w:hAnsi="Arial"/>
                <w:sz w:val="11"/>
                <w:szCs w:val="11"/>
                <w:color w:val="auto"/>
              </w:rPr>
              <w:t>1,020,489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1,020,489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949,056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12/12/2024</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22,844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(1,599)</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LAV Gear Holdings, Inc.</w:t>
            </w:r>
          </w:p>
        </w:tc>
        <w:tc>
          <w:tcPr>
            <w:tcW w:w="880" w:type="dxa"/>
            <w:vAlign w:val="bottom"/>
          </w:tcPr>
          <w:p>
            <w:pPr>
              <w:ind w:left="180"/>
              <w:spacing w:after="0"/>
              <w:rPr>
                <w:sz w:val="20"/>
                <w:szCs w:val="20"/>
                <w:color w:val="auto"/>
              </w:rPr>
            </w:pPr>
            <w:r>
              <w:rPr>
                <w:rFonts w:ascii="Arial" w:cs="Arial" w:eastAsia="Arial" w:hAnsi="Arial"/>
                <w:sz w:val="11"/>
                <w:szCs w:val="11"/>
                <w:color w:val="auto"/>
              </w:rPr>
              <w:t>10/31/2024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Leisure, Amusement, Motion Pictures, Entertainment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6.95%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2,738,858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2,713,017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2,621,635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02/03/2026</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12,661,516</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12,412,660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11,775,210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02/03/2026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2,450,209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(147,013)</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Lightspeed Buyer Inc.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02/03/2026</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1,165,780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1,165,780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1,084,176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04/13/2023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7.70%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17,004,111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16,833,307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15,813,823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Lombart Brothers, Inc.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04/13/2023</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1,769,912</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1,769,912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1,663,717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05/23/2024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6.95%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17,419,379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17,194,836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16,200,023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05/23/2024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(151,101)</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Ox Two, LLC</w:t>
            </w:r>
          </w:p>
        </w:tc>
        <w:tc>
          <w:tcPr>
            <w:tcW w:w="880" w:type="dxa"/>
            <w:vAlign w:val="bottom"/>
          </w:tcPr>
          <w:p>
            <w:pPr>
              <w:ind w:left="180"/>
              <w:spacing w:after="0"/>
              <w:rPr>
                <w:sz w:val="20"/>
                <w:szCs w:val="20"/>
                <w:color w:val="auto"/>
              </w:rPr>
            </w:pPr>
            <w:r>
              <w:rPr>
                <w:rFonts w:ascii="Arial" w:cs="Arial" w:eastAsia="Arial" w:hAnsi="Arial"/>
                <w:sz w:val="11"/>
                <w:szCs w:val="11"/>
                <w:color w:val="auto"/>
              </w:rPr>
              <w:t>02/27/2023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7.85%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21,568,797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21,285,654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21,353,110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Ox Two, LLC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02/27/2023</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8.51%</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2,488,000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2,488,000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2,463,120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02/27/2023</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Peninsula Pacific Entertainment LLC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11/13/2024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0"/>
              </w:rPr>
              <w:t>Hotels, Motels, Inns and Gaming</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8.55%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L+725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11,495,190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11,256,848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10,575,575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05/08/2026</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6.95%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4,168,500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4,129,610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4,043,445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PRA Events, Inc.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08/08/2022</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8.45%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19,180,820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18,976,897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18,893,108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PRA Events,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08/08/2022</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8.00%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Provation Medical, Inc.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03/11/2024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8.85%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L+700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26,662,500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26,178,561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24,860,115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Questex, LLC</w:t>
            </w:r>
          </w:p>
        </w:tc>
        <w:tc>
          <w:tcPr>
            <w:tcW w:w="880" w:type="dxa"/>
            <w:vAlign w:val="bottom"/>
          </w:tcPr>
          <w:p>
            <w:pPr>
              <w:ind w:left="180"/>
              <w:spacing w:after="0"/>
              <w:rPr>
                <w:sz w:val="20"/>
                <w:szCs w:val="20"/>
                <w:color w:val="auto"/>
              </w:rPr>
            </w:pPr>
            <w:r>
              <w:rPr>
                <w:rFonts w:ascii="Arial" w:cs="Arial" w:eastAsia="Arial" w:hAnsi="Arial"/>
                <w:sz w:val="11"/>
                <w:szCs w:val="11"/>
                <w:color w:val="auto"/>
              </w:rPr>
              <w:t>09/09/2024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22,162,500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21,810,995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21,054,376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Questex, LLC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09/09/2024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1,196,809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1,196,809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1,136,969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09/09/2024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2,393,617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(119,680)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03/31/2025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7.15%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13,849,239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13,661,266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13,536,245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03/31/2025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1,336,285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1,336,285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1,306,085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03/31/2025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890,857</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(20,133)</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Research Horizons, LLC</w:t>
            </w:r>
          </w:p>
        </w:tc>
        <w:tc>
          <w:tcPr>
            <w:tcW w:w="880" w:type="dxa"/>
            <w:vAlign w:val="bottom"/>
          </w:tcPr>
          <w:p>
            <w:pPr>
              <w:ind w:left="180"/>
              <w:spacing w:after="0"/>
              <w:rPr>
                <w:sz w:val="20"/>
                <w:szCs w:val="20"/>
                <w:color w:val="auto"/>
              </w:rPr>
            </w:pPr>
            <w:r>
              <w:rPr>
                <w:rFonts w:ascii="Arial" w:cs="Arial" w:eastAsia="Arial" w:hAnsi="Arial"/>
                <w:sz w:val="11"/>
                <w:szCs w:val="11"/>
                <w:color w:val="auto"/>
              </w:rPr>
              <w:t>06/28/2022</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Media</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7.84%</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30,336,993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30,064,509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28,820,144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880" w:type="dxa"/>
            <w:vAlign w:val="bottom"/>
            <w:vMerge w:val="restart"/>
            <w:shd w:val="clear" w:color="auto" w:fill="CFF0FC"/>
          </w:tcPr>
          <w:p>
            <w:pPr>
              <w:ind w:left="180"/>
              <w:spacing w:after="0"/>
              <w:rPr>
                <w:sz w:val="20"/>
                <w:szCs w:val="20"/>
                <w:color w:val="auto"/>
              </w:rPr>
            </w:pPr>
            <w:r>
              <w:rPr>
                <w:rFonts w:ascii="Arial" w:cs="Arial" w:eastAsia="Arial" w:hAnsi="Arial"/>
                <w:sz w:val="11"/>
                <w:szCs w:val="11"/>
                <w:color w:val="auto"/>
              </w:rPr>
              <w:t>12/20/2024</w:t>
            </w:r>
          </w:p>
        </w:tc>
        <w:tc>
          <w:tcPr>
            <w:tcW w:w="2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40" w:type="dxa"/>
            <w:vAlign w:val="bottom"/>
            <w:vMerge w:val="restart"/>
            <w:shd w:val="clear" w:color="auto" w:fill="CFF0FC"/>
          </w:tcPr>
          <w:p>
            <w:pPr>
              <w:ind w:left="80"/>
              <w:spacing w:after="0"/>
              <w:rPr>
                <w:sz w:val="20"/>
                <w:szCs w:val="20"/>
                <w:color w:val="auto"/>
              </w:rPr>
            </w:pPr>
            <w:r>
              <w:rPr>
                <w:rFonts w:ascii="Arial" w:cs="Arial" w:eastAsia="Arial" w:hAnsi="Arial"/>
                <w:sz w:val="11"/>
                <w:szCs w:val="11"/>
                <w:color w:val="auto"/>
              </w:rPr>
              <w:t xml:space="preserve">Sampling International LLC </w:t>
            </w:r>
            <w:r>
              <w:rPr>
                <w:rFonts w:ascii="Arial" w:cs="Arial" w:eastAsia="Arial" w:hAnsi="Arial"/>
                <w:sz w:val="9"/>
                <w:szCs w:val="9"/>
                <w:color w:val="auto"/>
              </w:rPr>
              <w:t>(5)</w:t>
            </w:r>
          </w:p>
        </w:tc>
        <w:tc>
          <w:tcPr>
            <w:tcW w:w="880" w:type="dxa"/>
            <w:vAlign w:val="bottom"/>
            <w:vMerge w:val="continue"/>
            <w:shd w:val="clear" w:color="auto" w:fill="CFF0FC"/>
          </w:tcPr>
          <w:p>
            <w:pPr>
              <w:spacing w:after="0"/>
              <w:rPr>
                <w:sz w:val="5"/>
                <w:szCs w:val="5"/>
                <w:color w:val="auto"/>
              </w:rPr>
            </w:pPr>
          </w:p>
        </w:tc>
        <w:tc>
          <w:tcPr>
            <w:tcW w:w="2760" w:type="dxa"/>
            <w:vAlign w:val="bottom"/>
            <w:gridSpan w:val="2"/>
            <w:vMerge w:val="restart"/>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7.26%</w:t>
            </w:r>
          </w:p>
        </w:tc>
        <w:tc>
          <w:tcPr>
            <w:tcW w:w="10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17,852,375</w:t>
            </w: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17,720,296</w:t>
            </w: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8"/>
              </w:rPr>
              <w:t>17,138,280</w:t>
            </w: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040" w:type="dxa"/>
            <w:vAlign w:val="bottom"/>
            <w:vMerge w:val="continue"/>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2760" w:type="dxa"/>
            <w:vAlign w:val="bottom"/>
            <w:gridSpan w:val="2"/>
            <w:vMerge w:val="continue"/>
            <w:shd w:val="clear" w:color="auto" w:fill="CFF0FC"/>
          </w:tcPr>
          <w:p>
            <w:pPr>
              <w:spacing w:after="0"/>
              <w:rPr>
                <w:sz w:val="5"/>
                <w:szCs w:val="5"/>
                <w:color w:val="auto"/>
              </w:rPr>
            </w:pPr>
          </w:p>
        </w:tc>
        <w:tc>
          <w:tcPr>
            <w:tcW w:w="880" w:type="dxa"/>
            <w:vAlign w:val="bottom"/>
            <w:gridSpan w:val="2"/>
            <w:vMerge w:val="continue"/>
            <w:shd w:val="clear" w:color="auto" w:fill="CFF0FC"/>
          </w:tcPr>
          <w:p>
            <w:pPr>
              <w:spacing w:after="0"/>
              <w:rPr>
                <w:sz w:val="5"/>
                <w:szCs w:val="5"/>
                <w:color w:val="auto"/>
              </w:rPr>
            </w:pPr>
          </w:p>
        </w:tc>
        <w:tc>
          <w:tcPr>
            <w:tcW w:w="1020" w:type="dxa"/>
            <w:vAlign w:val="bottom"/>
            <w:gridSpan w:val="2"/>
            <w:vMerge w:val="continue"/>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0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06/20/2025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5.75%</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1,985,000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1,966,997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1,897,064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Riverpoint Medical, LLC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06/20/2025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5.75%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173,764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06/20/2025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181,818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(8,055)</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Riverside Assessments, LLC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03/10/2025</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15,438,109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14,568,750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880" w:type="dxa"/>
            <w:vAlign w:val="bottom"/>
          </w:tcPr>
          <w:p>
            <w:pPr>
              <w:ind w:left="180"/>
              <w:spacing w:after="0"/>
              <w:rPr>
                <w:sz w:val="20"/>
                <w:szCs w:val="20"/>
                <w:color w:val="auto"/>
              </w:rPr>
            </w:pPr>
            <w:r>
              <w:rPr>
                <w:rFonts w:ascii="Arial" w:cs="Arial" w:eastAsia="Arial" w:hAnsi="Arial"/>
                <w:sz w:val="11"/>
                <w:szCs w:val="11"/>
                <w:color w:val="auto"/>
              </w:rPr>
              <w:t>12/20/2024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5,503,798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5,425,380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5,228,608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Sargent &amp; Greenleaf Inc.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12/20/2024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Electronics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7.00%</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597,943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597,943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565,057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880" w:type="dxa"/>
            <w:vAlign w:val="bottom"/>
          </w:tcPr>
          <w:p>
            <w:pPr>
              <w:ind w:left="180"/>
              <w:spacing w:after="0"/>
              <w:rPr>
                <w:sz w:val="20"/>
                <w:szCs w:val="20"/>
                <w:color w:val="auto"/>
              </w:rPr>
            </w:pPr>
            <w:r>
              <w:rPr>
                <w:rFonts w:ascii="Arial" w:cs="Arial" w:eastAsia="Arial" w:hAnsi="Arial"/>
                <w:sz w:val="11"/>
                <w:szCs w:val="11"/>
                <w:color w:val="auto"/>
              </w:rPr>
              <w:t>01/03/2025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7.87%</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7,926,829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7,775,124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7,768,293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06/03/2021</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1,829,268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(36,585)</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01/03/2025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731,707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(14,634)</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07/14/2025</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7.44%</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518,879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512,465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508,502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07/14/2025</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38,040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(761)</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05/03/2024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7.57%</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14,625,000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14,443,649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14,288,625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Systems Holding Company (Revolver)</w:t>
            </w:r>
          </w:p>
        </w:tc>
        <w:tc>
          <w:tcPr>
            <w:tcW w:w="880" w:type="dxa"/>
            <w:vAlign w:val="bottom"/>
          </w:tcPr>
          <w:p>
            <w:pPr>
              <w:ind w:left="180"/>
              <w:spacing w:after="0"/>
              <w:rPr>
                <w:sz w:val="20"/>
                <w:szCs w:val="20"/>
                <w:color w:val="auto"/>
              </w:rPr>
            </w:pPr>
            <w:r>
              <w:rPr>
                <w:rFonts w:ascii="Arial" w:cs="Arial" w:eastAsia="Arial" w:hAnsi="Arial"/>
                <w:sz w:val="11"/>
                <w:szCs w:val="11"/>
                <w:color w:val="auto"/>
              </w:rPr>
              <w:t>05/03/2024</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7.50%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322,581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322,581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315,161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05/03/2024</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7"/>
              </w:rPr>
              <w:t>Chemicals, Plastics and Rubber</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1,693,548</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(38,952)</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880" w:type="dxa"/>
            <w:vAlign w:val="bottom"/>
          </w:tcPr>
          <w:p>
            <w:pPr>
              <w:ind w:left="180"/>
              <w:spacing w:after="0"/>
              <w:rPr>
                <w:sz w:val="20"/>
                <w:szCs w:val="20"/>
                <w:color w:val="auto"/>
              </w:rPr>
            </w:pPr>
            <w:r>
              <w:rPr>
                <w:rFonts w:ascii="Arial" w:cs="Arial" w:eastAsia="Arial" w:hAnsi="Arial"/>
                <w:sz w:val="11"/>
                <w:szCs w:val="11"/>
                <w:color w:val="auto"/>
              </w:rPr>
              <w:t>01/17/2024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6.74%</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13,186,800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12,973,324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12,747,681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Solutionreach, Inc. (Revolver)</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01/17/2024</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6.71%</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1,207,167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01/17/2024</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Communications</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(13,861)</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Spear Education, LLC</w:t>
            </w:r>
          </w:p>
        </w:tc>
        <w:tc>
          <w:tcPr>
            <w:tcW w:w="880" w:type="dxa"/>
            <w:vAlign w:val="bottom"/>
            <w:shd w:val="clear" w:color="auto" w:fill="CFF0FC"/>
          </w:tcPr>
          <w:p>
            <w:pPr>
              <w:ind w:left="180"/>
              <w:spacing w:after="0"/>
              <w:rPr>
                <w:sz w:val="20"/>
                <w:szCs w:val="20"/>
                <w:color w:val="auto"/>
              </w:rPr>
            </w:pPr>
            <w:r>
              <w:rPr>
                <w:rFonts w:ascii="Arial" w:cs="Arial" w:eastAsia="Arial" w:hAnsi="Arial"/>
                <w:sz w:val="11"/>
                <w:szCs w:val="11"/>
                <w:color w:val="auto"/>
              </w:rPr>
              <w:t>02/26/2025</w:t>
            </w:r>
          </w:p>
        </w:tc>
        <w:tc>
          <w:tcPr>
            <w:tcW w:w="2760" w:type="dxa"/>
            <w:vAlign w:val="bottom"/>
            <w:gridSpan w:val="2"/>
            <w:shd w:val="clear" w:color="auto" w:fill="CFF0FC"/>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6.90%</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15,125,000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14,977,730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14,822,500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w:t>
            </w:r>
          </w:p>
        </w:tc>
        <w:tc>
          <w:tcPr>
            <w:tcW w:w="880" w:type="dxa"/>
            <w:vAlign w:val="bottom"/>
          </w:tcPr>
          <w:p>
            <w:pPr>
              <w:ind w:left="180"/>
              <w:spacing w:after="0"/>
              <w:rPr>
                <w:sz w:val="20"/>
                <w:szCs w:val="20"/>
                <w:color w:val="auto"/>
              </w:rPr>
            </w:pPr>
            <w:r>
              <w:rPr>
                <w:rFonts w:ascii="Arial" w:cs="Arial" w:eastAsia="Arial" w:hAnsi="Arial"/>
                <w:sz w:val="11"/>
                <w:szCs w:val="11"/>
                <w:color w:val="auto"/>
              </w:rPr>
              <w:t>02/26/2025</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Education</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(137,500)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Expiration</w:t>
            </w: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c>
          <w:tcPr>
            <w:tcW w:w="100" w:type="dxa"/>
            <w:vAlign w:val="bottom"/>
            <w:tcBorders>
              <w:bottom w:val="single" w:sz="8" w:color="CFF0FC"/>
            </w:tcBorders>
          </w:tcPr>
          <w:p>
            <w:pPr>
              <w:spacing w:after="0"/>
              <w:rPr>
                <w:sz w:val="11"/>
                <w:szCs w:val="11"/>
                <w:color w:val="auto"/>
              </w:rPr>
            </w:pPr>
          </w:p>
        </w:tc>
      </w:tr>
      <w:tr>
        <w:trPr>
          <w:trHeight w:val="129"/>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Spectacle Gary Holdings,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12/23/2025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11.00%</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L+900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20,478,378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19,760,203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19,454,459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12/23/2025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1,121,622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(56,081)</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STV Group Incorporated </w:t>
            </w:r>
            <w:r>
              <w:rPr>
                <w:rFonts w:ascii="Arial" w:cs="Arial" w:eastAsia="Arial" w:hAnsi="Arial"/>
                <w:sz w:val="9"/>
                <w:szCs w:val="9"/>
                <w:color w:val="auto"/>
              </w:rPr>
              <w:t>(5)</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12/11/2026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6.24%</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12,698,529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12,574,726</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12,444,558</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TeleGuam Holdings,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11/20/2025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L+450</w:t>
            </w:r>
          </w:p>
        </w:tc>
        <w:tc>
          <w:tcPr>
            <w:tcW w:w="680" w:type="dxa"/>
            <w:vAlign w:val="bottom"/>
          </w:tcPr>
          <w:p>
            <w:pPr>
              <w:jc w:val="right"/>
              <w:spacing w:after="0"/>
              <w:rPr>
                <w:sz w:val="20"/>
                <w:szCs w:val="20"/>
                <w:color w:val="auto"/>
              </w:rPr>
            </w:pPr>
            <w:r>
              <w:rPr>
                <w:rFonts w:ascii="Arial" w:cs="Arial" w:eastAsia="Arial" w:hAnsi="Arial"/>
                <w:sz w:val="11"/>
                <w:szCs w:val="11"/>
                <w:color w:val="auto"/>
              </w:rPr>
              <w:t>5,141,864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5,092,144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4,936,190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Teneo Holdings LLC </w:t>
            </w:r>
            <w:r>
              <w:rPr>
                <w:rFonts w:ascii="Arial" w:cs="Arial" w:eastAsia="Arial" w:hAnsi="Arial"/>
                <w:sz w:val="9"/>
                <w:szCs w:val="9"/>
                <w:color w:val="auto"/>
              </w:rPr>
              <w:t>(5)</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6.25%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1,875,360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1,890,500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(5),(8),(11)</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11/24/2025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7.14%</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L+525</w:t>
            </w:r>
          </w:p>
        </w:tc>
        <w:tc>
          <w:tcPr>
            <w:tcW w:w="680" w:type="dxa"/>
            <w:vAlign w:val="bottom"/>
          </w:tcPr>
          <w:p>
            <w:pPr>
              <w:jc w:val="right"/>
              <w:spacing w:after="0"/>
              <w:rPr>
                <w:sz w:val="20"/>
                <w:szCs w:val="20"/>
                <w:color w:val="auto"/>
              </w:rPr>
            </w:pPr>
            <w:r>
              <w:rPr>
                <w:rFonts w:ascii="Arial" w:cs="Arial" w:eastAsia="Arial" w:hAnsi="Arial"/>
                <w:sz w:val="11"/>
                <w:szCs w:val="11"/>
                <w:color w:val="auto"/>
              </w:rPr>
              <w:t>7,476,732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7,419,947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7,255,421</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Triad Manufacturing,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12/28/2020</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Manufacturing / Basic Industries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12.24%</w:t>
            </w: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20,480,105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20,393,450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20,275,304</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L+550</w:t>
            </w:r>
          </w:p>
        </w:tc>
        <w:tc>
          <w:tcPr>
            <w:tcW w:w="680" w:type="dxa"/>
            <w:vAlign w:val="bottom"/>
          </w:tcPr>
          <w:p>
            <w:pPr>
              <w:jc w:val="right"/>
              <w:spacing w:after="0"/>
              <w:rPr>
                <w:sz w:val="20"/>
                <w:szCs w:val="20"/>
                <w:color w:val="auto"/>
              </w:rPr>
            </w:pPr>
            <w:r>
              <w:rPr>
                <w:rFonts w:ascii="Arial" w:cs="Arial" w:eastAsia="Arial" w:hAnsi="Arial"/>
                <w:sz w:val="11"/>
                <w:szCs w:val="11"/>
                <w:color w:val="auto"/>
              </w:rPr>
              <w:t>32,794,325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32,271,869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32,138,439</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(81,065)</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TVC Enterprises, LLC (Revolver)</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L+550</w:t>
            </w:r>
          </w:p>
        </w:tc>
        <w:tc>
          <w:tcPr>
            <w:tcW w:w="680" w:type="dxa"/>
            <w:vAlign w:val="bottom"/>
          </w:tcPr>
          <w:p>
            <w:pPr>
              <w:jc w:val="right"/>
              <w:spacing w:after="0"/>
              <w:rPr>
                <w:sz w:val="20"/>
                <w:szCs w:val="20"/>
                <w:color w:val="auto"/>
              </w:rPr>
            </w:pPr>
            <w:r>
              <w:rPr>
                <w:rFonts w:ascii="Arial" w:cs="Arial" w:eastAsia="Arial" w:hAnsi="Arial"/>
                <w:sz w:val="11"/>
                <w:szCs w:val="11"/>
                <w:color w:val="auto"/>
              </w:rPr>
              <w:t>1,519,709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1,519,709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1,489,315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1,182,443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(23,649)</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tcPr>
          <w:p>
            <w:pPr>
              <w:jc w:val="right"/>
              <w:spacing w:after="0"/>
              <w:rPr>
                <w:sz w:val="20"/>
                <w:szCs w:val="20"/>
                <w:color w:val="auto"/>
              </w:rPr>
            </w:pPr>
            <w:r>
              <w:rPr>
                <w:rFonts w:ascii="Arial" w:cs="Arial" w:eastAsia="Arial" w:hAnsi="Arial"/>
                <w:sz w:val="11"/>
                <w:szCs w:val="11"/>
                <w:color w:val="auto"/>
              </w:rPr>
              <w:t>8,644,186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8,452,887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8,384,860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TWS Acquisition Corporation (Revolver)</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7.25%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1,137,857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1,103,721</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(15,171)</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Tyto Athene,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08/27/2024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6.75%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6,058,993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6,034,358</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5,651,861</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6.51%</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L+450</w:t>
            </w:r>
          </w:p>
        </w:tc>
        <w:tc>
          <w:tcPr>
            <w:tcW w:w="680" w:type="dxa"/>
            <w:vAlign w:val="bottom"/>
          </w:tcPr>
          <w:p>
            <w:pPr>
              <w:jc w:val="right"/>
              <w:spacing w:after="0"/>
              <w:rPr>
                <w:sz w:val="20"/>
                <w:szCs w:val="20"/>
                <w:color w:val="auto"/>
              </w:rPr>
            </w:pPr>
            <w:r>
              <w:rPr>
                <w:rFonts w:ascii="Arial" w:cs="Arial" w:eastAsia="Arial" w:hAnsi="Arial"/>
                <w:sz w:val="11"/>
                <w:szCs w:val="11"/>
                <w:color w:val="auto"/>
              </w:rPr>
              <w:t>4,782,541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4,740,338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4,734,715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US Med Acquisition,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08/13/2021</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9.95%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8,345,313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8,345,313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8,220,133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06/10/2025</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7.33%</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L+625</w:t>
            </w:r>
          </w:p>
        </w:tc>
        <w:tc>
          <w:tcPr>
            <w:tcW w:w="680" w:type="dxa"/>
            <w:vAlign w:val="bottom"/>
          </w:tcPr>
          <w:p>
            <w:pPr>
              <w:jc w:val="right"/>
              <w:spacing w:after="0"/>
              <w:rPr>
                <w:sz w:val="20"/>
                <w:szCs w:val="20"/>
                <w:color w:val="auto"/>
              </w:rPr>
            </w:pPr>
            <w:r>
              <w:rPr>
                <w:rFonts w:ascii="Arial" w:cs="Arial" w:eastAsia="Arial" w:hAnsi="Arial"/>
                <w:sz w:val="11"/>
                <w:szCs w:val="11"/>
                <w:color w:val="auto"/>
              </w:rPr>
              <w:t>14,430,851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14,157,656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13,853,617</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Walker Edison Furniture Company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8.16%</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21,796,875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21,448,103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21,796,875</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10/18/2022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L+750</w:t>
            </w:r>
          </w:p>
        </w:tc>
        <w:tc>
          <w:tcPr>
            <w:tcW w:w="680" w:type="dxa"/>
            <w:vAlign w:val="bottom"/>
          </w:tcPr>
          <w:p>
            <w:pPr>
              <w:jc w:val="right"/>
              <w:spacing w:after="0"/>
              <w:rPr>
                <w:sz w:val="20"/>
                <w:szCs w:val="20"/>
                <w:color w:val="auto"/>
              </w:rPr>
            </w:pPr>
            <w:r>
              <w:rPr>
                <w:rFonts w:ascii="Arial" w:cs="Arial" w:eastAsia="Arial" w:hAnsi="Arial"/>
                <w:sz w:val="11"/>
                <w:szCs w:val="11"/>
                <w:color w:val="auto"/>
              </w:rPr>
              <w:t>14,573,065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14,365,290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14,427,335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Wildcat Buyerco,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7.14%</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7,720,588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7,549,899</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7,527,573</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4,044,118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(55,607)</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551,471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(13,787)</w:t>
            </w:r>
          </w:p>
        </w:tc>
      </w:tr>
      <w:tr>
        <w:trPr>
          <w:trHeight w:val="129"/>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4"/>
              </w:rPr>
              <w:t>801,756,592</w:t>
            </w:r>
          </w:p>
        </w:tc>
        <w:tc>
          <w:tcPr>
            <w:tcW w:w="220" w:type="dxa"/>
            <w:vAlign w:val="bottom"/>
            <w:tcBorders>
              <w:bottom w:val="single" w:sz="8" w:color="CFF0FC"/>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780,453,206</w:t>
            </w: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Second Lien Secured Debt—41.8%</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Condor Borrower, LLC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04/25/2025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10.53%</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L+875</w:t>
            </w:r>
          </w:p>
        </w:tc>
        <w:tc>
          <w:tcPr>
            <w:tcW w:w="680" w:type="dxa"/>
            <w:vAlign w:val="bottom"/>
          </w:tcPr>
          <w:p>
            <w:pPr>
              <w:jc w:val="right"/>
              <w:spacing w:after="0"/>
              <w:rPr>
                <w:sz w:val="20"/>
                <w:szCs w:val="20"/>
                <w:color w:val="auto"/>
              </w:rPr>
            </w:pPr>
            <w:r>
              <w:rPr>
                <w:rFonts w:ascii="Arial" w:cs="Arial" w:eastAsia="Arial" w:hAnsi="Arial"/>
                <w:sz w:val="11"/>
                <w:szCs w:val="11"/>
                <w:color w:val="auto"/>
              </w:rPr>
              <w:t>10,344,828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10,186,837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9,568,966</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Confie Seguros Holding Co.</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10/31/2025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10.08%</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14,500,000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14,263,221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13,775,000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DecoPac,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03/31/2025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L+825</w:t>
            </w:r>
          </w:p>
        </w:tc>
        <w:tc>
          <w:tcPr>
            <w:tcW w:w="680" w:type="dxa"/>
            <w:vAlign w:val="bottom"/>
          </w:tcPr>
          <w:p>
            <w:pPr>
              <w:jc w:val="right"/>
              <w:spacing w:after="0"/>
              <w:rPr>
                <w:sz w:val="20"/>
                <w:szCs w:val="20"/>
                <w:color w:val="auto"/>
              </w:rPr>
            </w:pPr>
            <w:r>
              <w:rPr>
                <w:rFonts w:ascii="Arial" w:cs="Arial" w:eastAsia="Arial" w:hAnsi="Arial"/>
                <w:sz w:val="11"/>
                <w:szCs w:val="11"/>
                <w:color w:val="auto"/>
              </w:rPr>
              <w:t>19,627,143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19,363,350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19,627,143</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Halo Buyer,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07/06/2026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9.25%</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32,500,000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32,044,335</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30,631,250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10.70%</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L+925</w:t>
            </w:r>
          </w:p>
        </w:tc>
        <w:tc>
          <w:tcPr>
            <w:tcW w:w="680" w:type="dxa"/>
            <w:vAlign w:val="bottom"/>
          </w:tcPr>
          <w:p>
            <w:pPr>
              <w:jc w:val="right"/>
              <w:spacing w:after="0"/>
              <w:rPr>
                <w:sz w:val="20"/>
                <w:szCs w:val="20"/>
                <w:color w:val="auto"/>
              </w:rPr>
            </w:pPr>
            <w:r>
              <w:rPr>
                <w:rFonts w:ascii="Arial" w:cs="Arial" w:eastAsia="Arial" w:hAnsi="Arial"/>
                <w:sz w:val="11"/>
                <w:szCs w:val="11"/>
                <w:color w:val="auto"/>
              </w:rPr>
              <w:t>20,400,000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20,127,389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19,176,000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10/23/2024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L+925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36,828,975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36,246,451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33,514,367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MBS Holdings,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01/02/2024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10.09%</w:t>
            </w:r>
          </w:p>
        </w:tc>
        <w:tc>
          <w:tcPr>
            <w:tcW w:w="420" w:type="dxa"/>
            <w:vAlign w:val="bottom"/>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tcPr>
          <w:p>
            <w:pPr>
              <w:jc w:val="right"/>
              <w:spacing w:after="0"/>
              <w:rPr>
                <w:sz w:val="20"/>
                <w:szCs w:val="20"/>
                <w:color w:val="auto"/>
              </w:rPr>
            </w:pPr>
            <w:r>
              <w:rPr>
                <w:rFonts w:ascii="Arial" w:cs="Arial" w:eastAsia="Arial" w:hAnsi="Arial"/>
                <w:sz w:val="11"/>
                <w:szCs w:val="11"/>
                <w:color w:val="auto"/>
              </w:rPr>
              <w:t>19,623,649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19,320,122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19,034,940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Shift4 Payments,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11/28/2025</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10.28%</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27,000,000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26,953,193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26,190,000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VT Topco,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08/24/2026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8.45%</w:t>
            </w:r>
          </w:p>
        </w:tc>
        <w:tc>
          <w:tcPr>
            <w:tcW w:w="420" w:type="dxa"/>
            <w:vAlign w:val="bottom"/>
          </w:tcPr>
          <w:p>
            <w:pPr>
              <w:jc w:val="right"/>
              <w:spacing w:after="0"/>
              <w:rPr>
                <w:sz w:val="20"/>
                <w:szCs w:val="20"/>
                <w:color w:val="auto"/>
              </w:rPr>
            </w:pPr>
            <w:r>
              <w:rPr>
                <w:rFonts w:ascii="Arial" w:cs="Arial" w:eastAsia="Arial" w:hAnsi="Arial"/>
                <w:sz w:val="11"/>
                <w:szCs w:val="11"/>
                <w:color w:val="auto"/>
              </w:rPr>
              <w:t>3M</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w w:val="90"/>
              </w:rPr>
              <w:t>L+700</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9,954,729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9,700,000</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Winter Park Intermediate, Inc.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04/06/2026</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9.57%</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1M</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w w:val="90"/>
              </w:rPr>
              <w:t>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34,761,586</w:t>
            </w:r>
          </w:p>
        </w:tc>
        <w:tc>
          <w:tcPr>
            <w:tcW w:w="22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34,594,000</w:t>
            </w: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223,221,213</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215,811,666</w:t>
            </w:r>
          </w:p>
        </w:tc>
        <w:tc>
          <w:tcPr>
            <w:tcW w:w="100" w:type="dxa"/>
            <w:vAlign w:val="bottom"/>
            <w:tcBorders>
              <w:bottom w:val="single" w:sz="8" w:color="CFF0FC"/>
            </w:tcBorders>
          </w:tcPr>
          <w:p>
            <w:pPr>
              <w:spacing w:after="0"/>
              <w:rPr>
                <w:sz w:val="11"/>
                <w:szCs w:val="11"/>
                <w:color w:val="auto"/>
              </w:rPr>
            </w:pPr>
          </w:p>
        </w:tc>
      </w:tr>
      <w:tr>
        <w:trPr>
          <w:trHeight w:val="128"/>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Subordinated Debt/Corporate Notes—12.5%</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03/17/2025</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13,911,992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13,684,198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13,529,412</w:t>
            </w:r>
          </w:p>
        </w:tc>
        <w:tc>
          <w:tcPr>
            <w:tcW w:w="10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Cascade Environmental LLC</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08/20/2021</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15.00%</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52,078,443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51,775,782</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50,906,678</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15.00%)</w:t>
            </w: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6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65,459,980</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64,436,090</w:t>
            </w:r>
          </w:p>
        </w:tc>
        <w:tc>
          <w:tcPr>
            <w:tcW w:w="100" w:type="dxa"/>
            <w:vAlign w:val="bottom"/>
            <w:tcBorders>
              <w:bottom w:val="single" w:sz="8" w:color="CFF0FC"/>
            </w:tcBorders>
          </w:tcPr>
          <w:p>
            <w:pPr>
              <w:spacing w:after="0"/>
              <w:rPr>
                <w:sz w:val="11"/>
                <w:szCs w:val="11"/>
                <w:color w:val="auto"/>
              </w:rPr>
            </w:pPr>
          </w:p>
        </w:tc>
      </w:tr>
      <w:tr>
        <w:trPr>
          <w:trHeight w:val="129"/>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Equity/Partnership Interests—0.6%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220,354</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64,277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64,277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556,000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491,723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491,723</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540,000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417,916</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106,823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92,712</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1,346,530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1,410,550</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(8),(11)</w:t>
            </w:r>
          </w:p>
        </w:tc>
        <w:tc>
          <w:tcPr>
            <w:tcW w:w="12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1"/>
                <w:szCs w:val="11"/>
                <w:color w:val="auto"/>
                <w:w w:val="87"/>
              </w:rPr>
              <w:t>Food</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FF0FC"/>
            </w:tcBorders>
          </w:tcPr>
          <w:p>
            <w:pPr>
              <w:spacing w:after="0"/>
              <w:rPr>
                <w:sz w:val="11"/>
                <w:szCs w:val="11"/>
                <w:color w:val="auto"/>
              </w:rPr>
            </w:pPr>
          </w:p>
        </w:tc>
        <w:tc>
          <w:tcPr>
            <w:tcW w:w="5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219</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219,012</w:t>
            </w:r>
          </w:p>
        </w:tc>
        <w:tc>
          <w:tcPr>
            <w:tcW w:w="2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225,670</w:t>
            </w:r>
          </w:p>
        </w:tc>
        <w:tc>
          <w:tcPr>
            <w:tcW w:w="100" w:type="dxa"/>
            <w:vAlign w:val="bottom"/>
            <w:tcBorders>
              <w:bottom w:val="single" w:sz="8" w:color="CFF0FC"/>
            </w:tcBorders>
          </w:tcPr>
          <w:p>
            <w:pPr>
              <w:spacing w:after="0"/>
              <w:rPr>
                <w:sz w:val="11"/>
                <w:szCs w:val="11"/>
                <w:color w:val="auto"/>
              </w:rPr>
            </w:pPr>
          </w:p>
        </w:tc>
      </w:tr>
      <w:tr>
        <w:trPr>
          <w:trHeight w:val="129"/>
        </w:trPr>
        <w:tc>
          <w:tcPr>
            <w:tcW w:w="30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3,268,365</w:t>
            </w:r>
          </w:p>
        </w:tc>
        <w:tc>
          <w:tcPr>
            <w:tcW w:w="22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2,923,202</w:t>
            </w:r>
          </w:p>
        </w:tc>
        <w:tc>
          <w:tcPr>
            <w:tcW w:w="10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Interests/Warrants—12.4% </w:t>
            </w:r>
            <w:r>
              <w:rPr>
                <w:rFonts w:ascii="Arial" w:cs="Arial" w:eastAsia="Arial" w:hAnsi="Arial"/>
                <w:sz w:val="9"/>
                <w:szCs w:val="9"/>
                <w:b w:val="1"/>
                <w:bCs w:val="1"/>
                <w:color w:val="auto"/>
                <w:w w:val="99"/>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Affinion Group Holdings, Inc. (Warrants)</w:t>
            </w:r>
          </w:p>
        </w:tc>
        <w:tc>
          <w:tcPr>
            <w:tcW w:w="6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87"/>
              </w:rPr>
              <w:t>04/10/2024</w:t>
            </w:r>
          </w:p>
        </w:tc>
        <w:tc>
          <w:tcPr>
            <w:tcW w:w="240" w:type="dxa"/>
            <w:vAlign w:val="bottom"/>
            <w:shd w:val="clear" w:color="auto" w:fill="CFF0FC"/>
          </w:tcPr>
          <w:p>
            <w:pPr>
              <w:spacing w:after="0"/>
              <w:rPr>
                <w:sz w:val="11"/>
                <w:szCs w:val="11"/>
                <w:color w:val="auto"/>
              </w:rPr>
            </w:pP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77,190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2,126,399</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805,164</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 (Warrants)</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03/23/2021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115,374</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ASP LCG Holdings, Inc. (Warrants)</w:t>
            </w:r>
          </w:p>
        </w:tc>
        <w:tc>
          <w:tcPr>
            <w:tcW w:w="620" w:type="dxa"/>
            <w:vAlign w:val="bottom"/>
            <w:gridSpan w:val="2"/>
          </w:tcPr>
          <w:p>
            <w:pPr>
              <w:ind w:left="120"/>
              <w:spacing w:after="0"/>
              <w:rPr>
                <w:sz w:val="20"/>
                <w:szCs w:val="20"/>
                <w:color w:val="auto"/>
              </w:rPr>
            </w:pPr>
            <w:r>
              <w:rPr>
                <w:rFonts w:ascii="Arial" w:cs="Arial" w:eastAsia="Arial" w:hAnsi="Arial"/>
                <w:sz w:val="11"/>
                <w:szCs w:val="11"/>
                <w:color w:val="auto"/>
                <w:w w:val="87"/>
              </w:rPr>
              <w:t>05/05/2026</w:t>
            </w:r>
          </w:p>
        </w:tc>
        <w:tc>
          <w:tcPr>
            <w:tcW w:w="24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586,975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2,159,885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33,901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2,852,080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404,429</w:t>
            </w: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1,243,217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960,839</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122,870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1,270,646</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1,396,869</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2,250,000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1,242,061</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3,448,658</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6,602,971</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Electronics</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136,209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136,209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120,865</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Financial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1,004,625</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1,524,017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4,277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217,635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701,603</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Gauge Lash Coinvest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652,084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652,084</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369,747</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13,754</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795,588</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675,325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675,325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310,649</w:t>
            </w:r>
          </w:p>
        </w:tc>
        <w:tc>
          <w:tcPr>
            <w:tcW w:w="10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2,189,011</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181,495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2,040,000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498,366</w:t>
            </w:r>
          </w:p>
        </w:tc>
        <w:tc>
          <w:tcPr>
            <w:tcW w:w="10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292,903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4,317,307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9,548,384</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15,931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JWC-WE Holdings,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1"/>
              </w:rPr>
              <w:t>Home and Office Furnishings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1,906,433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1,906,433</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5,539,996</w:t>
            </w:r>
          </w:p>
        </w:tc>
        <w:tc>
          <w:tcPr>
            <w:tcW w:w="10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0"/>
        </w:trPr>
        <w:tc>
          <w:tcPr>
            <w:tcW w:w="3040" w:type="dxa"/>
            <w:vAlign w:val="bottom"/>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252,014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2,265,639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1,055,939</w:t>
            </w:r>
          </w:p>
        </w:tc>
        <w:tc>
          <w:tcPr>
            <w:tcW w:w="100" w:type="dxa"/>
            <w:vAlign w:val="bottom"/>
          </w:tcPr>
          <w:p>
            <w:pPr>
              <w:spacing w:after="0"/>
              <w:rPr>
                <w:sz w:val="12"/>
                <w:szCs w:val="12"/>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00" w:type="dxa"/>
            <w:vAlign w:val="bottom"/>
          </w:tcPr>
          <w:p>
            <w:pPr>
              <w:spacing w:after="0"/>
              <w:rPr>
                <w:sz w:val="10"/>
                <w:szCs w:val="10"/>
                <w:color w:val="auto"/>
              </w:rPr>
            </w:pPr>
          </w:p>
        </w:tc>
        <w:tc>
          <w:tcPr>
            <w:tcW w:w="7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Par /</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2"/>
              </w:rPr>
              <w:t>Expiration</w:t>
            </w: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Kentucky Racing Holdco, LLC (Warrants)</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Hotels, Motels, Inns and Gaming</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161,252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348,037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Environmental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363,656</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545,484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Lightspeed Investment Holdco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273,143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180,572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NXOF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OceanSound Discovery Equity,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98,286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982,857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861,895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SBI Holdings Investments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36,585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365,854</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(Sales Benchmark Index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70,870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3,318,691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(8)</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7"/>
              </w:rPr>
              <w:t>Food</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11,527</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1,261,201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3,021,880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378,360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2,080,571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3,778,704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4,450,000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15,665,658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Wildcat Parent, LP (Wildcat Buyerco,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216,263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Food and Miscellaneous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1,056,250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2,088,812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Borders>
              <w:bottom w:val="single" w:sz="8" w:color="CFF0FC"/>
            </w:tcBorders>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43,185,289</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63,954,013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tcBorders>
              <w:bottom w:val="single" w:sz="8" w:color="CFF0FC"/>
            </w:tcBorders>
            <w:gridSpan w:val="4"/>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1,136,891,439</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1,127,578,177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gridSpan w:val="4"/>
            <w:shd w:val="clear" w:color="auto" w:fill="CFF0FC"/>
          </w:tcPr>
          <w:p>
            <w:pPr>
              <w:spacing w:after="0"/>
              <w:rPr>
                <w:sz w:val="20"/>
                <w:szCs w:val="20"/>
                <w:color w:val="auto"/>
              </w:rPr>
            </w:pPr>
            <w:r>
              <w:rPr>
                <w:rFonts w:ascii="Arial" w:cs="Arial" w:eastAsia="Arial" w:hAnsi="Arial"/>
                <w:sz w:val="11"/>
                <w:szCs w:val="11"/>
                <w:b w:val="1"/>
                <w:bCs w:val="1"/>
                <w:color w:val="auto"/>
                <w:w w:val="98"/>
              </w:rPr>
              <w:t xml:space="preserve">Investments in Non-Controlled, Affiliated Portfolio Companies—5.2% </w:t>
            </w:r>
            <w:r>
              <w:rPr>
                <w:rFonts w:ascii="Arial" w:cs="Arial" w:eastAsia="Arial" w:hAnsi="Arial"/>
                <w:sz w:val="9"/>
                <w:szCs w:val="9"/>
                <w:b w:val="1"/>
                <w:bCs w:val="1"/>
                <w:color w:val="auto"/>
                <w:w w:val="98"/>
              </w:rPr>
              <w:t>(1), (2)</w:t>
            </w: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Interests—5.2%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ETX Energy,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9,957,372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153,922</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15,392,189</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16,691,176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21,565,389</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26,648,548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Interests/Warrants—0.0% </w:t>
            </w:r>
            <w:r>
              <w:rPr>
                <w:rFonts w:ascii="Arial" w:cs="Arial" w:eastAsia="Arial" w:hAnsi="Arial"/>
                <w:sz w:val="9"/>
                <w:szCs w:val="9"/>
                <w:b w:val="1"/>
                <w:bCs w:val="1"/>
                <w:color w:val="auto"/>
                <w:w w:val="99"/>
              </w:rPr>
              <w:t>(6)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1,658,389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29,711,576</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MidOcean JF Holdings Corp.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0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65,933</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24,789,935</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56,063,531</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38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6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77,628,920</w:t>
            </w: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26,648,548</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gridSpan w:val="4"/>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Companies—38.7% </w:t>
            </w:r>
            <w:r>
              <w:rPr>
                <w:rFonts w:ascii="Arial" w:cs="Arial" w:eastAsia="Arial" w:hAnsi="Arial"/>
                <w:sz w:val="9"/>
                <w:szCs w:val="9"/>
                <w:b w:val="1"/>
                <w:bCs w:val="1"/>
                <w:color w:val="auto"/>
              </w:rPr>
              <w:t>(1), (2)</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First Lien Secured Debt—6.7%</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640" w:type="dxa"/>
            <w:vAlign w:val="bottom"/>
            <w:tcBorders>
              <w:bottom w:val="single" w:sz="8" w:color="CFF0FC"/>
            </w:tcBorders>
            <w:gridSpan w:val="2"/>
          </w:tcPr>
          <w:p>
            <w:pPr>
              <w:ind w:left="140"/>
              <w:spacing w:after="0"/>
              <w:rPr>
                <w:sz w:val="20"/>
                <w:szCs w:val="20"/>
                <w:color w:val="auto"/>
              </w:rPr>
            </w:pPr>
            <w:r>
              <w:rPr>
                <w:rFonts w:ascii="Arial" w:cs="Arial" w:eastAsia="Arial" w:hAnsi="Arial"/>
                <w:sz w:val="11"/>
                <w:szCs w:val="11"/>
                <w:color w:val="auto"/>
                <w:w w:val="87"/>
              </w:rPr>
              <w:t>03/13/2024</w:t>
            </w:r>
          </w:p>
        </w:tc>
        <w:tc>
          <w:tcPr>
            <w:tcW w:w="220" w:type="dxa"/>
            <w:vAlign w:val="bottom"/>
            <w:tcBorders>
              <w:bottom w:val="single" w:sz="8" w:color="CFF0FC"/>
            </w:tcBorders>
          </w:tcPr>
          <w:p>
            <w:pPr>
              <w:spacing w:after="0"/>
              <w:rPr>
                <w:sz w:val="11"/>
                <w:szCs w:val="11"/>
                <w:color w:val="auto"/>
              </w:rPr>
            </w:pPr>
          </w:p>
        </w:tc>
        <w:tc>
          <w:tcPr>
            <w:tcW w:w="274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6.25%</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tcBorders>
              <w:bottom w:val="single" w:sz="8" w:color="CFF0FC"/>
            </w:tcBorders>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w w:val="94"/>
              </w:rPr>
              <w:t>28,000,000</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39,051,600</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34,718,600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39,051,600</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34,718,600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Arial" w:cs="Arial" w:eastAsia="Arial" w:hAnsi="Arial"/>
                <w:sz w:val="11"/>
                <w:szCs w:val="11"/>
                <w:b w:val="1"/>
                <w:bCs w:val="1"/>
                <w:color w:val="auto"/>
              </w:rPr>
              <w:t>Second Lien Secured Debt—8.9%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PT Network Intermediate Holdings, LLC</w:t>
            </w: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w w:val="87"/>
              </w:rPr>
              <w:t>11/30/2024</w:t>
            </w:r>
          </w:p>
        </w:tc>
        <w:tc>
          <w:tcPr>
            <w:tcW w:w="220" w:type="dxa"/>
            <w:vAlign w:val="bottom"/>
            <w:shd w:val="clear" w:color="auto" w:fill="CFF0FC"/>
          </w:tcPr>
          <w:p>
            <w:pPr>
              <w:spacing w:after="0"/>
              <w:rPr>
                <w:sz w:val="11"/>
                <w:szCs w:val="11"/>
                <w:color w:val="auto"/>
              </w:rPr>
            </w:pP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49,550,171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49,134,447</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45,833,908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12.00%)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49,134,447</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45,833,908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Equity—2.3%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11.94%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833</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10,725,000</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11,676,223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11,271,750</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11,680,981</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Common Equity—20.8% </w:t>
            </w:r>
            <w:r>
              <w:rPr>
                <w:rFonts w:ascii="Arial" w:cs="Arial" w:eastAsia="Arial" w:hAnsi="Arial"/>
                <w:sz w:val="9"/>
                <w:szCs w:val="9"/>
                <w:b w:val="1"/>
                <w:bCs w:val="1"/>
                <w:color w:val="auto"/>
              </w:rPr>
              <w:t>(6)</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1,747,090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333,333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7,150,000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9,536,976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RAM Energy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0"/>
              </w:rPr>
              <w:t>Energy and Utilities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180,805</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162,708,073</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96,302,662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174,990,570</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107,586,728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274,448,367</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199,820,217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Investments—262.1%</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1,488,968,726</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1,354,046,942</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Equivalents—4.9%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14,178,392</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14,178,392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FF0FC"/>
          </w:tcPr>
          <w:p>
            <w:pPr>
              <w:spacing w:after="0"/>
              <w:rPr>
                <w:sz w:val="20"/>
                <w:szCs w:val="20"/>
                <w:color w:val="auto"/>
              </w:rPr>
            </w:pPr>
            <w:r>
              <w:rPr>
                <w:rFonts w:ascii="Arial" w:cs="Arial" w:eastAsia="Arial" w:hAnsi="Arial"/>
                <w:sz w:val="11"/>
                <w:szCs w:val="11"/>
                <w:color w:val="auto"/>
              </w:rPr>
              <w:t>BNY Mellon Cash Reserve and Cash</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10,996,318</w:t>
            </w:r>
          </w:p>
        </w:tc>
        <w:tc>
          <w:tcPr>
            <w:tcW w:w="2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10,949,123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25,174,710</w:t>
            </w:r>
          </w:p>
        </w:tc>
        <w:tc>
          <w:tcPr>
            <w:tcW w:w="2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25,127,515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Equivalents—266.9%</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6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1,514,143,436</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1,379,174,457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1"/>
                <w:szCs w:val="11"/>
                <w:b w:val="1"/>
                <w:bCs w:val="1"/>
                <w:color w:val="auto"/>
              </w:rPr>
              <w:t>Liabilities in Excess of Other Assets—(166.9%)</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(862,495,220)</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Net Assets—100.0%</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6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516,679,237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jc w:val="both"/>
        <w:ind w:left="380" w:right="140" w:hanging="372"/>
        <w:spacing w:after="0" w:line="313"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72" w:hanging="372"/>
        <w:spacing w:after="0" w:line="265" w:lineRule="auto"/>
        <w:tabs>
          <w:tab w:leader="none" w:pos="372"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2020, qualifying assets represent 97% of the Company’s total assets and non-qualifying assets represent 3% of the Company’s total assets.</w:t>
      </w:r>
    </w:p>
    <w:p>
      <w:pPr>
        <w:ind w:left="372" w:hanging="372"/>
        <w:spacing w:after="0"/>
        <w:tabs>
          <w:tab w:leader="none" w:pos="372"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190"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4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740" w:type="dxa"/>
            <w:vAlign w:val="bottom"/>
          </w:tcPr>
          <w:p>
            <w:pPr>
              <w:spacing w:after="0"/>
              <w:rPr>
                <w:sz w:val="10"/>
                <w:szCs w:val="10"/>
                <w:color w:val="auto"/>
              </w:rPr>
            </w:pPr>
          </w:p>
        </w:tc>
        <w:tc>
          <w:tcPr>
            <w:tcW w:w="1300" w:type="dxa"/>
            <w:vAlign w:val="bottom"/>
          </w:tcPr>
          <w:p>
            <w:pPr>
              <w:ind w:left="500"/>
              <w:spacing w:after="0" w:line="122" w:lineRule="exact"/>
              <w:rPr>
                <w:sz w:val="20"/>
                <w:szCs w:val="20"/>
                <w:color w:val="auto"/>
              </w:rPr>
            </w:pPr>
            <w:r>
              <w:rPr>
                <w:rFonts w:ascii="Arial" w:cs="Arial" w:eastAsia="Arial" w:hAnsi="Arial"/>
                <w:sz w:val="11"/>
                <w:szCs w:val="11"/>
                <w:b w:val="1"/>
                <w:bCs w:val="1"/>
                <w:color w:val="auto"/>
              </w:rPr>
              <w:t>Maturity /</w:t>
            </w: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300" w:type="dxa"/>
            <w:vAlign w:val="bottom"/>
          </w:tcPr>
          <w:p>
            <w:pPr>
              <w:ind w:left="480"/>
              <w:spacing w:after="0"/>
              <w:rPr>
                <w:sz w:val="20"/>
                <w:szCs w:val="20"/>
                <w:color w:val="auto"/>
              </w:rPr>
            </w:pPr>
            <w:r>
              <w:rPr>
                <w:rFonts w:ascii="Arial" w:cs="Arial" w:eastAsia="Arial" w:hAnsi="Arial"/>
                <w:sz w:val="11"/>
                <w:szCs w:val="11"/>
                <w:b w:val="1"/>
                <w:bCs w:val="1"/>
                <w:color w:val="auto"/>
              </w:rPr>
              <w:t>Expiration</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(3)</w:t>
            </w:r>
          </w:p>
        </w:tc>
      </w:tr>
      <w:tr>
        <w:trPr>
          <w:trHeight w:val="128"/>
        </w:trPr>
        <w:tc>
          <w:tcPr>
            <w:tcW w:w="4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Companies—161.0 </w:t>
            </w:r>
            <w:r>
              <w:rPr>
                <w:rFonts w:ascii="Arial" w:cs="Arial" w:eastAsia="Arial" w:hAnsi="Arial"/>
                <w:sz w:val="9"/>
                <w:szCs w:val="9"/>
                <w:b w:val="1"/>
                <w:bCs w:val="1"/>
                <w:color w:val="auto"/>
                <w:w w:val="96"/>
              </w:rPr>
              <w:t>(1), (2)</w:t>
            </w:r>
          </w:p>
        </w:tc>
        <w:tc>
          <w:tcPr>
            <w:tcW w:w="25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b w:val="1"/>
                <w:bCs w:val="1"/>
                <w:color w:val="auto"/>
              </w:rPr>
              <w:t>First Lien Secured Debt—100.7%</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Altamira Technologies,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985,250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07/24/2025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8.10%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31,044,000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30,504,462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30,578,340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1,350,649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(20,260)</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Bazaarvoice,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02/01/2024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14,775,844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14,652,557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14,628,085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Bottom Line Systems,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8.04%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21,722,525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21,510,208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21,718,181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Broder Bros., Co.</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12/02/2022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27,218,672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27,219,280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27,218,672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29,073,557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28,790,688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29,073,557</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DermaRite Industries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03/03/2022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9.04%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9,750,000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9,663,494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9,255,675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10/31/2023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4,486,071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4,421,743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4,486,071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Deva Holdings, Inc.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10/31/2022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17,480,806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17,317,655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17,480,806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HW Holdco, LLC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8.39%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487,742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12/10/2024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2,899,355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Impact Group,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06/27/2023</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8.72%</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20,101,907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20,001,084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19,900,888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Juniper Landscaping of Florida,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12/22/2021</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7"/>
              </w:rPr>
              <w:t>Personal, Food and Miscellaneous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14,627,202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14,463,765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14,627,202</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7.33%</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26,929,833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26,577,555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26,603,982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K2 Pure Solutions NoCal, L.P.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670,125</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1,259,762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(15,243)</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80" w:type="dxa"/>
            <w:vAlign w:val="bottom"/>
          </w:tcPr>
          <w:p>
            <w:pPr>
              <w:jc w:val="right"/>
              <w:spacing w:after="0"/>
              <w:rPr>
                <w:sz w:val="20"/>
                <w:szCs w:val="20"/>
                <w:color w:val="auto"/>
              </w:rPr>
            </w:pPr>
            <w:r>
              <w:rPr>
                <w:rFonts w:ascii="Arial" w:cs="Arial" w:eastAsia="Arial" w:hAnsi="Arial"/>
                <w:sz w:val="11"/>
                <w:szCs w:val="11"/>
                <w:color w:val="auto"/>
              </w:rPr>
              <w:t>10,024,046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9,831,274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10,024,046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03/07/2025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2,482,759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17,093,818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16,900,562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16,922,880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Lombart Brothers, Inc.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10.00%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P+500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624,675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621,551</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04/13/2023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1,145,237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(5,726)</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MeritDirect,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8.06%</w:t>
            </w:r>
          </w:p>
        </w:tc>
        <w:tc>
          <w:tcPr>
            <w:tcW w:w="9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3ML+550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19,539,663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19,263,565</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19,246,568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05/23/2024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2,518,345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(37,775)</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Ox Two,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21,785,448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21,461,501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21,785,448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Ox Two, LLC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12.25%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P+725</w:t>
            </w:r>
          </w:p>
        </w:tc>
        <w:tc>
          <w:tcPr>
            <w:tcW w:w="6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2,288,000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02/27/2023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4"/>
              </w:rPr>
              <w:t>Building Materials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Peninsula Pacific Entertainment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11/13/2024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0"/>
              </w:rPr>
              <w:t>Hotels, Motels, Inns and Gaming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L+725</w:t>
            </w:r>
          </w:p>
        </w:tc>
        <w:tc>
          <w:tcPr>
            <w:tcW w:w="680" w:type="dxa"/>
            <w:vAlign w:val="bottom"/>
          </w:tcPr>
          <w:p>
            <w:pPr>
              <w:jc w:val="right"/>
              <w:spacing w:after="0"/>
              <w:rPr>
                <w:sz w:val="20"/>
                <w:szCs w:val="20"/>
                <w:color w:val="auto"/>
              </w:rPr>
            </w:pPr>
            <w:r>
              <w:rPr>
                <w:rFonts w:ascii="Arial" w:cs="Arial" w:eastAsia="Arial" w:hAnsi="Arial"/>
                <w:sz w:val="11"/>
                <w:szCs w:val="11"/>
                <w:color w:val="auto"/>
              </w:rPr>
              <w:t>8,495,190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8,480,683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8,495,190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(8), (11)</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06/01/2023</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7.57%</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5,458,750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5,411,313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5,404,163</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PlayPower,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05/08/2026</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Consumer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4,148,451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PRA Events, Inc.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9.11%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19,380,021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19,137,807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19,380,021</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PRA Events, Inc.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08/08/2022</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Provation Medical, Inc.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03/11/2024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Electronics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9.34%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26,797,500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26,265,386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26,422,335</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Quantum Spatial, Inc. </w:t>
            </w:r>
            <w:r>
              <w:rPr>
                <w:rFonts w:ascii="Arial" w:cs="Arial" w:eastAsia="Arial" w:hAnsi="Arial"/>
                <w:sz w:val="9"/>
                <w:szCs w:val="9"/>
                <w:color w:val="auto"/>
              </w:rPr>
              <w:t>(5)</w:t>
            </w:r>
          </w:p>
        </w:tc>
        <w:tc>
          <w:tcPr>
            <w:tcW w:w="1300" w:type="dxa"/>
            <w:vAlign w:val="bottom"/>
          </w:tcPr>
          <w:p>
            <w:pPr>
              <w:jc w:val="center"/>
              <w:ind w:left="106"/>
              <w:spacing w:after="0"/>
              <w:rPr>
                <w:sz w:val="20"/>
                <w:szCs w:val="20"/>
                <w:color w:val="auto"/>
              </w:rPr>
            </w:pPr>
            <w:r>
              <w:rPr>
                <w:rFonts w:ascii="Arial" w:cs="Arial" w:eastAsia="Arial" w:hAnsi="Arial"/>
                <w:sz w:val="11"/>
                <w:szCs w:val="11"/>
                <w:color w:val="auto"/>
                <w:w w:val="88"/>
              </w:rPr>
              <w:t>09/04/24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14,777,156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14,775,000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Questex, LLC</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7.11%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22,275,000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21,892,186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22,052,250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09/09/2024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3,590,426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(35,904)</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7.85%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8,528,572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8,408,418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8,464,608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Radius Aerospace,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425,358</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03/31/2025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(7,498)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Research Horizons,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06/28/2022</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8.36%</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31,036,318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30,707,239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30,415,591</w:t>
            </w:r>
          </w:p>
        </w:tc>
        <w:tc>
          <w:tcPr>
            <w:tcW w:w="120" w:type="dxa"/>
            <w:vAlign w:val="bottom"/>
          </w:tcPr>
          <w:p>
            <w:pPr>
              <w:spacing w:after="0"/>
              <w:rPr>
                <w:sz w:val="11"/>
                <w:szCs w:val="11"/>
                <w:color w:val="auto"/>
              </w:rPr>
            </w:pPr>
          </w:p>
        </w:tc>
      </w:tr>
      <w:tr>
        <w:trPr>
          <w:trHeight w:val="125"/>
        </w:trPr>
        <w:tc>
          <w:tcPr>
            <w:tcW w:w="2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Research Now Group, Inc. and Survey</w:t>
            </w:r>
          </w:p>
        </w:tc>
        <w:tc>
          <w:tcPr>
            <w:tcW w:w="1300" w:type="dxa"/>
            <w:vAlign w:val="bottom"/>
            <w:shd w:val="clear" w:color="auto" w:fill="CFF0FC"/>
          </w:tcPr>
          <w:p>
            <w:pPr>
              <w:spacing w:after="0"/>
              <w:rPr>
                <w:sz w:val="10"/>
                <w:szCs w:val="10"/>
                <w:color w:val="auto"/>
              </w:rPr>
            </w:pPr>
          </w:p>
        </w:tc>
        <w:tc>
          <w:tcPr>
            <w:tcW w:w="2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1"/>
        </w:trPr>
        <w:tc>
          <w:tcPr>
            <w:tcW w:w="2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Sampling International LLC (5)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12/20/2024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7.75%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9,924,242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9,782,674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9,939,724</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Riverpoint Medical, LLC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1,975,739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1,984,626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06/20/2025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363,636</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(1,891)</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371,318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365,869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371,318</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81,514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13,586</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07/14/2025</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24,454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Signature Systems Holding Company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P+650</w:t>
            </w:r>
          </w:p>
        </w:tc>
        <w:tc>
          <w:tcPr>
            <w:tcW w:w="680" w:type="dxa"/>
            <w:vAlign w:val="bottom"/>
          </w:tcPr>
          <w:p>
            <w:pPr>
              <w:jc w:val="right"/>
              <w:spacing w:after="0"/>
              <w:rPr>
                <w:sz w:val="20"/>
                <w:szCs w:val="20"/>
                <w:color w:val="auto"/>
              </w:rPr>
            </w:pPr>
            <w:r>
              <w:rPr>
                <w:rFonts w:ascii="Arial" w:cs="Arial" w:eastAsia="Arial" w:hAnsi="Arial"/>
                <w:sz w:val="11"/>
                <w:szCs w:val="11"/>
                <w:color w:val="auto"/>
              </w:rPr>
              <w:t>14,906,271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14,699,927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14,906,271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05/03/2024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8"/>
              </w:rPr>
              <w:t>Chemicals, Plastics and Rubber</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2,016,129</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(5)</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7.79%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13,253,400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13,015,745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01/17/2024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Communications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12/28/2020</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90"/>
              </w:rPr>
              <w:t>Manufacturing / Basic Industries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L+1,125</w:t>
            </w:r>
          </w:p>
        </w:tc>
        <w:tc>
          <w:tcPr>
            <w:tcW w:w="680" w:type="dxa"/>
            <w:vAlign w:val="bottom"/>
          </w:tcPr>
          <w:p>
            <w:pPr>
              <w:jc w:val="right"/>
              <w:spacing w:after="0"/>
              <w:rPr>
                <w:sz w:val="20"/>
                <w:szCs w:val="20"/>
                <w:color w:val="auto"/>
              </w:rPr>
            </w:pPr>
            <w:r>
              <w:rPr>
                <w:rFonts w:ascii="Arial" w:cs="Arial" w:eastAsia="Arial" w:hAnsi="Arial"/>
                <w:sz w:val="11"/>
                <w:szCs w:val="11"/>
                <w:color w:val="auto"/>
              </w:rPr>
              <w:t>21,589,610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21,447,963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21,373,714</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7.55%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32,960,373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32,378,623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32,960,373</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4,053,227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TVC Enterprises, LLC (Revolver)</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7.61%</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967,902</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01/18/2024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7"/>
              </w:rPr>
              <w:t>Transportation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1,734,249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8,850,000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8,640,294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8,673,000</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TWS Acquisition Corporation (Revolver)</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495,600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06/16/2025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Education</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1,137,857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(22,757)</w:t>
            </w: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Tyto Athene,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08/27/2024</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6,203,031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6,175,004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6,018,180</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UBEO, LLC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04/03/2024</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90"/>
              </w:rPr>
              <w:t>Printing and Publishing</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6.78%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2,300,400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2,279,160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2,277,396</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US Med Acquisition, Inc.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08/13/2021</w:t>
            </w:r>
          </w:p>
        </w:tc>
        <w:tc>
          <w:tcPr>
            <w:tcW w:w="266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Healthcare, Education and Childcare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8,389,063</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Vision Purchaser Corporation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06/10/2025</w:t>
            </w:r>
          </w:p>
        </w:tc>
        <w:tc>
          <w:tcPr>
            <w:tcW w:w="266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8.30%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3,440,998</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3,374,373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FF0FC"/>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1300" w:type="dxa"/>
            <w:vAlign w:val="bottom"/>
          </w:tcPr>
          <w:p>
            <w:pPr>
              <w:jc w:val="center"/>
              <w:ind w:left="126"/>
              <w:spacing w:after="0"/>
              <w:rPr>
                <w:sz w:val="20"/>
                <w:szCs w:val="20"/>
                <w:color w:val="auto"/>
              </w:rPr>
            </w:pPr>
            <w:r>
              <w:rPr>
                <w:rFonts w:ascii="Arial" w:cs="Arial" w:eastAsia="Arial" w:hAnsi="Arial"/>
                <w:sz w:val="11"/>
                <w:szCs w:val="11"/>
                <w:color w:val="auto"/>
                <w:w w:val="87"/>
              </w:rPr>
              <w:t>09/26/2024</w:t>
            </w:r>
          </w:p>
        </w:tc>
        <w:tc>
          <w:tcPr>
            <w:tcW w:w="266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Home and Office Furnishings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8.83%</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80" w:type="dxa"/>
            <w:vAlign w:val="bottom"/>
          </w:tcPr>
          <w:p>
            <w:pPr>
              <w:jc w:val="right"/>
              <w:spacing w:after="0"/>
              <w:rPr>
                <w:sz w:val="20"/>
                <w:szCs w:val="20"/>
                <w:color w:val="auto"/>
              </w:rPr>
            </w:pPr>
            <w:r>
              <w:rPr>
                <w:rFonts w:ascii="Arial" w:cs="Arial" w:eastAsia="Arial" w:hAnsi="Arial"/>
                <w:sz w:val="11"/>
                <w:szCs w:val="11"/>
                <w:color w:val="auto"/>
              </w:rPr>
              <w:t>22,078,125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21,695,009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22,243,711</w:t>
            </w:r>
          </w:p>
        </w:tc>
        <w:tc>
          <w:tcPr>
            <w:tcW w:w="120" w:type="dxa"/>
            <w:vAlign w:val="bottom"/>
          </w:tcPr>
          <w:p>
            <w:pPr>
              <w:spacing w:after="0"/>
              <w:rPr>
                <w:sz w:val="11"/>
                <w:szCs w:val="11"/>
                <w:color w:val="auto"/>
              </w:rPr>
            </w:pPr>
          </w:p>
        </w:tc>
      </w:tr>
      <w:tr>
        <w:trPr>
          <w:trHeight w:val="135"/>
        </w:trPr>
        <w:tc>
          <w:tcPr>
            <w:tcW w:w="27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(5)</w:t>
            </w:r>
          </w:p>
        </w:tc>
        <w:tc>
          <w:tcPr>
            <w:tcW w:w="1300" w:type="dxa"/>
            <w:vAlign w:val="bottom"/>
            <w:shd w:val="clear" w:color="auto" w:fill="CFF0FC"/>
          </w:tcPr>
          <w:p>
            <w:pPr>
              <w:jc w:val="center"/>
              <w:ind w:left="126"/>
              <w:spacing w:after="0"/>
              <w:rPr>
                <w:sz w:val="20"/>
                <w:szCs w:val="20"/>
                <w:color w:val="auto"/>
              </w:rPr>
            </w:pPr>
            <w:r>
              <w:rPr>
                <w:rFonts w:ascii="Arial" w:cs="Arial" w:eastAsia="Arial" w:hAnsi="Arial"/>
                <w:sz w:val="11"/>
                <w:szCs w:val="11"/>
                <w:color w:val="auto"/>
                <w:w w:val="87"/>
              </w:rPr>
              <w:t>10/18/2022</w:t>
            </w:r>
          </w:p>
        </w:tc>
        <w:tc>
          <w:tcPr>
            <w:tcW w:w="2660" w:type="dxa"/>
            <w:vAlign w:val="bottom"/>
            <w:gridSpan w:val="2"/>
            <w:shd w:val="clear" w:color="auto" w:fill="CFF0FC"/>
          </w:tcPr>
          <w:p>
            <w:pPr>
              <w:jc w:val="center"/>
              <w:ind w:right="24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9.55%</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10,204,866</w:t>
            </w:r>
          </w:p>
        </w:tc>
        <w:tc>
          <w:tcPr>
            <w:tcW w:w="2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10,061,266</w:t>
            </w:r>
          </w:p>
        </w:tc>
        <w:tc>
          <w:tcPr>
            <w:tcW w:w="2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10,204,866</w:t>
            </w:r>
          </w:p>
        </w:tc>
        <w:tc>
          <w:tcPr>
            <w:tcW w:w="120" w:type="dxa"/>
            <w:vAlign w:val="bottom"/>
            <w:shd w:val="clear" w:color="auto" w:fill="CFF0FC"/>
          </w:tcPr>
          <w:p>
            <w:pPr>
              <w:spacing w:after="0"/>
              <w:rPr>
                <w:sz w:val="11"/>
                <w:szCs w:val="11"/>
                <w:color w:val="auto"/>
              </w:rPr>
            </w:pPr>
          </w:p>
        </w:tc>
      </w:tr>
      <w:tr>
        <w:trPr>
          <w:trHeight w:val="129"/>
        </w:trPr>
        <w:tc>
          <w:tcPr>
            <w:tcW w:w="274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1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583,068,514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585,776,415</w:t>
            </w:r>
          </w:p>
        </w:tc>
        <w:tc>
          <w:tcPr>
            <w:tcW w:w="12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Maturity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(3)</w:t>
            </w:r>
          </w:p>
        </w:tc>
      </w:tr>
      <w:tr>
        <w:trPr>
          <w:trHeight w:val="128"/>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Second Lien Secured Debt—38.4%</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Condor Borrower, LLC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04/25/2025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11.01%</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10,344,828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10,176,236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10,241,379</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Confie Seguros Holding Co.</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11.02%</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14,244,005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13,593,750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DecoPac,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19,627,143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19,345,304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19,627,143</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Halo Buyer,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07/06/2026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10.29%</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L+825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32,034,317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32,012,500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11.35%</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20,400,000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20,103,563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20,094,000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MailSouth,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0"/>
              </w:rPr>
              <w:t>Printing and Publishing</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36,828,975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36,207,203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35,724,106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MBS Holdings,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01/02/2024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19,623,649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19,288,817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19,623,649</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Shift4 Payments, LLC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11/28/2025</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10.76%</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27,000,000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26,945,207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27,000,000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VT Topco,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08/24/2026</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9,953,252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9,950,000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Winter Park Intermediate, Inc.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04/06/2026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10.54%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35,300,000</w:t>
            </w: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34,742,373</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35,300,000</w:t>
            </w:r>
          </w:p>
        </w:tc>
        <w:tc>
          <w:tcPr>
            <w:tcW w:w="120" w:type="dxa"/>
            <w:vAlign w:val="bottom"/>
            <w:shd w:val="clear" w:color="auto" w:fill="CFF0FC"/>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223,040,278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223,166,527</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Subordinated Debt/Corporate Notes—10.5%</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03/17/2025</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13,773,533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13,529,203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13,773,533</w:t>
            </w:r>
          </w:p>
        </w:tc>
        <w:tc>
          <w:tcPr>
            <w:tcW w:w="12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2.00%)</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Cascade Environmental LLC</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08/20/2021</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48,381,773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47,992,863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47,414,137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15.00%)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61,522,066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61,187,670</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Equity/Partnership Interests—0.5% </w:t>
            </w:r>
            <w:r>
              <w:rPr>
                <w:rFonts w:ascii="Arial" w:cs="Arial" w:eastAsia="Arial" w:hAnsi="Arial"/>
                <w:sz w:val="9"/>
                <w:szCs w:val="9"/>
                <w:b w:val="1"/>
                <w:bCs w:val="1"/>
                <w:color w:val="auto"/>
              </w:rPr>
              <w:t>(6)</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322,850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(8), (11)</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64,277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71,556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556,000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491,723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547,406</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563,657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106,823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79,190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w:t>
            </w: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1,346,530</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1,413,300</w:t>
            </w:r>
          </w:p>
        </w:tc>
        <w:tc>
          <w:tcPr>
            <w:tcW w:w="120" w:type="dxa"/>
            <w:vAlign w:val="bottom"/>
            <w:shd w:val="clear" w:color="auto" w:fill="CFF0FC"/>
          </w:tcPr>
          <w:p>
            <w:pPr>
              <w:spacing w:after="0"/>
              <w:rPr>
                <w:sz w:val="11"/>
                <w:szCs w:val="11"/>
                <w:color w:val="auto"/>
              </w:rPr>
            </w:pP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3,049,353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2,997,959</w:t>
            </w:r>
          </w:p>
        </w:tc>
        <w:tc>
          <w:tcPr>
            <w:tcW w:w="120" w:type="dxa"/>
            <w:vAlign w:val="bottom"/>
          </w:tcPr>
          <w:p>
            <w:pPr>
              <w:spacing w:after="0"/>
              <w:rPr>
                <w:sz w:val="11"/>
                <w:szCs w:val="11"/>
                <w:color w:val="auto"/>
              </w:rPr>
            </w:pPr>
          </w:p>
        </w:tc>
      </w:tr>
      <w:tr>
        <w:trPr>
          <w:trHeight w:val="128"/>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Interests/Warrants—10.9% </w:t>
            </w:r>
            <w:r>
              <w:rPr>
                <w:rFonts w:ascii="Arial" w:cs="Arial" w:eastAsia="Arial" w:hAnsi="Arial"/>
                <w:sz w:val="9"/>
                <w:szCs w:val="9"/>
                <w:b w:val="1"/>
                <w:bCs w:val="1"/>
                <w:color w:val="auto"/>
                <w:w w:val="99"/>
              </w:rPr>
              <w:t>(6)</w:t>
            </w: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77,190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2,126,399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817,028</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AH Holdings, Inc. (Warrants)</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03/23/2021</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ASP LCG Holdings, Inc. (Warrants)</w:t>
            </w:r>
          </w:p>
        </w:tc>
        <w:tc>
          <w:tcPr>
            <w:tcW w:w="6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0"/>
              </w:rPr>
              <w:t>05/05/2026</w:t>
            </w:r>
          </w:p>
        </w:tc>
        <w:tc>
          <w:tcPr>
            <w:tcW w:w="220" w:type="dxa"/>
            <w:vAlign w:val="bottom"/>
            <w:shd w:val="clear" w:color="auto" w:fill="CFF0FC"/>
          </w:tcPr>
          <w:p>
            <w:pPr>
              <w:spacing w:after="0"/>
              <w:rPr>
                <w:sz w:val="11"/>
                <w:szCs w:val="11"/>
                <w:color w:val="auto"/>
              </w:rPr>
            </w:pP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586,975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2,260,044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Autumn Games,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Broadcasting and Entertainment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1,333,330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33,901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2,852,080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469,430</w:t>
            </w: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8"/>
              </w:rPr>
              <w:t>Buildings and Real Estate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114,646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1,171,206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1,504,587</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(SFP Holdings,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22,500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2,278,089</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DecoPac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3,448,658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6,651,822</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1,004,625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1,481,743</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Faraday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217,635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1,243,208</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8,197</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90"/>
              </w:rPr>
              <w:t>Transportation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810,645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828,333</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(TVC Enterprises,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675,325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675,325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688,831</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Green Veracity Holdings, LP - Class A</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2,367,746</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(VT Topco,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Other 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181,495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2,040,000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2,119,257</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252,176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2,993,665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7,110,734</w:t>
            </w: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Home and Office Furnishings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1,906,433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1,906,433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4,961,006</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(Walker Edison Furniture Company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Kadmon Holdings, Inc. </w:t>
            </w:r>
            <w:r>
              <w:rPr>
                <w:rFonts w:ascii="Arial" w:cs="Arial" w:eastAsia="Arial" w:hAnsi="Arial"/>
                <w:sz w:val="9"/>
                <w:szCs w:val="9"/>
                <w:color w:val="auto"/>
              </w:rPr>
              <w:t>(12)</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252,014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2,265,639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635,075</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Hotels, Motels, Inns and Gaming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161,252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307,888</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Environmental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363,656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451,341</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MeritDirect Holdings, LP</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55,482</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NXOF Holdings, Inc.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2,180</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70,870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34,484</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1,620,000</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Class A (US Dominion, Inc.)</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2,185,803</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Class B (US Dominion,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9"/>
                <w:szCs w:val="9"/>
                <w:color w:val="auto"/>
              </w:rPr>
              <w:t>(11), (12)</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72,833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728,330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159,504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USWS Holdings, LLC </w:t>
            </w:r>
            <w:r>
              <w:rPr>
                <w:rFonts w:ascii="Arial" w:cs="Arial" w:eastAsia="Arial" w:hAnsi="Arial"/>
                <w:sz w:val="9"/>
                <w:szCs w:val="9"/>
                <w:color w:val="auto"/>
              </w:rPr>
              <w:t>(9), (11)</w:t>
            </w:r>
          </w:p>
        </w:tc>
        <w:tc>
          <w:tcPr>
            <w:tcW w:w="12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1,188,368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11,883,680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2,472,400</w:t>
            </w: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WBB Equity, LLC</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628,571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2,193,714</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(Whitney, Bradley &amp; Brown, Inc.)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Wheel Pros Holdings, L.P.</w:t>
            </w:r>
          </w:p>
        </w:tc>
        <w:tc>
          <w:tcPr>
            <w:tcW w:w="1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Auto Sector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3,778,704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4,450,000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14,655,027</w:t>
            </w:r>
          </w:p>
        </w:tc>
        <w:tc>
          <w:tcPr>
            <w:tcW w:w="120" w:type="dxa"/>
            <w:vAlign w:val="bottom"/>
          </w:tcPr>
          <w:p>
            <w:pPr>
              <w:spacing w:after="0"/>
              <w:rPr>
                <w:sz w:val="12"/>
                <w:szCs w:val="12"/>
                <w:color w:val="auto"/>
              </w:rPr>
            </w:pPr>
          </w:p>
        </w:tc>
      </w:tr>
      <w:tr>
        <w:trPr>
          <w:trHeight w:val="131"/>
        </w:trPr>
        <w:tc>
          <w:tcPr>
            <w:tcW w:w="3040" w:type="dxa"/>
            <w:vAlign w:val="bottom"/>
          </w:tcPr>
          <w:p>
            <w:pPr>
              <w:ind w:left="140"/>
              <w:spacing w:after="0"/>
              <w:rPr>
                <w:sz w:val="20"/>
                <w:szCs w:val="20"/>
                <w:color w:val="auto"/>
              </w:rPr>
            </w:pPr>
            <w:r>
              <w:rPr>
                <w:rFonts w:ascii="Arial" w:cs="Arial" w:eastAsia="Arial" w:hAnsi="Arial"/>
                <w:sz w:val="11"/>
                <w:szCs w:val="11"/>
                <w:color w:val="auto"/>
              </w:rPr>
              <w:t>(Winter Park Intermediate,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FF0FC"/>
          </w:tcPr>
          <w:p>
            <w:pPr>
              <w:spacing w:after="0"/>
              <w:rPr>
                <w:sz w:val="20"/>
                <w:szCs w:val="20"/>
                <w:color w:val="auto"/>
              </w:rPr>
            </w:pPr>
            <w:r>
              <w:rPr>
                <w:rFonts w:ascii="Arial" w:cs="Arial" w:eastAsia="Arial" w:hAnsi="Arial"/>
                <w:sz w:val="11"/>
                <w:szCs w:val="11"/>
                <w:color w:val="auto"/>
              </w:rPr>
              <w:t>ZS Juniper L.P.</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2780" w:type="dxa"/>
            <w:vAlign w:val="bottom"/>
            <w:gridSpan w:val="2"/>
            <w:shd w:val="clear" w:color="auto" w:fill="CFF0FC"/>
          </w:tcPr>
          <w:p>
            <w:pPr>
              <w:jc w:val="center"/>
              <w:ind w:right="140"/>
              <w:spacing w:after="0"/>
              <w:rPr>
                <w:sz w:val="20"/>
                <w:szCs w:val="20"/>
                <w:color w:val="auto"/>
              </w:rPr>
            </w:pPr>
            <w:r>
              <w:rPr>
                <w:rFonts w:ascii="Arial" w:cs="Arial" w:eastAsia="Arial" w:hAnsi="Arial"/>
                <w:sz w:val="11"/>
                <w:szCs w:val="11"/>
                <w:color w:val="auto"/>
                <w:w w:val="87"/>
              </w:rPr>
              <w:t>Personal, Food and Miscellaneous Services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1,056,250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1,842,833</w:t>
            </w:r>
          </w:p>
        </w:tc>
        <w:tc>
          <w:tcPr>
            <w:tcW w:w="120" w:type="dxa"/>
            <w:vAlign w:val="bottom"/>
            <w:shd w:val="clear" w:color="auto" w:fill="CFF0FC"/>
          </w:tcPr>
          <w:p>
            <w:pPr>
              <w:spacing w:after="0"/>
              <w:rPr>
                <w:sz w:val="11"/>
                <w:szCs w:val="11"/>
                <w:color w:val="auto"/>
              </w:rPr>
            </w:pPr>
          </w:p>
        </w:tc>
      </w:tr>
      <w:tr>
        <w:trPr>
          <w:trHeight w:val="135"/>
        </w:trPr>
        <w:tc>
          <w:tcPr>
            <w:tcW w:w="304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9"/>
                <w:szCs w:val="9"/>
                <w:color w:val="auto"/>
              </w:rPr>
              <w:t>(9)</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28"/>
        </w:trPr>
        <w:tc>
          <w:tcPr>
            <w:tcW w:w="304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51,623,889</w:t>
            </w:r>
          </w:p>
        </w:tc>
        <w:tc>
          <w:tcPr>
            <w:tcW w:w="24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63,503,528</w:t>
            </w:r>
          </w:p>
        </w:tc>
        <w:tc>
          <w:tcPr>
            <w:tcW w:w="120" w:type="dxa"/>
            <w:vAlign w:val="bottom"/>
            <w:tcBorders>
              <w:bottom w:val="single" w:sz="8" w:color="CFF0FC"/>
            </w:tcBorders>
          </w:tcPr>
          <w:p>
            <w:pPr>
              <w:spacing w:after="0"/>
              <w:rPr>
                <w:sz w:val="11"/>
                <w:szCs w:val="11"/>
                <w:color w:val="auto"/>
              </w:rPr>
            </w:pPr>
          </w:p>
        </w:tc>
      </w:tr>
      <w:tr>
        <w:trPr>
          <w:trHeight w:val="129"/>
        </w:trPr>
        <w:tc>
          <w:tcPr>
            <w:tcW w:w="3900" w:type="dxa"/>
            <w:vAlign w:val="bottom"/>
            <w:gridSpan w:val="4"/>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922,304,099</w:t>
            </w:r>
          </w:p>
        </w:tc>
        <w:tc>
          <w:tcPr>
            <w:tcW w:w="240" w:type="dxa"/>
            <w:vAlign w:val="bottom"/>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936,632,099</w:t>
            </w:r>
          </w:p>
        </w:tc>
        <w:tc>
          <w:tcPr>
            <w:tcW w:w="120" w:type="dxa"/>
            <w:vAlign w:val="bottom"/>
            <w:shd w:val="clear" w:color="auto" w:fill="CFF0FC"/>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Maturity /</w:t>
            </w: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100" w:type="dxa"/>
            <w:vAlign w:val="bottom"/>
          </w:tcPr>
          <w:p>
            <w:pPr>
              <w:spacing w:after="0"/>
              <w:rPr>
                <w:sz w:val="10"/>
                <w:szCs w:val="10"/>
                <w:color w:val="auto"/>
              </w:rPr>
            </w:pP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(4)</w:t>
            </w:r>
          </w:p>
        </w:tc>
        <w:tc>
          <w:tcPr>
            <w:tcW w:w="10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9"/>
        </w:trPr>
        <w:tc>
          <w:tcPr>
            <w:tcW w:w="39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Companies—8.5% </w:t>
            </w:r>
            <w:r>
              <w:rPr>
                <w:rFonts w:ascii="Arial" w:cs="Arial" w:eastAsia="Arial" w:hAnsi="Arial"/>
                <w:sz w:val="9"/>
                <w:szCs w:val="9"/>
                <w:b w:val="1"/>
                <w:bCs w:val="1"/>
                <w:color w:val="auto"/>
              </w:rPr>
              <w:t>(1), (2)</w:t>
            </w:r>
          </w:p>
        </w:tc>
        <w:tc>
          <w:tcPr>
            <w:tcW w:w="25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Equity/Partnership Interests—8.1% </w:t>
            </w:r>
            <w:r>
              <w:rPr>
                <w:rFonts w:ascii="Arial" w:cs="Arial" w:eastAsia="Arial" w:hAnsi="Arial"/>
                <w:sz w:val="9"/>
                <w:szCs w:val="9"/>
                <w:b w:val="1"/>
                <w:bCs w:val="1"/>
                <w:color w:val="auto"/>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ETX Energy,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6,173,200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22,717,376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tcBorders>
              <w:bottom w:val="single" w:sz="8" w:color="CFF0FC"/>
            </w:tcBorders>
          </w:tcPr>
          <w:p>
            <w:pPr>
              <w:ind w:left="380"/>
              <w:spacing w:after="0"/>
              <w:rPr>
                <w:sz w:val="20"/>
                <w:szCs w:val="20"/>
                <w:color w:val="auto"/>
              </w:rPr>
            </w:pPr>
            <w:r>
              <w:rPr>
                <w:rFonts w:ascii="Arial" w:cs="Arial" w:eastAsia="Arial" w:hAnsi="Arial"/>
                <w:sz w:val="11"/>
                <w:szCs w:val="11"/>
                <w:color w:val="auto"/>
              </w:rPr>
              <w:t>—</w:t>
            </w:r>
          </w:p>
        </w:tc>
        <w:tc>
          <w:tcPr>
            <w:tcW w:w="2620" w:type="dxa"/>
            <w:vAlign w:val="bottom"/>
            <w:tcBorders>
              <w:bottom w:val="single" w:sz="8" w:color="CFF0FC"/>
            </w:tcBorders>
            <w:gridSpan w:val="2"/>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153,922</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15,392,188</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24,549,408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Preferred Equity/Partnership Interests</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21,565,388</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47,266,784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w w:val="99"/>
              </w:rPr>
              <w:t xml:space="preserve">Common Equity/Partnership Interests/Warrants—0.4% </w:t>
            </w:r>
            <w:r>
              <w:rPr>
                <w:rFonts w:ascii="Arial" w:cs="Arial" w:eastAsia="Arial" w:hAnsi="Arial"/>
                <w:sz w:val="9"/>
                <w:szCs w:val="9"/>
                <w:b w:val="1"/>
                <w:bCs w:val="1"/>
                <w:color w:val="auto"/>
                <w:w w:val="99"/>
              </w:rPr>
              <w:t>(6)</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ETX Energy, LLC </w:t>
            </w:r>
            <w:r>
              <w:rPr>
                <w:rFonts w:ascii="Arial" w:cs="Arial" w:eastAsia="Arial" w:hAnsi="Arial"/>
                <w:sz w:val="9"/>
                <w:szCs w:val="9"/>
                <w:color w:val="auto"/>
              </w:rPr>
              <w:t>(9)</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1,658,389</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29,711,576</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ETX Energy Management Company,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Oil and Gas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MidOcean JF Holdings Corp.</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4"/>
              </w:rPr>
              <w:t>Distribution</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65,933</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24,761,831</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56,035,427</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2,082,554</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77,600,816</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49,349,338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Investments in Controlled, Affiliated Portfolio Companies—40.1% </w:t>
            </w:r>
            <w:r>
              <w:rPr>
                <w:rFonts w:ascii="Arial" w:cs="Arial" w:eastAsia="Arial" w:hAnsi="Arial"/>
                <w:sz w:val="9"/>
                <w:szCs w:val="9"/>
                <w:b w:val="1"/>
                <w:bCs w:val="1"/>
                <w:color w:val="auto"/>
              </w:rPr>
              <w:t>(1), (2)</w:t>
            </w: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First Lien Secured Debt—18.8%</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140"/>
              <w:spacing w:after="0"/>
              <w:rPr>
                <w:sz w:val="20"/>
                <w:szCs w:val="20"/>
                <w:color w:val="auto"/>
              </w:rPr>
            </w:pPr>
            <w:r>
              <w:rPr>
                <w:rFonts w:ascii="Arial" w:cs="Arial" w:eastAsia="Arial" w:hAnsi="Arial"/>
                <w:sz w:val="11"/>
                <w:szCs w:val="11"/>
                <w:color w:val="auto"/>
              </w:rPr>
              <w:t>03/13/2024</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39,051,600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34,504,400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RAM Energy LLC</w:t>
            </w:r>
          </w:p>
        </w:tc>
        <w:tc>
          <w:tcPr>
            <w:tcW w:w="1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35,000,000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35,000,000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35,000,000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RAM Energy LLC (Revolver)</w:t>
            </w:r>
          </w:p>
        </w:tc>
        <w:tc>
          <w:tcPr>
            <w:tcW w:w="1000" w:type="dxa"/>
            <w:vAlign w:val="bottom"/>
            <w:tcBorders>
              <w:bottom w:val="single" w:sz="8" w:color="CFF0FC"/>
            </w:tcBorders>
          </w:tcPr>
          <w:p>
            <w:pPr>
              <w:ind w:left="140"/>
              <w:spacing w:after="0"/>
              <w:rPr>
                <w:sz w:val="20"/>
                <w:szCs w:val="20"/>
                <w:color w:val="auto"/>
              </w:rPr>
            </w:pPr>
            <w:r>
              <w:rPr>
                <w:rFonts w:ascii="Arial" w:cs="Arial" w:eastAsia="Arial" w:hAnsi="Arial"/>
                <w:sz w:val="11"/>
                <w:szCs w:val="11"/>
                <w:color w:val="auto"/>
              </w:rPr>
              <w:t>07/01/2022</w:t>
            </w:r>
          </w:p>
        </w:tc>
        <w:tc>
          <w:tcPr>
            <w:tcW w:w="2620" w:type="dxa"/>
            <w:vAlign w:val="bottom"/>
            <w:tcBorders>
              <w:bottom w:val="single" w:sz="8" w:color="CFF0FC"/>
            </w:tcBorders>
            <w:gridSpan w:val="2"/>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1"/>
                <w:szCs w:val="11"/>
                <w:color w:val="auto"/>
              </w:rPr>
              <w:t>8.00%</w:t>
            </w: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w w:val="98"/>
              </w:rPr>
              <w:t>40,000,000</w:t>
            </w: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40,000,000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First Lien Secured Debt</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114,051,600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109,504,400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20"/>
                <w:szCs w:val="20"/>
                <w:color w:val="auto"/>
              </w:rPr>
            </w:pPr>
            <w:r>
              <w:rPr>
                <w:rFonts w:ascii="Arial" w:cs="Arial" w:eastAsia="Arial" w:hAnsi="Arial"/>
                <w:sz w:val="11"/>
                <w:szCs w:val="11"/>
                <w:b w:val="1"/>
                <w:bCs w:val="1"/>
                <w:color w:val="auto"/>
              </w:rPr>
              <w:t>Second Lien Secured Debt—7.9%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PT Network Intermediate Holdings, LLC</w:t>
            </w:r>
          </w:p>
        </w:tc>
        <w:tc>
          <w:tcPr>
            <w:tcW w:w="1000" w:type="dxa"/>
            <w:vAlign w:val="bottom"/>
            <w:shd w:val="clear" w:color="auto" w:fill="CFF0FC"/>
          </w:tcPr>
          <w:p>
            <w:pPr>
              <w:ind w:left="140"/>
              <w:spacing w:after="0"/>
              <w:rPr>
                <w:sz w:val="20"/>
                <w:szCs w:val="20"/>
                <w:color w:val="auto"/>
              </w:rPr>
            </w:pPr>
            <w:r>
              <w:rPr>
                <w:rFonts w:ascii="Arial" w:cs="Arial" w:eastAsia="Arial" w:hAnsi="Arial"/>
                <w:sz w:val="11"/>
                <w:szCs w:val="11"/>
                <w:color w:val="auto"/>
              </w:rPr>
              <w:t>11/30/2024</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12.30%</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46,610,223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(PIK 12.30%)</w:t>
            </w: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46,163,881</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46,144,120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Preferred Equity—1.6% </w:t>
            </w:r>
            <w:r>
              <w:rPr>
                <w:rFonts w:ascii="Arial" w:cs="Arial" w:eastAsia="Arial" w:hAnsi="Arial"/>
                <w:sz w:val="9"/>
                <w:szCs w:val="9"/>
                <w:b w:val="1"/>
                <w:bCs w:val="1"/>
                <w:color w:val="auto"/>
              </w:rPr>
              <w:t>(6)</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shd w:val="clear" w:color="auto" w:fill="CFF0FC"/>
          </w:tcPr>
          <w:p>
            <w:pPr>
              <w:spacing w:after="0"/>
              <w:rPr>
                <w:sz w:val="11"/>
                <w:szCs w:val="11"/>
                <w:color w:val="auto"/>
              </w:rPr>
            </w:pP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11.94%</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3M L+1,000</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833</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8,975,000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9,264,347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Preferred Equity</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9,521,750</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9,275,598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 xml:space="preserve">Common Equity—11.8% </w:t>
            </w:r>
            <w:r>
              <w:rPr>
                <w:rFonts w:ascii="Arial" w:cs="Arial" w:eastAsia="Arial" w:hAnsi="Arial"/>
                <w:sz w:val="9"/>
                <w:szCs w:val="9"/>
                <w:b w:val="1"/>
                <w:bCs w:val="1"/>
                <w:color w:val="auto"/>
              </w:rPr>
              <w:t>(6)</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9"/>
                <w:szCs w:val="9"/>
                <w:color w:val="auto"/>
              </w:rPr>
              <w:t>(8), (10), (11)</w:t>
            </w:r>
          </w:p>
        </w:tc>
        <w:tc>
          <w:tcPr>
            <w:tcW w:w="10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2,554,804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CI (PTN) Investment Holdings II,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333,333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(9)</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(9)</w:t>
            </w:r>
          </w:p>
        </w:tc>
        <w:tc>
          <w:tcPr>
            <w:tcW w:w="1000" w:type="dxa"/>
            <w:vAlign w:val="bottom"/>
          </w:tcPr>
          <w:p>
            <w:pPr>
              <w:spacing w:after="0"/>
              <w:rPr>
                <w:sz w:val="11"/>
                <w:szCs w:val="11"/>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1"/>
                <w:szCs w:val="11"/>
                <w:color w:val="auto"/>
                <w:w w:val="89"/>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5,983,333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17,014,720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RAM Energy Holdings LLC</w:t>
            </w:r>
          </w:p>
        </w:tc>
        <w:tc>
          <w:tcPr>
            <w:tcW w:w="1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FF0FC"/>
          </w:tcPr>
          <w:p>
            <w:pPr>
              <w:jc w:val="center"/>
              <w:ind w:right="260"/>
              <w:spacing w:after="0"/>
              <w:rPr>
                <w:sz w:val="20"/>
                <w:szCs w:val="20"/>
                <w:color w:val="auto"/>
              </w:rPr>
            </w:pPr>
            <w:r>
              <w:rPr>
                <w:rFonts w:ascii="Arial" w:cs="Arial" w:eastAsia="Arial" w:hAnsi="Arial"/>
                <w:sz w:val="11"/>
                <w:szCs w:val="11"/>
                <w:color w:val="auto"/>
                <w:w w:val="92"/>
              </w:rPr>
              <w:t>Energy and Utilities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84,747</w:t>
            </w: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76,264,739</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48,957,717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Common Equity</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87,380,569</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68,527,241</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257,117,800</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233,451,359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Investments—209.6%</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1,257,022,715</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1,219,432,796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Equivalents—10.2%</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47,640,291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47,640,291.72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color w:val="auto"/>
              </w:rPr>
              <w:t>BNY Mellon Cash Reserve and Cash</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11,906,147</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11,875,944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FF0FC"/>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000" w:type="dxa"/>
            <w:vAlign w:val="bottom"/>
            <w:tcBorders>
              <w:bottom w:val="single" w:sz="8" w:color="CFF0FC"/>
            </w:tcBorders>
          </w:tcPr>
          <w:p>
            <w:pPr>
              <w:spacing w:after="0"/>
              <w:rPr>
                <w:sz w:val="11"/>
                <w:szCs w:val="11"/>
                <w:color w:val="auto"/>
              </w:rPr>
            </w:pPr>
          </w:p>
        </w:tc>
        <w:tc>
          <w:tcPr>
            <w:tcW w:w="2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7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59,546,438</w:t>
            </w:r>
          </w:p>
        </w:tc>
        <w:tc>
          <w:tcPr>
            <w:tcW w:w="22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59,516,236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Total Investments and Cash Equivalents—219.8%</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8"/>
              </w:rPr>
              <w:t>1,316,569,153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1,278,949,032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Assets—(119.8%)</w:t>
            </w:r>
          </w:p>
        </w:tc>
        <w:tc>
          <w:tcPr>
            <w:tcW w:w="100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(697,043,364)</w:t>
            </w:r>
          </w:p>
        </w:tc>
        <w:tc>
          <w:tcPr>
            <w:tcW w:w="0" w:type="dxa"/>
            <w:vAlign w:val="bottom"/>
          </w:tcPr>
          <w:p>
            <w:pPr>
              <w:spacing w:after="0"/>
              <w:rPr>
                <w:sz w:val="1"/>
                <w:szCs w:val="1"/>
                <w:color w:val="auto"/>
              </w:rPr>
            </w:pPr>
          </w:p>
        </w:tc>
      </w:tr>
      <w:tr>
        <w:trPr>
          <w:trHeight w:val="135"/>
        </w:trPr>
        <w:tc>
          <w:tcPr>
            <w:tcW w:w="29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Assets—100.0%</w:t>
            </w:r>
          </w:p>
        </w:tc>
        <w:tc>
          <w:tcPr>
            <w:tcW w:w="10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581,905,668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hanging="372"/>
        <w:spacing w:after="0" w:line="243"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40" w:hanging="372"/>
        <w:spacing w:after="0" w:line="256"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securities, or a portion thereof, are pledged as collateral under the BNP Credit Facility and held through Funding I.</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380" w:hanging="372"/>
        <w:spacing w:after="0"/>
        <w:tabs>
          <w:tab w:leader="none" w:pos="3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4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ind w:left="50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88"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our SBIC Fund under a separate administration agreement. See Note 3.</w:t>
      </w:r>
    </w:p>
    <w:p>
      <w:pPr>
        <w:spacing w:after="0" w:line="18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9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 See Note 10.</w:t>
      </w:r>
    </w:p>
    <w:p>
      <w:pPr>
        <w:spacing w:after="0" w:line="188"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21"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92"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17" w:lineRule="exact"/>
        <w:rPr>
          <w:sz w:val="20"/>
          <w:szCs w:val="20"/>
          <w:color w:val="auto"/>
        </w:rPr>
      </w:pPr>
    </w:p>
    <w:p>
      <w:pPr>
        <w:ind w:left="620" w:hanging="369"/>
        <w:spacing w:after="0"/>
        <w:tabs>
          <w:tab w:leader="none" w:pos="6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92"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7" w:lineRule="exact"/>
        <w:rPr>
          <w:sz w:val="20"/>
          <w:szCs w:val="20"/>
          <w:color w:val="auto"/>
        </w:rPr>
      </w:pPr>
    </w:p>
    <w:p>
      <w:pPr>
        <w:ind w:left="800" w:right="400" w:hanging="36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87" w:lineRule="exact"/>
        <w:rPr>
          <w:rFonts w:ascii="Arial" w:cs="Arial" w:eastAsia="Arial" w:hAnsi="Arial"/>
          <w:sz w:val="14"/>
          <w:szCs w:val="14"/>
          <w:color w:val="auto"/>
        </w:rPr>
      </w:pPr>
    </w:p>
    <w:p>
      <w:pPr>
        <w:ind w:left="800" w:hanging="360"/>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17"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81"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800" w:right="200" w:hanging="360"/>
        <w:spacing w:after="0" w:line="253"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40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3" w:lineRule="exact"/>
        <w:rPr>
          <w:sz w:val="20"/>
          <w:szCs w:val="20"/>
          <w:color w:val="auto"/>
        </w:rPr>
      </w:pPr>
    </w:p>
    <w:p>
      <w:pPr>
        <w:ind w:left="620" w:hanging="369"/>
        <w:spacing w:after="0"/>
        <w:tabs>
          <w:tab w:leader="none" w:pos="6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2"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2020 and September 30, 2019, we had no portfolio companies on non-accrual.</w:t>
      </w:r>
    </w:p>
    <w:p>
      <w:pPr>
        <w:spacing w:after="0" w:line="198" w:lineRule="exact"/>
        <w:rPr>
          <w:sz w:val="20"/>
          <w:szCs w:val="20"/>
          <w:color w:val="auto"/>
        </w:rPr>
      </w:pPr>
    </w:p>
    <w:p>
      <w:pPr>
        <w:ind w:left="620" w:hanging="369"/>
        <w:spacing w:after="0"/>
        <w:tabs>
          <w:tab w:leader="none" w:pos="6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1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 U.S. federal excise tax. Additionally, certain of the Company’s consolidated subsidiaries are subject to U.S. federal and state income taxes. For the three and six months ended March 31, 2020, we recorded a provision for taxes of $0.3 million (which consisted of $0.1 million for U.S. federal excise tax and the remainder for U.S. federal and state income taxes and franchise taxes related to the Taxable Subsidiaries) and $0.6 million (which consisted of $0.2 million for U.S. federal excise tax and the remainder for U.S. federal and state income taxes and franchise taxes related to the Taxable Subsidiaries), respectively. For both the three and six months ended March 31, 2019, we recorded a provision for taxes of $0.3 million (which consisted of $0.2 million for U.S. federal excise tax and the remainder for U.S. federal and state income taxes and franchise taxes related to the Taxable Subsidiaries) and $0.6 million (which consisted of $0.4 million for U.S. federal excise tax and the remainder for U.S. federal and state income taxes and franchise taxes related to the Taxable Subsidiaries), respectively.</w:t>
      </w:r>
    </w:p>
    <w:p>
      <w:pPr>
        <w:spacing w:after="0" w:line="195"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U.S. federal and state income tax returns, the Company’s major tax jurisdiction is federal.</w:t>
      </w:r>
    </w:p>
    <w:p>
      <w:pPr>
        <w:spacing w:after="0" w:line="113" w:lineRule="exact"/>
        <w:rPr>
          <w:sz w:val="20"/>
          <w:szCs w:val="20"/>
          <w:color w:val="auto"/>
        </w:rPr>
      </w:pPr>
    </w:p>
    <w:p>
      <w:pPr>
        <w:ind w:right="320" w:firstLine="438"/>
        <w:spacing w:after="0" w:line="296" w:lineRule="auto"/>
        <w:rPr>
          <w:sz w:val="20"/>
          <w:szCs w:val="20"/>
          <w:color w:val="auto"/>
        </w:rPr>
      </w:pPr>
      <w:r>
        <w:rPr>
          <w:rFonts w:ascii="Arial" w:cs="Arial" w:eastAsia="Arial" w:hAnsi="Arial"/>
          <w:sz w:val="12"/>
          <w:szCs w:val="12"/>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64" w:lineRule="exact"/>
        <w:rPr>
          <w:sz w:val="20"/>
          <w:szCs w:val="20"/>
          <w:color w:val="auto"/>
        </w:rPr>
      </w:pPr>
    </w:p>
    <w:p>
      <w:pPr>
        <w:ind w:left="620" w:hanging="369"/>
        <w:spacing w:after="0"/>
        <w:tabs>
          <w:tab w:leader="none" w:pos="6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9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87" w:lineRule="exact"/>
        <w:rPr>
          <w:sz w:val="20"/>
          <w:szCs w:val="20"/>
          <w:color w:val="auto"/>
        </w:rPr>
      </w:pPr>
    </w:p>
    <w:p>
      <w:pPr>
        <w:ind w:left="620" w:hanging="369"/>
        <w:spacing w:after="0"/>
        <w:tabs>
          <w:tab w:leader="none" w:pos="6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800" w:hanging="360"/>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22" w:lineRule="exact"/>
        <w:rPr>
          <w:rFonts w:ascii="Arial" w:cs="Arial" w:eastAsia="Arial" w:hAnsi="Arial"/>
          <w:sz w:val="14"/>
          <w:szCs w:val="14"/>
          <w:color w:val="auto"/>
        </w:rPr>
      </w:pPr>
    </w:p>
    <w:p>
      <w:pPr>
        <w:ind w:left="800" w:hanging="360"/>
        <w:spacing w:after="0"/>
        <w:tabs>
          <w:tab w:leader="none" w:pos="8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9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96" w:lineRule="exact"/>
        <w:rPr>
          <w:sz w:val="20"/>
          <w:szCs w:val="20"/>
          <w:color w:val="auto"/>
        </w:rPr>
      </w:pPr>
    </w:p>
    <w:p>
      <w:pPr>
        <w:ind w:left="620" w:hanging="369"/>
        <w:spacing w:after="0"/>
        <w:tabs>
          <w:tab w:leader="none" w:pos="6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21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 and our Taxable Subsidiaries in our Consolidated Financial Statements.</w:t>
      </w:r>
    </w:p>
    <w:p>
      <w:pPr>
        <w:spacing w:after="0" w:line="196" w:lineRule="exact"/>
        <w:rPr>
          <w:sz w:val="20"/>
          <w:szCs w:val="20"/>
          <w:color w:val="auto"/>
        </w:rPr>
      </w:pPr>
    </w:p>
    <w:p>
      <w:pPr>
        <w:ind w:left="620" w:hanging="369"/>
        <w:spacing w:after="0"/>
        <w:tabs>
          <w:tab w:leader="none" w:pos="6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221"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Our SBIC Fund’s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99"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2020, the Investment Adviser earned a base management fee of $4.9 million and $9.6 million, respectively, from us. For the three and six months ended March 31, 2019, the Investment Adviser earned a base management fee of $4.5 million and $8.9 million, respectively, from us.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60" w:firstLine="438"/>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the three and six months ended March 31, 2020, the Investment Adviser earned $1.9 million and $2.7 million, respectively, in incentive fees on net investment income from us. For the three and six months ended March 31, 2019, the Investment Adviser earned less than $0.1 million and $2.7 million, respectively, in incentive fees on net investment income from us.</w:t>
      </w:r>
    </w:p>
    <w:p>
      <w:pPr>
        <w:spacing w:after="0" w:line="104"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2020 and 2019, the Investment Adviser did not accrue an incentive fee on capital gains as calculated under the Investment Management Agreement (as described above).</w:t>
      </w:r>
    </w:p>
    <w:p>
      <w:pPr>
        <w:spacing w:after="0" w:line="107"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year. There can be no assurance that such unrealized capital appreciation will be realized in the future. For each of the three and six months ended March 31, 2020 and 2019, the Investment Adviser did not accrue an incentive fee on capital gains as calculated under GAAP.</w:t>
      </w:r>
    </w:p>
    <w:p>
      <w:pPr>
        <w:spacing w:after="0" w:line="187"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2020. Under the Administration Agreement, the Administrator provides administrative services and office facilities to us. The Administrator provides similar services to our SBIC Fund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2020, we reimbursed the Investment Adviser approximately $0.5 million and $0.8 million, respectively, including expenses the Investment Adviser incurred on behalf of the Administrator, for services described above. For the three and six months ended March 31, 2019, we reimbursed the Investment Adviser approximately $0.8 million and $1.1 million, respectively, including expenses the Investment Adviser incurred on behalf of the Administrator, for services described above.</w:t>
      </w:r>
    </w:p>
    <w:p>
      <w:pPr>
        <w:spacing w:after="0" w:line="198" w:lineRule="exact"/>
        <w:rPr>
          <w:sz w:val="20"/>
          <w:szCs w:val="20"/>
          <w:color w:val="auto"/>
        </w:rPr>
      </w:pPr>
    </w:p>
    <w:p>
      <w:pPr>
        <w:ind w:right="40" w:firstLine="438"/>
        <w:spacing w:after="0" w:line="335" w:lineRule="auto"/>
        <w:rPr>
          <w:sz w:val="20"/>
          <w:szCs w:val="20"/>
          <w:color w:val="auto"/>
        </w:rPr>
      </w:pPr>
      <w:r>
        <w:rPr>
          <w:rFonts w:ascii="Arial" w:cs="Arial" w:eastAsia="Arial" w:hAnsi="Arial"/>
          <w:sz w:val="12"/>
          <w:szCs w:val="12"/>
          <w:color w:val="auto"/>
        </w:rPr>
        <w:t>For the three and six months ended March 31, 2020, the Company purchased $15.0 million in total investments from an affiliated fund managed by our Investment Adviser in accordance with, and pursuant to, procedures adopted under Rule 17a-7 of the 1940 Act. There were no transactions subject to Rule 17a-7 under the 1940 Act during both the three and six months ended March 31, 2019.</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21" w:lineRule="exact"/>
        <w:rPr>
          <w:sz w:val="20"/>
          <w:szCs w:val="20"/>
          <w:color w:val="auto"/>
        </w:rPr>
      </w:pPr>
    </w:p>
    <w:p>
      <w:pPr>
        <w:ind w:right="80" w:firstLine="438"/>
        <w:spacing w:after="0" w:line="296" w:lineRule="auto"/>
        <w:rPr>
          <w:sz w:val="20"/>
          <w:szCs w:val="20"/>
          <w:color w:val="auto"/>
        </w:rPr>
      </w:pPr>
      <w:r>
        <w:rPr>
          <w:rFonts w:ascii="Arial" w:cs="Arial" w:eastAsia="Arial" w:hAnsi="Arial"/>
          <w:sz w:val="12"/>
          <w:szCs w:val="12"/>
          <w:color w:val="auto"/>
        </w:rPr>
        <w:t>Purchases of investments, including PIK interest, for the three and six months ended March 31, 2020 totaled $110.3 million and $288.7 million, respectively. For the same periods in the prior year, purchases of investments, including PIK interest, totaled $186.7 million and $383.1 million, respectively. Sales and repayments of investments for the three and six months ended March 31, 2020 totaled $16.4 million and $47.5 million, respectively. For the same periods in the prior year, sales and repayments of investments totaled $115.1 million and $240.9 million, respectively.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840,808,192</w:t>
            </w:r>
          </w:p>
        </w:tc>
        <w:tc>
          <w:tcPr>
            <w:tcW w:w="2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815,171,806</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697,120,114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695,280,815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272,355,660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261,645,574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269,204,159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269,310,647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65,459,980</w:t>
            </w:r>
          </w:p>
        </w:tc>
        <w:tc>
          <w:tcPr>
            <w:tcW w:w="2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64,436,090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61,522,066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310,344,894</w:t>
            </w:r>
          </w:p>
        </w:tc>
        <w:tc>
          <w:tcPr>
            <w:tcW w:w="260" w:type="dxa"/>
            <w:vAlign w:val="bottom"/>
            <w:tcBorders>
              <w:bottom w:val="single" w:sz="8" w:color="CCEC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212,793,472</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229,176,376</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193,653,664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1,488,968,726</w:t>
            </w:r>
          </w:p>
        </w:tc>
        <w:tc>
          <w:tcPr>
            <w:tcW w:w="26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1,354,046,942</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1,257,022,715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25,174,710</w:t>
            </w:r>
          </w:p>
        </w:tc>
        <w:tc>
          <w:tcPr>
            <w:tcW w:w="26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25,127,515</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59,546,438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59,516,236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1,514,143,436</w:t>
            </w: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1,379,174,457</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1,316,569,153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20" w:type="dxa"/>
            <w:vAlign w:val="bottom"/>
            <w:tcBorders>
              <w:bottom w:val="single" w:sz="8" w:color="CFF0FC"/>
            </w:tcBorders>
          </w:tcPr>
          <w:p>
            <w:pPr>
              <w:spacing w:after="0"/>
              <w:rPr>
                <w:sz w:val="14"/>
                <w:szCs w:val="14"/>
                <w:color w:val="auto"/>
              </w:rPr>
            </w:pPr>
          </w:p>
        </w:tc>
        <w:tc>
          <w:tcPr>
            <w:tcW w:w="1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tcBorders>
              <w:bottom w:val="single" w:sz="8" w:color="CFF0FC"/>
            </w:tcBorders>
          </w:tcPr>
          <w:p>
            <w:pPr>
              <w:spacing w:after="0"/>
              <w:rPr>
                <w:sz w:val="14"/>
                <w:szCs w:val="14"/>
                <w:color w:val="auto"/>
              </w:rPr>
            </w:pPr>
          </w:p>
        </w:tc>
        <w:tc>
          <w:tcPr>
            <w:tcW w:w="28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2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52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32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Energy and Utilities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Media</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Business Services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Consumer Products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Aerospace and Defense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Auto Sector</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Building Materials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Environmental Services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Hotels, Motels, Inns and Gaming</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Printing and Publishing</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Education</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Electronics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Personal, Food and Miscellaneous Services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Transportation</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Beverage, Food and Tobacco</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Distribution</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Financial Services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Home and Office Furnishings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Insurance</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Manufacturing / Basic Industries</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Telecommunications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FF0FC"/>
          </w:tcPr>
          <w:p>
            <w:pPr>
              <w:spacing w:after="0"/>
              <w:rPr>
                <w:sz w:val="14"/>
                <w:szCs w:val="14"/>
                <w:color w:val="auto"/>
              </w:rPr>
            </w:pPr>
          </w:p>
        </w:tc>
        <w:tc>
          <w:tcPr>
            <w:tcW w:w="2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54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w:t>
            </w:r>
          </w:p>
        </w:tc>
        <w:tc>
          <w:tcPr>
            <w:tcW w:w="520" w:type="dxa"/>
            <w:vAlign w:val="bottom"/>
            <w:tcBorders>
              <w:top w:val="single" w:sz="8" w:color="CFF0FC"/>
              <w:bottom w:val="single" w:sz="8" w:color="CFF0FC"/>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w:t>
            </w:r>
          </w:p>
        </w:tc>
        <w:tc>
          <w:tcPr>
            <w:tcW w:w="320" w:type="dxa"/>
            <w:vAlign w:val="bottom"/>
            <w:tcBorders>
              <w:top w:val="single" w:sz="8" w:color="CFF0FC"/>
              <w:bottom w:val="single" w:sz="8" w:color="CFF0FC"/>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8"/>
        </w:trPr>
        <w:tc>
          <w:tcPr>
            <w:tcW w:w="5440" w:type="dxa"/>
            <w:vAlign w:val="bottom"/>
          </w:tcPr>
          <w:p>
            <w:pPr>
              <w:spacing w:after="0"/>
              <w:rPr>
                <w:sz w:val="24"/>
                <w:szCs w:val="24"/>
                <w:color w:val="auto"/>
              </w:rPr>
            </w:pPr>
          </w:p>
        </w:tc>
        <w:tc>
          <w:tcPr>
            <w:tcW w:w="2080" w:type="dxa"/>
            <w:vAlign w:val="bottom"/>
            <w:gridSpan w:val="2"/>
          </w:tcPr>
          <w:p>
            <w:pPr>
              <w:jc w:val="right"/>
              <w:ind w:right="1748"/>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5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21" w:lineRule="exact"/>
        <w:rPr>
          <w:sz w:val="20"/>
          <w:szCs w:val="20"/>
          <w:color w:val="auto"/>
        </w:rPr>
      </w:pPr>
    </w:p>
    <w:p>
      <w:pPr>
        <w:ind w:right="28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9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7"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87"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60" w:type="dxa"/>
            <w:vAlign w:val="bottom"/>
            <w:gridSpan w:val="9"/>
          </w:tcPr>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24"/>
                <w:szCs w:val="24"/>
                <w:color w:val="auto"/>
              </w:rPr>
            </w:pP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Fair Value at March 31,</w:t>
            </w:r>
          </w:p>
        </w:tc>
        <w:tc>
          <w:tcPr>
            <w:tcW w:w="280" w:type="dxa"/>
            <w:vAlign w:val="bottom"/>
          </w:tcPr>
          <w:p>
            <w:pPr>
              <w:spacing w:after="0"/>
              <w:rPr>
                <w:sz w:val="24"/>
                <w:szCs w:val="2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23,310,880</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ind w:right="6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791,860,926</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360" w:type="dxa"/>
            <w:vAlign w:val="bottom"/>
          </w:tcPr>
          <w:p>
            <w:pPr>
              <w:ind w:left="20"/>
              <w:spacing w:after="0"/>
              <w:rPr>
                <w:sz w:val="20"/>
                <w:szCs w:val="20"/>
                <w:color w:val="auto"/>
              </w:rPr>
            </w:pPr>
            <w:r>
              <w:rPr>
                <w:rFonts w:ascii="Arial" w:cs="Arial" w:eastAsia="Arial" w:hAnsi="Arial"/>
                <w:sz w:val="14"/>
                <w:szCs w:val="14"/>
                <w:color w:val="auto"/>
              </w:rPr>
              <w:t>– 14.6% (9.1%)</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8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261,645,574</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9.2% – 14.2% (11.7%)</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64,436,090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1360" w:type="dxa"/>
            <w:vAlign w:val="bottom"/>
          </w:tcPr>
          <w:p>
            <w:pPr>
              <w:ind w:left="20"/>
              <w:spacing w:after="0"/>
              <w:rPr>
                <w:sz w:val="20"/>
                <w:szCs w:val="20"/>
                <w:color w:val="auto"/>
              </w:rPr>
            </w:pPr>
            <w:r>
              <w:rPr>
                <w:rFonts w:ascii="Arial" w:cs="Arial" w:eastAsia="Arial" w:hAnsi="Arial"/>
                <w:sz w:val="14"/>
                <w:szCs w:val="14"/>
                <w:color w:val="auto"/>
              </w:rPr>
              <w:t>– 16.8% (15.9%)</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8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211,359,173</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5"/>
              </w:rPr>
              <w:t>5.3x – 14.6x (12.0x)</w:t>
            </w:r>
          </w:p>
        </w:tc>
        <w:tc>
          <w:tcPr>
            <w:tcW w:w="0" w:type="dxa"/>
            <w:vAlign w:val="bottom"/>
          </w:tcPr>
          <w:p>
            <w:pPr>
              <w:spacing w:after="0"/>
              <w:rPr>
                <w:sz w:val="1"/>
                <w:szCs w:val="1"/>
                <w:color w:val="auto"/>
              </w:rPr>
            </w:pPr>
          </w:p>
        </w:tc>
      </w:tr>
      <w:tr>
        <w:trPr>
          <w:trHeight w:val="195"/>
        </w:trPr>
        <w:tc>
          <w:tcPr>
            <w:tcW w:w="276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1,352,612,643</w:t>
            </w:r>
          </w:p>
        </w:tc>
        <w:tc>
          <w:tcPr>
            <w:tcW w:w="28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720" w:type="dxa"/>
            <w:vAlign w:val="bottom"/>
            <w:tcBorders>
              <w:bottom w:val="single" w:sz="8" w:color="CCECFF"/>
            </w:tcBorders>
          </w:tcPr>
          <w:p>
            <w:pPr>
              <w:spacing w:after="0"/>
              <w:rPr>
                <w:sz w:val="17"/>
                <w:szCs w:val="17"/>
                <w:color w:val="auto"/>
              </w:rPr>
            </w:pPr>
          </w:p>
        </w:tc>
        <w:tc>
          <w:tcPr>
            <w:tcW w:w="136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Facilities</w:t>
            </w:r>
          </w:p>
        </w:tc>
        <w:tc>
          <w:tcPr>
            <w:tcW w:w="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633,015,430</w:t>
            </w:r>
          </w:p>
        </w:tc>
        <w:tc>
          <w:tcPr>
            <w:tcW w:w="280" w:type="dxa"/>
            <w:vAlign w:val="bottom"/>
            <w:tcBorders>
              <w:bottom w:val="single" w:sz="8" w:color="CCECFF"/>
            </w:tcBorders>
            <w:shd w:val="clear" w:color="auto" w:fill="CCECFF"/>
          </w:tcPr>
          <w:p>
            <w:pPr>
              <w:spacing w:after="0"/>
              <w:rPr>
                <w:sz w:val="12"/>
                <w:szCs w:val="12"/>
                <w:color w:val="auto"/>
              </w:rPr>
            </w:pPr>
          </w:p>
        </w:tc>
        <w:tc>
          <w:tcPr>
            <w:tcW w:w="22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2"/>
              </w:rPr>
              <w:t>Market Comparable</w:t>
            </w:r>
          </w:p>
        </w:tc>
        <w:tc>
          <w:tcPr>
            <w:tcW w:w="22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080" w:type="dxa"/>
            <w:vAlign w:val="bottom"/>
            <w:tcBorders>
              <w:bottom w:val="single" w:sz="8" w:color="CCECFF"/>
            </w:tcBorders>
            <w:gridSpan w:val="2"/>
            <w:shd w:val="clear" w:color="auto" w:fill="CCECFF"/>
          </w:tcPr>
          <w:p>
            <w:pPr>
              <w:jc w:val="center"/>
              <w:spacing w:after="0" w:line="143" w:lineRule="exact"/>
              <w:rPr>
                <w:sz w:val="20"/>
                <w:szCs w:val="20"/>
                <w:color w:val="auto"/>
              </w:rPr>
            </w:pPr>
            <w:r>
              <w:rPr>
                <w:rFonts w:ascii="Arial" w:cs="Arial" w:eastAsia="Arial" w:hAnsi="Arial"/>
                <w:sz w:val="14"/>
                <w:szCs w:val="14"/>
                <w:color w:val="auto"/>
                <w:w w:val="94"/>
              </w:rPr>
              <w:t>4.7% – 5.0% (4.8%)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24"/>
                <w:szCs w:val="24"/>
                <w:color w:val="auto"/>
              </w:rPr>
            </w:pP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Fair value at</w:t>
            </w:r>
          </w:p>
        </w:tc>
        <w:tc>
          <w:tcPr>
            <w:tcW w:w="280" w:type="dxa"/>
            <w:vAlign w:val="bottom"/>
          </w:tcPr>
          <w:p>
            <w:pPr>
              <w:spacing w:after="0"/>
              <w:rPr>
                <w:sz w:val="24"/>
                <w:szCs w:val="2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w:t>
            </w: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26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30,300,736</w:t>
            </w:r>
          </w:p>
        </w:tc>
        <w:tc>
          <w:tcPr>
            <w:tcW w:w="28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ind w:right="6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55,556,250</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Broker/Dealer bids or quotes</w:t>
            </w:r>
          </w:p>
        </w:tc>
        <w:tc>
          <w:tcPr>
            <w:tcW w:w="720" w:type="dxa"/>
            <w:vAlign w:val="bottom"/>
          </w:tcPr>
          <w:p>
            <w:pPr>
              <w:spacing w:after="0"/>
              <w:rPr>
                <w:sz w:val="14"/>
                <w:szCs w:val="14"/>
                <w:color w:val="auto"/>
              </w:rPr>
            </w:pPr>
          </w:p>
        </w:tc>
        <w:tc>
          <w:tcPr>
            <w:tcW w:w="1360" w:type="dxa"/>
            <w:vAlign w:val="bottom"/>
          </w:tcPr>
          <w:p>
            <w:pPr>
              <w:jc w:val="center"/>
              <w:ind w:right="6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8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664,980,079</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15.8% (8.7%)</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213,754,397</w:t>
            </w:r>
          </w:p>
        </w:tc>
        <w:tc>
          <w:tcPr>
            <w:tcW w:w="280" w:type="dxa"/>
            <w:vAlign w:val="bottom"/>
          </w:tcPr>
          <w:p>
            <w:pPr>
              <w:spacing w:after="0"/>
              <w:rPr>
                <w:sz w:val="14"/>
                <w:szCs w:val="14"/>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360" w:type="dxa"/>
            <w:vAlign w:val="bottom"/>
          </w:tcPr>
          <w:p>
            <w:pPr>
              <w:ind w:left="20"/>
              <w:spacing w:after="0"/>
              <w:rPr>
                <w:sz w:val="20"/>
                <w:szCs w:val="20"/>
                <w:color w:val="auto"/>
              </w:rPr>
            </w:pPr>
            <w:r>
              <w:rPr>
                <w:rFonts w:ascii="Arial" w:cs="Arial" w:eastAsia="Arial" w:hAnsi="Arial"/>
                <w:sz w:val="14"/>
                <w:szCs w:val="14"/>
                <w:color w:val="auto"/>
              </w:rPr>
              <w:t>– 12.7% (11.4%)</w:t>
            </w: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8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61,187,670</w:t>
            </w:r>
          </w:p>
        </w:tc>
        <w:tc>
          <w:tcPr>
            <w:tcW w:w="28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36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16.1% (15.2%)</w:t>
            </w:r>
          </w:p>
        </w:tc>
        <w:tc>
          <w:tcPr>
            <w:tcW w:w="0" w:type="dxa"/>
            <w:vAlign w:val="bottom"/>
          </w:tcPr>
          <w:p>
            <w:pPr>
              <w:spacing w:after="0"/>
              <w:rPr>
                <w:sz w:val="1"/>
                <w:szCs w:val="1"/>
                <w:color w:val="auto"/>
              </w:rPr>
            </w:pPr>
          </w:p>
        </w:tc>
      </w:tr>
      <w:tr>
        <w:trPr>
          <w:trHeight w:val="162"/>
        </w:trPr>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192,859,084</w:t>
            </w:r>
          </w:p>
        </w:tc>
        <w:tc>
          <w:tcPr>
            <w:tcW w:w="280" w:type="dxa"/>
            <w:vAlign w:val="bottom"/>
            <w:tcBorders>
              <w:bottom w:val="single" w:sz="8" w:color="CCECFF"/>
            </w:tcBorders>
          </w:tcPr>
          <w:p>
            <w:pPr>
              <w:spacing w:after="0"/>
              <w:rPr>
                <w:sz w:val="14"/>
                <w:szCs w:val="14"/>
                <w:color w:val="auto"/>
              </w:rPr>
            </w:pP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08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5"/>
              </w:rPr>
              <w:t>0.6x – 17.3x (12.1x)</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28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Facilities</w:t>
            </w: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Market Comparable</w:t>
            </w:r>
          </w:p>
        </w:tc>
        <w:tc>
          <w:tcPr>
            <w:tcW w:w="22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3.9% – 4.2% (4.1%)</w:t>
            </w:r>
          </w:p>
        </w:tc>
        <w:tc>
          <w:tcPr>
            <w:tcW w:w="0" w:type="dxa"/>
            <w:vAlign w:val="bottom"/>
          </w:tcPr>
          <w:p>
            <w:pPr>
              <w:spacing w:after="0" w:line="20" w:lineRule="exact"/>
              <w:rPr>
                <w:sz w:val="1"/>
                <w:szCs w:val="1"/>
                <w:color w:val="auto"/>
              </w:rPr>
            </w:pPr>
          </w:p>
        </w:tc>
      </w:tr>
      <w:tr>
        <w:trPr>
          <w:trHeight w:val="143"/>
        </w:trPr>
        <w:tc>
          <w:tcPr>
            <w:tcW w:w="276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465,390,214</w:t>
            </w:r>
          </w:p>
        </w:tc>
        <w:tc>
          <w:tcPr>
            <w:tcW w:w="2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Facilities, SBA debentures and 2024 Notes were categorized as follows in the fair value hierarchy for ASC 820 purposes: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400"/>
              <w:spacing w:after="0"/>
              <w:rPr>
                <w:sz w:val="20"/>
                <w:szCs w:val="20"/>
                <w:color w:val="auto"/>
              </w:rPr>
            </w:pPr>
            <w:r>
              <w:rPr>
                <w:rFonts w:ascii="Arial" w:cs="Arial" w:eastAsia="Arial" w:hAnsi="Arial"/>
                <w:sz w:val="14"/>
                <w:szCs w:val="14"/>
                <w:b w:val="1"/>
                <w:bCs w:val="1"/>
                <w:color w:val="auto"/>
              </w:rPr>
              <w:t>Fair Value at March 31, 2020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1,141,253,470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1,141,253,470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212,793,472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1,434,299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211,359,173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1,354,046,942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1,434,299</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1,352,612,643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25,127,515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25,127,515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1,379,174,457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26,561,814</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1,352,612,643</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228,585,000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228,585,000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404,430,430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404,430,430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130,285,249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130,285,249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62,100,000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62,100,000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825,400,679</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62,100,000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763,300,679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at September 30, 2019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193,653,664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794,580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192,859,084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1,219,432,796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794,580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1,278,949,032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60,310,816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1,218,638,216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170,145,000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SBA Debentures</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2024 Notes</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683,757,876</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72,256,607</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611,501,269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38"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We elected not to apply ASC 825-10 to the SBA debentures or the 2024 Notes and thus the balance reported in the Consolidated Statement of Assets and Liabilities represents the carrying value. As of March 31, 2020 and September 30, 2019, the carrying value of the SBA debentures approximates the fair value. As of September 30, 2019, the carrying value of the 2024 Notes approximates the fair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20" w:type="dxa"/>
            <w:vAlign w:val="bottom"/>
            <w:gridSpan w:val="13"/>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fair valued investments measured using significant unobservable inputs (Level 3):</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4"/>
              </w:rPr>
              <w:t>Six Months Ended March 31, 2020</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192,859,082</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 (loss)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1,516,979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(12,127,225)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(10,610,246)</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(35,303,152)</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(60,374,875)</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(95,678,027)</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196,332,806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91,465,096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287,797,902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(47,072,297)</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(462,905)</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(47,535,202)</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1,141,253,470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211,359,173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1,352,612,643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unrealized depreciation on investments in our Consolidated Statements of 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(35,303,154)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(69,768,488)</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(105,071,642)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4"/>
              </w:rPr>
              <w:t>Six Months Ended March 31, 2019</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center"/>
              <w:ind w:right="500"/>
              <w:spacing w:after="0" w:line="133" w:lineRule="exact"/>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1"/>
                <w:szCs w:val="11"/>
                <w:color w:val="auto"/>
              </w:rPr>
            </w:pPr>
          </w:p>
        </w:tc>
        <w:tc>
          <w:tcPr>
            <w:tcW w:w="132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9"/>
                <w:szCs w:val="9"/>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160,656,044</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1,695,602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7,766,612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9,462,214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(4,414,639)</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(35,819,057)</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(40,233,696)</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354,143,193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29,624,474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383,767,667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(235,568,012)</w:t>
            </w: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(5,246,231)</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(240,814,243)</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1,086,443,847</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156,981,842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1,243,425,689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 on</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Arial" w:cs="Arial" w:eastAsia="Arial" w:hAnsi="Arial"/>
                <w:sz w:val="14"/>
                <w:szCs w:val="14"/>
                <w:color w:val="auto"/>
                <w:w w:val="94"/>
              </w:rPr>
              <w:t>investments in our Consolidated Statements of Operations attributable to our Level 3 assets still held at the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(4,016,698)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(27,186,365)</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(31,203,063)</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0020" w:type="dxa"/>
            <w:vAlign w:val="bottom"/>
            <w:gridSpan w:val="13"/>
          </w:tcPr>
          <w:p>
            <w:pPr>
              <w:ind w:left="44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Credit Facilities</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2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$472,636,000 and $80,520,000, respectively)</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465,390,214</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(46,374,784)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(8,405,135)</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267,000,000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713,500,000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
              <w:spacing w:after="0"/>
              <w:rPr>
                <w:sz w:val="20"/>
                <w:szCs w:val="20"/>
                <w:color w:val="auto"/>
              </w:rPr>
            </w:pPr>
            <w:r>
              <w:rPr>
                <w:rFonts w:ascii="Arial" w:cs="Arial" w:eastAsia="Arial" w:hAnsi="Arial"/>
                <w:sz w:val="14"/>
                <w:szCs w:val="14"/>
                <w:color w:val="auto"/>
              </w:rPr>
              <w:t>(53,000,000)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color w:val="auto"/>
              </w:rPr>
              <w:t>(262,384,000)</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$686,636,000 and $531,636,000,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633,015,430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32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$686,636,000 and $531,636,000,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633,015,430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520,356,695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March 31, 2020, we had outstanding non-U.S. dollar borrowings on our Credit Facilities. Net change in fair value on foreign currency translation on outstanding borrowings is listed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35,958,550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0"/>
              </w:rPr>
              <w:t>June 17,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(4,177,450)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our Credit Facilities. Net change in fair value on foreign currency translation on outstanding borrowings is listed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35,736,700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(4,399,300)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211"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no expenses for both the three and six months ended March 31, 2020. During both the three and six months ended March 31, 2019, we incurred expenses of $4.9 million relating to debt issuance costs on the BNP Credit Facility and the prepayment of the 2019 Notes.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2024 Notes and the SBA debentures.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For the three and six months ended March 31, 2020, our Credit Facilities had a net change in unrealized depreciation of $48.9 million and $46.4 million, respectively. For the three and six months ended March 31, 2019, our Credit Facilities and the 2019 Notes had a net change in unrealized depreciation of $3.7 million and $9.7 million, respectively. As of March 31, 2020 and September 30, 2019, the net unrealized depreciation on our Credit Facilities totaled $53.6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21"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Net 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2"/>
                <w:szCs w:val="12"/>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PIK</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Appreciation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1980" w:type="dxa"/>
            <w:vAlign w:val="bottom"/>
            <w:vMerge w:val="continue"/>
          </w:tcPr>
          <w:p>
            <w:pPr>
              <w:spacing w:after="0"/>
              <w:rPr>
                <w:sz w:val="14"/>
                <w:szCs w:val="14"/>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w w:val="90"/>
              </w:rPr>
              <w:t>September 30,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Additions</w:t>
            </w:r>
            <w:r>
              <w:rPr>
                <w:rFonts w:ascii="Arial" w:cs="Arial" w:eastAsia="Arial" w:hAnsi="Arial"/>
                <w:sz w:val="12"/>
                <w:szCs w:val="12"/>
                <w:b w:val="1"/>
                <w:bCs w:val="1"/>
                <w:color w:val="auto"/>
                <w:w w:val="95"/>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Reductions</w:t>
            </w: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Income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19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AKW Holdings Limited</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37,059,204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(593,514)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36,465,690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1,174,006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shd w:val="clear" w:color="auto" w:fill="CCECFF"/>
          </w:tcPr>
          <w:p>
            <w:pPr>
              <w:spacing w:after="0"/>
              <w:rPr>
                <w:sz w:val="20"/>
                <w:szCs w:val="20"/>
                <w:color w:val="auto"/>
              </w:rPr>
            </w:pPr>
            <w:r>
              <w:rPr>
                <w:rFonts w:ascii="Arial" w:cs="Arial" w:eastAsia="Arial" w:hAnsi="Arial"/>
                <w:sz w:val="14"/>
                <w:szCs w:val="14"/>
                <w:color w:val="auto"/>
              </w:rPr>
              <w:t>PT Networks, LLC</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72,434,438</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5,887,233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(11,269,806)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67,051,865</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30,618</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rPr>
              <w:t>2,969,322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123,957,717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11,443,334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(39,098,389)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96,302,662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1,426,666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980" w:type="dxa"/>
            <w:vAlign w:val="bottom"/>
            <w:tcBorders>
              <w:top w:val="single" w:sz="8" w:color="CCECFF"/>
            </w:tcBorders>
            <w:shd w:val="clear" w:color="auto" w:fill="CCECFF"/>
          </w:tcPr>
          <w:p>
            <w:pPr>
              <w:ind w:left="140"/>
              <w:spacing w:after="0" w:line="155" w:lineRule="exact"/>
              <w:rPr>
                <w:sz w:val="20"/>
                <w:szCs w:val="20"/>
                <w:color w:val="auto"/>
              </w:rPr>
            </w:pPr>
            <w:r>
              <w:rPr>
                <w:rFonts w:ascii="Arial" w:cs="Arial" w:eastAsia="Arial" w:hAnsi="Arial"/>
                <w:sz w:val="14"/>
                <w:szCs w:val="14"/>
                <w:color w:val="auto"/>
              </w:rPr>
              <w:t>Total 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233,451,359</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17,330,567</w:t>
            </w: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(50,961,709)</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199,820,217</w:t>
            </w: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1,204,624</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4,395,988</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CFF"/>
          </w:tcPr>
          <w:p>
            <w:pPr>
              <w:ind w:left="4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26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22,717,376</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(12,760,004)</w:t>
            </w: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9,957,372</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MidOcean JF Holdings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120"/>
              <w:spacing w:after="0"/>
              <w:rPr>
                <w:sz w:val="20"/>
                <w:szCs w:val="20"/>
                <w:color w:val="auto"/>
              </w:rPr>
            </w:pPr>
            <w:r>
              <w:rPr>
                <w:rFonts w:ascii="Arial" w:cs="Arial" w:eastAsia="Arial" w:hAnsi="Arial"/>
                <w:sz w:val="14"/>
                <w:szCs w:val="14"/>
                <w:color w:val="auto"/>
              </w:rPr>
              <w:t>Corp.</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26,631,962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(9,968,890)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16,691,176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80" w:type="dxa"/>
            <w:vAlign w:val="bottom"/>
            <w:tcBorders>
              <w:top w:val="single" w:sz="8" w:color="CCECFF"/>
            </w:tcBorders>
            <w:shd w:val="clear" w:color="auto" w:fill="CCECFF"/>
          </w:tcPr>
          <w:p>
            <w:pPr>
              <w:ind w:left="140"/>
              <w:spacing w:after="0" w:line="137" w:lineRule="exact"/>
              <w:rPr>
                <w:sz w:val="20"/>
                <w:szCs w:val="20"/>
                <w:color w:val="auto"/>
              </w:rPr>
            </w:pPr>
            <w:r>
              <w:rPr>
                <w:rFonts w:ascii="Arial" w:cs="Arial" w:eastAsia="Arial" w:hAnsi="Arial"/>
                <w:sz w:val="14"/>
                <w:szCs w:val="14"/>
                <w:color w:val="auto"/>
              </w:rPr>
              <w:t>Total Non-Controlled</w:t>
            </w: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shd w:val="clear" w:color="auto" w:fill="CCECFF"/>
          </w:tcPr>
          <w:p>
            <w:pPr>
              <w:ind w:left="240"/>
              <w:spacing w:after="0"/>
              <w:rPr>
                <w:sz w:val="20"/>
                <w:szCs w:val="20"/>
                <w:color w:val="auto"/>
              </w:rPr>
            </w:pPr>
            <w:r>
              <w:rPr>
                <w:rFonts w:ascii="Arial" w:cs="Arial" w:eastAsia="Arial" w:hAnsi="Arial"/>
                <w:sz w:val="14"/>
                <w:szCs w:val="14"/>
                <w:color w:val="auto"/>
              </w:rPr>
              <w:t>Affiliates</w:t>
            </w:r>
          </w:p>
        </w:tc>
        <w:tc>
          <w:tcPr>
            <w:tcW w:w="26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49,349,338</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28,104</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(22,728,894)</w:t>
            </w: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26,648,548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C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282,800,697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17,358,671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(73,690,603)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226,468,765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1,204,624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4,395,988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Includes PIK.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24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March 31,</w:t>
            </w:r>
          </w:p>
        </w:tc>
      </w:tr>
      <w:tr>
        <w:trPr>
          <w:trHeight w:val="25"/>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(decrease) increase in net assets resulting from operations</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(60,292,703)</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(4,746,497)</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(41,090,193)</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2,031,692</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67,831,051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68,375,908</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w w:val="99"/>
              </w:rPr>
              <w:t>Basic and diluted net (decrease) increase in net assets per share resulting from operations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(0.90)</w:t>
            </w: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(0.07)</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(0.61)</w:t>
            </w:r>
          </w:p>
        </w:tc>
        <w:tc>
          <w:tcPr>
            <w:tcW w:w="3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CFF"/>
          </w:tcPr>
          <w:p>
            <w:pPr>
              <w:spacing w:after="0"/>
              <w:rPr>
                <w:sz w:val="14"/>
                <w:szCs w:val="1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221"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2020 and September 30, 2019, cash and cash equivalents consisted of money market funds in the amounts of $25.1 million and $59.5 million at fair value,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28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 March 31,</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CECFF"/>
            </w:tcBorders>
          </w:tcPr>
          <w:p>
            <w:pPr>
              <w:spacing w:after="0"/>
              <w:rPr>
                <w:sz w:val="13"/>
                <w:szCs w:val="13"/>
                <w:color w:val="auto"/>
              </w:rPr>
            </w:pPr>
          </w:p>
        </w:tc>
        <w:tc>
          <w:tcPr>
            <w:tcW w:w="154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CCECFF"/>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76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6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8.68</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Net realized and change in unrealized loss </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(0.92)</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55"/>
        </w:trPr>
        <w:tc>
          <w:tcPr>
            <w:tcW w:w="52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5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(0.61)</w:t>
            </w:r>
          </w:p>
        </w:tc>
        <w:tc>
          <w:tcPr>
            <w:tcW w:w="4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0.03</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(0.36)</w:t>
            </w:r>
          </w:p>
        </w:tc>
        <w:tc>
          <w:tcPr>
            <w:tcW w:w="7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540" w:type="dxa"/>
            <w:vAlign w:val="bottom"/>
            <w:tcBorders>
              <w:bottom w:val="single" w:sz="8" w:color="CCEC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w:t>
            </w:r>
          </w:p>
        </w:tc>
        <w:tc>
          <w:tcPr>
            <w:tcW w:w="420" w:type="dxa"/>
            <w:vAlign w:val="bottom"/>
            <w:tcBorders>
              <w:bottom w:val="single" w:sz="8" w:color="CCECFF"/>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8.83</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54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2.59</w:t>
            </w:r>
          </w:p>
        </w:tc>
        <w:tc>
          <w:tcPr>
            <w:tcW w:w="4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6.91</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(56.33)%</w:t>
            </w:r>
          </w:p>
        </w:tc>
        <w:tc>
          <w:tcPr>
            <w:tcW w:w="740" w:type="dxa"/>
            <w:vAlign w:val="bottom"/>
          </w:tcPr>
          <w:p>
            <w:pPr>
              <w:spacing w:after="0"/>
              <w:rPr>
                <w:sz w:val="12"/>
                <w:szCs w:val="12"/>
                <w:color w:val="auto"/>
              </w:rPr>
            </w:pPr>
          </w:p>
        </w:tc>
        <w:tc>
          <w:tcPr>
            <w:tcW w:w="13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54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420" w:type="dxa"/>
            <w:vAlign w:val="bottom"/>
            <w:tcBorders>
              <w:bottom w:val="single" w:sz="8" w:color="CCECFF"/>
            </w:tcBorders>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5.26%</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Ratio of interest and expenses on debt to average net assets </w:t>
            </w:r>
            <w:r>
              <w:rPr>
                <w:rFonts w:ascii="Arial" w:cs="Arial" w:eastAsia="Arial" w:hAnsi="Arial"/>
                <w:sz w:val="12"/>
                <w:szCs w:val="12"/>
                <w:color w:val="auto"/>
              </w:rPr>
              <w:t>(5)</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6.16%</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54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vMerge w:val="continue"/>
            <w:shd w:val="clear" w:color="auto" w:fill="CCECFF"/>
          </w:tcPr>
          <w:p>
            <w:pPr>
              <w:spacing w:after="0"/>
              <w:rPr>
                <w:sz w:val="13"/>
                <w:szCs w:val="13"/>
                <w:color w:val="auto"/>
              </w:rPr>
            </w:pP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300"/>
              <w:spacing w:after="0" w:line="155" w:lineRule="exact"/>
              <w:rPr>
                <w:sz w:val="20"/>
                <w:szCs w:val="20"/>
                <w:color w:val="auto"/>
              </w:rPr>
            </w:pPr>
            <w:r>
              <w:rPr>
                <w:rFonts w:ascii="Arial" w:cs="Arial" w:eastAsia="Arial" w:hAnsi="Arial"/>
                <w:sz w:val="14"/>
                <w:szCs w:val="14"/>
                <w:color w:val="auto"/>
              </w:rPr>
              <w:t>11.43%</w:t>
            </w:r>
          </w:p>
        </w:tc>
        <w:tc>
          <w:tcPr>
            <w:tcW w:w="740" w:type="dxa"/>
            <w:vAlign w:val="bottom"/>
            <w:shd w:val="clear" w:color="auto" w:fill="CCECFF"/>
          </w:tcPr>
          <w:p>
            <w:pPr>
              <w:spacing w:after="0"/>
              <w:rPr>
                <w:sz w:val="13"/>
                <w:szCs w:val="13"/>
                <w:color w:val="auto"/>
              </w:rPr>
            </w:pPr>
          </w:p>
        </w:tc>
        <w:tc>
          <w:tcPr>
            <w:tcW w:w="136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7.09%</w:t>
            </w:r>
          </w:p>
        </w:tc>
        <w:tc>
          <w:tcPr>
            <w:tcW w:w="74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680" w:type="dxa"/>
            <w:vAlign w:val="bottom"/>
            <w:gridSpan w:val="2"/>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5"/>
              </w:rPr>
              <w:t>516,679,237</w:t>
            </w:r>
          </w:p>
        </w:tc>
        <w:tc>
          <w:tcPr>
            <w:tcW w:w="420" w:type="dxa"/>
            <w:vAlign w:val="bottom"/>
            <w:shd w:val="clear" w:color="auto" w:fill="CCECFF"/>
          </w:tcPr>
          <w:p>
            <w:pPr>
              <w:spacing w:after="0"/>
              <w:rPr>
                <w:sz w:val="14"/>
                <w:szCs w:val="14"/>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592,148,791</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540" w:type="dxa"/>
            <w:vAlign w:val="bottom"/>
            <w:tcBorders>
              <w:bottom w:val="single" w:sz="8" w:color="CCEC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699,915,641</w:t>
            </w:r>
          </w:p>
        </w:tc>
        <w:tc>
          <w:tcPr>
            <w:tcW w:w="420" w:type="dxa"/>
            <w:vAlign w:val="bottom"/>
            <w:tcBorders>
              <w:bottom w:val="single" w:sz="8" w:color="CCEC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451,444,179</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54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10.44</w:t>
            </w:r>
          </w:p>
        </w:tc>
        <w:tc>
          <w:tcPr>
            <w:tcW w:w="420" w:type="dxa"/>
            <w:vAlign w:val="bottom"/>
            <w:shd w:val="clear" w:color="auto" w:fill="CCECFF"/>
          </w:tcPr>
          <w:p>
            <w:pPr>
              <w:spacing w:after="0"/>
              <w:rPr>
                <w:sz w:val="13"/>
                <w:szCs w:val="13"/>
                <w:color w:val="auto"/>
              </w:rPr>
            </w:pPr>
          </w:p>
        </w:tc>
        <w:tc>
          <w:tcPr>
            <w:tcW w:w="740" w:type="dxa"/>
            <w:vAlign w:val="bottom"/>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6.60</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26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1,608</w:t>
            </w:r>
          </w:p>
        </w:tc>
        <w:tc>
          <w:tcPr>
            <w:tcW w:w="420" w:type="dxa"/>
            <w:vAlign w:val="bottom"/>
          </w:tcPr>
          <w:p>
            <w:pPr>
              <w:spacing w:after="0"/>
              <w:rPr>
                <w:sz w:val="14"/>
                <w:szCs w:val="14"/>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5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7.14%</w:t>
            </w:r>
          </w:p>
        </w:tc>
        <w:tc>
          <w:tcPr>
            <w:tcW w:w="74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4" w:lineRule="exact"/>
        <w:rPr>
          <w:sz w:val="20"/>
          <w:szCs w:val="20"/>
          <w:color w:val="auto"/>
        </w:rPr>
      </w:pPr>
    </w:p>
    <w:p>
      <w:pPr>
        <w:ind w:right="8240" w:firstLine="8"/>
        <w:spacing w:after="0" w:line="274" w:lineRule="auto"/>
        <w:tabs>
          <w:tab w:leader="none" w:pos="364"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line="186" w:lineRule="auto"/>
        <w:tabs>
          <w:tab w:leader="none" w:pos="38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Based on the weighted average shares outstanding for the respective periods.</w:t>
      </w:r>
    </w:p>
    <w:p>
      <w:pPr>
        <w:spacing w:after="0" w:line="5" w:lineRule="exact"/>
        <w:rPr>
          <w:rFonts w:ascii="Arial" w:cs="Arial" w:eastAsia="Arial" w:hAnsi="Arial"/>
          <w:sz w:val="20"/>
          <w:szCs w:val="20"/>
          <w:color w:val="auto"/>
          <w:vertAlign w:val="superscript"/>
        </w:rPr>
      </w:pPr>
    </w:p>
    <w:p>
      <w:pPr>
        <w:ind w:left="380" w:right="20" w:hanging="372"/>
        <w:spacing w:after="0" w:line="189" w:lineRule="auto"/>
        <w:tabs>
          <w:tab w:leader="none" w:pos="38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Arial" w:cs="Arial" w:eastAsia="Arial" w:hAnsi="Arial"/>
          <w:sz w:val="24"/>
          <w:szCs w:val="24"/>
          <w:color w:val="auto"/>
          <w:vertAlign w:val="superscript"/>
        </w:rPr>
      </w:pPr>
    </w:p>
    <w:p>
      <w:pPr>
        <w:ind w:left="380" w:hanging="372"/>
        <w:spacing w:after="0" w:line="183" w:lineRule="auto"/>
        <w:tabs>
          <w:tab w:leader="none" w:pos="38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Based on the change in market price per share during the periods and assumes distributions, if any, reinvested.</w:t>
      </w:r>
    </w:p>
    <w:p>
      <w:pPr>
        <w:spacing w:after="0" w:line="5" w:lineRule="exact"/>
        <w:rPr>
          <w:rFonts w:ascii="Arial" w:cs="Arial" w:eastAsia="Arial" w:hAnsi="Arial"/>
          <w:sz w:val="20"/>
          <w:szCs w:val="20"/>
          <w:color w:val="auto"/>
          <w:vertAlign w:val="superscript"/>
        </w:rPr>
      </w:pPr>
    </w:p>
    <w:p>
      <w:pPr>
        <w:ind w:left="380" w:hanging="372"/>
        <w:spacing w:after="0" w:line="186"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Excludes debt related costs.</w:t>
      </w:r>
    </w:p>
    <w:p>
      <w:pPr>
        <w:spacing w:after="0" w:line="6" w:lineRule="exact"/>
        <w:rPr>
          <w:rFonts w:ascii="Arial" w:cs="Arial" w:eastAsia="Arial" w:hAnsi="Arial"/>
          <w:sz w:val="19"/>
          <w:szCs w:val="19"/>
          <w:color w:val="auto"/>
          <w:vertAlign w:val="superscript"/>
        </w:rPr>
      </w:pPr>
    </w:p>
    <w:p>
      <w:pPr>
        <w:ind w:left="380" w:hanging="372"/>
        <w:spacing w:after="0" w:line="186"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Includes interest and expenses on debt (annualized) as well as Credit Facility amendment and debt issuance costs, if any (not annualized).</w:t>
      </w:r>
    </w:p>
    <w:p>
      <w:pPr>
        <w:spacing w:after="0" w:line="6" w:lineRule="exact"/>
        <w:rPr>
          <w:rFonts w:ascii="Arial" w:cs="Arial" w:eastAsia="Arial" w:hAnsi="Arial"/>
          <w:sz w:val="19"/>
          <w:szCs w:val="19"/>
          <w:color w:val="auto"/>
          <w:vertAlign w:val="superscript"/>
        </w:rPr>
      </w:pPr>
    </w:p>
    <w:p>
      <w:pPr>
        <w:ind w:left="380" w:hanging="372"/>
        <w:spacing w:after="0" w:line="186"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Includes SBA debentures outstanding.</w:t>
      </w:r>
    </w:p>
    <w:p>
      <w:pPr>
        <w:spacing w:after="0" w:line="6" w:lineRule="exact"/>
        <w:rPr>
          <w:rFonts w:ascii="Arial" w:cs="Arial" w:eastAsia="Arial" w:hAnsi="Arial"/>
          <w:sz w:val="19"/>
          <w:szCs w:val="19"/>
          <w:color w:val="auto"/>
          <w:vertAlign w:val="superscript"/>
        </w:rPr>
      </w:pPr>
    </w:p>
    <w:p>
      <w:pPr>
        <w:jc w:val="both"/>
        <w:ind w:left="380" w:right="100" w:hanging="372"/>
        <w:spacing w:after="0" w:line="226"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2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annualized weighted average cost of debt for the six months ended March 31, 2020 and 2019, inclusive of the fee on the undrawn commitment under the Credit Facilities, debt issuance costs on the BNP Credit Facility, prepayment penalties on the 2019 Notes and amortized upfront fees on the 2024 Notes and SBA debentures, was 5.1% and 7.0%, respectively. As of March 31,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98"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2020 and September 30, 2019, our asset coverage ratio, as computed in accordance with the 1940 Act, was 161% and 207%,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BNP Credit Facility</w:t>
      </w:r>
    </w:p>
    <w:p>
      <w:pPr>
        <w:spacing w:after="0" w:line="217"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March 31, 2020 and September 30, 2019, Funding I had $245.0 million and $171.0 million in outstanding borrowings under the BNP Credit Facility, respectively. The BNP Credit Facility had a weighted average interest rate of 3.6% and 4.6%, respectively, exclusive of the fee on undrawn commitments, as of March 31, 2020 and September 30, 2019. The BNP Credit Facility is a five-year revolving facility with a stated maturity date of February 22, 2024 and pricing set at 260 basis points over LIBOR (or an alternative risk-free floating interest rate index). As of March 31, 2020 and September 30, 2019, Funding I had $5.0 million and $79.0 million of unused borrowing capacity under the BNP Credit Facility, respectively, subject to leverage and borrowing base restrictions. The BNP Credit Facility is secured by all of our assets held by Funding I. As of March 31, 2020, we were in compliance with the terms of the BNP Credit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17" w:lineRule="exact"/>
        <w:rPr>
          <w:sz w:val="20"/>
          <w:szCs w:val="20"/>
          <w:color w:val="auto"/>
        </w:rPr>
      </w:pPr>
    </w:p>
    <w:p>
      <w:pPr>
        <w:ind w:right="140" w:firstLine="438"/>
        <w:spacing w:after="0" w:line="227" w:lineRule="auto"/>
        <w:rPr>
          <w:sz w:val="20"/>
          <w:szCs w:val="20"/>
          <w:color w:val="auto"/>
        </w:rPr>
      </w:pPr>
      <w:r>
        <w:rPr>
          <w:rFonts w:ascii="Arial" w:cs="Arial" w:eastAsia="Arial" w:hAnsi="Arial"/>
          <w:sz w:val="14"/>
          <w:szCs w:val="14"/>
          <w:color w:val="auto"/>
        </w:rPr>
        <w:t>As of March 31, 2020, we had the multi-currency Truist Credit Facility for up to $475.0 million in borrowings with certain lenders and Truist Bank (formerly SunTrust Bank), acting as administrative agent, and JPMorgan Chase Bank, N.A., acting as syndication agent for the lenders. As of March 31, 2020 and September 30, 2019, we had $441.6 million and $301.6 million (including a $15.0 million temporary draw), respectively, in outstanding borrowings under the Truist Credit Facility. The Truist Credit Facility had a weighted average interest rate of 3.2% and 4.2%, respectively, exclusive of the fee on undrawn commitments, as of March 31, 2020 and September 30, 2019. The Truist Credit Facility is a revolving facility with a stated maturity date of September 4, 2024 ($55.0 million of the $475 million commitment will mature May 25, 2022), with a one-year term-out period and pricing set at 225 basis points over LIBOR (or an alternative risk-free floating interest rate index). As of March 31, 2020 and September 30, 2019, we had $33.4 million and $173.4 million of unused borrowing capacity under the Truist Credit Facility, respectively, subject to leverage and borrowing base restrictions. The Truist Credit Facility is secured by substantially all of our assets, excluding assets held by Funding I and SBIC II. As of March 31, 2020, we were in compliance with the terms of the Truist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March 31,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7" w:lineRule="exact"/>
        <w:rPr>
          <w:sz w:val="20"/>
          <w:szCs w:val="20"/>
          <w:color w:val="auto"/>
        </w:rPr>
      </w:pPr>
    </w:p>
    <w:p>
      <w:pPr>
        <w:jc w:val="both"/>
        <w:ind w:right="280" w:firstLine="438"/>
        <w:spacing w:after="0" w:line="264" w:lineRule="auto"/>
        <w:rPr>
          <w:sz w:val="20"/>
          <w:szCs w:val="20"/>
          <w:color w:val="auto"/>
        </w:rPr>
      </w:pPr>
      <w:r>
        <w:rPr>
          <w:rFonts w:ascii="Arial" w:cs="Arial" w:eastAsia="Arial" w:hAnsi="Arial"/>
          <w:sz w:val="13"/>
          <w:szCs w:val="13"/>
          <w:color w:val="auto"/>
        </w:rPr>
        <w:t>As of both March 31, 2020 and September 30, 2019, SBIC II had an initial $150.0 million in debt commitments, all of which were drawn. During the three and six months ended March 31, 2020, zero and $16.5 million in SBA debentures were repaid, respectively. As of March 31, 2020 and September 30, 2019, the unamortized fees on the SBA debentures were $3.2 million and $3.9 million, respectively. The SBA debentures’ upfront fees of 3.4% consist of a commitment fee of 1.0% and an issuance discount of 2.4%, which are being amortized.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As of March 31,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9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2020, SBIC II was in compliance with its regulatory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21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23"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As of March 31, 2020 and September 30, 2019, we had $86.3 million and $75.0 million in aggregate principal amount of 2024 Notes outstanding, respectively. Interest on the 2024 Notes is paid quarterly on January 15, April 15, July 15 and October 15, at a rate of 5.50%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Facilities. The 2024 Notes may be repurchased from time to time in open market purchases and privately-negotiated transactions.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21"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March 31, 2020 and September 30, 2019, we had $61.2 million and $30.4 million, respectively, in commitments to fund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21"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determine which, if any, of our unconsolidated controlled portfolio companies is a "significant subsidiary" within the meaning of Regulation S-X. We have determined that, as of September 30, 2019, PT Networks, LLC and RAM Energy Holdings LLC triggered at least one of the significance tests. As a result and in accordance with Rule 10-01(b) of Regulation S-X under the Securities Act, presented below is summarized unaudited financial information for the three and six months ended March 31, 2020 and 2019.</w:t>
      </w:r>
    </w:p>
    <w:p>
      <w:pPr>
        <w:spacing w:after="0" w:line="196" w:lineRule="exact"/>
        <w:rPr>
          <w:sz w:val="20"/>
          <w:szCs w:val="20"/>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360" w:type="dxa"/>
            <w:vAlign w:val="bottom"/>
          </w:tcPr>
          <w:p>
            <w:pPr>
              <w:spacing w:after="0"/>
              <w:rPr>
                <w:sz w:val="14"/>
                <w:szCs w:val="14"/>
                <w:color w:val="auto"/>
              </w:rPr>
            </w:pPr>
          </w:p>
        </w:tc>
        <w:tc>
          <w:tcPr>
            <w:tcW w:w="34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386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51,993</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51,597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108,646</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91,140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3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(59,871)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(62,743)</w:t>
            </w:r>
          </w:p>
        </w:tc>
        <w:tc>
          <w:tcPr>
            <w:tcW w:w="36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(109,359)</w:t>
            </w:r>
          </w:p>
        </w:tc>
        <w:tc>
          <w:tcPr>
            <w:tcW w:w="36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(113,218)</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(7,878)</w:t>
            </w:r>
          </w:p>
        </w:tc>
        <w:tc>
          <w:tcPr>
            <w:tcW w:w="48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(11,146)</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(713)</w:t>
            </w: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(22,078)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hanging="360"/>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96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Six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10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2"/>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18,274</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ind w:right="9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8,072</w:t>
            </w: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25,203</w:t>
            </w:r>
          </w:p>
        </w:tc>
        <w:tc>
          <w:tcPr>
            <w:tcW w:w="3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ind w:right="92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13,837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(13,449)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(9,336)</w:t>
            </w:r>
          </w:p>
        </w:tc>
        <w:tc>
          <w:tcPr>
            <w:tcW w:w="10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(23,911)</w:t>
            </w: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(16,276)</w:t>
            </w: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4,825</w:t>
            </w:r>
          </w:p>
        </w:tc>
        <w:tc>
          <w:tcPr>
            <w:tcW w:w="1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(1,264)</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2"/>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All amounts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221" w:lineRule="exact"/>
        <w:rPr>
          <w:sz w:val="20"/>
          <w:szCs w:val="20"/>
          <w:color w:val="auto"/>
        </w:rPr>
      </w:pPr>
    </w:p>
    <w:p>
      <w:pPr>
        <w:ind w:right="40" w:firstLine="438"/>
        <w:spacing w:after="0" w:line="283" w:lineRule="auto"/>
        <w:rPr>
          <w:sz w:val="20"/>
          <w:szCs w:val="20"/>
          <w:color w:val="auto"/>
        </w:rPr>
      </w:pPr>
      <w:r>
        <w:rPr>
          <w:rFonts w:ascii="Arial" w:cs="Arial" w:eastAsia="Arial" w:hAnsi="Arial"/>
          <w:sz w:val="12"/>
          <w:szCs w:val="12"/>
          <w:color w:val="auto"/>
        </w:rPr>
        <w:t>On May 9, 2018, we announced a share repurchase program which allowed us to repurchase up to $30 million of our outstanding common stock in the open market at prices below our net asset value as reported in our then most recently published consolidated financial statements. The program expired on May 9, 2019. During the three and six months ended March 31, 2019, we repurchased 1.0 million and 2.0 million shares of common stock, respectively, in open market transactions for an aggregate cost (including transaction costs) of $7.0 million and $14.5 million, respectively. We repurchased 4.0 million shares of our common stock in open market transactions while the program was in effect for an aggregate cost (including transaction costs) of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99" w:lineRule="exact"/>
        <w:rPr>
          <w:sz w:val="20"/>
          <w:szCs w:val="20"/>
          <w:color w:val="auto"/>
        </w:rPr>
      </w:pPr>
    </w:p>
    <w:p>
      <w:pPr>
        <w:ind w:right="5220"/>
        <w:spacing w:after="0" w:line="474" w:lineRule="auto"/>
        <w:rPr>
          <w:sz w:val="20"/>
          <w:szCs w:val="20"/>
          <w:color w:val="auto"/>
        </w:rPr>
      </w:pPr>
      <w:r>
        <w:rPr>
          <w:rFonts w:ascii="Arial" w:cs="Arial" w:eastAsia="Arial" w:hAnsi="Arial"/>
          <w:sz w:val="14"/>
          <w:szCs w:val="14"/>
          <w:color w:val="auto"/>
        </w:rPr>
        <w:t xml:space="preserve">To the Stockholders and Board of Directors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39" w:lineRule="exact"/>
        <w:rPr>
          <w:sz w:val="20"/>
          <w:szCs w:val="20"/>
          <w:color w:val="auto"/>
        </w:rPr>
      </w:pPr>
    </w:p>
    <w:p>
      <w:pPr>
        <w:ind w:firstLine="365"/>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March 31, 2020, the related consolidated statements of operations and the related consolidated statements of changes in net assets for the three and six months ended March 31, 2020 and 2019, and cash flows for the six months ended March 31, 2020 and 2019,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8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21, 2019, we expressed an unqualified opinion on those consolidated financial statements. In our opinion, the information set forth in the accompanying consolidated statement of assets and liabilities as of September 30, 2019,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221"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the novel coronavirus (commonly known as “COVID-19”);</w:t>
      </w:r>
    </w:p>
    <w:p>
      <w:pPr>
        <w:spacing w:after="0" w:line="187" w:lineRule="exact"/>
        <w:rPr>
          <w:rFonts w:ascii="Arial" w:cs="Arial" w:eastAsia="Arial" w:hAnsi="Arial"/>
          <w:sz w:val="14"/>
          <w:szCs w:val="14"/>
          <w:color w:val="auto"/>
        </w:rPr>
      </w:pPr>
    </w:p>
    <w:p>
      <w:pPr>
        <w:ind w:left="920" w:right="340" w:hanging="372"/>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217"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87" w:lineRule="exact"/>
        <w:rPr>
          <w:sz w:val="20"/>
          <w:szCs w:val="20"/>
          <w:color w:val="auto"/>
        </w:rPr>
      </w:pPr>
    </w:p>
    <w:p>
      <w:pPr>
        <w:jc w:val="both"/>
        <w:ind w:right="40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9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87"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17" w:lineRule="exact"/>
        <w:rPr>
          <w:sz w:val="20"/>
          <w:szCs w:val="20"/>
          <w:color w:val="auto"/>
        </w:rPr>
      </w:pPr>
    </w:p>
    <w:p>
      <w:pPr>
        <w:ind w:right="58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165" w:lineRule="exact"/>
        <w:rPr>
          <w:sz w:val="20"/>
          <w:szCs w:val="20"/>
          <w:color w:val="auto"/>
        </w:rPr>
      </w:pPr>
    </w:p>
    <w:p>
      <w:pPr>
        <w:ind w:right="260" w:firstLine="438"/>
        <w:spacing w:after="0" w:line="231" w:lineRule="auto"/>
        <w:rPr>
          <w:sz w:val="20"/>
          <w:szCs w:val="20"/>
          <w:color w:val="auto"/>
        </w:rPr>
      </w:pPr>
      <w:r>
        <w:rPr>
          <w:rFonts w:ascii="Arial" w:cs="Arial" w:eastAsia="Arial" w:hAnsi="Arial"/>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firstLine="8"/>
        <w:spacing w:after="0" w:line="264" w:lineRule="auto"/>
        <w:tabs>
          <w:tab w:leader="none" w:pos="317" w:val="left"/>
        </w:tabs>
        <w:numPr>
          <w:ilvl w:val="0"/>
          <w:numId w:val="26"/>
        </w:numPr>
        <w:rPr>
          <w:rFonts w:ascii="Arial" w:cs="Arial" w:eastAsia="Arial" w:hAnsi="Arial"/>
          <w:sz w:val="13"/>
          <w:szCs w:val="13"/>
          <w:color w:val="auto"/>
        </w:rPr>
      </w:pPr>
      <w:r>
        <w:rPr>
          <w:rFonts w:ascii="Arial" w:cs="Arial" w:eastAsia="Arial" w:hAnsi="Arial"/>
          <w:sz w:val="13"/>
          <w:szCs w:val="13"/>
          <w:color w:val="auto"/>
        </w:rPr>
        <w:t>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1"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2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9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 The BNP Credit Facility allows Funding I to borrow up to $250 million at LIBOR plus 260 basis points during the reinvestment period. The BNP Credit Facility is secured by all of the assets held by Funding I.</w:t>
      </w:r>
    </w:p>
    <w:p>
      <w:pPr>
        <w:spacing w:after="0" w:line="188"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 under its investment management agreement. Our SBIC Fund’s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 under its administration agreement with us. Our board of directors, a majority of whom are independent of us, provides overall supervision of our activities, and the Investment Adviser supervises our day-to-day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217"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novel coronavirus (commonly known as “COVID-19”)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We cannot predict with any level of certainty the magnitude of the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92" w:lineRule="exact"/>
        <w:rPr>
          <w:sz w:val="20"/>
          <w:szCs w:val="20"/>
          <w:color w:val="auto"/>
        </w:rPr>
      </w:pPr>
    </w:p>
    <w:p>
      <w:pPr>
        <w:ind w:right="20" w:firstLine="438"/>
        <w:spacing w:after="0" w:line="283" w:lineRule="auto"/>
        <w:rPr>
          <w:sz w:val="20"/>
          <w:szCs w:val="20"/>
          <w:color w:val="auto"/>
        </w:rPr>
      </w:pPr>
      <w:r>
        <w:rPr>
          <w:rFonts w:ascii="Arial" w:cs="Arial" w:eastAsia="Arial" w:hAnsi="Arial"/>
          <w:sz w:val="12"/>
          <w:szCs w:val="12"/>
          <w:color w:val="auto"/>
        </w:rPr>
        <w:t>Due to the nature of these governmental restrictions and their potentially long-lasting duration, we anticipate that some portfolio companies, especially those in vulnerable industries such as retail, food and beverage and travel, will undergo significant financial distress and possibly default on their financial obligations to us and their other capital providers. Moreover, if our portfolio companies remain subject to prolonged and severe financial distress, we expect such companies to substantially curtail their operations, defer capital expenditures, furlough or lay off workers and terminate relationships with their service providers. These developments would likely reduce the value of our investments in such portfolio companies and permanently impair their business operations.</w:t>
      </w:r>
    </w:p>
    <w:p>
      <w:pPr>
        <w:spacing w:after="0" w:line="17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COVID-19 pandemic could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may affect market, economic and geopolitical conditions, and thereby may adversely affect our business, including:</w:t>
      </w:r>
    </w:p>
    <w:p>
      <w:pPr>
        <w:spacing w:after="0" w:line="198" w:lineRule="exact"/>
        <w:rPr>
          <w:sz w:val="20"/>
          <w:szCs w:val="20"/>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limited availability of credit, both in the U.S. and internationally;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17" w:lineRule="exact"/>
        <w:rPr>
          <w:sz w:val="20"/>
          <w:szCs w:val="20"/>
          <w:color w:val="auto"/>
        </w:rPr>
      </w:pPr>
    </w:p>
    <w:p>
      <w:pPr>
        <w:ind w:right="20" w:firstLine="438"/>
        <w:spacing w:after="0" w:line="273" w:lineRule="auto"/>
        <w:rPr>
          <w:sz w:val="20"/>
          <w:szCs w:val="20"/>
          <w:color w:val="auto"/>
        </w:rPr>
      </w:pPr>
      <w:r>
        <w:rPr>
          <w:rFonts w:ascii="Arial" w:cs="Arial" w:eastAsia="Arial" w:hAnsi="Arial"/>
          <w:sz w:val="12"/>
          <w:szCs w:val="12"/>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Although we had no non-accrual assets during the quarter ended March 31, 2020, the continuing impact of the COVID-19 pandemic may result in portfolio investments being placed on non-accrual status in the future.</w:t>
      </w:r>
    </w:p>
    <w:p>
      <w:pPr>
        <w:spacing w:after="0" w:line="179"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have had a significant reduction in our net asset value as of March 31, 2020 as compared to our net asset value in the prior quarter, which was primarily due to the immediate adverse economic effects of the COVID-19 pandemic, the continuing uncertainty surrounding its long-term impact as well as the re-pricing of credit risk in the broadly syndicated credit market. The decrease in net asset value as of March 31, 2020 primarily resulted from an increase in unrealized depreciation in respect of our portfolio company investments, which led to a decrease in the fair value of some of our portfolio company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180" w:firstLine="438"/>
        <w:spacing w:after="0" w:line="231" w:lineRule="auto"/>
        <w:rPr>
          <w:sz w:val="20"/>
          <w:szCs w:val="20"/>
          <w:color w:val="auto"/>
        </w:rPr>
      </w:pPr>
      <w:r>
        <w:rPr>
          <w:rFonts w:ascii="Arial" w:cs="Arial" w:eastAsia="Arial" w:hAnsi="Arial"/>
          <w:sz w:val="14"/>
          <w:szCs w:val="14"/>
          <w:color w:val="auto"/>
        </w:rPr>
        <w:t>Additionally, as of March 31, 2020 and September 30, 2019, our asset coverage ratio, as computed in accordance with the 1940 Act, was 161% and 207%, respectively. Our Credit Facilities include standard covenants and events of default provisions. If we fail to make payments required under such facilities or breach the covenants therein, it could result in a default under the Credit Facilities. Failure to cure such default or obtain a waiver from the appropriate party would result in an event of default, and the applicable lender may accelerate the repayment of our indebtedness under the respective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97"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also subject to financial risks, including changes in market interest rates. As of March 31, 2020, our debt portfolio consisted of 94%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BNP Credit Facility and the Truist Credit Facility also have floating rate interest provisions, with pricing set at 260 basis points over LIBOR (or an alternative risk-free floating interest rate index) and 225 basis points over LIBOR (or an alternative risk-free floating interest rate index), respectively. LIBOR decreased in March 2020 when, among other things, the U.S. Federal Reserve reduced certain interest rates as a result of the COVID-19 pandemic. If interest rates remain at such levels,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97" w:lineRule="exact"/>
        <w:rPr>
          <w:sz w:val="20"/>
          <w:szCs w:val="20"/>
          <w:color w:val="auto"/>
        </w:rPr>
      </w:pPr>
    </w:p>
    <w:p>
      <w:pPr>
        <w:ind w:right="40" w:firstLine="438"/>
        <w:spacing w:after="0" w:line="263" w:lineRule="auto"/>
        <w:rPr>
          <w:sz w:val="20"/>
          <w:szCs w:val="20"/>
          <w:color w:val="auto"/>
        </w:rPr>
      </w:pPr>
      <w:r>
        <w:rPr>
          <w:rFonts w:ascii="Arial" w:cs="Arial" w:eastAsia="Arial" w:hAnsi="Arial"/>
          <w:sz w:val="12"/>
          <w:szCs w:val="12"/>
          <w:color w:val="auto"/>
        </w:rPr>
        <w:t>While we have generally avoided direct investments in industries that have been hard hit by the spread of COVID-19, including retail, restaurants and airlines, some of our portfolio companies, such as those in the oil and gas and events and gaming industries, have been especially susceptible to the economic effects of the COVID-19 pandemic. As the COVID-19 pandemic began to worsen, we proactively took action to support and evaluate our portfolio companies including, but not limited to, the following: 1) gathering additional information regarding the business operations and market impact of COVID-19 from a multitude of sources such as qualified third-party service providers, management teams and private equity sponsor owners of our investment companies and other sources;</w:t>
      </w:r>
    </w:p>
    <w:p>
      <w:pPr>
        <w:spacing w:after="0" w:line="1" w:lineRule="exact"/>
        <w:rPr>
          <w:sz w:val="20"/>
          <w:szCs w:val="20"/>
          <w:color w:val="auto"/>
        </w:rPr>
      </w:pPr>
    </w:p>
    <w:p>
      <w:pPr>
        <w:ind w:right="40" w:firstLine="8"/>
        <w:spacing w:after="0" w:line="227" w:lineRule="auto"/>
        <w:tabs>
          <w:tab w:leader="none" w:pos="15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establishing frequent real-time communications with our private equity sponsor partners and stakeholders, which we believe will result in more efficient solutions for our portfolio companies and, due to our strong business relationships with such sponsors, will create the appropriate incentives necessary for them to work with us to address the needs of our portfolio companies; and 3) through the use of our underwriting team and the benefit of our strong analytics surrounding the portfolio, assessing the likely impact of the COVID-19 pandemic on our portfolio companies and segmenting our portfolio to call attention to those borrowers who, as a result of COVID-19, are of moderate or higher risk of default, which will enable us to focus on and assist those borrowers which are more likely to require attention.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7" w:lineRule="exact"/>
        <w:rPr>
          <w:sz w:val="20"/>
          <w:szCs w:val="20"/>
          <w:color w:val="auto"/>
        </w:rPr>
      </w:pPr>
    </w:p>
    <w:p>
      <w:pPr>
        <w:ind w:firstLine="438"/>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98" w:lineRule="exact"/>
        <w:rPr>
          <w:sz w:val="20"/>
          <w:szCs w:val="20"/>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right="20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21"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March 31, 2020, our portfolio totaled $1,354.0 million and consisted of $815.2 million of first lien secured debt, $261.6 million of second lien secured debt, $64.4 million of subordinated debt and $212.8 million of preferred and common equity. Our debt portfolio consisted of 94% variable-rate investments. As of March 31, 2020, we had no portfolio companies on non-accrual. Overall, the portfolio had net unrealized depreciation of $135.0 million as of March 31, 2020. Our overall portfolio consisted of 87 companies with an average investment size of $15.6 million, had a weighted average yield on interest bearing debt investments of 9.1% and was invested 60% in first lien secured debt, 19% in second lien secured debt, 5% in subordinated debt and 16% in preferred and common equity.</w:t>
      </w:r>
    </w:p>
    <w:p>
      <w:pPr>
        <w:spacing w:after="0" w:line="19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97" w:lineRule="exact"/>
        <w:rPr>
          <w:sz w:val="20"/>
          <w:szCs w:val="20"/>
          <w:color w:val="auto"/>
        </w:rPr>
      </w:pPr>
    </w:p>
    <w:p>
      <w:pPr>
        <w:jc w:val="both"/>
        <w:ind w:right="40" w:firstLine="438"/>
        <w:spacing w:after="0" w:line="264" w:lineRule="auto"/>
        <w:rPr>
          <w:sz w:val="20"/>
          <w:szCs w:val="20"/>
          <w:color w:val="auto"/>
        </w:rPr>
      </w:pPr>
      <w:r>
        <w:rPr>
          <w:rFonts w:ascii="Arial" w:cs="Arial" w:eastAsia="Arial" w:hAnsi="Arial"/>
          <w:sz w:val="13"/>
          <w:szCs w:val="13"/>
          <w:color w:val="auto"/>
        </w:rPr>
        <w:t>For the three months ended March 31, 2020, we invested $106.8 million in eight new and 24 existing portfolio companies with a weighted average yield on debt investments of 8.2%. Sales and repayments of investments for the three months ended March 31, 2020 totaled $16.4 million. For the six months ended March 31, 2020, we invested $280.5 million in 21 new and 39 existing portfolio companies with a weighted average yield on debt investments of 8.6%. Sales and repayments of investments for the six months ended March 31, 2020 totaled $47.5 million.</w:t>
      </w:r>
    </w:p>
    <w:p>
      <w:pPr>
        <w:spacing w:after="0" w:line="182" w:lineRule="exact"/>
        <w:rPr>
          <w:sz w:val="20"/>
          <w:szCs w:val="20"/>
          <w:color w:val="auto"/>
        </w:rPr>
      </w:pPr>
    </w:p>
    <w:p>
      <w:pPr>
        <w:jc w:val="both"/>
        <w:ind w:right="20" w:firstLine="438"/>
        <w:spacing w:after="0" w:line="264" w:lineRule="auto"/>
        <w:rPr>
          <w:sz w:val="20"/>
          <w:szCs w:val="20"/>
          <w:color w:val="auto"/>
        </w:rPr>
      </w:pPr>
      <w:r>
        <w:rPr>
          <w:rFonts w:ascii="Arial" w:cs="Arial" w:eastAsia="Arial" w:hAnsi="Arial"/>
          <w:sz w:val="13"/>
          <w:szCs w:val="13"/>
          <w:color w:val="auto"/>
        </w:rPr>
        <w:t>For the three months ended March 31, 2019, we invested $183.9 million in nine new and 13 existing portfolio companies with a weighted average yield on debt investments of 9.1%. Sales and repayments of investments for the three months ended March 31, 2019 totaled $115.1 million. For the six months ended March 31, 2019, we invested $378.4 million in 15 new and 26 existing portfolio companies with a weighted average yield on debt investments of 9.3%. Sales and repayments of investments for the six months ended March 31, 2019 totaled $240.9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21" w:lineRule="exact"/>
        <w:rPr>
          <w:sz w:val="20"/>
          <w:szCs w:val="20"/>
          <w:color w:val="auto"/>
        </w:rPr>
      </w:pPr>
    </w:p>
    <w:p>
      <w:pPr>
        <w:jc w:val="both"/>
        <w:ind w:right="4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17"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92"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5" w:lineRule="exact"/>
        <w:rPr>
          <w:sz w:val="20"/>
          <w:szCs w:val="20"/>
          <w:color w:val="auto"/>
        </w:rPr>
      </w:pPr>
    </w:p>
    <w:p>
      <w:pPr>
        <w:ind w:left="920" w:hanging="372"/>
        <w:spacing w:after="0" w:line="253" w:lineRule="auto"/>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87" w:lineRule="exact"/>
        <w:rPr>
          <w:rFonts w:ascii="Arial" w:cs="Arial" w:eastAsia="Arial" w:hAnsi="Arial"/>
          <w:sz w:val="14"/>
          <w:szCs w:val="14"/>
          <w:color w:val="auto"/>
        </w:rPr>
      </w:pPr>
    </w:p>
    <w:p>
      <w:pPr>
        <w:ind w:left="920" w:hanging="372"/>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20" w:right="60" w:hanging="372"/>
        <w:spacing w:after="0" w:line="264" w:lineRule="auto"/>
        <w:tabs>
          <w:tab w:leader="none" w:pos="9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87" w:lineRule="exact"/>
        <w:rPr>
          <w:sz w:val="20"/>
          <w:szCs w:val="20"/>
          <w:color w:val="auto"/>
        </w:rPr>
      </w:pPr>
    </w:p>
    <w:p>
      <w:pPr>
        <w:ind w:right="380" w:firstLine="438"/>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jc w:val="both"/>
        <w:ind w:right="20"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17"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17"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5"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2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98"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9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no expenses for both the three and six months ended March 31, 2020. During both the three and six months ended March 31, 2019, we incurred expenses of $4.9 million relating to debt issuance costs on the BNP Credit Facility and the prepayment of the 2019 Notes.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the 2019 Notes are reported in our Consolidated Statements of Operations. We elected not to apply ASC 825-10 to any other financial assets or liabilities, including the 2024 Notes and the SBA debentures.</w:t>
      </w:r>
    </w:p>
    <w:p>
      <w:pPr>
        <w:spacing w:after="0" w:line="198"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For the three and six months ended March 31, 2020, our Credit Facilities had a net change in unrealized depreciation of $48.9 million and $46.4 million, respectively. For the three and six months ended March 31, 2019, our Credit Facilities and the 2019 Notes had a net change in unrealized depreciation of $3.7 million and $9.7 million, respectively. As of March 31, 2020 and September 30, 2019, the net unrealized depreciation on our Credit Facilities totaled $53.6 million and $7.2 million, respectively. We use a nationally recognized independent valuation service to measure the fair value of our Credit Facilities and the 2019 Notes in a manner consistent with the valuation process that the board of directors uses to value our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2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Facilities and the 2019 Notes during the reporting period, including any reversal of previously recorded unrealized appreciation or depreciation, when gains or losses are realized.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17" w:lineRule="exact"/>
        <w:rPr>
          <w:sz w:val="20"/>
          <w:szCs w:val="20"/>
          <w:color w:val="auto"/>
        </w:rPr>
      </w:pPr>
    </w:p>
    <w:p>
      <w:pPr>
        <w:ind w:left="920" w:hanging="372"/>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17" w:lineRule="exact"/>
        <w:rPr>
          <w:rFonts w:ascii="Arial" w:cs="Arial" w:eastAsia="Arial" w:hAnsi="Arial"/>
          <w:sz w:val="14"/>
          <w:szCs w:val="14"/>
          <w:color w:val="auto"/>
        </w:rPr>
      </w:pPr>
    </w:p>
    <w:p>
      <w:pPr>
        <w:ind w:left="920" w:hanging="372"/>
        <w:spacing w:after="0"/>
        <w:tabs>
          <w:tab w:leader="none" w:pos="9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17"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21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17"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88"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9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2" w:lineRule="exact"/>
        <w:rPr>
          <w:sz w:val="20"/>
          <w:szCs w:val="20"/>
          <w:color w:val="auto"/>
        </w:rPr>
      </w:pPr>
    </w:p>
    <w:p>
      <w:pPr>
        <w:ind w:right="14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Investment income for the three and six months ended March 31, 2020 was $27.5 million and $53.5 million, respectively, and was attributable to $17.5 million and $33.5 million from first lien secured debt, $7.7 million and $15.4 million from second lien secured debt and $2.3 million and $4.6 million from subordinated debt, respectively. This compares to investment income for the three and six months ended March 31, 2019 of $28.7 million and $56.1 million, respectively, and was attributable to $15.7 million and $29.0 million from first lien secured debt, $11.2 million and $23.5 million from second lien secured debt and $1.8 million and $3.6 million from subordinated debt, preferred and common equity, respectively. The decrease in investment income compared to the same periods in the prior year was primarily due to decreases in LIBOR.</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17" w:lineRule="exact"/>
        <w:rPr>
          <w:sz w:val="20"/>
          <w:szCs w:val="20"/>
          <w:color w:val="auto"/>
        </w:rPr>
      </w:pPr>
    </w:p>
    <w:p>
      <w:pPr>
        <w:ind w:right="140" w:firstLine="438"/>
        <w:spacing w:after="0" w:line="267" w:lineRule="auto"/>
        <w:rPr>
          <w:sz w:val="20"/>
          <w:szCs w:val="20"/>
          <w:color w:val="auto"/>
        </w:rPr>
      </w:pPr>
      <w:r>
        <w:rPr>
          <w:rFonts w:ascii="Arial" w:cs="Arial" w:eastAsia="Arial" w:hAnsi="Arial"/>
          <w:sz w:val="12"/>
          <w:szCs w:val="12"/>
          <w:color w:val="auto"/>
        </w:rPr>
        <w:t>Expenses for the three and six months ended March 31, 2020 totaled $17.2 million and $33.0 million, respectively. Base management fee for the same periods totaled $4.9 million and $9.6 million, incentive fee totaled $1.9 million and $2.7 million, debt related interest and expenses totaled $9.0 million and $17.8 million, general and administrative expenses totaled $1.2 million and $2.3 million and provision for taxes totaled $0.3 million and $0.6 million, respectively. This compares to net expenses for the three and six months ended March 31, 2019, which totaled $17.9 million and $32.7 million, respectively. Base management fee for the same periods totaled $4.5 million and $8.9 million, incentive fee totaled less than $0.1 million and $2.7 million, debt related interest and expenses totaled $11.9 million (including $2.2 million of make-whole premium on the repayment of the 2019 Notes and $2.7 million in debt issuance costs on the BNP Credit Facility) and $18.2 million (including $2.2 million of make-whole premium on the repayment of the 2019 Notes and $2.7 million in debt issuance costs on the BNP Credit Facility), general and administrative expenses totaled $1.2 million and $2.3 million and provision for taxes totaled $0.3 million and $0.6 million, respectively. The decrease in expenses for the three months ended March 31, 2020 compared to the same period in the prior year was primarily due to financing costs incurred in the prior year in connection with the redemption of the 2019 Notes, partially offset by the higher leverage costs. The increase in expenses for the six months ended March 31, 2020 compared to the same period in the prior year was primarily due to higher leverage costs as well as higher Management Fees.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Net investment income totaled $10.3 million and $20.5 million, or $0.15 and $0.31 per share, for the three and six months ended March 31, 2020, respectively. Net investment income totaled $10.8 million and $23.3 million, or $0.16 and $0.34 per share, for the three and six months ended March 31, 2019, respectively. The decrease in net investment income compared to the same periods in the prior year was primarily due to lower investment income as well as higher leverage costs.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2020 totaled $16.4 million and $47.5 million, respectively, and net realized gains (losses) totaled $1.4 million and $(10.6) million, respectively. Sales and repayments of investments for the three and six months ended March 31, 2019 totaled $115.9 million and $240.9 million, respectively, and net realized gains totaled $1.0 million and $9.5 million, respectively. The change in realized gains/losses was primarily due to changes in the market conditions of our investments and the values at which they were realized.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Facilities and the 2019 Notes</w:t>
      </w:r>
    </w:p>
    <w:p>
      <w:pPr>
        <w:spacing w:after="0" w:line="217" w:lineRule="exact"/>
        <w:rPr>
          <w:sz w:val="20"/>
          <w:szCs w:val="20"/>
          <w:color w:val="auto"/>
        </w:rPr>
      </w:pPr>
    </w:p>
    <w:p>
      <w:pPr>
        <w:ind w:right="160" w:firstLine="438"/>
        <w:spacing w:after="0" w:line="251" w:lineRule="auto"/>
        <w:rPr>
          <w:sz w:val="20"/>
          <w:szCs w:val="20"/>
          <w:color w:val="auto"/>
        </w:rPr>
      </w:pPr>
      <w:r>
        <w:rPr>
          <w:rFonts w:ascii="Arial" w:cs="Arial" w:eastAsia="Arial" w:hAnsi="Arial"/>
          <w:sz w:val="13"/>
          <w:szCs w:val="13"/>
          <w:color w:val="auto"/>
        </w:rPr>
        <w:t>For the three and six months ended March 31, 2020, we reported net change in unrealized depreciation on investments of $121.0 million and $97.3 million, respectively. For the three and six months ended March 31, 2019, we reported net change in unrealized depreciation on investments of $20.1 million and $40.5 million, respectively. As of March 31, 2020 and September 30, 2019, our net unrealized depreciation on investments totaled $135.0 million and $37.6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9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For the three and six months ended March 31, 2020 our Credit Facilities had a net change in unrealized depreciation of $48.9 million and $46.4 million, respectively. For the three and six months ended March 31, 2019, our Credit Facilities and the 2019 Notes had a net change in unrealized depreciation of $3.7 million and $9.7 million, respectively. As of March 31, 2020 and September 30, 2019, the net unrealized depreciation on the Credit Facilities totaled $53.6 million and $7.2 million, respectively. The net change in unrealized depreciation compared to the same periods in the prior year was primarily due to changes in the capital markets.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17" w:lineRule="exact"/>
        <w:rPr>
          <w:sz w:val="20"/>
          <w:szCs w:val="20"/>
          <w:color w:val="auto"/>
        </w:rPr>
      </w:pPr>
    </w:p>
    <w:p>
      <w:pPr>
        <w:jc w:val="both"/>
        <w:ind w:right="60" w:firstLine="438"/>
        <w:spacing w:after="0" w:line="255" w:lineRule="auto"/>
        <w:rPr>
          <w:sz w:val="20"/>
          <w:szCs w:val="20"/>
          <w:color w:val="auto"/>
        </w:rPr>
      </w:pPr>
      <w:r>
        <w:rPr>
          <w:rFonts w:ascii="Arial" w:cs="Arial" w:eastAsia="Arial" w:hAnsi="Arial"/>
          <w:sz w:val="13"/>
          <w:szCs w:val="13"/>
          <w:color w:val="auto"/>
        </w:rPr>
        <w:t>Net change in net assets resulting from operations totaled $(60.3) million and $(41.1) million, or $(0.90) and $(0.61) per share, for the three and six months ended March 31, 2020, respectively. Net change in net assets resulting from operations totaled $(4.7) million and $2.0 million, or $(0.08) and $0.26 per share, for the three and six months ended March 31, 2019, respectively. The decrease in the net change in net assets from operations compared to the same periods in the prior year was primarily due to depreciation of the portfolio primarily driven by the market disruption caused by the COVID-19 pandemic and the uncertainty surrounding its continued adverse economic impact, as discussed above under “COVID-19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21"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2020,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99"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March 31, 2020 and September 30, 2019, our asset coverage ratio, as computed in accordance with the 1940 Act, was 161% and 207%, respectively.</w:t>
      </w:r>
    </w:p>
    <w:p>
      <w:pPr>
        <w:spacing w:after="0" w:line="18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2020 and 2019, inclusive of the fee on the undrawn commitment under the Credit Facilities, debt issuance costs on the BNP Credit Facility, prepayment penalties on the 2019 Notes and amortized upfront fees on the 2024 Notes and SBA debentures, was 5.1% and 7.0%, respectively (excluding debt issuance costs and prepayment penalties, amounts were 5.1% and 5.9%, respectively).</w:t>
      </w:r>
    </w:p>
    <w:p>
      <w:pPr>
        <w:spacing w:after="0" w:line="19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March 31, 2020 and September 30, 2019, Funding I had $245.0 million and $171.0 million in outstanding borrowings under the BNP Credit Facility, respectively. The BNP Credit Facility had a weighted average interest rate of 3.6% and 4.6%, respectively, exclusive of the fee on undrawn commitments, as of March 31, 2020 and September 30, 2019. The BNP Credit Facility is a five-year revolving facility with a stated maturity date of February 22, 2024 and pricing set at 260 basis points over LIBOR (or an alternative risk-free floating interest rate index). As of March 31, 2020 and September 30, 2019, Funding I had $5.0 million and $79.0 million of unused borrowing capacity under the BNP Credit Facility, respectively, subject to leverage and borrowing base restrictions. The BNP Credit Facility is secured by all of our assets held by Funding I. As of March 31, 2020, we were in compliance with the terms of the BNP Credit Facility.</w:t>
      </w:r>
    </w:p>
    <w:p>
      <w:pPr>
        <w:spacing w:after="0" w:line="198"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As of March 31, 2020, we had the multi-currency Truist Credit Facility for up to $475.0 million in borrowings with certain lenders and Truist Bank, acting as administrative agent, and JPMorgan Chase Bank, N.A., acting as syndication agent for the lenders. As of March 31, 2020 and September 30, 2019, we had $441.6 million and $301.6 million, respectively, in outstanding borrowings under the Truist Credit Facility. The Truist Credit Facility had a weighted average interest rate of 3.2% and 4.2%, respectively, exclusive of the fee on undrawn commitments, as of March 31, 2020 and September 30, 2019. The Truist Credit Facility is a five-year revolving facility with a stated maturity date of September 4, 2024 ($55.0 million of the $475 million commitment will mature May 25, 2022), with a one-year term-out period and pricing set at 225 basis points over LIBOR (or an alternative risk-free floating interest rate index). As of March 31, 2020 and September 30, 2019, we had $33.4 million and $173.4 million of unused borrowing capacity under the Truist Credit Facility, respectively, subject to leverage and borrowing base restrictions. The Truist Credit Facility is secured by substantially all of our assets excluding assets held by Funding I and SBIC II. As of March 31, 2020, we were in compliance with the terms of the Truist Credit Facility.</w:t>
      </w:r>
    </w:p>
    <w:p>
      <w:pPr>
        <w:spacing w:after="0" w:line="118"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 xml:space="preserve">As of March 31, 2020, we had $86.3 million in aggregate principal amount of 2024 Notes outstanding. Interest on the 2024 Notes is paid quarterly on January 15, April 15, July 15 and October 15, at a rate of 5.50% per year, commencing January 15, 2020. The 2024 Notes mature on October 15, 2024. The 2024 Notes are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7"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was paid semi-annually on April 1 and October 1, at a rate of 4.50% per year. On March 4, 2019 the 2019 Notes were redeemed in full and no amounts were outstanding as of March 31, 2020.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9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Facilities and SBA debentures. Furthermore, our Credit Facilities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firstLine="438"/>
        <w:spacing w:after="0" w:line="231" w:lineRule="auto"/>
        <w:rPr>
          <w:sz w:val="20"/>
          <w:szCs w:val="20"/>
          <w:color w:val="auto"/>
        </w:rPr>
      </w:pPr>
      <w:r>
        <w:rPr>
          <w:rFonts w:ascii="Arial" w:cs="Arial" w:eastAsia="Arial" w:hAnsi="Arial"/>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$133.5 million as of March 31,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97" w:lineRule="exact"/>
        <w:rPr>
          <w:sz w:val="20"/>
          <w:szCs w:val="20"/>
          <w:color w:val="auto"/>
        </w:rPr>
      </w:pPr>
    </w:p>
    <w:p>
      <w:pPr>
        <w:jc w:val="both"/>
        <w:ind w:right="280" w:firstLine="438"/>
        <w:spacing w:after="0" w:line="264" w:lineRule="auto"/>
        <w:rPr>
          <w:sz w:val="20"/>
          <w:szCs w:val="20"/>
          <w:color w:val="auto"/>
        </w:rPr>
      </w:pPr>
      <w:r>
        <w:rPr>
          <w:rFonts w:ascii="Arial" w:cs="Arial" w:eastAsia="Arial" w:hAnsi="Arial"/>
          <w:sz w:val="13"/>
          <w:szCs w:val="13"/>
          <w:color w:val="auto"/>
        </w:rPr>
        <w:t>As of both March 31, 2020 and September 30, 2019, SBIC II had an initial $150.0 million in debt commitments, all of which were drawn. During the three and six months ended March 31, 2020, zero and $16.5 million in SBA debentures were repaid, respectively. As of March 31, 2020 and September 30, 2019, the unamortized fees on the SBA debentures were $3.2 million and $3.9 million, respectively. The SBA debentures’ upfront fees of 3.4% consist of a commitment fee of 1.0% and an issuance discount of 2.4%, which are being amortized.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March 31, 2020 and September 30, 2019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As of March 31, 2020</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133,500,000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2"/>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3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060" w:type="dxa"/>
            <w:vAlign w:val="bottom"/>
          </w:tcPr>
          <w:p>
            <w:pPr>
              <w:ind w:left="1860"/>
              <w:spacing w:after="0"/>
              <w:rPr>
                <w:sz w:val="20"/>
                <w:szCs w:val="20"/>
                <w:color w:val="auto"/>
              </w:rPr>
            </w:pPr>
            <w:r>
              <w:rPr>
                <w:rFonts w:ascii="Arial" w:cs="Arial" w:eastAsia="Arial" w:hAnsi="Arial"/>
                <w:sz w:val="14"/>
                <w:szCs w:val="14"/>
                <w:color w:val="auto"/>
                <w:w w:val="92"/>
              </w:rPr>
              <w:t>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2"/>
              </w:rPr>
              <w:t>2.9</w:t>
            </w:r>
          </w:p>
        </w:tc>
        <w:tc>
          <w:tcPr>
            <w:tcW w:w="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w w:val="92"/>
              </w:rPr>
              <w:t>3.5</w:t>
            </w:r>
          </w:p>
        </w:tc>
        <w:tc>
          <w:tcPr>
            <w:tcW w:w="4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8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2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March 31, 2020, SBIC II was in compliance with its regulatory requirements.</w:t>
      </w:r>
    </w:p>
    <w:p>
      <w:pPr>
        <w:spacing w:after="0" w:line="197"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150% asset coverage ratio is met after such borrowing. As of March 31, 2020 and September 30, 2019,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7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As of March 31, 2020 and September 30, 2019, we had cash and cash equivalents of $25.1 million and $59.5 million, respectively, available for investing and general corporate purposes. We believe our liquidity and capital resources are sufficient to take advantage of market opportunities.</w:t>
      </w:r>
    </w:p>
    <w:p>
      <w:pPr>
        <w:spacing w:after="0" w:line="187"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Our operating activities used cash of $218.6 million for the six months ended March 31, 2020, and our financing activities provided cash of $184.3 million for the same period. Our operating activities used cash primarily for our investment activities and our financing activities provided cash primarily from net borrowings under the Credit Facilities.</w:t>
      </w:r>
    </w:p>
    <w:p>
      <w:pPr>
        <w:spacing w:after="0" w:line="187"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operating activities used cash of $121.3 million for the six months ended March 31, 2019 and our financing activities provided cash of $132.0 million for the same period. Our operating activities provided cash from sales and repayments on our investments and our financing activities used cash primarily to pay distributions to stockholders and for net repayments under the Truist Credit Facility.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217"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2020, including borrowings under our various debt facilities and other contractual obligations,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BNP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245.0</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Truist Credit Facility</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390.5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SBA debentures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2024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spacing w:after="0"/>
              <w:rPr>
                <w:sz w:val="13"/>
                <w:szCs w:val="13"/>
                <w:color w:val="auto"/>
              </w:rPr>
            </w:pP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906.4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51.1</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855.2</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CCECFF"/>
            </w:tcBorders>
          </w:tcPr>
          <w:p>
            <w:pPr>
              <w:spacing w:after="0"/>
              <w:rPr>
                <w:sz w:val="14"/>
                <w:szCs w:val="14"/>
                <w:color w:val="auto"/>
              </w:rPr>
            </w:pPr>
          </w:p>
        </w:tc>
      </w:tr>
      <w:tr>
        <w:trPr>
          <w:trHeight w:val="155"/>
        </w:trPr>
        <w:tc>
          <w:tcPr>
            <w:tcW w:w="36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967.6</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58.8</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880.2</w:t>
            </w:r>
          </w:p>
        </w:tc>
        <w:tc>
          <w:tcPr>
            <w:tcW w:w="26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220" w:hanging="372"/>
        <w:spacing w:after="0" w:line="230" w:lineRule="auto"/>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2020, was 3.5%, exclusive of the fee on the undrawn commitment on the Credit Facilities, debt issuance costs on the 2024 Notes and upfront fees on SBA debentures.</w:t>
      </w:r>
    </w:p>
    <w:p>
      <w:pPr>
        <w:ind w:left="380" w:hanging="372"/>
        <w:spacing w:after="0"/>
        <w:tabs>
          <w:tab w:leader="none" w:pos="380" w:val="left"/>
        </w:tabs>
        <w:numPr>
          <w:ilvl w:val="0"/>
          <w:numId w:val="33"/>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right="40" w:firstLine="438"/>
        <w:spacing w:after="0" w:line="251"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2020,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90"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PennantPark Investment, through the Administrator, provides similar services to SBIC II under its administration agreement, which is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9"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1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9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97" w:lineRule="exact"/>
        <w:rPr>
          <w:sz w:val="20"/>
          <w:szCs w:val="20"/>
          <w:color w:val="auto"/>
        </w:rPr>
      </w:pPr>
    </w:p>
    <w:p>
      <w:pPr>
        <w:ind w:right="240" w:firstLine="438"/>
        <w:spacing w:after="0" w:line="231" w:lineRule="auto"/>
        <w:rPr>
          <w:sz w:val="20"/>
          <w:szCs w:val="20"/>
          <w:color w:val="auto"/>
        </w:rPr>
      </w:pPr>
      <w:r>
        <w:rPr>
          <w:rFonts w:ascii="Arial" w:cs="Arial" w:eastAsia="Arial" w:hAnsi="Arial"/>
          <w:sz w:val="14"/>
          <w:szCs w:val="14"/>
          <w:color w:val="auto"/>
        </w:rPr>
        <w:t>During the three and six months ended March 31, 2020, we declared distributions of $0.18 and $0.36 per share, for total distributions of $12.1 million and $24.1 million, respectively. For the same periods in the prior year, we declared distributions of $0.18 and $0.36 per share, for total distributions of $12.1 million and $24.3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17" w:lineRule="exact"/>
        <w:rPr>
          <w:sz w:val="20"/>
          <w:szCs w:val="20"/>
          <w:color w:val="auto"/>
        </w:rPr>
      </w:pPr>
    </w:p>
    <w:p>
      <w:pPr>
        <w:ind w:right="62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stockholders specifically “opt out” of the dividend reinvestment plan so as to receive cash distributions.</w:t>
      </w:r>
    </w:p>
    <w:p>
      <w:pPr>
        <w:spacing w:after="0" w:line="16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217"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Subsequent to March 31, 2020, the market disruptions caused by the COVID-19 pandemic have continued to adversely affect the business operations of some, if not all, of our portfolio companies and have adversely affected, and may continue to adversely affect, our operations and the operations of our Investment Adviser. While we are closely monitoring this situation, we cannot predict the impact of COVID-19 on our future financial condition, results of operations or cash flows with any level of certainty. That said, we expect that the COVID-19 pandemic will have a material adverse impact on our future net investment income, the fair value of our portfolio investments, and the results of operations and financial condition of our portfolio companies. For more information, see “COVID-19 Developments” above.</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1"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2020, our debt portfolio consisted of 94%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9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888</w:t>
            </w:r>
          </w:p>
        </w:tc>
        <w:tc>
          <w:tcPr>
            <w:tcW w:w="3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0.01</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4,235</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8,643</w:t>
            </w:r>
          </w:p>
        </w:tc>
        <w:tc>
          <w:tcPr>
            <w:tcW w:w="3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13,050</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17,458</w:t>
            </w:r>
          </w:p>
        </w:tc>
        <w:tc>
          <w:tcPr>
            <w:tcW w:w="8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4"/>
                <w:szCs w:val="24"/>
                <w:color w:val="auto"/>
              </w:rPr>
            </w:pPr>
          </w:p>
        </w:tc>
        <w:tc>
          <w:tcPr>
            <w:tcW w:w="3040" w:type="dxa"/>
            <w:vAlign w:val="bottom"/>
            <w:gridSpan w:val="2"/>
          </w:tcPr>
          <w:p>
            <w:pPr>
              <w:jc w:val="right"/>
              <w:ind w:right="868"/>
              <w:spacing w:after="0"/>
              <w:rPr>
                <w:sz w:val="20"/>
                <w:szCs w:val="20"/>
                <w:color w:val="auto"/>
              </w:rPr>
            </w:pPr>
            <w:r>
              <w:rPr>
                <w:rFonts w:ascii="Arial" w:cs="Arial" w:eastAsia="Arial" w:hAnsi="Arial"/>
                <w:sz w:val="14"/>
                <w:szCs w:val="14"/>
                <w:color w:val="auto"/>
              </w:rPr>
              <w:t>35</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5" w:name="page36"/>
    <w:bookmarkEnd w:id="35"/>
    <w:p>
      <w:pPr>
        <w:ind w:right="3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9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9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Facilities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221"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2"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PART II – OTHER INFORMATION</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22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21"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21, 2019 and amended on March 30, 2020,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98"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8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9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4"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are partially dependent on SBIC II for cash distributions to enable us to meet the distribution requirements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17"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indebtedness outstanding pursuant to our Credit Facilities, 2024 Notes and SBA debentures and expect in the future to borrow additional amounts under our Credit Facilities or other debt securities, subject to market availability, and may increase the size of our Credit Facilities.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Credit Facilities.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Facilities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98" w:lineRule="exact"/>
        <w:rPr>
          <w:sz w:val="20"/>
          <w:szCs w:val="20"/>
          <w:color w:val="auto"/>
        </w:rPr>
      </w:pPr>
    </w:p>
    <w:p>
      <w:pPr>
        <w:jc w:val="both"/>
        <w:ind w:right="120" w:firstLine="438"/>
        <w:spacing w:after="0" w:line="233"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98"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due to future recessions, political instability, geopolitical turmoil and foreign hostilities, and disease pandemics and other serious health events.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ind w:right="20" w:firstLine="438"/>
        <w:spacing w:after="0" w:line="243"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(commonly known as “Brexit”) could lead to further market disruptions and currency volatility, potentially weakening consumer, corporate and financial confidence and resulting in lower economic growth for companies that rely significantly on Europe for their business activities and revenues. Furthermore,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98" w:lineRule="exact"/>
        <w:rPr>
          <w:sz w:val="20"/>
          <w:szCs w:val="20"/>
          <w:color w:val="auto"/>
        </w:rPr>
      </w:pPr>
    </w:p>
    <w:p>
      <w:pPr>
        <w:ind w:right="160" w:firstLine="438"/>
        <w:spacing w:after="0" w:line="244"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98"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are rapidly introducing creative proposals to address the needs of businesses, such actions may not adequately address the problems facing our portfolio companies.</w:t>
      </w:r>
    </w:p>
    <w:p>
      <w:pPr>
        <w:spacing w:after="0" w:line="19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outbreak is likely to have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 These future events, while unpredictable, will likely adversely affect our operating results and the operating results of our portfolio companies.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217"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U.S. capital markets have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 fair values of our debt and equity investments.</w:t>
      </w:r>
    </w:p>
    <w:p>
      <w:pPr>
        <w:spacing w:after="0" w:line="10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six months ended March 31, 2020.</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221" w:lineRule="exact"/>
        <w:rPr>
          <w:sz w:val="20"/>
          <w:szCs w:val="20"/>
          <w:color w:val="auto"/>
        </w:rPr>
      </w:pPr>
    </w:p>
    <w:p>
      <w:pPr>
        <w:ind w:right="240" w:firstLine="438"/>
        <w:spacing w:after="0" w:line="335" w:lineRule="auto"/>
        <w:rPr>
          <w:sz w:val="20"/>
          <w:szCs w:val="20"/>
          <w:color w:val="auto"/>
        </w:rPr>
      </w:pPr>
      <w:r>
        <w:rPr>
          <w:rFonts w:ascii="Arial" w:cs="Arial" w:eastAsia="Arial" w:hAnsi="Arial"/>
          <w:sz w:val="12"/>
          <w:szCs w:val="12"/>
          <w:color w:val="auto"/>
        </w:rPr>
        <w:t>On May 8, 2020, our board of directors adopted the Second Amended and Restated Bylaws of the Company (the “Second A&amp;R Bylaws"), which became effective immediately. The Second A&amp;R Bylaws, among other things, amended (i) the exclusive forum provision in Article XV and (ii) the voting standard for the election of directors in Article II, Section 7, as described below.</w:t>
      </w:r>
    </w:p>
    <w:p>
      <w:pPr>
        <w:spacing w:after="0" w:line="141"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Second A&amp;R Bylaws amended Article XV to include Internal Corporate Claims (a new term resulting from a change in Maryland law that is defined in Section 1-101 of the Maryland General Corporation Law (the “MGCL”)) as a type of litigation subject to the Company’s exclusive forum provision. The revised Article XV also clarifies that the exclusive forum provision does not cover actions arising under federal securities laws and provides that none of the actions, claims or proceedings explicitly covered in the exclusive forum provision may be brought in any court sitting outside the State of Maryland without the Company’s written consent.</w:t>
      </w:r>
    </w:p>
    <w:p>
      <w:pPr>
        <w:spacing w:after="0" w:line="198"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The Second A&amp;R Bylaws also amended Article II, Section 7 to change the voting standards for the election of directors from an affirmative vote of the holders of a majority of the shares of the Company’s stock outstanding to an affirmative vote of a majority of the total votes cast for and against each director nominee in an uncontested election. In addition, the amendment provides that directors shall be elected by a plurality of votes cast at a meeting of stockholders in a contested election where the number of</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33" w:lineRule="auto"/>
        <w:rPr>
          <w:sz w:val="20"/>
          <w:szCs w:val="20"/>
          <w:color w:val="auto"/>
        </w:rPr>
      </w:pPr>
      <w:r>
        <w:rPr>
          <w:rFonts w:ascii="Arial" w:cs="Arial" w:eastAsia="Arial" w:hAnsi="Arial"/>
          <w:sz w:val="14"/>
          <w:szCs w:val="14"/>
          <w:color w:val="auto"/>
        </w:rPr>
        <w:t>nominees is greater than the number of directors to be elected at the meeting. Under the revised voting standard, a nominee shall be elected to the Company’s board of directors by a majority of the votes cast with respect to such nominee, which means that the number of votes cast for a director nominee must exceed the number of votes cast against the nominee; provided that if the election is contested, directors shall be elected by a plurality of the votes cast. The amendment further provides that voting on any matter, including the election of directors, may be conducted orally unless the chairman of the meeting orders that voting be by ballot or otherwise.</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The foregoing description of the Second A&amp;R Bylaws does not purport to be complete and is qualified in its entirety by reference to the full text of the Second A&amp;R Bylaws, which is attached as Exhibit 3.2 to this Form 10-Q and incorporated herein by reference.</w:t>
      </w: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39" w:name="page40"/>
    <w:bookmarkEnd w:id="39"/>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17"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67">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EE"/>
        </w:rPr>
      </w:pPr>
      <w:hyperlink r:id="rId67">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80"/>
        <w:spacing w:after="0"/>
        <w:tabs>
          <w:tab w:leader="none" w:pos="480" w:val="left"/>
        </w:tabs>
        <w:rPr>
          <w:rFonts w:ascii="Arial" w:cs="Arial" w:eastAsia="Arial" w:hAnsi="Arial"/>
          <w:sz w:val="12"/>
          <w:szCs w:val="12"/>
          <w:u w:val="single" w:color="auto"/>
          <w:color w:val="0000EE"/>
        </w:rPr>
      </w:pPr>
      <w:r>
        <w:rPr>
          <w:rFonts w:ascii="Arial" w:cs="Arial" w:eastAsia="Arial" w:hAnsi="Arial"/>
          <w:sz w:val="14"/>
          <w:szCs w:val="14"/>
          <w:color w:val="auto"/>
        </w:rPr>
        <w:t>3.2*</w:t>
      </w:r>
      <w:r>
        <w:rPr>
          <w:sz w:val="20"/>
          <w:szCs w:val="20"/>
          <w:color w:val="auto"/>
        </w:rPr>
        <w:tab/>
      </w:r>
      <w:hyperlink w:anchor="page42">
        <w:r>
          <w:rPr>
            <w:rFonts w:ascii="Arial" w:cs="Arial" w:eastAsia="Arial" w:hAnsi="Arial"/>
            <w:sz w:val="12"/>
            <w:szCs w:val="12"/>
            <w:u w:val="single" w:color="auto"/>
            <w:color w:val="0000EE"/>
          </w:rPr>
          <w:t>Second Amended and Restated Bylaws of the Registrant.</w:t>
        </w:r>
      </w:hyperlink>
    </w:p>
    <w:p>
      <w:pPr>
        <w:spacing w:after="0" w:line="136" w:lineRule="exact"/>
        <w:rPr>
          <w:sz w:val="20"/>
          <w:szCs w:val="20"/>
          <w:color w:val="auto"/>
        </w:rPr>
      </w:pPr>
    </w:p>
    <w:p>
      <w:pPr>
        <w:ind w:left="80"/>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68">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59">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60">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61">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62">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48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69">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244"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5"/>
          <w:szCs w:val="15"/>
          <w:color w:val="auto"/>
        </w:rPr>
        <w:t>May 11, 2020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PENNANTPARK INVESTMENT CORPORATION</w:t>
      </w:r>
    </w:p>
    <w:p>
      <w:pPr>
        <w:spacing w:after="0" w:line="244" w:lineRule="exact"/>
        <w:rPr>
          <w:sz w:val="20"/>
          <w:szCs w:val="20"/>
          <w:color w:val="auto"/>
        </w:rPr>
      </w:pPr>
    </w:p>
    <w:p>
      <w:pPr>
        <w:spacing w:after="0"/>
        <w:tabs>
          <w:tab w:leader="none" w:pos="24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right="-619"/>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19"/>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19"/>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2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3810</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4920" w:space="720"/>
            <w:col w:w="5300"/>
          </w:cols>
          <w:pgMar w:left="320" w:top="333" w:right="639" w:bottom="1440" w:gutter="0" w:footer="0" w:header="0"/>
          <w:type w:val="continuous"/>
        </w:sect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940"/>
          </w:cols>
          <w:pgMar w:left="320" w:top="333" w:right="6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BYLAWS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59" w:lineRule="auto"/>
        <w:tabs>
          <w:tab w:leader="none" w:pos="2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Chairman of the Board, the president or the Board of Directors may call a special meeting of the stockholders. Subject to subsection (b) 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6" w:lineRule="exact"/>
        <w:rPr>
          <w:rFonts w:ascii="Arial" w:cs="Arial" w:eastAsia="Arial" w:hAnsi="Arial"/>
          <w:sz w:val="18"/>
          <w:szCs w:val="18"/>
          <w:color w:val="auto"/>
        </w:rPr>
      </w:pPr>
    </w:p>
    <w:p>
      <w:pPr>
        <w:ind w:right="20" w:firstLine="8"/>
        <w:spacing w:after="0" w:line="268"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Stockholder Requested Special Meetings.</w:t>
      </w:r>
      <w:r>
        <w:rPr>
          <w:rFonts w:ascii="Arial" w:cs="Arial" w:eastAsia="Arial" w:hAnsi="Arial"/>
          <w:sz w:val="17"/>
          <w:szCs w:val="17"/>
          <w:color w:val="auto"/>
        </w:rPr>
        <w:t xml:space="preserve">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8" w:right="80" w:firstLine="8"/>
        <w:spacing w:after="0" w:line="287" w:lineRule="auto"/>
        <w:tabs>
          <w:tab w:leader="none" w:pos="2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71" w:lineRule="exact"/>
        <w:rPr>
          <w:rFonts w:ascii="Arial" w:cs="Arial" w:eastAsia="Arial" w:hAnsi="Arial"/>
          <w:sz w:val="16"/>
          <w:szCs w:val="16"/>
          <w:color w:val="auto"/>
        </w:rPr>
      </w:pPr>
    </w:p>
    <w:p>
      <w:pPr>
        <w:jc w:val="both"/>
        <w:ind w:left="-8" w:right="160" w:firstLine="8"/>
        <w:spacing w:after="0" w:line="259"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left="-8" w:firstLine="8"/>
        <w:spacing w:after="0" w:line="286" w:lineRule="auto"/>
        <w:tabs>
          <w:tab w:leader="none" w:pos="2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67" w:lineRule="exact"/>
        <w:rPr>
          <w:rFonts w:ascii="Arial" w:cs="Arial" w:eastAsia="Arial" w:hAnsi="Arial"/>
          <w:sz w:val="16"/>
          <w:szCs w:val="16"/>
          <w:color w:val="auto"/>
        </w:rPr>
      </w:pPr>
    </w:p>
    <w:p>
      <w:pPr>
        <w:ind w:left="-8" w:firstLine="8"/>
        <w:spacing w:after="0" w:line="269" w:lineRule="auto"/>
        <w:tabs>
          <w:tab w:leader="none" w:pos="2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43" w:name="page44"/>
    <w:bookmarkEnd w:id="43"/>
    <w:p>
      <w:pPr>
        <w:ind w:right="140" w:firstLine="8"/>
        <w:spacing w:after="0" w:line="290"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65" w:lineRule="exact"/>
        <w:rPr>
          <w:rFonts w:ascii="Arial" w:cs="Arial" w:eastAsia="Arial" w:hAnsi="Arial"/>
          <w:sz w:val="16"/>
          <w:szCs w:val="16"/>
          <w:color w:val="auto"/>
        </w:rPr>
      </w:pPr>
    </w:p>
    <w:p>
      <w:pPr>
        <w:ind w:right="3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line="254" w:lineRule="auto"/>
        <w:rPr>
          <w:sz w:val="20"/>
          <w:szCs w:val="20"/>
          <w:color w:val="auto"/>
        </w:rPr>
      </w:pPr>
      <w:r>
        <w:rPr>
          <w:rFonts w:ascii="Arial" w:cs="Arial" w:eastAsia="Arial" w:hAnsi="Arial"/>
          <w:sz w:val="18"/>
          <w:szCs w:val="18"/>
          <w:color w:val="auto"/>
        </w:rPr>
        <w:t>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9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6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A nominee for director shall be elected as a director only if such nominee receives the affirmative vote of a majority of the total votes cast for and against such nominee at a meeting of stockholders duly called and at which a quorum is present. However, directors shall be elected by a plurality of votes cast at a meeting of stockholders duly called and at which a quorum is present for which (i) the secretary of the Corporation receives notice that a stockholder has nominated an individual for election as a director in compliance with the requirements of advance notice of stockholder nominees for director set forth in Article II, Section 11 of these Bylaws, and (ii) such nomination has not been withdrawn by such stockholder on or before the close of business on the tenth day before the date of filing of the definitive proxy statement of the Corporation with the Securities and Exchange Commission (the “Commission”), and, as a result of which, the number of nominees is greater than the number of directors to be elected at the meeting. Each share entitles the holder thereof to vote for as many individuals as there are directors to be elected and for whose election the holder is entitled to vote.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by statute or by the charter of the Corporation, each outstanding share of stock, regardless of class, entitles the holder thereof to cast one vote on each matter submitted to a vote at a meeting of stockholders. Voting on any question or in any election may be </w:t>
      </w:r>
      <w:r>
        <w:rPr>
          <w:rFonts w:ascii="Arial" w:cs="Arial" w:eastAsia="Arial" w:hAnsi="Arial"/>
          <w:sz w:val="17"/>
          <w:szCs w:val="17"/>
          <w:i w:val="1"/>
          <w:iCs w:val="1"/>
          <w:color w:val="auto"/>
        </w:rPr>
        <w:t>viva voce</w:t>
      </w:r>
      <w:r>
        <w:rPr>
          <w:rFonts w:ascii="Arial" w:cs="Arial" w:eastAsia="Arial" w:hAnsi="Arial"/>
          <w:sz w:val="17"/>
          <w:szCs w:val="17"/>
          <w:color w:val="auto"/>
        </w:rPr>
        <w:t xml:space="preserve"> unless the chairman of the meeting shall order that voting be by ballot or otherwise.</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VOTING OF STOCK BY CERTAIN HOLDERS</w:t>
      </w:r>
      <w:r>
        <w:rPr>
          <w:rFonts w:ascii="Arial" w:cs="Arial" w:eastAsia="Arial" w:hAnsi="Arial"/>
          <w:sz w:val="16"/>
          <w:szCs w:val="16"/>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0"/>
        <w:spacing w:after="0" w:line="263" w:lineRule="auto"/>
        <w:rPr>
          <w:sz w:val="20"/>
          <w:szCs w:val="20"/>
          <w:color w:val="auto"/>
        </w:rPr>
      </w:pPr>
      <w:r>
        <w:rPr>
          <w:rFonts w:ascii="Arial" w:cs="Arial" w:eastAsia="Arial" w:hAnsi="Arial"/>
          <w:sz w:val="18"/>
          <w:szCs w:val="18"/>
          <w:color w:val="auto"/>
        </w:rPr>
        <w:t>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ADVANCE NOTICE OF STOCKHOLDER NOMINEES FOR DIRECTOR AND OTHER STOCKHOLDER PROPOSALS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57"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188" w:lineRule="exact"/>
        <w:rPr>
          <w:sz w:val="20"/>
          <w:szCs w:val="20"/>
          <w:color w:val="auto"/>
        </w:rPr>
      </w:pPr>
    </w:p>
    <w:p>
      <w:pPr>
        <w:ind w:right="80" w:firstLine="8"/>
        <w:spacing w:after="0" w:line="291"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3"/>
          <w:szCs w:val="13"/>
          <w:color w:val="auto"/>
        </w:rPr>
        <w:t>th</w:t>
      </w:r>
      <w:r>
        <w:rPr>
          <w:rFonts w:ascii="Arial" w:cs="Arial" w:eastAsia="Arial" w:hAnsi="Arial"/>
          <w:sz w:val="16"/>
          <w:szCs w:val="16"/>
          <w:color w:val="auto"/>
        </w:rPr>
        <w:t xml:space="preserve"> day nor later than 5:00 p.m., Eastern Time,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180"/>
        <w:spacing w:after="0" w:line="259" w:lineRule="auto"/>
        <w:rPr>
          <w:sz w:val="20"/>
          <w:szCs w:val="20"/>
          <w:color w:val="auto"/>
        </w:rPr>
      </w:pPr>
      <w:r>
        <w:rPr>
          <w:rFonts w:ascii="Arial" w:cs="Arial" w:eastAsia="Arial" w:hAnsi="Arial"/>
          <w:sz w:val="18"/>
          <w:szCs w:val="18"/>
          <w:color w:val="auto"/>
        </w:rPr>
        <w:t>timely, such notice must be so delivered not earlier than the 150</w:t>
      </w:r>
      <w:r>
        <w:rPr>
          <w:rFonts w:ascii="Arial" w:cs="Arial" w:eastAsia="Arial" w:hAnsi="Arial"/>
          <w:sz w:val="15"/>
          <w:szCs w:val="15"/>
          <w:color w:val="auto"/>
        </w:rPr>
        <w:t>th</w:t>
      </w:r>
      <w:r>
        <w:rPr>
          <w:rFonts w:ascii="Arial" w:cs="Arial" w:eastAsia="Arial" w:hAnsi="Arial"/>
          <w:sz w:val="18"/>
          <w:szCs w:val="18"/>
          <w:color w:val="auto"/>
        </w:rPr>
        <w:t xml:space="preserve"> day prior to the date of such annual meeting and not later than 5:00 p.m., Eastern Time, on the later of the 120</w:t>
      </w:r>
      <w:r>
        <w:rPr>
          <w:rFonts w:ascii="Arial" w:cs="Arial" w:eastAsia="Arial" w:hAnsi="Arial"/>
          <w:sz w:val="15"/>
          <w:szCs w:val="15"/>
          <w:color w:val="auto"/>
        </w:rPr>
        <w:t>th</w:t>
      </w:r>
      <w:r>
        <w:rPr>
          <w:rFonts w:ascii="Arial" w:cs="Arial" w:eastAsia="Arial" w:hAnsi="Arial"/>
          <w:sz w:val="18"/>
          <w:szCs w:val="18"/>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 Such stockholder’s notice shall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as to each individual whom the stockholder proposes to nominate for election or reelection as a director (each, a “Proposed Nominee”),</w:t>
      </w:r>
    </w:p>
    <w:p>
      <w:pPr>
        <w:spacing w:after="0" w:line="225" w:lineRule="exact"/>
        <w:rPr>
          <w:sz w:val="20"/>
          <w:szCs w:val="20"/>
          <w:color w:val="auto"/>
        </w:rPr>
      </w:pPr>
    </w:p>
    <w:p>
      <w:pPr>
        <w:ind w:right="20" w:firstLine="8"/>
        <w:spacing w:after="0" w:line="286" w:lineRule="auto"/>
        <w:tabs>
          <w:tab w:leader="none" w:pos="2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65" w:lineRule="exact"/>
        <w:rPr>
          <w:rFonts w:ascii="Arial" w:cs="Arial" w:eastAsia="Arial" w:hAnsi="Arial"/>
          <w:sz w:val="17"/>
          <w:szCs w:val="17"/>
          <w:color w:val="auto"/>
        </w:rPr>
      </w:pPr>
    </w:p>
    <w:p>
      <w:pPr>
        <w:jc w:val="center"/>
        <w:ind w:right="80" w:firstLine="8"/>
        <w:spacing w:after="0" w:line="311" w:lineRule="auto"/>
        <w:tabs>
          <w:tab w:leader="none" w:pos="2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49" w:lineRule="exact"/>
        <w:rPr>
          <w:sz w:val="20"/>
          <w:szCs w:val="20"/>
          <w:color w:val="auto"/>
        </w:rPr>
      </w:pPr>
    </w:p>
    <w:p>
      <w:pPr>
        <w:ind w:right="300" w:firstLine="8"/>
        <w:spacing w:after="0" w:line="311"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48" w:lineRule="exact"/>
        <w:rPr>
          <w:rFonts w:ascii="Arial" w:cs="Arial" w:eastAsia="Arial" w:hAnsi="Arial"/>
          <w:sz w:val="16"/>
          <w:szCs w:val="16"/>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sz w:val="20"/>
          <w:szCs w:val="20"/>
          <w:color w:val="auto"/>
        </w:rPr>
      </w:pPr>
    </w:p>
    <w:p>
      <w:pPr>
        <w:jc w:val="both"/>
        <w:ind w:right="20" w:firstLine="8"/>
        <w:spacing w:after="0" w:line="279" w:lineRule="auto"/>
        <w:tabs>
          <w:tab w:leader="none" w:pos="2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71" w:lineRule="exact"/>
        <w:rPr>
          <w:rFonts w:ascii="Arial" w:cs="Arial" w:eastAsia="Arial" w:hAnsi="Arial"/>
          <w:sz w:val="17"/>
          <w:szCs w:val="17"/>
          <w:color w:val="auto"/>
        </w:rPr>
      </w:pPr>
    </w:p>
    <w:p>
      <w:pPr>
        <w:ind w:right="520" w:firstLine="8"/>
        <w:spacing w:after="0" w:line="277" w:lineRule="auto"/>
        <w:tabs>
          <w:tab w:leader="none" w:pos="2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firstLine="8"/>
        <w:spacing w:after="0" w:line="293" w:lineRule="auto"/>
        <w:tabs>
          <w:tab w:leader="none" w:pos="2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w:t>
      </w:r>
      <w:r>
        <w:rPr>
          <w:rFonts w:ascii="Arial" w:cs="Arial" w:eastAsia="Arial" w:hAnsi="Arial"/>
          <w:sz w:val="16"/>
          <w:szCs w:val="16"/>
          <w:b w:val="1"/>
          <w:bCs w:val="1"/>
          <w:color w:val="auto"/>
        </w:rPr>
        <w:t>;</w:t>
      </w:r>
      <w:r>
        <w:rPr>
          <w:rFonts w:ascii="Arial" w:cs="Arial" w:eastAsia="Arial" w:hAnsi="Arial"/>
          <w:sz w:val="16"/>
          <w:szCs w:val="16"/>
          <w:color w:val="auto"/>
        </w:rPr>
        <w:t xml:space="preserve"> and</w:t>
      </w:r>
    </w:p>
    <w:p>
      <w:pPr>
        <w:spacing w:after="0" w:line="164" w:lineRule="exact"/>
        <w:rPr>
          <w:rFonts w:ascii="Arial" w:cs="Arial" w:eastAsia="Arial" w:hAnsi="Arial"/>
          <w:sz w:val="16"/>
          <w:szCs w:val="16"/>
          <w:color w:val="auto"/>
        </w:rPr>
      </w:pPr>
    </w:p>
    <w:p>
      <w:pPr>
        <w:ind w:right="140" w:firstLine="8"/>
        <w:spacing w:after="0" w:line="301" w:lineRule="auto"/>
        <w:tabs>
          <w:tab w:leader="none" w:pos="2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all other holders of the same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8" w:right="560" w:firstLine="8"/>
        <w:spacing w:after="0" w:line="277" w:lineRule="auto"/>
        <w:tabs>
          <w:tab w:leader="none" w:pos="2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to the stockholder giving the notice, any Stockholder Associated Person with an interest or ownership referred to in clauses (ii) or (iii) of this paragraph (3) of this Section 11(a) and any Proposed Nominee,</w:t>
      </w:r>
    </w:p>
    <w:p>
      <w:pPr>
        <w:spacing w:after="0" w:line="170" w:lineRule="exact"/>
        <w:rPr>
          <w:sz w:val="20"/>
          <w:szCs w:val="20"/>
          <w:color w:val="auto"/>
        </w:rPr>
      </w:pPr>
    </w:p>
    <w:p>
      <w:pPr>
        <w:ind w:left="-8" w:right="120" w:firstLine="8"/>
        <w:spacing w:after="0" w:line="277" w:lineRule="auto"/>
        <w:tabs>
          <w:tab w:leader="none" w:pos="2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ind w:left="-8" w:right="220" w:firstLine="8"/>
        <w:spacing w:after="0" w:line="263" w:lineRule="auto"/>
        <w:tabs>
          <w:tab w:leader="none" w:pos="2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4" w:lineRule="exact"/>
        <w:rPr>
          <w:sz w:val="20"/>
          <w:szCs w:val="20"/>
          <w:color w:val="auto"/>
        </w:rPr>
      </w:pPr>
    </w:p>
    <w:p>
      <w:pPr>
        <w:ind w:left="-8" w:right="180" w:firstLine="8"/>
        <w:spacing w:after="0" w:line="277" w:lineRule="auto"/>
        <w:tabs>
          <w:tab w:leader="none" w:pos="2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70" w:lineRule="exact"/>
        <w:rPr>
          <w:rFonts w:ascii="Arial" w:cs="Arial" w:eastAsia="Arial" w:hAnsi="Arial"/>
          <w:sz w:val="18"/>
          <w:szCs w:val="18"/>
          <w:color w:val="auto"/>
        </w:rPr>
      </w:pPr>
    </w:p>
    <w:p>
      <w:pPr>
        <w:ind w:left="-8" w:right="620" w:firstLine="8"/>
        <w:spacing w:after="0" w:line="277" w:lineRule="auto"/>
        <w:tabs>
          <w:tab w:leader="none" w:pos="2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sz w:val="20"/>
          <w:szCs w:val="20"/>
          <w:color w:val="auto"/>
        </w:rPr>
      </w:pPr>
    </w:p>
    <w:p>
      <w:pPr>
        <w:ind w:left="-8" w:firstLine="8"/>
        <w:spacing w:after="0" w:line="289" w:lineRule="auto"/>
        <w:tabs>
          <w:tab w:leader="none" w:pos="2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 (i) 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pacing w:after="0" w:line="166" w:lineRule="exact"/>
        <w:rPr>
          <w:rFonts w:ascii="Arial" w:cs="Arial" w:eastAsia="Arial" w:hAnsi="Arial"/>
          <w:sz w:val="16"/>
          <w:szCs w:val="16"/>
          <w:color w:val="auto"/>
        </w:rPr>
      </w:pPr>
    </w:p>
    <w:p>
      <w:pPr>
        <w:ind w:left="-8" w:right="60" w:firstLine="8"/>
        <w:spacing w:after="0" w:line="255" w:lineRule="auto"/>
        <w:tabs>
          <w:tab w:leader="none" w:pos="2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8" w:right="80" w:firstLine="8"/>
        <w:spacing w:after="0" w:line="259" w:lineRule="auto"/>
        <w:tabs>
          <w:tab w:leader="none" w:pos="2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7" w:lineRule="exact"/>
        <w:rPr>
          <w:sz w:val="20"/>
          <w:szCs w:val="20"/>
          <w:color w:val="auto"/>
        </w:rPr>
      </w:pPr>
    </w:p>
    <w:p>
      <w:pPr>
        <w:ind w:left="-8" w:right="20" w:firstLine="8"/>
        <w:spacing w:after="0" w:line="271" w:lineRule="auto"/>
        <w:tabs>
          <w:tab w:leader="none" w:pos="24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director as specified in the Corporation’s notice of meeting, if the stockholder’s notice, containing the information required by paragraphs (a)(3) and (4) of this Section 11, is delivered to the secretary at the principal executive office of the Corporation not earlier than the 120th day prior to such special meeting and not later than 5:00 p.m., Eastern Time</w:t>
      </w:r>
      <w:r>
        <w:rPr>
          <w:rFonts w:ascii="Arial" w:cs="Arial" w:eastAsia="Arial" w:hAnsi="Arial"/>
          <w:sz w:val="18"/>
          <w:szCs w:val="18"/>
          <w:b w:val="1"/>
          <w:bCs w:val="1"/>
          <w:color w:val="auto"/>
        </w:rPr>
        <w:t>,</w:t>
      </w:r>
      <w:r>
        <w:rPr>
          <w:rFonts w:ascii="Arial" w:cs="Arial" w:eastAsia="Arial" w:hAnsi="Arial"/>
          <w:sz w:val="18"/>
          <w:szCs w:val="18"/>
          <w:color w:val="auto"/>
        </w:rPr>
        <w:t xml:space="preserve"> on the later of the 90th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92" w:lineRule="exact"/>
        <w:rPr>
          <w:sz w:val="20"/>
          <w:szCs w:val="20"/>
          <w:color w:val="auto"/>
        </w:rPr>
      </w:pPr>
    </w:p>
    <w:p>
      <w:pPr>
        <w:ind w:right="100" w:firstLine="8"/>
        <w:spacing w:after="0" w:line="253" w:lineRule="auto"/>
        <w:tabs>
          <w:tab w:leader="none" w:pos="2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92"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Only such individuals who are nominated in accordance with this Section 11 shall be eligible for election by stockholders as directors, and only such</w:t>
      </w:r>
    </w:p>
    <w:p>
      <w:pPr>
        <w:spacing w:after="0" w:line="46"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9" w:lineRule="exact"/>
        <w:rPr>
          <w:rFonts w:ascii="Arial" w:cs="Arial" w:eastAsia="Arial" w:hAnsi="Arial"/>
          <w:sz w:val="16"/>
          <w:szCs w:val="16"/>
          <w:color w:val="auto"/>
        </w:rPr>
      </w:pPr>
    </w:p>
    <w:p>
      <w:pPr>
        <w:ind w:right="140" w:firstLine="8"/>
        <w:spacing w:after="0" w:line="301"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purposes of this Section 11, “the date of the proxy statement” shall have the same meaning as “the date of the company’s proxy statement released to shareholders” as used in Rule 14a-8(e) promulgated under the Exchange Act, as interpreted by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57" w:lineRule="exact"/>
        <w:rPr>
          <w:rFonts w:ascii="Arial" w:cs="Arial" w:eastAsia="Arial" w:hAnsi="Arial"/>
          <w:sz w:val="16"/>
          <w:szCs w:val="16"/>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 and of the</w:t>
      </w:r>
    </w:p>
    <w:p>
      <w:pPr>
        <w:spacing w:after="0" w:line="46" w:lineRule="exact"/>
        <w:rPr>
          <w:rFonts w:ascii="Arial" w:cs="Arial" w:eastAsia="Arial" w:hAnsi="Arial"/>
          <w:sz w:val="16"/>
          <w:szCs w:val="16"/>
          <w:color w:val="auto"/>
        </w:rPr>
      </w:pPr>
    </w:p>
    <w:p>
      <w:pPr>
        <w:ind w:right="40"/>
        <w:spacing w:after="0" w:line="292" w:lineRule="auto"/>
        <w:rPr>
          <w:rFonts w:ascii="Arial" w:cs="Arial" w:eastAsia="Arial" w:hAnsi="Arial"/>
          <w:sz w:val="16"/>
          <w:szCs w:val="16"/>
          <w:color w:val="auto"/>
        </w:rPr>
      </w:pPr>
      <w:r>
        <w:rPr>
          <w:rFonts w:ascii="Arial" w:cs="Arial" w:eastAsia="Arial" w:hAnsi="Arial"/>
          <w:sz w:val="16"/>
          <w:szCs w:val="16"/>
          <w:color w:val="auto"/>
        </w:rPr>
        <w:t>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 or the Investment Company Act.</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CONTROL SHARE ACQUISITION ACT</w:t>
      </w:r>
      <w:r>
        <w:rPr>
          <w:rFonts w:ascii="Arial" w:cs="Arial" w:eastAsia="Arial" w:hAnsi="Arial"/>
          <w:sz w:val="17"/>
          <w:szCs w:val="17"/>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Notwithstanding the forgoing, the Company must consult with the SEC prior to applying the MGCL provisions referenced in this section.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its Board of Directors.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RESIGNATION</w:t>
      </w:r>
      <w:r>
        <w:rPr>
          <w:rFonts w:ascii="Arial" w:cs="Arial" w:eastAsia="Arial" w:hAnsi="Arial"/>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p>
      <w:pPr>
        <w:ind w:right="26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of the Corporation.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 of the Corporation.</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secretary or, in his or her absence, an assistant secretary of the Corporation, or in the absence of the secretary and all assistant secretaries, a person appointed by the Chairman, shall act as secretary of the meeting.</w:t>
      </w:r>
    </w:p>
    <w:p>
      <w:pPr>
        <w:spacing w:after="0" w:line="18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line="29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PROVISIONS</w:t>
      </w:r>
      <w:r>
        <w:rPr>
          <w:rFonts w:ascii="Arial" w:cs="Arial" w:eastAsia="Arial" w:hAnsi="Arial"/>
          <w:sz w:val="18"/>
          <w:szCs w:val="18"/>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line="272" w:lineRule="auto"/>
        <w:rPr>
          <w:sz w:val="20"/>
          <w:szCs w:val="20"/>
          <w:color w:val="auto"/>
        </w:rPr>
      </w:pPr>
      <w:r>
        <w:rPr>
          <w:rFonts w:ascii="Arial" w:cs="Arial" w:eastAsia="Arial" w:hAnsi="Arial"/>
          <w:sz w:val="17"/>
          <w:szCs w:val="17"/>
          <w:color w:val="auto"/>
        </w:rPr>
        <w:t>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40"/>
        <w:spacing w:after="0" w:line="29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REQUIRED INFORMATION</w:t>
      </w:r>
      <w:r>
        <w:rPr>
          <w:rFonts w:ascii="Arial" w:cs="Arial" w:eastAsia="Arial" w:hAnsi="Arial"/>
          <w:sz w:val="17"/>
          <w:szCs w:val="17"/>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FIXING OF RECORD DATE</w:t>
      </w:r>
      <w:r>
        <w:rPr>
          <w:rFonts w:ascii="Arial" w:cs="Arial" w:eastAsia="Arial" w:hAnsi="Arial"/>
          <w:sz w:val="17"/>
          <w:szCs w:val="17"/>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120"/>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FRACTIONAL STOCK; ISSUANCE OF UNITS</w:t>
      </w:r>
      <w:r>
        <w:rPr>
          <w:rFonts w:ascii="Arial" w:cs="Arial" w:eastAsia="Arial" w:hAnsi="Arial"/>
          <w:sz w:val="17"/>
          <w:szCs w:val="17"/>
          <w:color w:val="auto"/>
        </w:rPr>
        <w:t>. The Board of Directors may issue fractional stock or provide for the issuance of scrip, all on such terms and under such conditions as they may determine. Notwithstanding any other provision of the charter of the Corporation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 of the Corporation.</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of the Corporation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INSPECTION OF RECORDS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of the Corporation or these Bylaws conflicts with any provision of the Investment Company Act, the applicable provision of the Investment Company Act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LITIGATION</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Unless the Corporation consents in writing to the selection of an alternative forum, the Circuit Court for Baltimore City, Maryland, or, if that Court does not have jurisdiction, the United States District Court for the District of Maryland, Northern Division, shall be the sole and exclusive forum for (a) any Internal Corporate Claim, as such term is defined in Section 1-101(q) of the MGCL, or any successor provision thereof, (b) any derivative action or proceeding brought on behalf of the Corporation, other than actions arising under federal securities laws, (c) any action asserting a claim of breach of any duty owed by any director or officer or other agent of the Corporation to the Corporation or to the stockholders of the Corporation, (d) any action asserting a claim against the Corporation or any director or officer or other agent of the Corporation arising pursuant to any provision of the MGCL or the charter of the Corporation or these Bylaws, or (e) any other action asserting a claim against the Corporation or any director or officer or other agent of the Corporation that is governed by the internal affairs doctrine. None of the foregoing actions, claims or proceedings may be brought in any court sitting outside the State of Maryland unless the Corporation consents in writing to such court.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ectPr>
          <w:pgSz w:w="11900" w:h="16838" w:orient="portrait"/>
          <w:cols w:equalWidth="0" w:num="1">
            <w:col w:w="11240"/>
          </w:cols>
          <w:pgMar w:left="320" w:top="66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335" w:lineRule="auto"/>
        <w:tabs>
          <w:tab w:leader="none" w:pos="832" w:val="left"/>
        </w:tabs>
        <w:numPr>
          <w:ilvl w:val="2"/>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5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5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5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600" w:hanging="145"/>
        <w:spacing w:after="0"/>
        <w:tabs>
          <w:tab w:leader="none" w:pos="600" w:val="left"/>
        </w:tabs>
        <w:numPr>
          <w:ilvl w:val="1"/>
          <w:numId w:val="5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36" w:lineRule="exact"/>
        <w:rPr>
          <w:rFonts w:ascii="Arial" w:cs="Arial" w:eastAsia="Arial" w:hAnsi="Arial"/>
          <w:sz w:val="14"/>
          <w:szCs w:val="14"/>
          <w:color w:val="auto"/>
        </w:rPr>
      </w:pPr>
    </w:p>
    <w:p>
      <w:pPr>
        <w:ind w:right="480" w:firstLine="441"/>
        <w:spacing w:after="0" w:line="253" w:lineRule="auto"/>
        <w:tabs>
          <w:tab w:leader="none" w:pos="577"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580" w:hanging="139"/>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440" w:firstLine="695"/>
        <w:spacing w:after="0" w:line="335" w:lineRule="auto"/>
        <w:tabs>
          <w:tab w:leader="none" w:pos="832" w:val="left"/>
        </w:tabs>
        <w:numPr>
          <w:ilvl w:val="2"/>
          <w:numId w:val="5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right="620" w:firstLine="692"/>
        <w:spacing w:after="0" w:line="335" w:lineRule="auto"/>
        <w:tabs>
          <w:tab w:leader="none" w:pos="838" w:val="left"/>
        </w:tabs>
        <w:numPr>
          <w:ilvl w:val="2"/>
          <w:numId w:val="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2"/>
          <w:szCs w:val="12"/>
          <w:color w:val="auto"/>
        </w:rPr>
      </w:pPr>
    </w:p>
    <w:p>
      <w:pPr>
        <w:ind w:right="340" w:firstLine="719"/>
        <w:spacing w:after="0" w:line="253" w:lineRule="auto"/>
        <w:tabs>
          <w:tab w:leader="none" w:pos="856" w:val="left"/>
        </w:tabs>
        <w:numPr>
          <w:ilvl w:val="3"/>
          <w:numId w:val="5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right="480" w:firstLine="705"/>
        <w:spacing w:after="0" w:line="290" w:lineRule="auto"/>
        <w:tabs>
          <w:tab w:leader="none" w:pos="850" w:val="left"/>
        </w:tabs>
        <w:numPr>
          <w:ilvl w:val="3"/>
          <w:numId w:val="5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3"/>
          <w:szCs w:val="13"/>
          <w:color w:val="auto"/>
        </w:rPr>
      </w:pPr>
    </w:p>
    <w:p>
      <w:pPr>
        <w:ind w:right="380" w:firstLine="447"/>
        <w:spacing w:after="0" w:line="253" w:lineRule="auto"/>
        <w:tabs>
          <w:tab w:leader="none" w:pos="583"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right="100" w:firstLine="719"/>
        <w:spacing w:after="0" w:line="253" w:lineRule="auto"/>
        <w:tabs>
          <w:tab w:leader="none" w:pos="856" w:val="left"/>
        </w:tabs>
        <w:numPr>
          <w:ilvl w:val="3"/>
          <w:numId w:val="5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860" w:hanging="161"/>
        <w:spacing w:after="0"/>
        <w:tabs>
          <w:tab w:leader="none" w:pos="860" w:val="left"/>
        </w:tabs>
        <w:numPr>
          <w:ilvl w:val="3"/>
          <w:numId w:val="5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40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right="20" w:firstLine="467"/>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2020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06" w:lineRule="exact"/>
        <w:rPr>
          <w:sz w:val="20"/>
          <w:szCs w:val="20"/>
          <w:color w:val="auto"/>
        </w:rPr>
      </w:pPr>
    </w:p>
    <w:p>
      <w:pPr>
        <w:ind w:left="780" w:hanging="305"/>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Arthur H. Penn</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May 11, 2020</w:t>
      </w:r>
    </w:p>
    <w:p>
      <w:pPr>
        <w:sectPr>
          <w:pgSz w:w="11900" w:h="16838" w:orient="portrait"/>
          <w:cols w:equalWidth="0" w:num="2">
            <w:col w:w="320" w:space="260"/>
            <w:col w:w="10660"/>
          </w:cols>
          <w:pgMar w:left="320" w:top="118" w:right="3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firstLine="467"/>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2020 (the “Report”) of PennantPark Investment Corporation (the “Registrant”), as filed with the Securities and Exchange Commission on the date hereof, I, Aviv Efrat, Chief Financial Officer of the Registrant, hereby certify, to the best of my knowledge, that:</w:t>
      </w:r>
    </w:p>
    <w:p>
      <w:pPr>
        <w:spacing w:after="0" w:line="106" w:lineRule="exact"/>
        <w:rPr>
          <w:sz w:val="20"/>
          <w:szCs w:val="20"/>
          <w:color w:val="auto"/>
        </w:rPr>
      </w:pPr>
    </w:p>
    <w:p>
      <w:pPr>
        <w:ind w:left="780" w:hanging="305"/>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780" w:hanging="305"/>
        <w:spacing w:after="0"/>
        <w:tabs>
          <w:tab w:leader="none" w:pos="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Name:</w:t>
        <w:tab/>
        <w:t>Aviv Efrat</w:t>
      </w:r>
    </w:p>
    <w:p>
      <w:pPr>
        <w:sectPr>
          <w:pgSz w:w="11900" w:h="16838" w:orient="portrait"/>
          <w:cols w:equalWidth="0" w:num="1">
            <w:col w:w="11240"/>
          </w:cols>
          <w:pgMar w:left="320" w:top="11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Financial Officer</w:t>
      </w:r>
    </w:p>
    <w:p>
      <w:pPr>
        <w:spacing w:after="0" w:line="32" w:lineRule="exact"/>
        <w:rPr>
          <w:sz w:val="20"/>
          <w:szCs w:val="20"/>
          <w:color w:val="auto"/>
        </w:rPr>
      </w:pPr>
    </w:p>
    <w:p>
      <w:pPr>
        <w:sectPr>
          <w:pgSz w:w="11900" w:h="16838" w:orient="portrait"/>
          <w:cols w:equalWidth="0" w:num="2">
            <w:col w:w="320" w:space="260"/>
            <w:col w:w="10660"/>
          </w:cols>
          <w:pgMar w:left="320" w:top="118" w:right="339" w:bottom="1440" w:gutter="0" w:footer="0" w:header="0"/>
          <w:type w:val="continuous"/>
        </w:sect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May 11, 2020</w:t>
      </w:r>
    </w:p>
    <w:sectPr>
      <w:pgSz w:w="11900" w:h="16838" w:orient="portrait"/>
      <w:cols w:equalWidth="0" w:num="2">
        <w:col w:w="320" w:space="260"/>
        <w:col w:w="1066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lowerLetter"/>
      <w:start w:val="2"/>
    </w:lvl>
  </w:abstractNum>
  <w:abstractNum w:abstractNumId="9">
    <w:nsid w:val="3006C83E"/>
    <w:multiLevelType w:val="hybridMultilevel"/>
    <w:lvl w:ilvl="0">
      <w:lvlJc w:val="left"/>
      <w:lvlText w:val="(%1)"/>
      <w:numFmt w:val="lowerLetter"/>
      <w:start w:val="3"/>
    </w:lvl>
  </w:abstractNum>
  <w:abstractNum w:abstractNumId="10">
    <w:nsid w:val="614FD4A1"/>
    <w:multiLevelType w:val="hybridMultilevel"/>
    <w:lvl w:ilvl="0">
      <w:lvlJc w:val="left"/>
      <w:lvlText w:val="(%1)"/>
      <w:numFmt w:val="lowerLetter"/>
      <w:start w:val="4"/>
    </w:lvl>
  </w:abstractNum>
  <w:abstractNum w:abstractNumId="11">
    <w:nsid w:val="419AC241"/>
    <w:multiLevelType w:val="hybridMultilevel"/>
    <w:lvl w:ilvl="0">
      <w:lvlJc w:val="left"/>
      <w:lvlText w:val="(%1)"/>
      <w:numFmt w:val="lowerLetter"/>
      <w:start w:val="5"/>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lowerLetter"/>
      <w:start w:val="6"/>
    </w:lvl>
  </w:abstractNum>
  <w:abstractNum w:abstractNumId="14">
    <w:nsid w:val="5072367"/>
    <w:multiLevelType w:val="hybridMultilevel"/>
    <w:lvl w:ilvl="0">
      <w:lvlJc w:val="left"/>
      <w:lvlText w:val="(%1)"/>
      <w:numFmt w:val="lowerLetter"/>
      <w:start w:val="7"/>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2"/>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upperLetter"/>
      <w:start w:val="55"/>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2"/>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decimal"/>
      <w:start w:val="2"/>
    </w:lvl>
  </w:abstractNum>
  <w:abstractNum w:abstractNumId="36">
    <w:nsid w:val="6DE91B18"/>
    <w:multiLevelType w:val="hybridMultilevel"/>
    <w:lvl w:ilvl="0">
      <w:lvlJc w:val="left"/>
      <w:lvlText w:val="(%1)"/>
      <w:numFmt w:val="decimal"/>
      <w:start w:val="6"/>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decimal"/>
      <w:start w:val="2"/>
    </w:lvl>
  </w:abstractNum>
  <w:abstractNum w:abstractNumId="39">
    <w:nsid w:val="32FFF902"/>
    <w:multiLevelType w:val="hybridMultilevel"/>
    <w:lvl w:ilvl="0">
      <w:lvlJc w:val="left"/>
      <w:lvlText w:val="(%1)"/>
      <w:numFmt w:val="upperLetter"/>
      <w:start w:val="1"/>
    </w:lvl>
  </w:abstractNum>
  <w:abstractNum w:abstractNumId="40">
    <w:nsid w:val="684A481A"/>
    <w:multiLevelType w:val="hybridMultilevel"/>
    <w:lvl w:ilvl="0">
      <w:lvlJc w:val="left"/>
      <w:lvlText w:val="(%1)"/>
      <w:numFmt w:val="lowerRoman"/>
      <w:start w:val="2"/>
    </w:lvl>
  </w:abstractNum>
  <w:abstractNum w:abstractNumId="41">
    <w:nsid w:val="579478FE"/>
    <w:multiLevelType w:val="hybridMultilevel"/>
    <w:lvl w:ilvl="0">
      <w:lvlJc w:val="left"/>
      <w:lvlText w:val="(%1)"/>
      <w:numFmt w:val="upperLetter"/>
      <w:start w:val="1"/>
    </w:lvl>
  </w:abstractNum>
  <w:abstractNum w:abstractNumId="42">
    <w:nsid w:val="749ABB43"/>
    <w:multiLevelType w:val="hybridMultilevel"/>
    <w:lvl w:ilvl="0">
      <w:lvlJc w:val="left"/>
      <w:lvlText w:val="(%1)"/>
      <w:numFmt w:val="lowerRoman"/>
      <w:start w:val="4"/>
    </w:lvl>
  </w:abstractNum>
  <w:abstractNum w:abstractNumId="43">
    <w:nsid w:val="3DC240FB"/>
    <w:multiLevelType w:val="hybridMultilevel"/>
    <w:lvl w:ilvl="0">
      <w:lvlJc w:val="left"/>
      <w:lvlText w:val="(%1)"/>
      <w:numFmt w:val="upperLetter"/>
      <w:start w:val="1"/>
    </w:lvl>
  </w:abstractNum>
  <w:abstractNum w:abstractNumId="44">
    <w:nsid w:val="1BA026FA"/>
    <w:multiLevelType w:val="hybridMultilevel"/>
    <w:lvl w:ilvl="0">
      <w:lvlJc w:val="left"/>
      <w:lvlText w:val="(%1)"/>
      <w:numFmt w:val="lowerRoman"/>
      <w:start w:val="5"/>
    </w:lvl>
  </w:abstractNum>
  <w:abstractNum w:abstractNumId="45">
    <w:nsid w:val="79A1DEAA"/>
    <w:multiLevelType w:val="hybridMultilevel"/>
    <w:lvl w:ilvl="0">
      <w:lvlJc w:val="left"/>
      <w:lvlText w:val="(%1)"/>
      <w:numFmt w:val="decimal"/>
      <w:start w:val="4"/>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lowerLetter"/>
      <w:start w:val="3"/>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0">
    <w:nsid w:val="374A3FE6"/>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51">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2">
    <w:nsid w:val="23F9C1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3">
    <w:nsid w:val="649BB77C"/>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54">
    <w:nsid w:val="275AC7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67" Type="http://schemas.openxmlformats.org/officeDocument/2006/relationships/hyperlink" Target="http://www.sec.gov/Archives/edgar/data/1383414/000119312507075646/dex99a.htm" TargetMode="External"/><Relationship Id="rId68" Type="http://schemas.openxmlformats.org/officeDocument/2006/relationships/hyperlink" Target="http://www.sec.gov/Archives/edgar/data/1383414/000119312508072557/dex99d1.htm" TargetMode="External"/><Relationship Id="rId69"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2020-05-11T15:32:58Z</dcterms:created>
  <dcterms:modified xsi:type="dcterms:W3CDTF">2020-05-11T15:32:58Z</dcterms:modified>
</cp:coreProperties>
</file>