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120" w:after="0"/>
        <w:jc w:val="center"/>
        <w:rPr>
          <w:rFonts w:ascii="Times New Roman;serif" w:hAnsi="Times New Roman;serif"/>
          <w:b/>
          <w:sz w:val="20"/>
        </w:rPr>
      </w:pPr>
      <w:bookmarkStart w:id="0" w:name="pnnt-20230208.htm"/>
      <w:bookmarkStart w:id="1" w:name="kspnnt20230208"/>
      <w:bookmarkEnd w:id="0"/>
      <w:bookmarkEnd w:id="1"/>
      <w:r>
        <w:rPr>
          <w:rFonts w:ascii="Times New Roman;serif" w:hAnsi="Times New Roman;serif"/>
          <w:b/>
          <w:sz w:val="20"/>
        </w:rPr>
        <w:t>UNITED STATES</w:t>
      </w:r>
    </w:p>
    <w:p>
      <w:pPr>
        <w:pStyle w:val="TextBody"/>
        <w:spacing w:before="0" w:after="0"/>
        <w:jc w:val="center"/>
        <w:rPr>
          <w:rFonts w:ascii="Times New Roman;serif" w:hAnsi="Times New Roman;serif"/>
          <w:b/>
          <w:sz w:val="20"/>
        </w:rPr>
      </w:pPr>
      <w:r>
        <w:rPr>
          <w:rFonts w:ascii="Times New Roman;serif" w:hAnsi="Times New Roman;serif"/>
          <w:b/>
          <w:sz w:val="20"/>
        </w:rPr>
        <w:t>SECURITIES AND EXCHANGE COMMISSION</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Washington, D.C. 20549</w:t>
      </w:r>
    </w:p>
    <w:p>
      <w:pPr>
        <w:pStyle w:val="TextBody"/>
        <w:pBdr>
          <w:bottom w:val="single" w:sz="4" w:space="1" w:color="000000"/>
        </w:pBdr>
        <w:spacing w:before="0" w:after="0"/>
        <w:jc w:val="center"/>
        <w:rPr/>
      </w:pPr>
      <w:r>
        <w:rPr/>
        <w:t> </w:t>
      </w:r>
    </w:p>
    <w:p>
      <w:pPr>
        <w:pStyle w:val="TextBody"/>
        <w:spacing w:before="60" w:after="0"/>
        <w:jc w:val="center"/>
        <w:rPr>
          <w:rFonts w:ascii="Times New Roman;serif" w:hAnsi="Times New Roman;serif"/>
          <w:b/>
          <w:sz w:val="20"/>
        </w:rPr>
      </w:pPr>
      <w:r>
        <w:rPr>
          <w:rFonts w:ascii="Times New Roman;serif" w:hAnsi="Times New Roman;serif"/>
          <w:b/>
          <w:sz w:val="20"/>
        </w:rPr>
        <w:t>FORM 8-K</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CURRENT REPORT</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Pursuant to Section 13 or 15(d) of the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Securities Exchange Act of 1934</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20"/>
        </w:rPr>
        <w:t>Date of Report (Date of earliest event reported):</w:t>
      </w:r>
      <w:r>
        <w:rPr>
          <w:rFonts w:ascii="Times New Roman" w:hAnsi="Times New Roman"/>
          <w:sz w:val="20"/>
        </w:rPr>
        <w:t xml:space="preserve"> </w:t>
      </w:r>
      <w:r>
        <w:rPr>
          <w:rFonts w:ascii="Times New Roman;serif" w:hAnsi="Times New Roman;serif"/>
          <w:b/>
          <w:sz w:val="20"/>
        </w:rPr>
        <w:t>May 10, 2023</w:t>
      </w:r>
    </w:p>
    <w:p>
      <w:pPr>
        <w:pStyle w:val="TextBody"/>
        <w:spacing w:before="0" w:after="0"/>
        <w:jc w:val="center"/>
        <w:rPr>
          <w:rFonts w:ascii="Times New Roman;serif" w:hAnsi="Times New Roman;serif"/>
          <w:b/>
          <w:sz w:val="20"/>
        </w:rPr>
      </w:pPr>
      <w:r>
        <w:rPr>
          <w:rFonts w:ascii="Times New Roman;serif" w:hAnsi="Times New Roman;serif"/>
          <w:b/>
          <w:sz w:val="20"/>
        </w:rPr>
        <w:t>PennantPark Investment Corporation</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(Exact name of registrant as specified in its charter)</w:t>
      </w:r>
    </w:p>
    <w:p>
      <w:pPr>
        <w:pStyle w:val="TextBody"/>
        <w:spacing w:before="0" w:after="0"/>
        <w:jc w:val="left"/>
        <w:rPr/>
      </w:pPr>
      <w:r>
        <w:rPr/>
        <w:t> </w:t>
      </w:r>
    </w:p>
    <w:tbl>
      <w:tblPr>
        <w:tblW w:w="9273" w:type="dxa"/>
        <w:jc w:val="left"/>
        <w:tblInd w:w="0" w:type="dxa"/>
        <w:tblCellMar>
          <w:top w:w="28" w:type="dxa"/>
          <w:left w:w="28" w:type="dxa"/>
          <w:bottom w:w="28" w:type="dxa"/>
          <w:right w:w="28" w:type="dxa"/>
        </w:tblCellMar>
      </w:tblPr>
      <w:tblGrid>
        <w:gridCol w:w="3721"/>
        <w:gridCol w:w="2296"/>
        <w:gridCol w:w="3256"/>
      </w:tblGrid>
      <w:tr>
        <w:trPr/>
        <w:tc>
          <w:tcPr>
            <w:tcW w:w="3721"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c>
          <w:tcPr>
            <w:tcW w:w="3256" w:type="dxa"/>
            <w:tcBorders/>
            <w:shd w:fill="auto" w:val="clear"/>
            <w:vAlign w:val="center"/>
          </w:tcPr>
          <w:p>
            <w:pPr>
              <w:pStyle w:val="TableContents"/>
              <w:spacing w:before="0" w:after="283"/>
              <w:rPr>
                <w:sz w:val="4"/>
                <w:szCs w:val="4"/>
              </w:rPr>
            </w:pPr>
            <w:r>
              <w:rPr>
                <w:sz w:val="4"/>
                <w:szCs w:val="4"/>
              </w:rPr>
            </w:r>
          </w:p>
        </w:tc>
      </w:tr>
      <w:tr>
        <w:trPr/>
        <w:tc>
          <w:tcPr>
            <w:tcW w:w="372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Maryland</w:t>
            </w:r>
          </w:p>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(State or Other Jurisdiction of Incorporation)</w:t>
            </w:r>
          </w:p>
        </w:tc>
        <w:tc>
          <w:tcPr>
            <w:tcW w:w="229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814-00736</w:t>
            </w:r>
          </w:p>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(Commission File Number)</w:t>
            </w:r>
          </w:p>
        </w:tc>
        <w:tc>
          <w:tcPr>
            <w:tcW w:w="325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20-8250744</w:t>
            </w:r>
          </w:p>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(IRS Employer Identification Number)</w:t>
            </w:r>
          </w:p>
        </w:tc>
      </w:tr>
    </w:tbl>
    <w:p>
      <w:pPr>
        <w:pStyle w:val="TextBody"/>
        <w:spacing w:before="0" w:after="0"/>
        <w:jc w:val="left"/>
        <w:rPr/>
      </w:pPr>
      <w:r>
        <w:rPr/>
        <w:t> </w:t>
      </w:r>
    </w:p>
    <w:tbl>
      <w:tblPr>
        <w:tblW w:w="4397" w:type="dxa"/>
        <w:jc w:val="left"/>
        <w:tblInd w:w="0" w:type="dxa"/>
        <w:tblCellMar>
          <w:top w:w="28" w:type="dxa"/>
          <w:left w:w="28" w:type="dxa"/>
          <w:bottom w:w="28" w:type="dxa"/>
          <w:right w:w="28" w:type="dxa"/>
        </w:tblCellMar>
      </w:tblPr>
      <w:tblGrid>
        <w:gridCol w:w="3361"/>
        <w:gridCol w:w="1036"/>
      </w:tblGrid>
      <w:tr>
        <w:trPr/>
        <w:tc>
          <w:tcPr>
            <w:tcW w:w="336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r>
      <w:tr>
        <w:trPr/>
        <w:tc>
          <w:tcPr>
            <w:tcW w:w="336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1691 Michigan Avenue,</w:t>
            </w:r>
            <w:r>
              <w:rPr>
                <w:rFonts w:ascii="Times New Roman" w:hAnsi="Times New Roman"/>
                <w:sz w:val="20"/>
              </w:rPr>
              <w:t xml:space="preserve">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Miami Beach, Florida</w:t>
            </w:r>
          </w:p>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(Address of Principal Executive Offices)</w:t>
            </w:r>
          </w:p>
        </w:tc>
        <w:tc>
          <w:tcPr>
            <w:tcW w:w="103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33139</w:t>
            </w:r>
          </w:p>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(Zip Code)</w:t>
            </w:r>
          </w:p>
        </w:tc>
      </w:tr>
    </w:tbl>
    <w:p>
      <w:pPr>
        <w:pStyle w:val="TextBody"/>
        <w:spacing w:before="0" w:after="0"/>
        <w:jc w:val="left"/>
        <w:rPr/>
      </w:pPr>
      <w:r>
        <w:rPr/>
        <w:t> </w:t>
      </w:r>
    </w:p>
    <w:tbl>
      <w:tblPr>
        <w:tblW w:w="5026" w:type="dxa"/>
        <w:jc w:val="left"/>
        <w:tblInd w:w="0" w:type="dxa"/>
        <w:tblCellMar>
          <w:top w:w="28" w:type="dxa"/>
          <w:left w:w="28" w:type="dxa"/>
          <w:bottom w:w="28" w:type="dxa"/>
          <w:right w:w="28" w:type="dxa"/>
        </w:tblCellMar>
      </w:tblPr>
      <w:tblGrid>
        <w:gridCol w:w="5026"/>
      </w:tblGrid>
      <w:tr>
        <w:trPr/>
        <w:tc>
          <w:tcPr>
            <w:tcW w:w="5026" w:type="dxa"/>
            <w:tcBorders/>
            <w:shd w:fill="auto" w:val="clear"/>
            <w:vAlign w:val="center"/>
          </w:tcPr>
          <w:p>
            <w:pPr>
              <w:pStyle w:val="TableContents"/>
              <w:spacing w:before="0" w:after="283"/>
              <w:rPr>
                <w:sz w:val="4"/>
                <w:szCs w:val="4"/>
              </w:rPr>
            </w:pPr>
            <w:r>
              <w:rPr>
                <w:sz w:val="4"/>
                <w:szCs w:val="4"/>
              </w:rPr>
            </w:r>
          </w:p>
        </w:tc>
      </w:tr>
      <w:tr>
        <w:trPr/>
        <w:tc>
          <w:tcPr>
            <w:tcW w:w="502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(786) 297-9500</w:t>
            </w:r>
          </w:p>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(Registrant's telephone number, including area code)</w:t>
            </w:r>
          </w:p>
        </w:tc>
      </w:tr>
      <w:tr>
        <w:trPr/>
        <w:tc>
          <w:tcPr>
            <w:tcW w:w="5026" w:type="dxa"/>
            <w:tcBorders/>
            <w:shd w:fill="auto" w:val="clear"/>
            <w:vAlign w:val="center"/>
          </w:tcPr>
          <w:p>
            <w:pPr>
              <w:pStyle w:val="TableContents"/>
              <w:spacing w:before="200" w:after="0"/>
              <w:ind w:left="0" w:right="0" w:hanging="0"/>
              <w:jc w:val="center"/>
              <w:rPr>
                <w:rFonts w:ascii="Times New Roman;serif" w:hAnsi="Times New Roman;serif"/>
                <w:b/>
                <w:sz w:val="20"/>
              </w:rPr>
            </w:pPr>
            <w:r>
              <w:rPr>
                <w:rFonts w:ascii="Times New Roman;serif" w:hAnsi="Times New Roman;serif"/>
                <w:b/>
                <w:sz w:val="20"/>
              </w:rPr>
              <w:t>Not Applicable</w:t>
            </w:r>
          </w:p>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(Former name or former address, if changed since last report)</w:t>
            </w:r>
          </w:p>
        </w:tc>
      </w:tr>
    </w:tbl>
    <w:p>
      <w:pPr>
        <w:pStyle w:val="TextBody"/>
        <w:pBdr>
          <w:bottom w:val="single" w:sz="6" w:space="1" w:color="000000"/>
        </w:pBdr>
        <w:spacing w:before="0" w:after="22"/>
        <w:jc w:val="center"/>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p>
    <w:p>
      <w:pPr>
        <w:pStyle w:val="TextBody"/>
        <w:spacing w:before="0" w:after="0"/>
        <w:jc w:val="left"/>
        <w:rPr/>
      </w:pPr>
      <w:r>
        <w:rPr/>
        <w:t> </w:t>
      </w:r>
    </w:p>
    <w:tbl>
      <w:tblPr>
        <w:tblW w:w="9512" w:type="dxa"/>
        <w:jc w:val="left"/>
        <w:tblInd w:w="0" w:type="dxa"/>
        <w:tblCellMar>
          <w:top w:w="28" w:type="dxa"/>
          <w:left w:w="28" w:type="dxa"/>
          <w:bottom w:w="28" w:type="dxa"/>
          <w:right w:w="28" w:type="dxa"/>
        </w:tblCellMar>
      </w:tblPr>
      <w:tblGrid>
        <w:gridCol w:w="331"/>
        <w:gridCol w:w="9181"/>
      </w:tblGrid>
      <w:tr>
        <w:trPr/>
        <w:tc>
          <w:tcPr>
            <w:tcW w:w="331" w:type="dxa"/>
            <w:tcBorders/>
            <w:shd w:fill="auto" w:val="clear"/>
            <w:vAlign w:val="center"/>
          </w:tcPr>
          <w:p>
            <w:pPr>
              <w:pStyle w:val="TableContents"/>
              <w:spacing w:before="0" w:after="283"/>
              <w:rPr>
                <w:sz w:val="4"/>
                <w:szCs w:val="4"/>
              </w:rPr>
            </w:pPr>
            <w:r>
              <w:rPr>
                <w:sz w:val="4"/>
                <w:szCs w:val="4"/>
              </w:rPr>
            </w:r>
          </w:p>
        </w:tc>
        <w:tc>
          <w:tcPr>
            <w:tcW w:w="918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Written communications pursuant to Rule 425 under the Securities Act (17 CFR 230.425)</w:t>
            </w:r>
          </w:p>
        </w:tc>
      </w:tr>
      <w:tr>
        <w:trPr/>
        <w:tc>
          <w:tcPr>
            <w:tcW w:w="331" w:type="dxa"/>
            <w:tcBorders/>
            <w:shd w:fill="auto" w:val="clear"/>
            <w:vAlign w:val="center"/>
          </w:tcPr>
          <w:p>
            <w:pPr>
              <w:pStyle w:val="TableContents"/>
              <w:spacing w:before="0" w:after="0"/>
              <w:ind w:left="0" w:right="0" w:hanging="0"/>
              <w:jc w:val="left"/>
              <w:rPr/>
            </w:pPr>
            <w:r>
              <w:rPr/>
              <w:t> </w:t>
            </w:r>
          </w:p>
        </w:tc>
        <w:tc>
          <w:tcPr>
            <w:tcW w:w="9181" w:type="dxa"/>
            <w:tcBorders/>
            <w:shd w:fill="auto" w:val="clear"/>
            <w:vAlign w:val="center"/>
          </w:tcPr>
          <w:p>
            <w:pPr>
              <w:pStyle w:val="TableContents"/>
              <w:spacing w:before="0" w:after="0"/>
              <w:ind w:left="0" w:right="0" w:hanging="0"/>
              <w:jc w:val="left"/>
              <w:rPr/>
            </w:pPr>
            <w:r>
              <w:rPr/>
              <w:t> </w:t>
            </w:r>
          </w:p>
        </w:tc>
      </w:tr>
      <w:tr>
        <w:trPr/>
        <w:tc>
          <w:tcPr>
            <w:tcW w:w="331" w:type="dxa"/>
            <w:tcBorders/>
            <w:shd w:fill="auto" w:val="clear"/>
            <w:vAlign w:val="center"/>
          </w:tcPr>
          <w:p>
            <w:pPr>
              <w:pStyle w:val="TableContents"/>
              <w:spacing w:before="0" w:after="0"/>
              <w:ind w:left="0" w:right="0" w:hanging="0"/>
              <w:jc w:val="left"/>
              <w:rPr/>
            </w:pPr>
            <w:r>
              <w:rPr/>
              <w:t>☐</w:t>
            </w:r>
          </w:p>
        </w:tc>
        <w:tc>
          <w:tcPr>
            <w:tcW w:w="9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Soliciting material pursuant to Rule 14a-12 under the Exchange Act (17 CFR 240.14a-12)</w:t>
            </w:r>
          </w:p>
        </w:tc>
      </w:tr>
      <w:tr>
        <w:trPr/>
        <w:tc>
          <w:tcPr>
            <w:tcW w:w="331" w:type="dxa"/>
            <w:tcBorders/>
            <w:shd w:fill="auto" w:val="clear"/>
            <w:vAlign w:val="center"/>
          </w:tcPr>
          <w:p>
            <w:pPr>
              <w:pStyle w:val="TableContents"/>
              <w:spacing w:before="0" w:after="0"/>
              <w:ind w:left="0" w:right="0" w:hanging="0"/>
              <w:jc w:val="left"/>
              <w:rPr/>
            </w:pPr>
            <w:r>
              <w:rPr/>
              <w:t> </w:t>
            </w:r>
          </w:p>
        </w:tc>
        <w:tc>
          <w:tcPr>
            <w:tcW w:w="9181" w:type="dxa"/>
            <w:tcBorders/>
            <w:shd w:fill="auto" w:val="clear"/>
            <w:vAlign w:val="center"/>
          </w:tcPr>
          <w:p>
            <w:pPr>
              <w:pStyle w:val="TableContents"/>
              <w:spacing w:before="0" w:after="0"/>
              <w:ind w:left="0" w:right="0" w:hanging="0"/>
              <w:jc w:val="left"/>
              <w:rPr/>
            </w:pPr>
            <w:r>
              <w:rPr/>
              <w:t> </w:t>
            </w:r>
          </w:p>
        </w:tc>
      </w:tr>
      <w:tr>
        <w:trPr/>
        <w:tc>
          <w:tcPr>
            <w:tcW w:w="331" w:type="dxa"/>
            <w:tcBorders/>
            <w:shd w:fill="auto" w:val="clear"/>
            <w:vAlign w:val="center"/>
          </w:tcPr>
          <w:p>
            <w:pPr>
              <w:pStyle w:val="TableContents"/>
              <w:spacing w:before="0" w:after="0"/>
              <w:ind w:left="0" w:right="0" w:hanging="0"/>
              <w:jc w:val="left"/>
              <w:rPr/>
            </w:pPr>
            <w:r>
              <w:rPr/>
              <w:t>☐</w:t>
            </w:r>
          </w:p>
        </w:tc>
        <w:tc>
          <w:tcPr>
            <w:tcW w:w="9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Pre-commencement communications pursuant to Rule 14d-2(b) under the Exchange Act (17 CFR 240.14d-2(b))</w:t>
            </w:r>
          </w:p>
        </w:tc>
      </w:tr>
      <w:tr>
        <w:trPr/>
        <w:tc>
          <w:tcPr>
            <w:tcW w:w="331" w:type="dxa"/>
            <w:tcBorders/>
            <w:shd w:fill="auto" w:val="clear"/>
            <w:vAlign w:val="center"/>
          </w:tcPr>
          <w:p>
            <w:pPr>
              <w:pStyle w:val="TableContents"/>
              <w:spacing w:before="0" w:after="0"/>
              <w:ind w:left="0" w:right="0" w:hanging="0"/>
              <w:jc w:val="left"/>
              <w:rPr/>
            </w:pPr>
            <w:r>
              <w:rPr/>
              <w:t> </w:t>
            </w:r>
          </w:p>
        </w:tc>
        <w:tc>
          <w:tcPr>
            <w:tcW w:w="9181" w:type="dxa"/>
            <w:tcBorders/>
            <w:shd w:fill="auto" w:val="clear"/>
            <w:vAlign w:val="center"/>
          </w:tcPr>
          <w:p>
            <w:pPr>
              <w:pStyle w:val="TableContents"/>
              <w:spacing w:before="0" w:after="0"/>
              <w:ind w:left="0" w:right="0" w:hanging="0"/>
              <w:jc w:val="left"/>
              <w:rPr/>
            </w:pPr>
            <w:r>
              <w:rPr/>
              <w:t> </w:t>
            </w:r>
          </w:p>
        </w:tc>
      </w:tr>
      <w:tr>
        <w:trPr/>
        <w:tc>
          <w:tcPr>
            <w:tcW w:w="331" w:type="dxa"/>
            <w:tcBorders/>
            <w:shd w:fill="auto" w:val="clear"/>
            <w:vAlign w:val="center"/>
          </w:tcPr>
          <w:p>
            <w:pPr>
              <w:pStyle w:val="TableContents"/>
              <w:spacing w:before="0" w:after="0"/>
              <w:ind w:left="0" w:right="0" w:hanging="0"/>
              <w:jc w:val="left"/>
              <w:rPr/>
            </w:pPr>
            <w:r>
              <w:rPr/>
              <w:t>☐</w:t>
            </w:r>
          </w:p>
        </w:tc>
        <w:tc>
          <w:tcPr>
            <w:tcW w:w="9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Pre-commencement communications pursuant to Rule 13e-4(c) under the Exchange Act (17 CFR 240.13e-4(c))</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Securities registered pursuant to Section 12(b) of the Act:</w:t>
      </w:r>
    </w:p>
    <w:p>
      <w:pPr>
        <w:pStyle w:val="TextBody"/>
        <w:spacing w:before="0" w:after="200"/>
        <w:jc w:val="both"/>
        <w:rPr/>
      </w:pPr>
      <w:r>
        <w:rPr/>
        <w:t> </w:t>
      </w:r>
    </w:p>
    <w:tbl>
      <w:tblPr>
        <w:tblW w:w="9318" w:type="dxa"/>
        <w:jc w:val="left"/>
        <w:tblInd w:w="0" w:type="dxa"/>
        <w:tblCellMar>
          <w:top w:w="28" w:type="dxa"/>
          <w:left w:w="28" w:type="dxa"/>
          <w:bottom w:w="28" w:type="dxa"/>
          <w:right w:w="28" w:type="dxa"/>
        </w:tblCellMar>
      </w:tblPr>
      <w:tblGrid>
        <w:gridCol w:w="3601"/>
        <w:gridCol w:w="1696"/>
        <w:gridCol w:w="4021"/>
      </w:tblGrid>
      <w:tr>
        <w:trPr/>
        <w:tc>
          <w:tcPr>
            <w:tcW w:w="3601"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4021" w:type="dxa"/>
            <w:tcBorders/>
            <w:shd w:fill="auto" w:val="clear"/>
            <w:vAlign w:val="center"/>
          </w:tcPr>
          <w:p>
            <w:pPr>
              <w:pStyle w:val="TableContents"/>
              <w:spacing w:before="0" w:after="283"/>
              <w:rPr>
                <w:sz w:val="4"/>
                <w:szCs w:val="4"/>
              </w:rPr>
            </w:pPr>
            <w:r>
              <w:rPr>
                <w:sz w:val="4"/>
                <w:szCs w:val="4"/>
              </w:rPr>
            </w:r>
          </w:p>
        </w:tc>
      </w:tr>
      <w:tr>
        <w:trPr/>
        <w:tc>
          <w:tcPr>
            <w:tcW w:w="3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Title of Each Class</w:t>
            </w:r>
          </w:p>
        </w:tc>
        <w:tc>
          <w:tcPr>
            <w:tcW w:w="16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Trading Symbol(s)</w:t>
            </w:r>
          </w:p>
        </w:tc>
        <w:tc>
          <w:tcPr>
            <w:tcW w:w="402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Name of Each Exchange on Which Registered</w:t>
            </w:r>
          </w:p>
        </w:tc>
      </w:tr>
      <w:tr>
        <w:trPr/>
        <w:tc>
          <w:tcPr>
            <w:tcW w:w="3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$0.001 per share</w:t>
            </w:r>
          </w:p>
        </w:tc>
        <w:tc>
          <w:tcPr>
            <w:tcW w:w="16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PNNT</w:t>
            </w:r>
          </w:p>
        </w:tc>
        <w:tc>
          <w:tcPr>
            <w:tcW w:w="402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The New York Stock Exchange</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Indicate by check mark whether the registrant is an emerging growth company as defined in Rule 405 of the Securities Act of 1933 (17 CFR § 230.405) or Rule 12b-2 of the Securities Exchange Act of 1934 (17 CFR § 240.12b-2).</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6"/>
        </w:rPr>
        <w:t>28435281.2.BUSINESS</w:t>
      </w:r>
      <w:r>
        <w:rPr>
          <w:rFonts w:ascii="Times New Roman" w:hAnsi="Times New Roman"/>
          <w:sz w:val="20"/>
        </w:rPr>
        <w:t xml:space="preserve"> </w:t>
      </w:r>
    </w:p>
    <w:p>
      <w:pPr>
        <w:pStyle w:val="HorizontalLine"/>
        <w:rPr/>
      </w:pPr>
      <w:r>
        <w:rPr/>
      </w:r>
    </w:p>
    <w:p>
      <w:pPr>
        <w:pStyle w:val="TextBody"/>
        <w:spacing w:before="0" w:after="0"/>
        <w:jc w:val="left"/>
        <w:rPr>
          <w:rFonts w:ascii="Times New Roman;serif" w:hAnsi="Times New Roman;serif"/>
          <w:b/>
          <w:sz w:val="20"/>
        </w:rPr>
      </w:pPr>
      <w:r>
        <w:rPr>
          <w:rFonts w:ascii="Times New Roman;serif" w:hAnsi="Times New Roman;serif"/>
          <w:b/>
          <w:sz w:val="20"/>
        </w:rPr>
        <w:t>Item 2.02. Results of Operations and Financial Condition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On May 10, 2023, PennantPark Investment Corporation (the "Company") issued a press release announcing its financial results for the second quarter ended March 31, 2023. A copy of the press release is furnished as Exhibit 99.1 to this report pursuant to Item 2.02 on Form 8-K and Regulation FD. A copy of the Company's schedule of investments as of March 31, 2023 and September 30, 2022 is furnished as Exhibit 99.2 to this report pursuant to Item 2.02 on Form 8-K and Regulation FD.</w:t>
      </w:r>
    </w:p>
    <w:p>
      <w:pPr>
        <w:pStyle w:val="TextBody"/>
        <w:spacing w:before="200" w:after="0"/>
        <w:jc w:val="both"/>
        <w:rPr>
          <w:rFonts w:ascii="Times New Roman" w:hAnsi="Times New Roman"/>
          <w:sz w:val="20"/>
        </w:rPr>
      </w:pPr>
      <w:r>
        <w:rPr>
          <w:rFonts w:ascii="Times New Roman;serif" w:hAnsi="Times New Roman;serif"/>
          <w:b w:val="false"/>
          <w:sz w:val="20"/>
        </w:rPr>
        <w:t>The information in this report on Form 8-K, including Exhibits 99.1 and 99.2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r>
        <w:rPr>
          <w:rFonts w:ascii="Times New Roman" w:hAnsi="Times New Roman"/>
          <w:sz w:val="20"/>
        </w:rPr>
        <w:t xml:space="preserve"> </w:t>
      </w:r>
    </w:p>
    <w:p>
      <w:pPr>
        <w:pStyle w:val="TextBody"/>
        <w:spacing w:before="200" w:after="0"/>
        <w:jc w:val="left"/>
        <w:rPr>
          <w:rFonts w:ascii="Times New Roman;serif" w:hAnsi="Times New Roman;serif"/>
          <w:b/>
          <w:sz w:val="20"/>
        </w:rPr>
      </w:pPr>
      <w:r>
        <w:rPr>
          <w:rFonts w:ascii="Times New Roman;serif" w:hAnsi="Times New Roman;serif"/>
          <w:b/>
          <w:sz w:val="20"/>
        </w:rPr>
        <w:t>Forward-Looking Statements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This report on Form 8-K, including Exhibits 99.1 and 99.2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including Exhibits 99.1 and 99.2,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pStyle w:val="TextBody"/>
        <w:spacing w:before="200" w:after="0"/>
        <w:jc w:val="both"/>
        <w:rPr>
          <w:rFonts w:ascii="Times New Roman;serif" w:hAnsi="Times New Roman;serif"/>
          <w:b/>
          <w:sz w:val="20"/>
        </w:rPr>
      </w:pPr>
      <w:r>
        <w:rPr>
          <w:rFonts w:ascii="Times New Roman;serif" w:hAnsi="Times New Roman;serif"/>
          <w:b/>
          <w:sz w:val="20"/>
        </w:rPr>
        <w:t>Item 9.01. Financial Statements and Exhibits</w:t>
      </w:r>
    </w:p>
    <w:p>
      <w:pPr>
        <w:pStyle w:val="TextBody"/>
        <w:spacing w:before="200" w:after="0"/>
        <w:jc w:val="both"/>
        <w:rPr>
          <w:rFonts w:ascii="Times New Roman;serif" w:hAnsi="Times New Roman;serif"/>
          <w:b/>
          <w:sz w:val="20"/>
        </w:rPr>
      </w:pPr>
      <w:r>
        <w:rPr>
          <w:rFonts w:ascii="Times New Roman;serif" w:hAnsi="Times New Roman;serif"/>
          <w:b/>
          <w:sz w:val="20"/>
        </w:rPr>
        <w:t>(a) Financial statements: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None</w:t>
      </w:r>
    </w:p>
    <w:p>
      <w:pPr>
        <w:pStyle w:val="TextBody"/>
        <w:spacing w:before="200" w:after="0"/>
        <w:jc w:val="both"/>
        <w:rPr>
          <w:rFonts w:ascii="Times New Roman;serif" w:hAnsi="Times New Roman;serif"/>
          <w:b/>
          <w:sz w:val="20"/>
        </w:rPr>
      </w:pPr>
      <w:r>
        <w:rPr>
          <w:rFonts w:ascii="Times New Roman;serif" w:hAnsi="Times New Roman;serif"/>
          <w:b/>
          <w:sz w:val="20"/>
        </w:rPr>
        <w:t>(b) Pro forma financial information: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None</w:t>
      </w:r>
    </w:p>
    <w:p>
      <w:pPr>
        <w:pStyle w:val="TextBody"/>
        <w:spacing w:before="200" w:after="0"/>
        <w:jc w:val="both"/>
        <w:rPr>
          <w:rFonts w:ascii="Times New Roman;serif" w:hAnsi="Times New Roman;serif"/>
          <w:b/>
          <w:sz w:val="20"/>
        </w:rPr>
      </w:pPr>
      <w:r>
        <w:rPr>
          <w:rFonts w:ascii="Times New Roman;serif" w:hAnsi="Times New Roman;serif"/>
          <w:b/>
          <w:sz w:val="20"/>
        </w:rPr>
        <w:t>(c) Shell company transactions: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None</w:t>
      </w:r>
    </w:p>
    <w:p>
      <w:pPr>
        <w:pStyle w:val="TextBody"/>
        <w:spacing w:before="200" w:after="0"/>
        <w:jc w:val="both"/>
        <w:rPr>
          <w:rFonts w:ascii="Times New Roman;serif" w:hAnsi="Times New Roman;serif"/>
          <w:b/>
          <w:sz w:val="20"/>
        </w:rPr>
      </w:pPr>
      <w:r>
        <w:rPr>
          <w:rFonts w:ascii="Times New Roman;serif" w:hAnsi="Times New Roman;serif"/>
          <w:b/>
          <w:sz w:val="20"/>
        </w:rPr>
        <w:t>(d) Exhibits</w:t>
      </w:r>
    </w:p>
    <w:p>
      <w:pPr>
        <w:pStyle w:val="TextBody"/>
        <w:spacing w:before="0" w:after="0"/>
        <w:jc w:val="both"/>
        <w:rPr/>
      </w:pPr>
      <w:r>
        <w:rPr/>
        <w:t> </w:t>
      </w:r>
    </w:p>
    <w:tbl>
      <w:tblPr>
        <w:tblW w:w="7127" w:type="dxa"/>
        <w:jc w:val="left"/>
        <w:tblInd w:w="0" w:type="dxa"/>
        <w:tblCellMar>
          <w:top w:w="28" w:type="dxa"/>
          <w:left w:w="28" w:type="dxa"/>
          <w:bottom w:w="28" w:type="dxa"/>
          <w:right w:w="28" w:type="dxa"/>
        </w:tblCellMar>
      </w:tblPr>
      <w:tblGrid>
        <w:gridCol w:w="481"/>
        <w:gridCol w:w="6646"/>
      </w:tblGrid>
      <w:tr>
        <w:trPr/>
        <w:tc>
          <w:tcPr>
            <w:tcW w:w="481" w:type="dxa"/>
            <w:tcBorders/>
            <w:shd w:fill="auto" w:val="clear"/>
            <w:vAlign w:val="center"/>
          </w:tcPr>
          <w:p>
            <w:pPr>
              <w:pStyle w:val="TableContents"/>
              <w:spacing w:before="0" w:after="283"/>
              <w:rPr>
                <w:sz w:val="4"/>
                <w:szCs w:val="4"/>
              </w:rPr>
            </w:pPr>
            <w:r>
              <w:rPr>
                <w:sz w:val="4"/>
                <w:szCs w:val="4"/>
              </w:rPr>
            </w:r>
          </w:p>
        </w:tc>
        <w:tc>
          <w:tcPr>
            <w:tcW w:w="6646" w:type="dxa"/>
            <w:tcBorders/>
            <w:shd w:fill="auto" w:val="clear"/>
            <w:vAlign w:val="center"/>
          </w:tcPr>
          <w:p>
            <w:pPr>
              <w:pStyle w:val="TableContents"/>
              <w:spacing w:before="0" w:after="283"/>
              <w:rPr>
                <w:sz w:val="4"/>
                <w:szCs w:val="4"/>
              </w:rPr>
            </w:pPr>
            <w:r>
              <w:rPr>
                <w:sz w:val="4"/>
                <w:szCs w:val="4"/>
              </w:rPr>
            </w:r>
          </w:p>
        </w:tc>
      </w:tr>
      <w:tr>
        <w:trPr/>
        <w:tc>
          <w:tcPr>
            <w:tcW w:w="48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99.1</w:t>
            </w:r>
          </w:p>
        </w:tc>
        <w:tc>
          <w:tcPr>
            <w:tcW w:w="6646" w:type="dxa"/>
            <w:tcBorders/>
            <w:shd w:fill="auto" w:val="clear"/>
            <w:vAlign w:val="center"/>
          </w:tcPr>
          <w:p>
            <w:pPr>
              <w:pStyle w:val="TableContents"/>
              <w:spacing w:before="0" w:after="0"/>
              <w:ind w:left="0" w:right="0" w:hanging="0"/>
              <w:jc w:val="both"/>
              <w:rPr/>
            </w:pPr>
            <w:hyperlink w:anchor="pnnt-ex99_1.htm">
              <w:r>
                <w:rPr>
                  <w:rStyle w:val="InternetLink"/>
                  <w:rFonts w:ascii="Times New Roman;serif" w:hAnsi="Times New Roman;serif"/>
                  <w:b w:val="false"/>
                  <w:sz w:val="20"/>
                  <w:u w:val="single"/>
                </w:rPr>
                <w:t>Press Release of PennantPark Investment Corporation dated May 10, 2023</w:t>
              </w:r>
            </w:hyperlink>
          </w:p>
        </w:tc>
      </w:tr>
      <w:tr>
        <w:trPr/>
        <w:tc>
          <w:tcPr>
            <w:tcW w:w="48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99.2</w:t>
            </w:r>
          </w:p>
        </w:tc>
        <w:tc>
          <w:tcPr>
            <w:tcW w:w="6646" w:type="dxa"/>
            <w:tcBorders/>
            <w:shd w:fill="auto" w:val="clear"/>
            <w:vAlign w:val="center"/>
          </w:tcPr>
          <w:p>
            <w:pPr>
              <w:pStyle w:val="TableContents"/>
              <w:spacing w:before="0" w:after="0"/>
              <w:ind w:left="0" w:right="0" w:hanging="0"/>
              <w:jc w:val="both"/>
              <w:rPr/>
            </w:pPr>
            <w:hyperlink w:anchor="pnnt-ex99_2.htm">
              <w:r>
                <w:rPr>
                  <w:rStyle w:val="InternetLink"/>
                  <w:rFonts w:ascii="Times New Roman;serif" w:hAnsi="Times New Roman;serif"/>
                  <w:b w:val="false"/>
                  <w:sz w:val="20"/>
                  <w:u w:val="single"/>
                </w:rPr>
                <w:t>Schedule of Investments as of March 31, 2023 and September 30, 2022</w:t>
              </w:r>
            </w:hyperlink>
          </w:p>
        </w:tc>
      </w:tr>
      <w:tr>
        <w:trPr/>
        <w:tc>
          <w:tcPr>
            <w:tcW w:w="48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104</w:t>
            </w:r>
          </w:p>
        </w:tc>
        <w:tc>
          <w:tcPr>
            <w:tcW w:w="6646"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6"/>
        </w:rPr>
        <w:t>28435281.2.BUSINESS</w:t>
      </w:r>
      <w:r>
        <w:rPr>
          <w:rFonts w:ascii="Times New Roman" w:hAnsi="Times New Roman"/>
          <w:sz w:val="20"/>
        </w:rPr>
        <w:t xml:space="preserve">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SIGNATURE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Pursuant to the requirements of the Exchange Act, the registrant has duly caused this report to be signed on its behalf by the undersigned hereunto duly authorized.</w:t>
      </w:r>
    </w:p>
    <w:p>
      <w:pPr>
        <w:pStyle w:val="TextBody"/>
        <w:spacing w:before="0" w:after="0"/>
        <w:jc w:val="left"/>
        <w:rPr/>
      </w:pPr>
      <w:r>
        <w:rPr/>
        <w:t> </w:t>
      </w:r>
    </w:p>
    <w:tbl>
      <w:tblPr>
        <w:tblW w:w="6316" w:type="dxa"/>
        <w:jc w:val="left"/>
        <w:tblInd w:w="0" w:type="dxa"/>
        <w:tblCellMar>
          <w:top w:w="28" w:type="dxa"/>
          <w:left w:w="28" w:type="dxa"/>
          <w:bottom w:w="28" w:type="dxa"/>
          <w:right w:w="28" w:type="dxa"/>
        </w:tblCellMar>
      </w:tblPr>
      <w:tblGrid>
        <w:gridCol w:w="1846"/>
        <w:gridCol w:w="516"/>
        <w:gridCol w:w="3954"/>
      </w:tblGrid>
      <w:tr>
        <w:trPr/>
        <w:tc>
          <w:tcPr>
            <w:tcW w:w="184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Dated: May 10, 2023</w:t>
            </w:r>
          </w:p>
        </w:tc>
        <w:tc>
          <w:tcPr>
            <w:tcW w:w="4470" w:type="dxa"/>
            <w:gridSpan w:val="2"/>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PENNANTPARK INVESTMENT CORPORATION</w:t>
            </w:r>
          </w:p>
        </w:tc>
      </w:tr>
      <w:tr>
        <w:trPr/>
        <w:tc>
          <w:tcPr>
            <w:tcW w:w="1846" w:type="dxa"/>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left"/>
              <w:rPr/>
            </w:pPr>
            <w:r>
              <w:rPr/>
              <w:t> </w:t>
            </w:r>
          </w:p>
        </w:tc>
        <w:tc>
          <w:tcPr>
            <w:tcW w:w="3954" w:type="dxa"/>
            <w:tcBorders/>
            <w:shd w:fill="auto" w:val="clear"/>
            <w:vAlign w:val="center"/>
          </w:tcPr>
          <w:p>
            <w:pPr>
              <w:pStyle w:val="TableContents"/>
              <w:spacing w:before="0" w:after="0"/>
              <w:ind w:left="0" w:right="0" w:hanging="0"/>
              <w:jc w:val="left"/>
              <w:rPr/>
            </w:pPr>
            <w:r>
              <w:rPr/>
              <w:t> </w:t>
            </w:r>
          </w:p>
        </w:tc>
      </w:tr>
      <w:tr>
        <w:trPr/>
        <w:tc>
          <w:tcPr>
            <w:tcW w:w="1846" w:type="dxa"/>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Richard T. Allorto, Jr.</w:t>
            </w:r>
          </w:p>
        </w:tc>
      </w:tr>
      <w:tr>
        <w:trPr/>
        <w:tc>
          <w:tcPr>
            <w:tcW w:w="1846" w:type="dxa"/>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left"/>
              <w:rPr/>
            </w:pPr>
            <w:r>
              <w:rPr/>
              <w:t> </w:t>
            </w:r>
          </w:p>
        </w:tc>
        <w:tc>
          <w:tcPr>
            <w:tcW w:w="39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T. Allorto, Jr.</w:t>
            </w:r>
          </w:p>
        </w:tc>
      </w:tr>
      <w:tr>
        <w:trPr/>
        <w:tc>
          <w:tcPr>
            <w:tcW w:w="1846" w:type="dxa"/>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left"/>
              <w:rPr/>
            </w:pPr>
            <w:r>
              <w:rPr/>
              <w:t> </w:t>
            </w:r>
          </w:p>
        </w:tc>
        <w:tc>
          <w:tcPr>
            <w:tcW w:w="3954"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Financial Officer &amp; Treasurer</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6"/>
        </w:rPr>
        <w:t>28435281.2.BUSINESS</w:t>
      </w:r>
      <w:r>
        <w:rPr>
          <w:rFonts w:ascii="Times New Roman" w:hAnsi="Times New Roman"/>
          <w:sz w:val="20"/>
        </w:rPr>
        <w:t xml:space="preserve"> </w:t>
      </w:r>
    </w:p>
    <w:p>
      <w:pPr>
        <w:pStyle w:val="HorizontalLine"/>
        <w:rPr/>
      </w:pPr>
      <w:r>
        <w:rPr/>
      </w:r>
      <w:r>
        <w:br w:type="page"/>
      </w:r>
    </w:p>
    <w:p>
      <w:pPr>
        <w:pStyle w:val="TextBody"/>
        <w:spacing w:before="0" w:after="0"/>
        <w:jc w:val="right"/>
        <w:rPr>
          <w:rFonts w:ascii="Times New Roman;serif" w:hAnsi="Times New Roman;serif"/>
          <w:b/>
          <w:sz w:val="20"/>
        </w:rPr>
      </w:pPr>
      <w:bookmarkStart w:id="2" w:name="pnnt-ex99_1.htm"/>
      <w:bookmarkStart w:id="3" w:name="kspnntex99_1"/>
      <w:bookmarkEnd w:id="2"/>
      <w:bookmarkEnd w:id="3"/>
      <w:r>
        <w:rPr>
          <w:rFonts w:ascii="Times New Roman;serif" w:hAnsi="Times New Roman;serif"/>
          <w:b/>
          <w:sz w:val="20"/>
        </w:rPr>
        <w:t>EXHIBIT 99.1</w:t>
      </w:r>
    </w:p>
    <w:p>
      <w:pPr>
        <w:pStyle w:val="TextBody"/>
        <w:spacing w:before="0" w:after="0"/>
        <w:jc w:val="left"/>
        <w:rPr/>
      </w:pPr>
      <w:r>
        <w:rPr/>
        <w:drawing>
          <wp:inline distT="0" distB="0" distL="0" distR="0">
            <wp:extent cx="200977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485775"/>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PennantPark Investment Corporation Announces 8.1% Increase of Its Quarterly Distribution to $0.20 per Share and Financial Results for the Quarter Ended March 31, 2023</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Miami, FL — (GLOBE NEWSWIRE May 10, 2023) — PennantPark Investment Corporation (NYSE: PNNT) announced today its financial results for the second quarter ended</w:t>
      </w:r>
      <w:r>
        <w:rPr>
          <w:rFonts w:ascii="Times New Roman" w:hAnsi="Times New Roman"/>
          <w:sz w:val="20"/>
        </w:rPr>
        <w:t xml:space="preserve"> </w:t>
      </w:r>
      <w:r>
        <w:rPr>
          <w:rFonts w:ascii="Times New Roman;serif" w:hAnsi="Times New Roman;serif"/>
          <w:b w:val="false"/>
          <w:sz w:val="20"/>
        </w:rPr>
        <w:t>March 31, 2023.</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sz w:val="20"/>
        </w:rPr>
        <w:t>HIGHLIGHTS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Quarter ended March 31, 2023 (unaudited)</w:t>
      </w:r>
    </w:p>
    <w:p>
      <w:pPr>
        <w:pStyle w:val="TextBody"/>
        <w:spacing w:before="0" w:after="0"/>
        <w:jc w:val="left"/>
        <w:rPr>
          <w:rFonts w:ascii="Times New Roman" w:hAnsi="Times New Roman"/>
          <w:sz w:val="20"/>
        </w:rPr>
      </w:pPr>
      <w:r>
        <w:rPr>
          <w:rFonts w:ascii="Times New Roman;serif" w:hAnsi="Times New Roman;serif"/>
          <w:b w:val="false"/>
          <w:sz w:val="20"/>
        </w:rPr>
        <w:t>($ in millions, except per share amounts)</w:t>
      </w:r>
      <w:r>
        <w:rPr>
          <w:rFonts w:ascii="Times New Roman" w:hAnsi="Times New Roman"/>
          <w:sz w:val="20"/>
        </w:rPr>
        <w:t xml:space="preserve"> </w:t>
      </w:r>
    </w:p>
    <w:tbl>
      <w:tblPr>
        <w:tblW w:w="5735" w:type="dxa"/>
        <w:jc w:val="left"/>
        <w:tblInd w:w="0" w:type="dxa"/>
        <w:tblCellMar>
          <w:top w:w="28" w:type="dxa"/>
          <w:left w:w="28" w:type="dxa"/>
          <w:bottom w:w="28" w:type="dxa"/>
          <w:right w:w="28" w:type="dxa"/>
        </w:tblCellMar>
      </w:tblPr>
      <w:tblGrid>
        <w:gridCol w:w="4201"/>
        <w:gridCol w:w="146"/>
        <w:gridCol w:w="196"/>
        <w:gridCol w:w="646"/>
        <w:gridCol w:w="546"/>
      </w:tblGrid>
      <w:tr>
        <w:trPr/>
        <w:tc>
          <w:tcPr>
            <w:tcW w:w="4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546" w:type="dxa"/>
            <w:tcBorders/>
            <w:shd w:fill="auto" w:val="clear"/>
            <w:vAlign w:val="center"/>
          </w:tcPr>
          <w:p>
            <w:pPr>
              <w:pStyle w:val="TableContents"/>
              <w:spacing w:before="0" w:after="0"/>
              <w:ind w:left="0" w:right="0" w:firstLine="200"/>
              <w:jc w:val="right"/>
              <w:rPr/>
            </w:pPr>
            <w:r>
              <w:rPr/>
              <w:t> </w:t>
            </w:r>
          </w:p>
        </w:tc>
      </w:tr>
      <w:tr>
        <w:trPr/>
        <w:tc>
          <w:tcPr>
            <w:tcW w:w="4201" w:type="dxa"/>
            <w:tcBorders/>
            <w:shd w:fill="auto" w:val="clear"/>
            <w:vAlign w:val="center"/>
          </w:tcPr>
          <w:p>
            <w:pPr>
              <w:pStyle w:val="TableContents"/>
              <w:spacing w:before="0" w:after="0"/>
              <w:ind w:left="200" w:right="0" w:hanging="0"/>
              <w:jc w:val="left"/>
              <w:rPr>
                <w:rFonts w:ascii="Times New Roman" w:hAnsi="Times New Roman"/>
                <w:sz w:val="16"/>
              </w:rPr>
            </w:pPr>
            <w:r>
              <w:rPr>
                <w:rFonts w:ascii="Times New Roman;serif" w:hAnsi="Times New Roman;serif"/>
                <w:b w:val="false"/>
                <w:sz w:val="16"/>
              </w:rPr>
              <w:t xml:space="preserve">Investment portfolio </w:t>
            </w:r>
            <w:r>
              <w:rPr>
                <w:rFonts w:ascii="Times New Roman;serif" w:hAnsi="Times New Roman;serif"/>
                <w:b w:val="false"/>
                <w:sz w:val="11"/>
              </w:rPr>
              <w:t>(1)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1,132.5</w:t>
            </w:r>
          </w:p>
        </w:tc>
        <w:tc>
          <w:tcPr>
            <w:tcW w:w="546" w:type="dxa"/>
            <w:tcBorders/>
            <w:shd w:fill="auto" w:val="clear"/>
            <w:vAlign w:val="center"/>
          </w:tcPr>
          <w:p>
            <w:pPr>
              <w:pStyle w:val="TableContents"/>
              <w:spacing w:before="0" w:after="0"/>
              <w:ind w:left="0" w:right="0" w:firstLine="200"/>
              <w:jc w:val="left"/>
              <w:rPr/>
            </w:pPr>
            <w:r>
              <w:rPr/>
              <w:t> </w:t>
            </w:r>
          </w:p>
        </w:tc>
      </w:tr>
      <w:tr>
        <w:trPr/>
        <w:tc>
          <w:tcPr>
            <w:tcW w:w="42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495.7</w:t>
            </w:r>
          </w:p>
        </w:tc>
        <w:tc>
          <w:tcPr>
            <w:tcW w:w="546" w:type="dxa"/>
            <w:tcBorders/>
            <w:shd w:fill="auto" w:val="clear"/>
            <w:vAlign w:val="center"/>
          </w:tcPr>
          <w:p>
            <w:pPr>
              <w:pStyle w:val="TableContents"/>
              <w:spacing w:before="0" w:after="0"/>
              <w:ind w:left="0" w:right="0" w:firstLine="200"/>
              <w:jc w:val="left"/>
              <w:rPr/>
            </w:pPr>
            <w:r>
              <w:rPr/>
              <w:t> </w:t>
            </w:r>
          </w:p>
        </w:tc>
      </w:tr>
      <w:tr>
        <w:trPr/>
        <w:tc>
          <w:tcPr>
            <w:tcW w:w="42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GAAP net asset value per share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7.60</w:t>
            </w:r>
          </w:p>
        </w:tc>
        <w:tc>
          <w:tcPr>
            <w:tcW w:w="546" w:type="dxa"/>
            <w:tcBorders/>
            <w:shd w:fill="auto" w:val="clear"/>
            <w:vAlign w:val="center"/>
          </w:tcPr>
          <w:p>
            <w:pPr>
              <w:pStyle w:val="TableContents"/>
              <w:spacing w:before="0" w:after="0"/>
              <w:ind w:left="0" w:right="0" w:firstLine="200"/>
              <w:jc w:val="left"/>
              <w:rPr/>
            </w:pPr>
            <w:r>
              <w:rPr/>
              <w:t> </w:t>
            </w:r>
          </w:p>
        </w:tc>
      </w:tr>
      <w:tr>
        <w:trPr/>
        <w:tc>
          <w:tcPr>
            <w:tcW w:w="42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Quarterly decrease in GAAP net asset value per share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546"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201" w:type="dxa"/>
            <w:tcBorders/>
            <w:shd w:fill="auto" w:val="clear"/>
            <w:vAlign w:val="center"/>
          </w:tcPr>
          <w:p>
            <w:pPr>
              <w:pStyle w:val="TableContents"/>
              <w:spacing w:before="0" w:after="0"/>
              <w:ind w:left="200" w:right="0" w:hanging="0"/>
              <w:jc w:val="left"/>
              <w:rPr>
                <w:rFonts w:ascii="Times New Roman" w:hAnsi="Times New Roman"/>
                <w:sz w:val="16"/>
              </w:rPr>
            </w:pPr>
            <w:r>
              <w:rPr>
                <w:rFonts w:ascii="Times New Roman;serif" w:hAnsi="Times New Roman;serif"/>
                <w:b w:val="false"/>
                <w:sz w:val="16"/>
              </w:rPr>
              <w:t>Adjusted net asset value per share</w:t>
            </w:r>
            <w:r>
              <w:rPr>
                <w:rFonts w:ascii="Times New Roman" w:hAnsi="Times New Roman"/>
                <w:sz w:val="16"/>
              </w:rPr>
              <w:t> </w:t>
            </w:r>
            <w:r>
              <w:rPr>
                <w:rFonts w:ascii="Times New Roman;serif" w:hAnsi="Times New Roman;serif"/>
                <w:b w:val="false"/>
                <w:sz w:val="11"/>
              </w:rPr>
              <w:t>(2)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7.44</w:t>
            </w:r>
          </w:p>
        </w:tc>
        <w:tc>
          <w:tcPr>
            <w:tcW w:w="546" w:type="dxa"/>
            <w:tcBorders/>
            <w:shd w:fill="auto" w:val="clear"/>
            <w:vAlign w:val="center"/>
          </w:tcPr>
          <w:p>
            <w:pPr>
              <w:pStyle w:val="TableContents"/>
              <w:spacing w:before="0" w:after="0"/>
              <w:ind w:left="0" w:right="0" w:firstLine="200"/>
              <w:jc w:val="left"/>
              <w:rPr/>
            </w:pPr>
            <w:r>
              <w:rPr/>
              <w:t> </w:t>
            </w:r>
          </w:p>
        </w:tc>
      </w:tr>
      <w:tr>
        <w:trPr/>
        <w:tc>
          <w:tcPr>
            <w:tcW w:w="4201" w:type="dxa"/>
            <w:tcBorders/>
            <w:shd w:fill="auto" w:val="clear"/>
            <w:vAlign w:val="center"/>
          </w:tcPr>
          <w:p>
            <w:pPr>
              <w:pStyle w:val="TableContents"/>
              <w:spacing w:before="0" w:after="0"/>
              <w:ind w:left="200" w:right="0" w:hanging="0"/>
              <w:jc w:val="left"/>
              <w:rPr>
                <w:rFonts w:ascii="Times New Roman" w:hAnsi="Times New Roman"/>
                <w:sz w:val="16"/>
              </w:rPr>
            </w:pPr>
            <w:r>
              <w:rPr>
                <w:rFonts w:ascii="Times New Roman;serif" w:hAnsi="Times New Roman;serif"/>
                <w:b w:val="false"/>
                <w:sz w:val="16"/>
              </w:rPr>
              <w:t xml:space="preserve">Quarterly decrease in adjusted net asset value per share </w:t>
            </w:r>
            <w:r>
              <w:rPr>
                <w:rFonts w:ascii="Times New Roman;serif" w:hAnsi="Times New Roman;serif"/>
                <w:b w:val="false"/>
                <w:sz w:val="11"/>
              </w:rPr>
              <w:t>(2)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5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546" w:type="dxa"/>
            <w:tcBorders/>
            <w:shd w:fill="auto" w:val="clear"/>
            <w:vAlign w:val="center"/>
          </w:tcPr>
          <w:p>
            <w:pPr>
              <w:pStyle w:val="TableContents"/>
              <w:spacing w:before="0" w:after="0"/>
              <w:ind w:left="0" w:right="0" w:hanging="0"/>
              <w:jc w:val="right"/>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Credit Facility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362.3</w:t>
            </w:r>
          </w:p>
        </w:tc>
        <w:tc>
          <w:tcPr>
            <w:tcW w:w="546" w:type="dxa"/>
            <w:tcBorders/>
            <w:shd w:fill="auto" w:val="clear"/>
            <w:vAlign w:val="center"/>
          </w:tcPr>
          <w:p>
            <w:pPr>
              <w:pStyle w:val="TableContents"/>
              <w:spacing w:before="0" w:after="0"/>
              <w:ind w:left="0" w:right="0" w:hanging="0"/>
              <w:jc w:val="left"/>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2026 Notes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147.2</w:t>
            </w:r>
          </w:p>
        </w:tc>
        <w:tc>
          <w:tcPr>
            <w:tcW w:w="546" w:type="dxa"/>
            <w:tcBorders/>
            <w:shd w:fill="auto" w:val="clear"/>
            <w:vAlign w:val="center"/>
          </w:tcPr>
          <w:p>
            <w:pPr>
              <w:pStyle w:val="TableContents"/>
              <w:spacing w:before="0" w:after="0"/>
              <w:ind w:left="0" w:right="0" w:hanging="0"/>
              <w:jc w:val="left"/>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2026-2 Notes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161.8</w:t>
            </w:r>
          </w:p>
        </w:tc>
        <w:tc>
          <w:tcPr>
            <w:tcW w:w="546" w:type="dxa"/>
            <w:tcBorders/>
            <w:shd w:fill="auto" w:val="clear"/>
            <w:vAlign w:val="center"/>
          </w:tcPr>
          <w:p>
            <w:pPr>
              <w:pStyle w:val="TableContents"/>
              <w:spacing w:before="0" w:after="0"/>
              <w:ind w:left="0" w:right="0" w:hanging="0"/>
              <w:jc w:val="left"/>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Regulatory Debt to Equity</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1.43x</w:t>
            </w:r>
          </w:p>
        </w:tc>
        <w:tc>
          <w:tcPr>
            <w:tcW w:w="546" w:type="dxa"/>
            <w:tcBorders/>
            <w:shd w:fill="auto" w:val="clear"/>
            <w:vAlign w:val="center"/>
          </w:tcPr>
          <w:p>
            <w:pPr>
              <w:pStyle w:val="TableContents"/>
              <w:spacing w:before="0" w:after="0"/>
              <w:ind w:left="0" w:right="0" w:hanging="0"/>
              <w:jc w:val="right"/>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yield on debt investments at quarter-end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w:t>
            </w:r>
          </w:p>
        </w:tc>
        <w:tc>
          <w:tcPr>
            <w:tcW w:w="5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546" w:type="dxa"/>
            <w:tcBorders/>
            <w:shd w:fill="auto" w:val="clear"/>
            <w:vAlign w:val="center"/>
          </w:tcPr>
          <w:p>
            <w:pPr>
              <w:pStyle w:val="TableContents"/>
              <w:spacing w:before="0" w:after="0"/>
              <w:ind w:left="0" w:right="0" w:hanging="0"/>
              <w:jc w:val="right"/>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Operating Results: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546" w:type="dxa"/>
            <w:tcBorders/>
            <w:shd w:fill="auto" w:val="clear"/>
            <w:vAlign w:val="center"/>
          </w:tcPr>
          <w:p>
            <w:pPr>
              <w:pStyle w:val="TableContents"/>
              <w:spacing w:before="0" w:after="0"/>
              <w:ind w:left="0" w:right="0" w:firstLine="200"/>
              <w:jc w:val="right"/>
              <w:rPr/>
            </w:pPr>
            <w:r>
              <w:rPr/>
              <w:t> </w:t>
            </w:r>
          </w:p>
        </w:tc>
      </w:tr>
      <w:tr>
        <w:trPr/>
        <w:tc>
          <w:tcPr>
            <w:tcW w:w="42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investment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16.6</w:t>
            </w:r>
          </w:p>
        </w:tc>
        <w:tc>
          <w:tcPr>
            <w:tcW w:w="546" w:type="dxa"/>
            <w:tcBorders/>
            <w:shd w:fill="auto" w:val="clear"/>
            <w:vAlign w:val="center"/>
          </w:tcPr>
          <w:p>
            <w:pPr>
              <w:pStyle w:val="TableContents"/>
              <w:spacing w:before="0" w:after="0"/>
              <w:ind w:left="0" w:right="0" w:firstLine="200"/>
              <w:jc w:val="left"/>
              <w:rPr/>
            </w:pPr>
            <w:r>
              <w:rPr/>
              <w:t> </w:t>
            </w:r>
          </w:p>
        </w:tc>
      </w:tr>
      <w:tr>
        <w:trPr/>
        <w:tc>
          <w:tcPr>
            <w:tcW w:w="42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investment income per share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0.26</w:t>
            </w:r>
          </w:p>
        </w:tc>
        <w:tc>
          <w:tcPr>
            <w:tcW w:w="546" w:type="dxa"/>
            <w:tcBorders/>
            <w:shd w:fill="auto" w:val="clear"/>
            <w:vAlign w:val="center"/>
          </w:tcPr>
          <w:p>
            <w:pPr>
              <w:pStyle w:val="TableContents"/>
              <w:spacing w:before="0" w:after="0"/>
              <w:ind w:left="0" w:right="0" w:firstLine="200"/>
              <w:jc w:val="left"/>
              <w:rPr/>
            </w:pPr>
            <w:r>
              <w:rPr/>
              <w:t> </w:t>
            </w:r>
          </w:p>
        </w:tc>
      </w:tr>
      <w:tr>
        <w:trPr/>
        <w:tc>
          <w:tcPr>
            <w:tcW w:w="42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Non-core income per share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(0.05</w:t>
            </w:r>
          </w:p>
        </w:tc>
        <w:tc>
          <w:tcPr>
            <w:tcW w:w="546"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201" w:type="dxa"/>
            <w:tcBorders/>
            <w:shd w:fill="auto" w:val="clear"/>
            <w:vAlign w:val="center"/>
          </w:tcPr>
          <w:p>
            <w:pPr>
              <w:pStyle w:val="TableContents"/>
              <w:spacing w:before="0" w:after="0"/>
              <w:ind w:left="200" w:right="0" w:hanging="0"/>
              <w:jc w:val="left"/>
              <w:rPr>
                <w:rFonts w:ascii="Times New Roman" w:hAnsi="Times New Roman"/>
                <w:sz w:val="16"/>
              </w:rPr>
            </w:pPr>
            <w:r>
              <w:rPr>
                <w:rFonts w:ascii="Times New Roman;serif" w:hAnsi="Times New Roman;serif"/>
                <w:b w:val="false"/>
                <w:sz w:val="16"/>
              </w:rPr>
              <w:t xml:space="preserve">Core net investment income per share </w:t>
            </w:r>
            <w:r>
              <w:rPr>
                <w:rFonts w:ascii="Times New Roman;serif" w:hAnsi="Times New Roman;serif"/>
                <w:b w:val="false"/>
                <w:sz w:val="11"/>
              </w:rPr>
              <w:t>(3)</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0.21</w:t>
            </w:r>
          </w:p>
        </w:tc>
        <w:tc>
          <w:tcPr>
            <w:tcW w:w="546" w:type="dxa"/>
            <w:tcBorders/>
            <w:shd w:fill="auto" w:val="clear"/>
            <w:vAlign w:val="center"/>
          </w:tcPr>
          <w:p>
            <w:pPr>
              <w:pStyle w:val="TableContents"/>
              <w:spacing w:before="0" w:after="0"/>
              <w:ind w:left="0" w:right="0" w:firstLine="200"/>
              <w:jc w:val="left"/>
              <w:rPr/>
            </w:pPr>
            <w:r>
              <w:rPr/>
              <w:t> </w:t>
            </w:r>
          </w:p>
        </w:tc>
      </w:tr>
      <w:tr>
        <w:trPr/>
        <w:tc>
          <w:tcPr>
            <w:tcW w:w="42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Distributions declared per share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0.185</w:t>
            </w:r>
          </w:p>
        </w:tc>
        <w:tc>
          <w:tcPr>
            <w:tcW w:w="546" w:type="dxa"/>
            <w:tcBorders/>
            <w:shd w:fill="auto" w:val="clear"/>
            <w:vAlign w:val="center"/>
          </w:tcPr>
          <w:p>
            <w:pPr>
              <w:pStyle w:val="TableContents"/>
              <w:spacing w:before="0" w:after="0"/>
              <w:ind w:left="0" w:right="0" w:firstLine="200"/>
              <w:jc w:val="left"/>
              <w:rPr/>
            </w:pPr>
            <w:r>
              <w:rPr/>
              <w:t> </w:t>
            </w:r>
          </w:p>
        </w:tc>
      </w:tr>
      <w:tr>
        <w:trPr/>
        <w:tc>
          <w:tcPr>
            <w:tcW w:w="420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546" w:type="dxa"/>
            <w:tcBorders/>
            <w:shd w:fill="auto" w:val="clear"/>
            <w:vAlign w:val="center"/>
          </w:tcPr>
          <w:p>
            <w:pPr>
              <w:pStyle w:val="TableContents"/>
              <w:spacing w:before="0" w:after="0"/>
              <w:ind w:left="0" w:right="0" w:hanging="0"/>
              <w:jc w:val="right"/>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Portfolio Activity:</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546" w:type="dxa"/>
            <w:tcBorders/>
            <w:shd w:fill="auto" w:val="clear"/>
            <w:vAlign w:val="center"/>
          </w:tcPr>
          <w:p>
            <w:pPr>
              <w:pStyle w:val="TableContents"/>
              <w:spacing w:before="0" w:after="0"/>
              <w:ind w:left="0" w:right="0" w:firstLine="200"/>
              <w:jc w:val="right"/>
              <w:rPr/>
            </w:pPr>
            <w:r>
              <w:rPr/>
              <w:t> </w:t>
            </w:r>
          </w:p>
        </w:tc>
      </w:tr>
      <w:tr>
        <w:trPr/>
        <w:tc>
          <w:tcPr>
            <w:tcW w:w="42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Purchases of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58.3</w:t>
            </w:r>
          </w:p>
        </w:tc>
        <w:tc>
          <w:tcPr>
            <w:tcW w:w="546" w:type="dxa"/>
            <w:tcBorders/>
            <w:shd w:fill="auto" w:val="clear"/>
            <w:vAlign w:val="center"/>
          </w:tcPr>
          <w:p>
            <w:pPr>
              <w:pStyle w:val="TableContents"/>
              <w:spacing w:before="0" w:after="0"/>
              <w:ind w:left="0" w:right="0" w:firstLine="200"/>
              <w:jc w:val="left"/>
              <w:rPr/>
            </w:pPr>
            <w:r>
              <w:rPr/>
              <w:t> </w:t>
            </w:r>
          </w:p>
        </w:tc>
      </w:tr>
      <w:tr>
        <w:trPr/>
        <w:tc>
          <w:tcPr>
            <w:tcW w:w="42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Sales and repayments of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114.2</w:t>
            </w:r>
          </w:p>
        </w:tc>
        <w:tc>
          <w:tcPr>
            <w:tcW w:w="546" w:type="dxa"/>
            <w:tcBorders/>
            <w:shd w:fill="auto" w:val="clear"/>
            <w:vAlign w:val="center"/>
          </w:tcPr>
          <w:p>
            <w:pPr>
              <w:pStyle w:val="TableContents"/>
              <w:spacing w:before="0" w:after="0"/>
              <w:ind w:left="0" w:right="0" w:hanging="0"/>
              <w:jc w:val="left"/>
              <w:rPr/>
            </w:pPr>
            <w:r>
              <w:rPr/>
              <w:t> </w:t>
            </w:r>
          </w:p>
        </w:tc>
      </w:tr>
      <w:tr>
        <w:trPr/>
        <w:tc>
          <w:tcPr>
            <w:tcW w:w="4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546" w:type="dxa"/>
            <w:tcBorders/>
            <w:shd w:fill="auto" w:val="clear"/>
            <w:vAlign w:val="center"/>
          </w:tcPr>
          <w:p>
            <w:pPr>
              <w:pStyle w:val="TableContents"/>
              <w:spacing w:before="0" w:after="0"/>
              <w:ind w:left="0" w:right="0" w:hanging="0"/>
              <w:jc w:val="right"/>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PSLF Portfolio data:</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546" w:type="dxa"/>
            <w:tcBorders/>
            <w:shd w:fill="auto" w:val="clear"/>
            <w:vAlign w:val="center"/>
          </w:tcPr>
          <w:p>
            <w:pPr>
              <w:pStyle w:val="TableContents"/>
              <w:spacing w:before="0" w:after="0"/>
              <w:ind w:left="0" w:right="0" w:firstLine="200"/>
              <w:jc w:val="right"/>
              <w:rPr/>
            </w:pPr>
            <w:r>
              <w:rPr/>
              <w:t> </w:t>
            </w:r>
          </w:p>
        </w:tc>
      </w:tr>
      <w:tr>
        <w:trPr/>
        <w:tc>
          <w:tcPr>
            <w:tcW w:w="42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PSLF investment portfolio</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747.6</w:t>
            </w:r>
          </w:p>
        </w:tc>
        <w:tc>
          <w:tcPr>
            <w:tcW w:w="546" w:type="dxa"/>
            <w:tcBorders/>
            <w:shd w:fill="auto" w:val="clear"/>
            <w:vAlign w:val="center"/>
          </w:tcPr>
          <w:p>
            <w:pPr>
              <w:pStyle w:val="TableContents"/>
              <w:spacing w:before="0" w:after="0"/>
              <w:ind w:left="0" w:right="0" w:firstLine="200"/>
              <w:jc w:val="left"/>
              <w:rPr/>
            </w:pPr>
            <w:r>
              <w:rPr/>
              <w:t> </w:t>
            </w:r>
          </w:p>
        </w:tc>
      </w:tr>
      <w:tr>
        <w:trPr/>
        <w:tc>
          <w:tcPr>
            <w:tcW w:w="42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Purchases of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38.5</w:t>
            </w:r>
          </w:p>
        </w:tc>
        <w:tc>
          <w:tcPr>
            <w:tcW w:w="546" w:type="dxa"/>
            <w:tcBorders/>
            <w:shd w:fill="auto" w:val="clear"/>
            <w:vAlign w:val="center"/>
          </w:tcPr>
          <w:p>
            <w:pPr>
              <w:pStyle w:val="TableContents"/>
              <w:spacing w:before="0" w:after="0"/>
              <w:ind w:left="0" w:right="0" w:firstLine="200"/>
              <w:jc w:val="left"/>
              <w:rPr/>
            </w:pPr>
            <w:r>
              <w:rPr/>
              <w:t> </w:t>
            </w:r>
          </w:p>
        </w:tc>
      </w:tr>
      <w:tr>
        <w:trPr/>
        <w:tc>
          <w:tcPr>
            <w:tcW w:w="42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Sales and repayments of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24.9</w:t>
            </w:r>
          </w:p>
        </w:tc>
        <w:tc>
          <w:tcPr>
            <w:tcW w:w="546" w:type="dxa"/>
            <w:tcBorders/>
            <w:shd w:fill="auto" w:val="cle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40" w:after="0"/>
        <w:jc w:val="both"/>
        <w:rPr>
          <w:rFonts w:ascii="Times New Roman" w:hAnsi="Times New Roman"/>
          <w:b w:val="false"/>
          <w:sz w:val="16"/>
        </w:rPr>
      </w:pPr>
      <w:r>
        <w:rPr>
          <w:rFonts w:ascii="Times New Roman" w:hAnsi="Times New Roman"/>
          <w:b w:val="false"/>
          <w:sz w:val="16"/>
        </w:rPr>
        <w:t>1.</w:t>
      </w:r>
    </w:p>
    <w:p>
      <w:pPr>
        <w:pStyle w:val="TextBody"/>
        <w:spacing w:before="40" w:after="0"/>
        <w:jc w:val="both"/>
        <w:rPr>
          <w:rFonts w:ascii="Times New Roman;serif" w:hAnsi="Times New Roman;serif"/>
          <w:b w:val="false"/>
          <w:sz w:val="16"/>
        </w:rPr>
      </w:pPr>
      <w:r>
        <w:rPr>
          <w:rFonts w:ascii="Times New Roman;serif" w:hAnsi="Times New Roman;serif"/>
          <w:b w:val="false"/>
          <w:sz w:val="16"/>
        </w:rPr>
        <w:t>Includes investments in PennantPark Senior Loan Fund, LLC, or PSLF, an unconsolidated joint venture, totaling $148.7 million, at fair value.</w:t>
      </w:r>
    </w:p>
    <w:p>
      <w:pPr>
        <w:pStyle w:val="TextBody"/>
        <w:spacing w:before="40" w:after="0"/>
        <w:jc w:val="both"/>
        <w:rPr>
          <w:rFonts w:ascii="Times New Roman" w:hAnsi="Times New Roman"/>
          <w:b w:val="false"/>
          <w:sz w:val="16"/>
        </w:rPr>
      </w:pPr>
      <w:r>
        <w:rPr>
          <w:rFonts w:ascii="Times New Roman" w:hAnsi="Times New Roman"/>
          <w:b w:val="false"/>
          <w:sz w:val="16"/>
        </w:rPr>
        <w:t>2.</w:t>
      </w:r>
    </w:p>
    <w:p>
      <w:pPr>
        <w:pStyle w:val="TextBody"/>
        <w:spacing w:before="40" w:after="0"/>
        <w:jc w:val="both"/>
        <w:rPr>
          <w:rFonts w:ascii="Times New Roman;serif" w:hAnsi="Times New Roman;serif"/>
          <w:b w:val="false"/>
          <w:sz w:val="16"/>
        </w:rPr>
      </w:pPr>
      <w:r>
        <w:rPr>
          <w:rFonts w:ascii="Times New Roman;serif" w:hAnsi="Times New Roman;serif"/>
          <w:b w:val="false"/>
          <w:sz w:val="16"/>
        </w:rPr>
        <w:t xml:space="preserve">This is a non-GAAP financial measure. The Company believes that this number provides useful information to investors and management because it reflects the Company’s financial performance excluding the impact of $10.2 million, or $0.16 per share, unrealized gain on our multi-currency, senior secured revolving credit facility with Truist Bank, as amended, the “Credit Facility." The presentation of this additional information is not meant to be considered in isolation or as a substitute for financial results prepared in accordance with GAAP. </w:t>
      </w:r>
    </w:p>
    <w:p>
      <w:pPr>
        <w:pStyle w:val="TextBody"/>
        <w:spacing w:before="40" w:after="0"/>
        <w:jc w:val="both"/>
        <w:rPr>
          <w:rFonts w:ascii="Times New Roman" w:hAnsi="Times New Roman"/>
          <w:b w:val="false"/>
          <w:sz w:val="16"/>
        </w:rPr>
      </w:pPr>
      <w:r>
        <w:rPr>
          <w:rFonts w:ascii="Times New Roman" w:hAnsi="Times New Roman"/>
          <w:b w:val="false"/>
          <w:sz w:val="16"/>
        </w:rPr>
        <w:t>3.</w:t>
      </w:r>
    </w:p>
    <w:p>
      <w:pPr>
        <w:pStyle w:val="TextBody"/>
        <w:spacing w:before="40" w:after="283"/>
        <w:jc w:val="both"/>
        <w:rPr>
          <w:rFonts w:ascii="Times New Roman;serif" w:hAnsi="Times New Roman;serif"/>
          <w:b w:val="false"/>
          <w:sz w:val="16"/>
        </w:rPr>
      </w:pPr>
      <w:r>
        <w:rPr>
          <w:rFonts w:ascii="Times New Roman;serif" w:hAnsi="Times New Roman;serif"/>
          <w:b w:val="false"/>
          <w:sz w:val="16"/>
        </w:rPr>
        <w:t>Core net investment income ("Core NII") is a non-GAAP financial measure. The Company believes that core net investment income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March 31, 2023, Core NII excluded; i) $3.1 million of accelerated amortization income associated with the early repayment of one of our loans; ii) a non-recurring dividend of $0.6 million from PennantPark-TSO Senior Loan Fund II, LP; and iii) and an addback of $0.6 million of incentive fee expense.</w:t>
      </w:r>
    </w:p>
    <w:p>
      <w:pPr>
        <w:pStyle w:val="TextBody"/>
        <w:spacing w:before="4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CONFERENCE CALL AT 12:00 P.M. EST ON MAY 11, 2023</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PennantPark Investment Corporation (“we,” “our,” “us” or the “Company”) will also host a conference call at 12:00 p.m. (Eastern Time) on Thursday, May 11, 2023 to discuss its financial results. All interested parties are welcome to participate. You can access the conference call by dialing toll-free (888) 256-1007 approximately 5-10 minutes prior to the call. International callers should dial (929) 477-0448. All callers should reference conference ID #7357887 or PennantPark Investment Corporation. An archived replay will also be available on a webcast link located on the Quarterly Earnings page Investor section of PennantPark’s website.</w:t>
      </w:r>
    </w:p>
    <w:p>
      <w:pPr>
        <w:pStyle w:val="TextBody"/>
        <w:spacing w:before="0" w:after="0"/>
        <w:jc w:val="both"/>
        <w:rPr/>
      </w:pPr>
      <w:r>
        <w:rPr/>
        <w:t> </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INCREASE OF QUARTERLY DISTRIBUTION TO $0.20 PER SHARE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On May 9, 2023, the Company declared a distribution of $0.20 per share, an increase of 8.1% from the most recent distribution. The distribution is payable on July 3, 2023 to stockholders of record as of June 15, 2023 and is expected to be paid from taxable net investment income. The final tax characteristics of the distribution will be reported to stockholders on Form 1099 after the end of the calendar year and in the Company’s periodic report filed with the Securities and Exchange Commission.</w:t>
      </w:r>
    </w:p>
    <w:p>
      <w:pPr>
        <w:pStyle w:val="TextBody"/>
        <w:spacing w:before="0" w:after="0"/>
        <w:jc w:val="both"/>
        <w:rPr/>
      </w:pPr>
      <w:r>
        <w:rPr/>
        <w:t> </w:t>
      </w:r>
    </w:p>
    <w:p>
      <w:pPr>
        <w:pStyle w:val="TextBody"/>
        <w:spacing w:before="0" w:after="0"/>
        <w:jc w:val="both"/>
        <w:rPr/>
      </w:pPr>
      <w:r>
        <w:rPr/>
        <w:t>“</w:t>
      </w:r>
      <w:r>
        <w:rPr>
          <w:rFonts w:ascii="Times New Roman;serif" w:hAnsi="Times New Roman;serif"/>
          <w:b w:val="false"/>
          <w:sz w:val="20"/>
        </w:rPr>
        <w:t>We are pleased to announce another increase in our quarterly dividend, which is well covered by our net investment income,” said Arthur Penn, Chairman and CEO. “We are positioned to capture this excellent vintage of investments, which we believe will continue to enhance our earnings over time.”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PORTFOLIO AND INVESTMENT ACTIVITY</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PennantPark Investment Corporation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As of March 31, 2023, our portfolio totaled $1,132.5 million, which consisted of $648.4 million of first lien secured debt, $111.3 million of second lien secured debt, $147.9 million of subordinated debt (including $95.4 million in PSLF) and $224.9 million of preferred and common equity (including $53.4 million in PSLF). Our debt portfolio consisted of 96% variable-rate investments and 4% fixed-rate investments. As of March 31, 2023, we had one portfolio company on non-accrual, representing 1.0% and zero of our overall portfolio on a cost and fair value basis, respectively. As of March 31, 2023, the portfolio had net unrealized depreciation of $32.1 million. Our overall portfolio consisted of 135 companies with an average investment size of $8.4 million, and a weighted average yield on interest bearing debt investments of 12.1%.</w:t>
      </w:r>
      <w:r>
        <w:rPr>
          <w:rFonts w:ascii="Times New Roman" w:hAnsi="Times New Roman"/>
          <w:sz w:val="20"/>
        </w:rPr>
        <w:t xml:space="preserve"> </w:t>
      </w:r>
    </w:p>
    <w:p>
      <w:pPr>
        <w:pStyle w:val="TextBody"/>
        <w:spacing w:before="0" w:after="0"/>
        <w:jc w:val="both"/>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of September 30, 2022, our portfolio totaled $1,226.3 million and consisted of $631.0 million of first lien secured debt, $129.9 million of second lien secured debt, $141.3 million of subordinated debt (including $88.0 million in PSLF) and $324.1 million of preferred and common equity (including $51.1 million in PSLF). Our interest bearing debt portfolio consisted of 96% variable-rate investments and 4% fixed-rate investments. As of September 30, 2022, we had one portfolio company on non-accrual, representing 1% and zero percent of our overall portfolio on a cost and fair value basis, respectively. As of September 30, 2022, the portfolio had net unrealized depreciation of $71.0 million. Our overall portfolio consisted of 123 companies with an average investment size of $10.1 million, and a weighted average yield on interest bearing debt investments of 10.8 %.</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For the three months ended March 31, 2023, we invested $58.3 million in six new and 34 existing portfolio companies with a weighted average yield on debt investments of 11.8%. For the three months ended March 31, 2023, sales and repayments of investments totaled $106.2 million. For the six months ended March 31, 2023, we invested $144.5 million in 12 new and 64 existing portfolio companies with a weighted average yield on debt investments of 11.5%. For the six months ended March 31, 2023, sales and repayment totaled $144.8 million.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For the three months ended March 31, 2022, we invested $178.0 million in eight new and 29 existing portfolio companies with a weighted average yield on debt investments of 7.2%. Sales and repayments of investments for the three months ended March 31, 2022 totaled $405.5 million. For the six months ended March 31, 2022, we invested $473.1 million in 24 new and 59 existing portfolio companies with a weighted average yield on debt investments of 7.8%. Sales and repayment of investments for the six months ended March 31, 2022 totaled $537.7 million.</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PennantPark Senior Loan Fund, LLC</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of March 31, 2023, PSLF’s portfolio totaled $747.6 million, consisted of 86 companies with an average investment size of $8.7 million and had a weighted average yield on debt investments of 11.3%.</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of September 30, 2022, PSLF’s portfolio totaled $730.1 million, consisted of 80 companies with an average investment size of $9.1 million and had a weighted average yield on debt investments of 9.4%.</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For the three months ended March 31, 2023, PSLF invested $38.5 million (of which $18.4 were purchased from the Company) in one new and one existing portfolio company with a weighted average yield on debt investments of 11.6%. PSLF’s sales and repayments of investments for the same period totaled $24.9 million. For the six months ended March 31, 2023, PSLF invested $55.3 million (of which $18.4 million was purchased from the Company) in eight new and five existing portfolio companies with a weighted average yield on debt investments of 11.5%. PSLF's sales and repayments of investments for the same period totaled $33.9 million.</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For the three months ended March 31, 2022, PSLF invested $27.4 million (of which $11.5 million was purchased from the Company) in six new and two existing portfolio companies with a weighted average yield on debt investments of 7.5%. PSLF’s sales and repayments of investments for the same period totaled $2.3 million. For the six months ended March 31, 2022, PSLF invested $78.1 million (of which $59.6 million was purchased from the Company) in 15 new and two existing portfolio companies with a weighted average yield on debt investment of 7.5%. PSLF's sales and repayments of investments for the same period totaled $37.9 million.</w:t>
      </w:r>
    </w:p>
    <w:p>
      <w:pPr>
        <w:pStyle w:val="HorizontalLine"/>
        <w:rPr/>
      </w:pPr>
      <w:r>
        <w:rPr/>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RESULTS OF OPERATIONS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Set forth below are the results of operations during the three and six months ended March 31, 2023 and 2022.</w:t>
      </w:r>
    </w:p>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Investment Income</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For the three and six months ended March 31, 2023, investment income was $36.3 million and $66.3 million, respectively, which was attributable to $26.8 million and $48.6 million from first lien secured debt, $3.7 million and $7.4 million from second lien secured debt, $2.2 million and $1.1 million from subordinated debt and $4.8 million from preferred and common equity, respectively. For the three and six months ended March 31, 2022, investment income was $24.3 million and $52.7 million, respectively, which was attributable to $14.5 million and $34.6 million from first lien secured debt, $6.3 million and $10.8 million from second lien secured debt, $0.4 million and $2.3 million from subordinated debt and $3.1 million and $4.9 million from preferred and common equity, respectively. The increase in investment income was primarily due to the increase in the cost yield of our debt portfolio compared to the same periods in the prior year.</w:t>
      </w:r>
    </w:p>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Expenses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For the three and six months ended March 31, 2023, expenses totaled $19.7 million and $39.3 million, respectively and were comprised of; $10.6 million and $20.3 million of debt related interest and expenses, $4.0 million and $8.6 million of base management fees, $3.5 million and $5.7 million of incentive fees, $1.1 million and $2.2 million of general and administrative expenses and $0.5 million and $2.5 million of provision for excise taxes. For the three and six months ended March 31, 2022, expenses totaled $12.7 million and $28.5 million, respectively, and were comprised of; $6.5 million and $13.4 million of debt related interest and expenses, $5.0 million and $10.1 million of base management fees, zero, and $2.7 million of incentive fees, $1.0 million and $1.9 million of general and administrative expenses and $0.2 million and $0.4 million of provision for excise taxes, respectively. The increase in expenses was primarily due to the increase in financing costs of our liabilities debt compared to the same periods in the prior year.</w:t>
      </w:r>
      <w:r>
        <w:rPr>
          <w:rFonts w:ascii="Times New Roman" w:hAnsi="Times New Roman"/>
          <w:sz w:val="20"/>
        </w:rPr>
        <w:t xml:space="preserve"> </w:t>
      </w:r>
    </w:p>
    <w:p>
      <w:pPr>
        <w:pStyle w:val="TextBody"/>
        <w:spacing w:before="0" w:after="0"/>
        <w:jc w:val="both"/>
        <w:rPr>
          <w:rFonts w:ascii="Times New Roman;serif" w:hAnsi="Times New Roman;serif"/>
          <w:b/>
          <w:sz w:val="20"/>
        </w:rPr>
      </w:pPr>
      <w:r>
        <w:rPr>
          <w:rFonts w:ascii="Times New Roman;serif" w:hAnsi="Times New Roman;serif"/>
          <w:b/>
          <w:sz w:val="20"/>
        </w:rPr>
        <w:t>Net Investment Income</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For the three and six months ended March 31, 2023, net investment income totaled $16.6 million, and $27.0 million, , or $0.26 and $0.41 per share, respectively. For the three and six months ended March 31, 2022, net investment income totaled $11.7 million, or $0.18 per share, and $24.2 million and $0.36 per share. The increase in net investment income was primarily due to an increase in investment income partially offset by an increase in expenses compared to the same periods in the prior year.</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Net Realized Gains or Losses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For the three and six months ended March 31, 2023, net realized gains (losses) totaled $(148.7) million and $(144.7) million, respectively. For the three and six months ended March 31, 2022 net realized gains (losses) totaled $136.6 million and $108.9 million, respectively. The change in net realized gains or losses was primarily due to changes in the market conditions of our investments and the values at which they were realized compared to the same periods in the prior year.</w:t>
      </w:r>
    </w:p>
    <w:p>
      <w:pPr>
        <w:pStyle w:val="TextBody"/>
        <w:spacing w:before="0" w:after="0"/>
        <w:jc w:val="both"/>
        <w:rPr>
          <w:rFonts w:ascii="Times New Roman;serif" w:hAnsi="Times New Roman;serif"/>
          <w:b/>
          <w:sz w:val="20"/>
        </w:rPr>
      </w:pPr>
      <w:r>
        <w:rPr>
          <w:rFonts w:ascii="Times New Roman;serif" w:hAnsi="Times New Roman;serif"/>
          <w:b/>
          <w:sz w:val="20"/>
        </w:rPr>
        <w:t>Unrealized Appreciation or Depreciation on Investments and Debt</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For the three and six months ended March 31, 2023, we reported net change in unrealized appreciation (depreciation) on investments of $135.4 million and $43.8 million, respectively. For the three and six months ended March 31, 2022, we reported net change in unrealized appreciation (depreciation) on investments of $(151.5) million and $(104.7) million, respectively. As of March 31, 2023 and September 30, 2022, our net unrealized appreciation (depreciation) on investments totaled $(32.1) million and $(75.7) million, respectively. The net change in unrealized appreciation or depreciation on investments compared to the same period in the prior year was primarily due to the operating performance of the portfolio companies within the portfolio and changes in the capital market conditions of our investments.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For the three and six months ended March 31, 2023, our credit facility with Truist (the "Credit Facility") had a net change in unrealized (appreciation) depreciation of $1.5 million and $5.9 million, respectively. For the three and six months ended March 31, 2022, the Credit Facility had a net change in unrealized (appreciation) depreciation of $1.3 million and $0.3 million, respectively. As of March 31, 2023 and September 30, 2022, the net unrealized (appreciation) depreciation on the Credit Facility totaled $15.2 million and $9.2 million, respectively. The net change in unrealized appreciation or depreciation compared to the same periods in the prior year was primarily due to changes in the capital markets.</w:t>
      </w:r>
    </w:p>
    <w:p>
      <w:pPr>
        <w:pStyle w:val="TextBody"/>
        <w:spacing w:before="0" w:after="0"/>
        <w:jc w:val="both"/>
        <w:rPr/>
      </w:pPr>
      <w:r>
        <w:rPr/>
        <w:t> </w:t>
      </w:r>
    </w:p>
    <w:p>
      <w:pPr>
        <w:pStyle w:val="TextBody"/>
        <w:spacing w:before="0" w:after="0"/>
        <w:jc w:val="left"/>
        <w:rPr/>
      </w:pPr>
      <w:r>
        <w:rPr/>
        <w:t> </w:t>
      </w:r>
    </w:p>
    <w:p>
      <w:pPr>
        <w:pStyle w:val="HorizontalLine"/>
        <w:rPr/>
      </w:pPr>
      <w:r>
        <w:rPr/>
      </w:r>
    </w:p>
    <w:p>
      <w:pPr>
        <w:pStyle w:val="TextBody"/>
        <w:spacing w:before="0" w:after="0"/>
        <w:jc w:val="both"/>
        <w:rPr>
          <w:rFonts w:ascii="Times New Roman;serif" w:hAnsi="Times New Roman;serif"/>
          <w:b/>
          <w:sz w:val="20"/>
        </w:rPr>
      </w:pPr>
      <w:r>
        <w:rPr>
          <w:rFonts w:ascii="Times New Roman;serif" w:hAnsi="Times New Roman;serif"/>
          <w:b/>
          <w:sz w:val="20"/>
        </w:rPr>
        <w:t>Net Increase (Decrease) in Net Assets Resulting from Operations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For the three and six months ended March 31, 2023, the net increase (decrease) in net assets resulting from operations totaled $4.9 million, and $(67.0) million, or $0.07 per share, and $(1.03) per share, respectively. For the three and six months ended March 31, 2022, the net increase (decrease) in net assets resulting from operations totaled $3.2 million and $28.7 million, or $0.05 and $0.43 per share, respectively. The increase or decrease in the net assets resulting from the operations compared to the same periods in the prior year was primarily due to an increase in realized loss.</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LIQUIDITY AND CAPITAL RESOURCES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of our portfolio and proceeds from public and private offerings of securities to finance our investment objectives and operations.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of March 31, 2023 and September 30, 2022, we had $377.4 million and $385.9 million, in outstanding borrowings under the Credit Facility, respectively and the weighted average interest rate of 7.1% and 5.3%, respectively. As of March 31, 2023 and September 30, 2022, we had $122.6 million and $114.1 million of unused borrowing capacity under the Credit Facility, respectively, subject to leverage and borrowing base restrictions.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of March 31, 2023 and September 30, 2022, we had cash and cash equivalents of $63.1 million and $52.7 million, respectively, available for investing and general corporate purposes. We believe our liquidity and capital resources are sufficient to allows us to effectively operate our business.</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For the six months ended March 31, 2023, our operating activities provided cash of $59.3 million and our financing activities used cash of $49.0 million. Our operating activities used cash primarily to fund our investment activities and our financing activities used cash primarily to fund repayments under the Credit Facility and SBA debentures.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For the six months ended March 31, 2022, our operating activities provided cash of $89.8 million, and our financing activities used cash of $83.9 million. Our operating activities provided cash primarily from proceeds from fund our investment activities and our financing activities used cash primarily to fund repayments under the Credit Facility.</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SHARE REPURCHASE PROGRAM</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On February 9, 2022, we announced a share repurchase program which allowed us to repurchase up to $25 million of our outstanding common stock in the open market at prices below our net asset value as reported in our then most recently published consolidated financial statements. The program expired on March 31, 2023. During the three months ended March 31, 2023, we did not make any repurchases of our common shares. During the three months ended March 31, 2022, we repurchased 913,454 shares of common stock in open market transactions for an aggregate cost (including transaction costs) of $7.1 million.</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RECENT DEVELOPMENTS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On April 18, 2023, Dominion Voting Systems ("Dominion") and Fox News Network ("Fox News") agreed to settle the defamation lawsuit filed by Dominon against Fox News. As part of the settlement Fox News agreed to pay Dominion $787.5 million. Dominion is a portfolio company of PNNT, which holds a minority equity interest in the company. While Dominion may retain some of the settlement proceeds for corporate purposes, the company communicated its intention to distribute a substantial amount portion of the proceeds, net of estimated taxes and expenses, to its equity holders and PNNT's portion is estimated to be approximately $12 million. The timing and amount of any distribution is uncertain and subject to change.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Guy Talarico resigned as the Company's Chief Compliance Officer, effective as of the close of business on May 9, 2023. Mr. Talarico's resignation is not a result of any disagreement with the Company's operations, policies, practices or accounting matters. On May 9, 2023, the Company's Board of Directors appointed Frank Galea as Chief Compliance Officer of the Company, effective as of the close of business on May 9, 2023.</w:t>
      </w:r>
    </w:p>
    <w:p>
      <w:pPr>
        <w:pStyle w:val="TextBody"/>
        <w:spacing w:before="0" w:after="0"/>
        <w:jc w:val="left"/>
        <w:rPr/>
      </w:pPr>
      <w:r>
        <w:rPr/>
        <w:t> </w:t>
      </w:r>
    </w:p>
    <w:p>
      <w:pPr>
        <w:pStyle w:val="HorizontalLine"/>
        <w:rPr/>
      </w:pPr>
      <w:r>
        <w:rPr/>
      </w:r>
    </w:p>
    <w:p>
      <w:pPr>
        <w:pStyle w:val="TextBody"/>
        <w:spacing w:before="0" w:after="0"/>
        <w:jc w:val="both"/>
        <w:rPr>
          <w:rFonts w:ascii="Times New Roman;serif" w:hAnsi="Times New Roman;serif"/>
          <w:b/>
          <w:sz w:val="20"/>
        </w:rPr>
      </w:pPr>
      <w:r>
        <w:rPr>
          <w:rFonts w:ascii="Times New Roman;serif" w:hAnsi="Times New Roman;serif"/>
          <w:b/>
          <w:sz w:val="20"/>
        </w:rPr>
        <w:t>DISTRIBUTIONS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During the three and six months ended March 31, 2023, we declared distributions of $0.185 and $0.35 per share, for total distributions of $12.1 million and $22.8 million, respectively. For the three and six months ended March 31, 2022, we declared distributions of $0.14 per share, and $0.26 per share, for total distributions of $9.4 million and $17.4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AVAILABLE INFORMATION</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Company makes available on its website its Quarterly report on Form 10-Q filed with the SEC and stockholders may find the report on our website at www.pennantpark.com.</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PENNANTPARK INVESTMENT CORPORATION AND SUBSIDIARIES</w:t>
      </w:r>
    </w:p>
    <w:p>
      <w:pPr>
        <w:pStyle w:val="TextBody"/>
        <w:spacing w:before="0" w:after="0"/>
        <w:jc w:val="center"/>
        <w:rPr>
          <w:rFonts w:ascii="Times New Roman;serif" w:hAnsi="Times New Roman;serif"/>
          <w:b/>
          <w:sz w:val="20"/>
        </w:rPr>
      </w:pPr>
      <w:r>
        <w:rPr>
          <w:rFonts w:ascii="Times New Roman;serif" w:hAnsi="Times New Roman;serif"/>
          <w:b/>
          <w:sz w:val="20"/>
        </w:rPr>
        <w:t>CONSOLIDATED STATEMENTS OF ASSETS AND LIABILITIES</w:t>
      </w:r>
    </w:p>
    <w:p>
      <w:pPr>
        <w:pStyle w:val="TextBody"/>
        <w:spacing w:before="0" w:after="0"/>
        <w:jc w:val="center"/>
        <w:rPr>
          <w:rFonts w:ascii="Times New Roman;serif" w:hAnsi="Times New Roman;serif"/>
          <w:b w:val="false"/>
          <w:sz w:val="16"/>
        </w:rPr>
      </w:pPr>
      <w:r>
        <w:rPr>
          <w:rFonts w:ascii="Times New Roman;serif" w:hAnsi="Times New Roman;serif"/>
          <w:b w:val="false"/>
          <w:sz w:val="16"/>
        </w:rPr>
        <w:t>(In thousands, except share data)</w:t>
      </w:r>
    </w:p>
    <w:p>
      <w:pPr>
        <w:pStyle w:val="TextBody"/>
        <w:spacing w:before="0" w:after="0"/>
        <w:jc w:val="left"/>
        <w:rPr/>
      </w:pPr>
      <w:r>
        <w:rPr/>
        <w:t> </w:t>
      </w:r>
    </w:p>
    <w:tbl>
      <w:tblPr>
        <w:tblW w:w="10515" w:type="dxa"/>
        <w:jc w:val="left"/>
        <w:tblInd w:w="0" w:type="dxa"/>
        <w:tblCellMar>
          <w:top w:w="28" w:type="dxa"/>
          <w:left w:w="28" w:type="dxa"/>
          <w:bottom w:w="28" w:type="dxa"/>
          <w:right w:w="28" w:type="dxa"/>
        </w:tblCellMar>
      </w:tblPr>
      <w:tblGrid>
        <w:gridCol w:w="6241"/>
        <w:gridCol w:w="146"/>
        <w:gridCol w:w="241"/>
        <w:gridCol w:w="1019"/>
        <w:gridCol w:w="166"/>
        <w:gridCol w:w="146"/>
        <w:gridCol w:w="296"/>
        <w:gridCol w:w="1249"/>
        <w:gridCol w:w="1011"/>
      </w:tblGrid>
      <w:tr>
        <w:trPr/>
        <w:tc>
          <w:tcPr>
            <w:tcW w:w="6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r>
      <w:tr>
        <w:trPr/>
        <w:tc>
          <w:tcPr>
            <w:tcW w:w="6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5" w:type="dxa"/>
            <w:gridSpan w:val="2"/>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br/>
              <w:t>(Unaudited)</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5"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hanging="0"/>
              <w:jc w:val="righ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Investments at fair value</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5"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200"/>
              <w:jc w:val="right"/>
              <w:rPr/>
            </w:pPr>
            <w:r>
              <w:rPr/>
              <w:t> </w:t>
            </w:r>
          </w:p>
        </w:tc>
      </w:tr>
      <w:tr>
        <w:trPr/>
        <w:tc>
          <w:tcPr>
            <w:tcW w:w="62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non-affiliated investments (cost—$876,705 and $882,513 respectively)</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879,572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932,155</w:t>
            </w:r>
          </w:p>
        </w:tc>
        <w:tc>
          <w:tcPr>
            <w:tcW w:w="1011" w:type="dxa"/>
            <w:tcBorders/>
            <w:shd w:fill="auto" w:val="clear"/>
            <w:vAlign w:val="center"/>
          </w:tcPr>
          <w:p>
            <w:pPr>
              <w:pStyle w:val="TableContents"/>
              <w:spacing w:before="0" w:after="0"/>
              <w:ind w:left="0" w:right="0" w:firstLine="200"/>
              <w:jc w:val="left"/>
              <w:rPr/>
            </w:pPr>
            <w:r>
              <w:rPr/>
              <w:t> </w:t>
            </w:r>
          </w:p>
        </w:tc>
      </w:tr>
      <w:tr>
        <w:trPr/>
        <w:tc>
          <w:tcPr>
            <w:tcW w:w="62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affiliated investments (cost— $54,813 and $37,612, respectively)</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51,807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34,760</w:t>
            </w:r>
          </w:p>
        </w:tc>
        <w:tc>
          <w:tcPr>
            <w:tcW w:w="1011" w:type="dxa"/>
            <w:tcBorders/>
            <w:shd w:fill="auto" w:val="clear"/>
            <w:vAlign w:val="center"/>
          </w:tcPr>
          <w:p>
            <w:pPr>
              <w:pStyle w:val="TableContents"/>
              <w:spacing w:before="0" w:after="0"/>
              <w:ind w:left="0" w:right="0" w:firstLine="200"/>
              <w:jc w:val="left"/>
              <w:rPr/>
            </w:pPr>
            <w:r>
              <w:rPr/>
              <w:t> </w:t>
            </w:r>
          </w:p>
        </w:tc>
      </w:tr>
      <w:tr>
        <w:trPr/>
        <w:tc>
          <w:tcPr>
            <w:tcW w:w="62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Controlled, affiliated investments (cost— $233,082 and $381,904, respectively)</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201,132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259,386</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2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of investments (cost—$1,164,600 and $1,302,029, respectively)</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1,132,511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1,226,301</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 (cost—$63,105 and $52,844, respectively)</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63,135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52,666</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receivable</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3,593</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Receivable for investments sold</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29,494</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Distributions receivable</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2,420</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Prepaid expenses and other assets</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4,036</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6241" w:type="dxa"/>
            <w:tcBorders/>
            <w:shd w:fill="auto" w:val="clear"/>
            <w:vAlign w:val="center"/>
          </w:tcPr>
          <w:p>
            <w:pPr>
              <w:pStyle w:val="TableContents"/>
              <w:spacing w:before="0" w:after="0"/>
              <w:ind w:left="800" w:right="0" w:hanging="0"/>
              <w:jc w:val="left"/>
              <w:rPr>
                <w:rFonts w:ascii="Times New Roman;serif" w:hAnsi="Times New Roman;serif"/>
                <w:b/>
                <w:sz w:val="16"/>
              </w:rPr>
            </w:pPr>
            <w:r>
              <w:rPr>
                <w:rFonts w:ascii="Times New Roman;serif" w:hAnsi="Times New Roman;serif"/>
                <w:b/>
                <w:sz w:val="16"/>
              </w:rPr>
              <w:t>Total assets</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1,216,935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1,318,510</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Liabilities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5"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hanging="0"/>
              <w:jc w:val="righ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Distributions payable</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9,784</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Payable for investments purchased</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15,149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pPr>
            <w:r>
              <w:rPr/>
              <w:t>—</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Credit Facility payable, at fair value (cost—$377,420 and $385,920, respectively)</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362,268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376,687</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2026 Notes payable, net (par—$150,000, respectively)</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147,218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146,767</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2026 Notes-2 payable, net (par—$165,000, respectively)</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161,800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161,373</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SBA Debentures payable, net (par—$20,000, respectively)</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19,686</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Base management fee payable</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4,849</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Incentive fee payable</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pPr>
            <w:r>
              <w:rPr/>
              <w:t>—</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payable on debt</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6,264</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Accrued other expenses</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9,055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6,639</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Deferred tax liability</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896</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6241" w:type="dxa"/>
            <w:tcBorders/>
            <w:shd w:fill="auto" w:val="clear"/>
            <w:vAlign w:val="center"/>
          </w:tcPr>
          <w:p>
            <w:pPr>
              <w:pStyle w:val="TableContents"/>
              <w:spacing w:before="0" w:after="0"/>
              <w:ind w:left="800" w:right="0" w:hanging="0"/>
              <w:jc w:val="left"/>
              <w:rPr>
                <w:rFonts w:ascii="Times New Roman;serif" w:hAnsi="Times New Roman;serif"/>
                <w:b/>
                <w:sz w:val="16"/>
              </w:rPr>
            </w:pPr>
            <w:r>
              <w:rPr>
                <w:rFonts w:ascii="Times New Roman;serif" w:hAnsi="Times New Roman;serif"/>
                <w:b/>
                <w:sz w:val="16"/>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721,220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732,945</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Commitments and contingencies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5"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hanging="0"/>
              <w:jc w:val="righ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Net assets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5"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hanging="0"/>
              <w:jc w:val="righ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Common stock, 65,224,500 shares issued and outstanding,</w:t>
              <w:br/>
              <w:t>   Par value $0.001 per share and 100,000,000 shares authorized</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Paid-in capital in excess of par value</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748,169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2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748,169</w:t>
            </w:r>
          </w:p>
        </w:tc>
        <w:tc>
          <w:tcPr>
            <w:tcW w:w="1011" w:type="dxa"/>
            <w:tcBorders/>
            <w:shd w:fill="auto" w:val="cle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(252,519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(162,669</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6241" w:type="dxa"/>
            <w:tcBorders/>
            <w:shd w:fill="auto" w:val="clear"/>
            <w:vAlign w:val="center"/>
          </w:tcPr>
          <w:p>
            <w:pPr>
              <w:pStyle w:val="TableContents"/>
              <w:spacing w:before="0" w:after="0"/>
              <w:ind w:left="800" w:right="0" w:hanging="0"/>
              <w:jc w:val="left"/>
              <w:rPr>
                <w:rFonts w:ascii="Times New Roman;serif" w:hAnsi="Times New Roman;serif"/>
                <w:b/>
                <w:sz w:val="16"/>
              </w:rPr>
            </w:pPr>
            <w:r>
              <w:rPr>
                <w:rFonts w:ascii="Times New Roman;serif" w:hAnsi="Times New Roman;serif"/>
                <w:b/>
                <w:sz w:val="16"/>
              </w:rPr>
              <w:t>Total net assets</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495,715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585,565</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6241" w:type="dxa"/>
            <w:tcBorders/>
            <w:shd w:fill="auto" w:val="clear"/>
            <w:vAlign w:val="center"/>
          </w:tcPr>
          <w:p>
            <w:pPr>
              <w:pStyle w:val="TableContents"/>
              <w:spacing w:before="0" w:after="0"/>
              <w:ind w:left="800" w:right="0" w:hanging="0"/>
              <w:jc w:val="left"/>
              <w:rPr>
                <w:rFonts w:ascii="Times New Roman;serif" w:hAnsi="Times New Roman;serif"/>
                <w:b/>
                <w:sz w:val="16"/>
              </w:rPr>
            </w:pPr>
            <w:r>
              <w:rPr>
                <w:rFonts w:ascii="Times New Roman;serif" w:hAnsi="Times New Roman;serif"/>
                <w:b/>
                <w:sz w:val="16"/>
              </w:rPr>
              <w:t>Total liabilities and net assets</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1,216,935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1,318,510</w:t>
            </w:r>
          </w:p>
        </w:tc>
        <w:tc>
          <w:tcPr>
            <w:tcW w:w="10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4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Net asset value per share</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8.98</w:t>
            </w:r>
          </w:p>
        </w:tc>
        <w:tc>
          <w:tcPr>
            <w:tcW w:w="10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PENNANTPARK INVESTMENT CORPORATION AND SUBSIDIARIES</w:t>
      </w:r>
    </w:p>
    <w:p>
      <w:pPr>
        <w:pStyle w:val="TextBody"/>
        <w:spacing w:before="0" w:after="0"/>
        <w:jc w:val="center"/>
        <w:rPr>
          <w:rFonts w:ascii="Times New Roman;serif" w:hAnsi="Times New Roman;serif"/>
          <w:b/>
          <w:sz w:val="20"/>
        </w:rPr>
      </w:pPr>
      <w:r>
        <w:rPr>
          <w:rFonts w:ascii="Times New Roman;serif" w:hAnsi="Times New Roman;serif"/>
          <w:b/>
          <w:sz w:val="20"/>
        </w:rPr>
        <w:t>CONSOLIDATED STATEMENTS OF OPERATIONS</w:t>
      </w:r>
    </w:p>
    <w:p>
      <w:pPr>
        <w:pStyle w:val="TextBody"/>
        <w:spacing w:before="0" w:after="0"/>
        <w:jc w:val="center"/>
        <w:rPr>
          <w:rFonts w:ascii="Times New Roman;serif" w:hAnsi="Times New Roman;serif"/>
          <w:b w:val="false"/>
          <w:sz w:val="16"/>
        </w:rPr>
      </w:pPr>
      <w:r>
        <w:rPr>
          <w:rFonts w:ascii="Times New Roman;serif" w:hAnsi="Times New Roman;serif"/>
          <w:b w:val="false"/>
          <w:sz w:val="16"/>
        </w:rPr>
        <w:t>(In thousands, except share data)</w:t>
      </w:r>
    </w:p>
    <w:p>
      <w:pPr>
        <w:pStyle w:val="TextBody"/>
        <w:spacing w:before="0" w:after="0"/>
        <w:jc w:val="center"/>
        <w:rPr/>
      </w:pPr>
      <w:r>
        <w:rPr/>
        <w:t> </w:t>
      </w:r>
    </w:p>
    <w:tbl>
      <w:tblPr>
        <w:tblW w:w="10539" w:type="dxa"/>
        <w:jc w:val="left"/>
        <w:tblInd w:w="0" w:type="dxa"/>
        <w:tblCellMar>
          <w:top w:w="28" w:type="dxa"/>
          <w:left w:w="28" w:type="dxa"/>
          <w:bottom w:w="28" w:type="dxa"/>
          <w:right w:w="28" w:type="dxa"/>
        </w:tblCellMar>
      </w:tblPr>
      <w:tblGrid>
        <w:gridCol w:w="5258"/>
        <w:gridCol w:w="146"/>
        <w:gridCol w:w="196"/>
        <w:gridCol w:w="751"/>
        <w:gridCol w:w="166"/>
        <w:gridCol w:w="146"/>
        <w:gridCol w:w="196"/>
        <w:gridCol w:w="751"/>
        <w:gridCol w:w="166"/>
        <w:gridCol w:w="146"/>
        <w:gridCol w:w="196"/>
        <w:gridCol w:w="751"/>
        <w:gridCol w:w="166"/>
        <w:gridCol w:w="146"/>
        <w:gridCol w:w="196"/>
        <w:gridCol w:w="751"/>
        <w:gridCol w:w="411"/>
      </w:tblGrid>
      <w:tr>
        <w:trPr/>
        <w:tc>
          <w:tcPr>
            <w:tcW w:w="52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2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br/>
              <w:t>(Unaudited)</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Six Months Ended</w:t>
              <w:br/>
              <w:t>March 31,</w:t>
              <w:br/>
              <w:t>(Unaudited)</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58"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Investment income:</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525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From non-controlled, non-affiliated investments: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26,759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14,543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48,990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30,083</w:t>
            </w:r>
          </w:p>
        </w:tc>
        <w:tc>
          <w:tcPr>
            <w:tcW w:w="411" w:type="dxa"/>
            <w:tcBorders/>
            <w:shd w:fill="auto" w:val="cle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Payment-in-kind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3,406</w:t>
            </w:r>
          </w:p>
        </w:tc>
        <w:tc>
          <w:tcPr>
            <w:tcW w:w="411" w:type="dxa"/>
            <w:tcBorders/>
            <w:shd w:fill="auto" w:val="cle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Dividend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6,803</w:t>
            </w:r>
          </w:p>
        </w:tc>
        <w:tc>
          <w:tcPr>
            <w:tcW w:w="411" w:type="dxa"/>
            <w:tcBorders/>
            <w:shd w:fill="auto" w:val="clear"/>
            <w:vAlign w:val="center"/>
          </w:tcPr>
          <w:p>
            <w:pPr>
              <w:pStyle w:val="TableContents"/>
              <w:spacing w:before="0" w:after="0"/>
              <w:ind w:left="0" w:right="0" w:hanging="0"/>
              <w:jc w:val="left"/>
              <w:rPr/>
            </w:pPr>
            <w:r>
              <w:rPr/>
              <w:t> </w:t>
            </w:r>
          </w:p>
        </w:tc>
      </w:tr>
      <w:tr>
        <w:trPr/>
        <w:tc>
          <w:tcPr>
            <w:tcW w:w="525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From non-controlled, affiliated investments: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hanging="0"/>
              <w:jc w:val="left"/>
              <w:rPr/>
            </w:pPr>
            <w:r>
              <w:rPr/>
              <w:t> </w:t>
            </w:r>
          </w:p>
        </w:tc>
      </w:tr>
      <w:tr>
        <w:trPr/>
        <w:tc>
          <w:tcPr>
            <w:tcW w:w="525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From controlled, affiliated investments: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4,609</w:t>
            </w:r>
          </w:p>
        </w:tc>
        <w:tc>
          <w:tcPr>
            <w:tcW w:w="411" w:type="dxa"/>
            <w:tcBorders/>
            <w:shd w:fill="auto" w:val="cle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Payment-in-kind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3,551</w:t>
            </w:r>
          </w:p>
        </w:tc>
        <w:tc>
          <w:tcPr>
            <w:tcW w:w="411" w:type="dxa"/>
            <w:tcBorders/>
            <w:shd w:fill="auto" w:val="cle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6,958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4,235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sz w:val="16"/>
              </w:rPr>
            </w:pPr>
            <w:r>
              <w:rPr>
                <w:rFonts w:ascii="Times New Roman;serif" w:hAnsi="Times New Roman;serif"/>
                <w:b/>
                <w:sz w:val="16"/>
              </w:rPr>
              <w:t>Total investment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36,349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24,339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66,312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52,687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58"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Expenses: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Base management fee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10,090</w:t>
            </w:r>
          </w:p>
        </w:tc>
        <w:tc>
          <w:tcPr>
            <w:tcW w:w="411" w:type="dxa"/>
            <w:tcBorders/>
            <w:shd w:fill="auto" w:val="cle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Performance-based incentive fee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2,657</w:t>
            </w:r>
          </w:p>
        </w:tc>
        <w:tc>
          <w:tcPr>
            <w:tcW w:w="411" w:type="dxa"/>
            <w:tcBorders/>
            <w:shd w:fill="auto" w:val="cle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and expenses on debt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10,587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13,385</w:t>
            </w:r>
          </w:p>
        </w:tc>
        <w:tc>
          <w:tcPr>
            <w:tcW w:w="411" w:type="dxa"/>
            <w:tcBorders/>
            <w:shd w:fill="auto" w:val="cle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Administrative services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w:t>
            </w:r>
          </w:p>
        </w:tc>
        <w:tc>
          <w:tcPr>
            <w:tcW w:w="411" w:type="dxa"/>
            <w:tcBorders/>
            <w:shd w:fill="auto" w:val="cle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1,446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sz w:val="16"/>
              </w:rPr>
            </w:pPr>
            <w:r>
              <w:rPr>
                <w:rFonts w:ascii="Times New Roman;serif" w:hAnsi="Times New Roman;serif"/>
                <w:b/>
                <w:sz w:val="16"/>
              </w:rPr>
              <w:t>Expenses before provision for taxes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19,259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36,888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28,078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Provision for taxes on net investment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sz w:val="16"/>
              </w:rPr>
            </w:pPr>
            <w:r>
              <w:rPr>
                <w:rFonts w:ascii="Times New Roman;serif" w:hAnsi="Times New Roman;serif"/>
                <w:b/>
                <w:sz w:val="16"/>
              </w:rPr>
              <w:t>Total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19,709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39,338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28,478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sz w:val="16"/>
              </w:rPr>
            </w:pPr>
            <w:r>
              <w:rPr>
                <w:rFonts w:ascii="Times New Roman;serif" w:hAnsi="Times New Roman;serif"/>
                <w:b/>
                <w:sz w:val="16"/>
              </w:rPr>
              <w:t>Net investment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16,640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11,687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26,974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24,209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58"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Realized and unrealized gain (loss) on investments and debt:</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525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 investments and debt:</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non-affiliated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(14,613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(10,549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7,090</w:t>
            </w:r>
          </w:p>
        </w:tc>
        <w:tc>
          <w:tcPr>
            <w:tcW w:w="411" w:type="dxa"/>
            <w:tcBorders/>
            <w:shd w:fill="auto" w:val="cle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and controlled, affiliated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(133,098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140,898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(133,098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109,624</w:t>
            </w:r>
          </w:p>
        </w:tc>
        <w:tc>
          <w:tcPr>
            <w:tcW w:w="411" w:type="dxa"/>
            <w:tcBorders/>
            <w:shd w:fill="auto" w:val="cle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Debt extinguishment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(1,132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(2,801</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Provision for taxes on realized gain on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(5,060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sz w:val="16"/>
              </w:rPr>
            </w:pPr>
            <w:r>
              <w:rPr>
                <w:rFonts w:ascii="Times New Roman;serif" w:hAnsi="Times New Roman;serif"/>
                <w:b/>
                <w:sz w:val="16"/>
              </w:rPr>
              <w:t>Net realized gain (loss) on investments and debt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(148,717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136,595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(144,653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108,853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5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non-affiliated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(158,062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(46,567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(207,665</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and controlled, affiliated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131,459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90,411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102,982</w:t>
            </w:r>
          </w:p>
        </w:tc>
        <w:tc>
          <w:tcPr>
            <w:tcW w:w="411" w:type="dxa"/>
            <w:tcBorders/>
            <w:shd w:fill="auto" w:val="cle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Provision for taxes on unrealized appreciation (depreciation) on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Debt (appreciation) depreciation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258" w:type="dxa"/>
            <w:tcBorders/>
            <w:shd w:fill="auto" w:val="clear"/>
            <w:vAlign w:val="center"/>
          </w:tcPr>
          <w:p>
            <w:pPr>
              <w:pStyle w:val="TableContents"/>
              <w:spacing w:before="0" w:after="0"/>
              <w:ind w:left="200" w:right="0" w:hanging="0"/>
              <w:jc w:val="left"/>
              <w:rPr>
                <w:rFonts w:ascii="Times New Roman;serif" w:hAnsi="Times New Roman;serif"/>
                <w:b/>
                <w:sz w:val="16"/>
              </w:rPr>
            </w:pPr>
            <w:r>
              <w:rPr>
                <w:rFonts w:ascii="Times New Roman;serif" w:hAnsi="Times New Roman;serif"/>
                <w:b/>
                <w:sz w:val="16"/>
              </w:rPr>
              <w:t>Net change in unrealized appreciation (depreciation) on investments and debt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136,949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(145,122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50,659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(104,394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258"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Net realized and unrealized gain (loss) from investments and debt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(11,768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(8,527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(93,994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4,459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58"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Net increase (decrease) in net assets resulting from operations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4,872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3,160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(67,020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28,668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58"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Net increase (decrease) in net assets resulting from operations per common share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0.07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0.43</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5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investment income per common share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0"/>
        </w:rPr>
        <w:t>ABOUT PENNANTPARK INVESTMENT CORPORATION</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PennantPark Investment Corporation, or the Company, is a business development company that invests primarily in U.S. middle-market companies in the form of first lien secured debt, second lien secured debt, subordinated debt and equity investments. PennantPark Investment Corporation is managed by PennantPark Investment Advisers, LLC.</w:t>
      </w:r>
    </w:p>
    <w:p>
      <w:pPr>
        <w:pStyle w:val="TextBody"/>
        <w:spacing w:before="200" w:after="0"/>
        <w:jc w:val="both"/>
        <w:rPr>
          <w:rFonts w:ascii="Times New Roman" w:hAnsi="Times New Roman"/>
          <w:sz w:val="20"/>
        </w:rPr>
      </w:pPr>
      <w:r>
        <w:rPr>
          <w:rFonts w:ascii="Times New Roman;serif" w:hAnsi="Times New Roman;serif"/>
          <w:b/>
          <w:sz w:val="20"/>
        </w:rPr>
        <w:t>ABOUT PENNANTPARK INVESTMENT ADVISERS, LLC</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PennantPark Investment Advisers, LLC is a leading middle market credit platform, managing $6.2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pStyle w:val="TextBody"/>
        <w:spacing w:before="0" w:after="0"/>
        <w:jc w:val="both"/>
        <w:rPr/>
      </w:pPr>
      <w:r>
        <w:rPr/>
        <w:t> </w:t>
      </w:r>
    </w:p>
    <w:p>
      <w:pPr>
        <w:pStyle w:val="TextBody"/>
        <w:spacing w:before="0" w:after="0"/>
        <w:jc w:val="left"/>
        <w:rPr/>
      </w:pPr>
      <w:r>
        <w:rPr/>
        <w:t> </w:t>
      </w:r>
    </w:p>
    <w:p>
      <w:pPr>
        <w:pStyle w:val="HorizontalLine"/>
        <w:rPr/>
      </w:pPr>
      <w:r>
        <w:rPr/>
      </w:r>
    </w:p>
    <w:p>
      <w:pPr>
        <w:pStyle w:val="TextBody"/>
        <w:spacing w:before="0" w:after="0"/>
        <w:jc w:val="both"/>
        <w:rPr>
          <w:rFonts w:ascii="Times New Roman;serif" w:hAnsi="Times New Roman;serif"/>
          <w:b/>
          <w:sz w:val="20"/>
        </w:rPr>
      </w:pPr>
      <w:r>
        <w:rPr>
          <w:rFonts w:ascii="Times New Roman;serif" w:hAnsi="Times New Roman;serif"/>
          <w:b/>
          <w:sz w:val="20"/>
        </w:rPr>
        <w:t>FORWARD-LOOKING STATEMENTS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spacing w:before="200" w:after="0"/>
        <w:jc w:val="both"/>
        <w:rPr>
          <w:rFonts w:ascii="Times New Roman" w:hAnsi="Times New Roman"/>
          <w:sz w:val="20"/>
        </w:rPr>
      </w:pPr>
      <w:r>
        <w:rPr>
          <w:rFonts w:ascii="Times New Roman;serif" w:hAnsi="Times New Roman;serif"/>
          <w:b w:val="false"/>
          <w:sz w:val="20"/>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spacing w:before="0" w:after="0"/>
        <w:jc w:val="both"/>
        <w:rPr/>
      </w:pPr>
      <w:r>
        <w:rPr/>
        <w:t> </w:t>
      </w:r>
    </w:p>
    <w:tbl>
      <w:tblPr>
        <w:tblW w:w="3977" w:type="dxa"/>
        <w:jc w:val="left"/>
        <w:tblInd w:w="0" w:type="dxa"/>
        <w:tblCellMar>
          <w:top w:w="28" w:type="dxa"/>
          <w:left w:w="28" w:type="dxa"/>
          <w:bottom w:w="28" w:type="dxa"/>
          <w:right w:w="28" w:type="dxa"/>
        </w:tblCellMar>
      </w:tblPr>
      <w:tblGrid>
        <w:gridCol w:w="826"/>
        <w:gridCol w:w="3151"/>
      </w:tblGrid>
      <w:tr>
        <w:trPr/>
        <w:tc>
          <w:tcPr>
            <w:tcW w:w="826" w:type="dxa"/>
            <w:tcBorders/>
            <w:shd w:fill="auto" w:val="clear"/>
            <w:vAlign w:val="center"/>
          </w:tcPr>
          <w:p>
            <w:pPr>
              <w:pStyle w:val="TableContents"/>
              <w:spacing w:before="0" w:after="283"/>
              <w:rPr>
                <w:sz w:val="4"/>
                <w:szCs w:val="4"/>
              </w:rPr>
            </w:pPr>
            <w:r>
              <w:rPr>
                <w:sz w:val="4"/>
                <w:szCs w:val="4"/>
              </w:rPr>
            </w:r>
          </w:p>
        </w:tc>
        <w:tc>
          <w:tcPr>
            <w:tcW w:w="3151" w:type="dxa"/>
            <w:tcBorders/>
            <w:shd w:fill="auto" w:val="clear"/>
            <w:vAlign w:val="center"/>
          </w:tcPr>
          <w:p>
            <w:pPr>
              <w:pStyle w:val="TableContents"/>
              <w:spacing w:before="0" w:after="283"/>
              <w:rPr>
                <w:sz w:val="4"/>
                <w:szCs w:val="4"/>
              </w:rPr>
            </w:pPr>
            <w:r>
              <w:rPr>
                <w:sz w:val="4"/>
                <w:szCs w:val="4"/>
              </w:rPr>
            </w:r>
          </w:p>
        </w:tc>
      </w:tr>
      <w:tr>
        <w:trPr/>
        <w:tc>
          <w:tcPr>
            <w:tcW w:w="8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Contact:</w:t>
            </w:r>
          </w:p>
        </w:tc>
        <w:tc>
          <w:tcPr>
            <w:tcW w:w="31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T. Allorto, Jr.</w:t>
            </w:r>
          </w:p>
        </w:tc>
      </w:tr>
      <w:tr>
        <w:trPr/>
        <w:tc>
          <w:tcPr>
            <w:tcW w:w="8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PennantPark Investment Corporation</w:t>
            </w:r>
          </w:p>
        </w:tc>
      </w:tr>
      <w:tr>
        <w:trPr/>
        <w:tc>
          <w:tcPr>
            <w:tcW w:w="8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(212) 905-1000</w:t>
            </w:r>
          </w:p>
        </w:tc>
      </w:tr>
      <w:tr>
        <w:trPr/>
        <w:tc>
          <w:tcPr>
            <w:tcW w:w="8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www.pennantpark.com</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4" w:name="pnnt-ex99_2.htm"/>
      <w:bookmarkStart w:id="5" w:name="kspnntex99_2"/>
      <w:bookmarkEnd w:id="4"/>
      <w:bookmarkEnd w:id="5"/>
      <w:r>
        <w:rPr>
          <w:rFonts w:ascii="Times New Roman;serif" w:hAnsi="Times New Roman;serif"/>
          <w:b/>
          <w:sz w:val="20"/>
        </w:rPr>
        <w:t>EXHIBIT 99.2</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PENNANTPARK INVESTMENT CORPORATION AND SUBSIDIARIES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CONSOLIDATED SCHEDULE OF INVESTMENT (Unaudited)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March 31, 2023</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data)</w:t>
      </w:r>
    </w:p>
    <w:tbl>
      <w:tblPr>
        <w:tblW w:w="10539" w:type="dxa"/>
        <w:jc w:val="left"/>
        <w:tblInd w:w="0" w:type="dxa"/>
        <w:tblCellMar>
          <w:top w:w="28" w:type="dxa"/>
          <w:left w:w="28" w:type="dxa"/>
          <w:bottom w:w="28" w:type="dxa"/>
          <w:right w:w="28" w:type="dxa"/>
        </w:tblCellMar>
      </w:tblPr>
      <w:tblGrid>
        <w:gridCol w:w="3009"/>
        <w:gridCol w:w="146"/>
        <w:gridCol w:w="957"/>
        <w:gridCol w:w="146"/>
        <w:gridCol w:w="1610"/>
        <w:gridCol w:w="146"/>
        <w:gridCol w:w="151"/>
        <w:gridCol w:w="390"/>
        <w:gridCol w:w="211"/>
        <w:gridCol w:w="146"/>
        <w:gridCol w:w="199"/>
        <w:gridCol w:w="473"/>
        <w:gridCol w:w="146"/>
        <w:gridCol w:w="146"/>
        <w:gridCol w:w="146"/>
        <w:gridCol w:w="436"/>
        <w:gridCol w:w="146"/>
        <w:gridCol w:w="146"/>
        <w:gridCol w:w="166"/>
        <w:gridCol w:w="436"/>
        <w:gridCol w:w="146"/>
        <w:gridCol w:w="146"/>
        <w:gridCol w:w="192"/>
        <w:gridCol w:w="505"/>
        <w:gridCol w:w="198"/>
      </w:tblGrid>
      <w:tr>
        <w:trPr/>
        <w:tc>
          <w:tcPr>
            <w:tcW w:w="30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30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 xml:space="preserve">Investments in Non-Controlled, Non-Affiliated Portfolio Companies—177.4% of Net Assets </w:t>
            </w:r>
            <w:r>
              <w:rPr>
                <w:rFonts w:ascii="Times New Roman;serif" w:hAnsi="Times New Roman;serif"/>
                <w:b/>
                <w:sz w:val="8"/>
              </w:rPr>
              <w:t>(1), (2)</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First Lien Secured Debt—118.9% of Net Assets</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A1 Garage Merger Sub,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L+660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1,680</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A1 Garage Merger Sub, LLC - Unfunded Term Loan</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12/21/2024</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A1 Garage Merger Sub,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Ad.net Acquisition, LLC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05/07/2026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176</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Ad.net Acquisition,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05/07/2026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Technologies, LLC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07/24/2025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Altamira Technologies,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07/24/2025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Anteriad, LLC (f/k/a MeritDirect,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05/23/2024</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1,243</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Anteriad, LLC (f/k/a MeritDirect,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05/23/2024</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Any Hour Services</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L+563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3,986</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Any Hour Services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1,324</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1,883</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464</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Apex Service Partners,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2,211</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Applied Technical Services,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04/21/2023</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P+475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809</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Applied Technical Services,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Arcfield Acquisition Corp.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03/07/2028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Berwick Industrial Park</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05/02/2023</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Buildings and Real Estate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3,936</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 Inc.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07/01/2029</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SOFR+475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4,378</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BioDerm, Inc.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01/31/2028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8,865</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BioDerm,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01/31/2028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1,375</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Blackhawk Industrial Distribution, Inc.</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332</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Blackhawk Industrial Distribution,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Broder Bros., Co.</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12/04/2025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9,967</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06/14/2028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34,229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33,618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33,887</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 -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06/14/2028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1,253</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Cartessa Aesthetics, LLC -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06/14/2028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08/20/2026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6,552</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CF512, Inc.(Revolver)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08/20/2026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Compex Legal Services, Inc.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02/09/2026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849</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Compex Legal Services, Inc.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02/07/2025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393</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Compex Legal Services,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02/07/2025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pPr>
            <w:r>
              <w:rPr/>
              <w:t>—</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Connatix Buyer, Inc.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07/14/2023</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Connatix Buyer,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07/13/2027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Confluent Health,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11/30/2028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P+300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1,860</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Services, Inc.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2,562</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Services, Inc.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Crane 1 Services,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DermaRite Industries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06/30/2023</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Manufacturing / Basic Industries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3,169</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12,853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12,661</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Dr. Squatch,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08/27/2026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1,527</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Dr. Squatch,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DRS Holdings III, Inc.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11/03/2025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DRS Holdings III,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11/03/2025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ECL Entertainment,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05/01/2028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Motels, Inns and Gaming</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L+750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19,059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18,930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18,881</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ECM Industries, LLC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12/23/2025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ECM Industries,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12/23/2025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EDS Buyer,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6,094</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EDS Buyer, LLC - Unfunded Term Loan</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EDS Buyer, LLC -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Exigo Intermediate II,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24,438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24,255</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Exigo Intermediate II, LLC</w:t>
            </w:r>
            <w:r>
              <w:rPr>
                <w:rFonts w:ascii="Times New Roman" w:hAnsi="Times New Roman"/>
                <w:sz w:val="12"/>
              </w:rPr>
              <w:t>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03/15/2024</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Exigo Intermediate II,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bl>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PENNANTPARK INVESTMENT CORPORATION AND SUBSIDIARIES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CONSOLIDATED SCHEDULE OF INVESTMENT (Unaudited) - (Continued)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March 31, 2023</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data)</w:t>
      </w:r>
    </w:p>
    <w:tbl>
      <w:tblPr>
        <w:tblW w:w="10539" w:type="dxa"/>
        <w:jc w:val="left"/>
        <w:tblInd w:w="0" w:type="dxa"/>
        <w:tblCellMar>
          <w:top w:w="28" w:type="dxa"/>
          <w:left w:w="28" w:type="dxa"/>
          <w:bottom w:w="28" w:type="dxa"/>
          <w:right w:w="28" w:type="dxa"/>
        </w:tblCellMar>
      </w:tblPr>
      <w:tblGrid>
        <w:gridCol w:w="2244"/>
        <w:gridCol w:w="146"/>
        <w:gridCol w:w="1025"/>
        <w:gridCol w:w="146"/>
        <w:gridCol w:w="2112"/>
        <w:gridCol w:w="146"/>
        <w:gridCol w:w="184"/>
        <w:gridCol w:w="477"/>
        <w:gridCol w:w="211"/>
        <w:gridCol w:w="146"/>
        <w:gridCol w:w="213"/>
        <w:gridCol w:w="507"/>
        <w:gridCol w:w="146"/>
        <w:gridCol w:w="146"/>
        <w:gridCol w:w="146"/>
        <w:gridCol w:w="436"/>
        <w:gridCol w:w="146"/>
        <w:gridCol w:w="146"/>
        <w:gridCol w:w="166"/>
        <w:gridCol w:w="436"/>
        <w:gridCol w:w="146"/>
        <w:gridCol w:w="146"/>
        <w:gridCol w:w="199"/>
        <w:gridCol w:w="523"/>
        <w:gridCol w:w="200"/>
      </w:tblGrid>
      <w:tr>
        <w:trPr/>
        <w:tc>
          <w:tcPr>
            <w:tcW w:w="22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2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Fairbanks Morse Defense</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06/17/2028</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702</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Five Star Buyer, Inc.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02/23/2028</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5,069</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Five Star Buyer, Inc. - Unfunded Term Loan</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02/23/2028</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Five Star Buyer, Inc. - Unfunded Revolver</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02/23/2028</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Gantech Acquisition Corp.</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16,637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16,408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16,055</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Gantech Acquisition Corp. (Revolver)</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833</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Gantech Acquisition Corp.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Graffiti Buyer, Inc.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08/10/2027</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225</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Graffiti Buyer, Inc.</w:t>
            </w:r>
            <w:r>
              <w:rPr>
                <w:rFonts w:ascii="Times New Roman" w:hAnsi="Times New Roman"/>
                <w:sz w:val="12"/>
              </w:rPr>
              <w:t>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08/10/2023</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Graffiti Buyer, Inc. (Revolver)</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08/10/2027</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446</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Graffiti Buyer,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08/10/2027</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Hancock Roofing and Construction L.L.C.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157</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Hancock Roofing and Construction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Holdco Sands Intermediate, LLC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11/23/2028</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1,889</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Holdco Sands Intermediate,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11/23/2027</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272</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HV Watterson Holdings,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 - (Revolver)</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1,022</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HV Watterson Holdings, LLC - (Revolver)</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HW Holdco, LLC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11,069</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HW Holdco,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HW Holdco,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III, LP</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05/11/2028</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1,395</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IDC Infusion Services, Inc.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3,593</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IDC Infusion Services,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(146</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IG Investments Holdings,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09/22/2027</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Imagine Acquisitionco,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Imagine Acquisitionco,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Inception Fertility Ventures, LLC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12/07/2023</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L+715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20,403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20,248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19,995</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Infinity Home Services Holdco, Inc.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12/28/2028</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11.73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L+685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506</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Infinity Home Services Holdco, Inc. - Unfunded Term Loan</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12/28/2023</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Infinity Home Services Holdco, Inc.(Revolver)</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12/28/2028</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Infinity Home Services Holdco, Inc.(Revolver)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12/28/2028</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Infolinks Media Buyco,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11/01/2023</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Integrity Marketing Acquisition, LLC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08/27/2025</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9,885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9,831</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ITI Holdings, Inc.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03/03/2028</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8,705</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ITI Holdings, Inc. (Revolver)</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03/03/2028</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923</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ITI Holdings,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03/03/2028</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K2 Pure Solutions NoCal, L.P.</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10,853</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K2 Pure Solutions NoCal, L.P. (Revolver)</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L+800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485</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K2 Pure Solutions NoCal, L.P.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11/10/2027</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24,219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23,734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23,856</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 (Revolver)</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3,825</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Kinetic Purchaser,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02/18/2027</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2,757</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 (Revolver)</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Lash OpCo,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LAV Gear Holdings, Inc.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10/31/2024</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2,072</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(PIK 5.50%)</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2" w:type="dxa"/>
            <w:gridSpan w:val="2"/>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righ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LAV Gear Holdings, Inc. - Unfunded Term Loan</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10/31/2024</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Ledge Lounger, Inc.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8,949</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Ledge Lounger, Inc. (Revolver)</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947</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Ledge Lounger,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Buyer Inc.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02/03/2026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2,154</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Lightspeed Buyer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02/03/2026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Limerick Town Cener, LLC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09/27/2023</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Real Estate</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2,994</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LJ Avalon Holdings, LLC - Unfunded Term Loan</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07/31/2024</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LJ Avalon Holdings, LLC (Revolver)</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01/31/2030</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LSF9 Atlantis Holdings, LLC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03/31/2029</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SOFR+725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5,684</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Mars Acquisition Holdings Corp.</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4,852</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Mars Acquisition Holdings Corp. (Revolver)</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MBS Holdings,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04/16/2027</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MDI Buyer, Inc.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20,236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19,911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19,785</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MDI Buyer, Inc. (Revolver)</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668</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MDI Buyer,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Acquirer, LLC</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1,927</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Meadowlark Acquirer, LLC Term Loan I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Meadowlark Acquirer, LLC Term Loan II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200" w:type="dxa"/>
            <w:tcBorders/>
            <w:shd w:fill="auto" w:val="cle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Meadowlark Acquirer,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2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shd w:fill="auto" w:val="clear"/>
            <w:vAlign w:val="center"/>
          </w:tcPr>
          <w:p>
            <w:pPr>
              <w:pStyle w:val="TableContents"/>
              <w:spacing w:before="0" w:after="0"/>
              <w:ind w:left="0" w:right="0" w:hanging="0"/>
              <w:jc w:val="left"/>
              <w:rPr/>
            </w:pPr>
            <w:r>
              <w:rPr/>
              <w:t> </w:t>
            </w:r>
          </w:p>
        </w:tc>
        <w:tc>
          <w:tcPr>
            <w:tcW w:w="2112"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PENNANTPARK INVESTMENT CORPORATION AND SUBSIDIARIES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CONSOLIDATED SCHEDULE OF INVESTMENT (Unaudited) - (Continued)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March 31, 2023</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data)</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2521"/>
        <w:gridCol w:w="146"/>
        <w:gridCol w:w="1066"/>
        <w:gridCol w:w="146"/>
        <w:gridCol w:w="1698"/>
        <w:gridCol w:w="146"/>
        <w:gridCol w:w="177"/>
        <w:gridCol w:w="458"/>
        <w:gridCol w:w="211"/>
        <w:gridCol w:w="146"/>
        <w:gridCol w:w="221"/>
        <w:gridCol w:w="527"/>
        <w:gridCol w:w="146"/>
        <w:gridCol w:w="146"/>
        <w:gridCol w:w="146"/>
        <w:gridCol w:w="436"/>
        <w:gridCol w:w="146"/>
        <w:gridCol w:w="146"/>
        <w:gridCol w:w="166"/>
        <w:gridCol w:w="496"/>
        <w:gridCol w:w="146"/>
        <w:gridCol w:w="146"/>
        <w:gridCol w:w="189"/>
        <w:gridCol w:w="566"/>
        <w:gridCol w:w="201"/>
      </w:tblGrid>
      <w:tr>
        <w:trPr/>
        <w:tc>
          <w:tcPr>
            <w:tcW w:w="2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2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1,784</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Municipal Emergency Services, Inc.</w:t>
            </w:r>
            <w:r>
              <w:rPr>
                <w:rFonts w:ascii="Times New Roman" w:hAnsi="Times New Roman"/>
                <w:sz w:val="12"/>
              </w:rPr>
              <w:t>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 - Unfunded Term Loan A</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06/16/2023</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 - Unfunded Term Loan B</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12/16/2024</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 (Revolver)</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1,081</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Municipal Emergency Services,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NBH Group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08/19/2026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Neptune Flood Incorporated</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10/14/2026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3,117</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One Stop Mailing,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05/07/2027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Cargo Transport</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6,763</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ORL Acquisition, Inc.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09/03/2027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4,387</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ORL Acquisition,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09/03/2027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L+725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15,313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15,138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14,853</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Ox Two, LLC (Revolver)</w:t>
            </w:r>
            <w:r>
              <w:rPr>
                <w:rFonts w:ascii="Times New Roman" w:hAnsi="Times New Roman"/>
                <w:sz w:val="12"/>
              </w:rPr>
              <w:t>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Pequod Merger Sub, Inc. - Term Loan</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12/02/2026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L+640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11,301</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Pequod Merger Sub, Inc. - Unfunded Term Loan</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12/02/2026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Pequod Merger Sub, Inc. (Revolver)</w:t>
            </w:r>
            <w:r>
              <w:rPr>
                <w:rFonts w:ascii="Times New Roman" w:hAnsi="Times New Roman"/>
                <w:sz w:val="12"/>
              </w:rPr>
              <w:t>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12/02/2026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PL Acquisitionco, LLC (Revolver)</w:t>
            </w:r>
            <w:r>
              <w:rPr>
                <w:rFonts w:ascii="Times New Roman" w:hAnsi="Times New Roman"/>
                <w:sz w:val="12"/>
              </w:rPr>
              <w:t>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(146</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35,163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34,685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34,636</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Pragmatic Institute, LLC Term Loan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 (Revolver)</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945</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Pragmatic Institute, LL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1,476</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 - Unfunded Term Loan</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 (Revolver)</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416</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Quantic Electronics,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Questex,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09/09/2024</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21,488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21,365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21,273</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Questex,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09/09/2024</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Radius Aerospace, Inc. (Revolver)</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364</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Radius Aerospace,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Rancho Health MSO, Inc.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289</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Rancho Health MSO, Inc. - Unfunded Term Loan</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Rancho Health MSO,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Reception Purchaser,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02/28/2028</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5,665</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Recteq, LLC (Revolver)</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01/29/2026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180</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Recteq,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01/29/2026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Research Now Group, Inc. and Dynata,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Riverpoint Medical,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06/20/2025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Riverside Assessments,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03/10/2025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12,773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12,581</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Sales Benchmark Index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01/03/2025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Sargent &amp; Greenleaf Inc. (Revolver)</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445</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Sargent &amp; Greenleaf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Schlesinger Global, Inc.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4,562</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Schlesinger Global, Inc. (Revolver)</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(PIK 0.5%)</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5" w:type="dxa"/>
            <w:gridSpan w:val="2"/>
            <w:tcBorders/>
            <w:shd w:fill="auto" w:val="clear"/>
            <w:vAlign w:val="center"/>
          </w:tcPr>
          <w:p>
            <w:pPr>
              <w:pStyle w:val="TableContents"/>
              <w:spacing w:before="0" w:after="0"/>
              <w:ind w:left="0" w:right="0" w:hanging="0"/>
              <w:jc w:val="right"/>
              <w:rPr/>
            </w:pPr>
            <w:r>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Schlesinger Global, Inc. (Revolver)</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Seaway Buyer,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06/13/2029</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L+605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4,657</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Seaway Buyer, LLC (Revolver)</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06/13/2029</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Shiftkey,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06/21/2027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17,865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17,710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17,472</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Sigma Defense Systems,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L+850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31,273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30,655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30,725</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Sigma Defense Systems, LLC (Revolver)</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L+850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2,193</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Sigma Defense Systems,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Signature Systems Holding Company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05/03/2024</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Solutionreach,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01/17/2024</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Communications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L+565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9,386</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Spendmend Holdings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 - Funded Revolver</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L+565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545</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Spendmend Holdings LLC - Unfunded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 xml:space="preserve">System Planning and Analysis, Inc. - (Revolver) </w:t>
              <w:br/>
              <w:t>(f/k/a Management Consulting &amp; Research,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L+590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823</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System Planning and Analysis, Inc. - (Revolver) </w:t>
            </w:r>
            <w:r>
              <w:rPr>
                <w:rFonts w:ascii="Times New Roman;serif" w:hAnsi="Times New Roman;serif"/>
                <w:b w:val="false"/>
                <w:sz w:val="8"/>
              </w:rPr>
              <w:t>(7)</w:t>
            </w:r>
            <w:r>
              <w:rPr>
                <w:rFonts w:ascii="Times New Roman" w:hAnsi="Times New Roman"/>
                <w:sz w:val="12"/>
              </w:rPr>
              <w:t> </w:t>
            </w:r>
            <w:r>
              <w:rPr>
                <w:rFonts w:ascii="Times New Roman;serif" w:hAnsi="Times New Roman;serif"/>
                <w:b w:val="false"/>
                <w:sz w:val="12"/>
              </w:rPr>
              <w:br/>
              <w:t>(f/k/a Management Consulting &amp; Research,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The Aegis Technologies Group,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1,104</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The Bluebird Group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07/27/2026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righ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L+725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4,767</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The Bluebird Group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07/27/2026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1,709</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The Vertex Companies,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 (Revolver)</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188</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The Vertex Companies,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03/26/2026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12,408</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TVC Enterprises,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03/26/2026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TWS Acquisition Corporation</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06/16/2025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1,143</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TWS Acquisition Corporation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06/16/2025</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Tyto Athene,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Unique Indoor Comfort,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05/24/2027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36,648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36,266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36,428</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Unique Indoor Comfort,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05/24/2027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Unique Indoor Comfort,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05/24/2027</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Urology Management Holdings, Inc.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06/15/2026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3,763</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Urology Management Holdings, Inc. - Unfunded Term Loan</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02/01/2024</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(216</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02/27/2026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3,720</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Buyerco, Inc. (Revolver)</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02/27/2026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L+585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172</w:t>
            </w:r>
          </w:p>
        </w:tc>
        <w:tc>
          <w:tcPr>
            <w:tcW w:w="20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Wildcat Buyerco,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02/27/2026</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Zips Car Wash, LLC</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03/01/2024</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L+725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2,596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2,552</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5"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601,494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589,649</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Second Lien Secured Debt—22.4% of Net Assets</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5"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5" w:type="dxa"/>
            <w:gridSpan w:val="2"/>
            <w:tcBorders/>
            <w:shd w:fill="auto" w:val="clear"/>
            <w:vAlign w:val="center"/>
          </w:tcPr>
          <w:p>
            <w:pPr>
              <w:pStyle w:val="TableContents"/>
              <w:spacing w:before="0" w:after="0"/>
              <w:ind w:left="0" w:right="0" w:hanging="0"/>
              <w:jc w:val="right"/>
              <w:rPr/>
            </w:pPr>
            <w:r>
              <w:rPr/>
              <w:t> </w:t>
            </w:r>
          </w:p>
        </w:tc>
        <w:tc>
          <w:tcPr>
            <w:tcW w:w="20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PENNANTPARK INVESTMENT CORPORATION AND SUBSIDIARIES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CONSOLIDATED SCHEDULE OF INVESTMENT (Unaudited) - (Continued)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March 31, 2023</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data)</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2315"/>
        <w:gridCol w:w="146"/>
        <w:gridCol w:w="279"/>
        <w:gridCol w:w="665"/>
        <w:gridCol w:w="146"/>
        <w:gridCol w:w="146"/>
        <w:gridCol w:w="1865"/>
        <w:gridCol w:w="146"/>
        <w:gridCol w:w="151"/>
        <w:gridCol w:w="390"/>
        <w:gridCol w:w="211"/>
        <w:gridCol w:w="146"/>
        <w:gridCol w:w="196"/>
        <w:gridCol w:w="467"/>
        <w:gridCol w:w="146"/>
        <w:gridCol w:w="146"/>
        <w:gridCol w:w="146"/>
        <w:gridCol w:w="586"/>
        <w:gridCol w:w="146"/>
        <w:gridCol w:w="146"/>
        <w:gridCol w:w="166"/>
        <w:gridCol w:w="496"/>
        <w:gridCol w:w="146"/>
        <w:gridCol w:w="146"/>
        <w:gridCol w:w="181"/>
        <w:gridCol w:w="542"/>
        <w:gridCol w:w="277"/>
      </w:tblGrid>
      <w:tr>
        <w:trPr/>
        <w:tc>
          <w:tcPr>
            <w:tcW w:w="23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r>
      <w:tr>
        <w:trPr/>
        <w:tc>
          <w:tcPr>
            <w:tcW w:w="2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Ascensus Holdings, Inc.</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08/02/2028</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2,680</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Atlas Purchaser, Inc</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05/07/2029</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14.20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L+900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16,575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13,532</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Best Practice Associates LLC</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06/29/2027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L+900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17,825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17,532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17,290</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Burgess Point Purchaser Corporation</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07/28/2030</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13.91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L+900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7,967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7,760</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ENC Parent Corporation</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08/19/2029</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L+750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6,975</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Halo Buyer, Inc.</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07/06/2026</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13.16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L+825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32,197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31,769</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Inventus Power, Inc.</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09/29/2024</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L+850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16,593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16,436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16,427</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QuantiTech LLC</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02/04/2027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14.71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L+1,000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149</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VT Topco, Inc.</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08/17/2026</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14,938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14,700</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Second Lien Secured Debt</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115,927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111,282</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Subordinated Debt/Corporate Notes—10.6% of Net Assets</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3" w:type="dxa"/>
            <w:gridSpan w:val="2"/>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righ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Express Wash Acquisition Company, LLC</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01/15/2029</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16.66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L+1,150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20,314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19,572</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Flock Financial, LLC</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05/26/2027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33,256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32,980</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Subordinated Debt/Corporate Notes</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53,570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52,552</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 xml:space="preserve">Preferred Equity/Partnership Interests—2.5% of Net Assets </w:t>
            </w:r>
            <w:r>
              <w:rPr>
                <w:rFonts w:ascii="Times New Roman;serif" w:hAnsi="Times New Roman;serif"/>
                <w:b/>
                <w:sz w:val="8"/>
              </w:rPr>
              <w:t>(6)</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3" w:type="dxa"/>
            <w:gridSpan w:val="2"/>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righ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Ad.net Holdings, Inc.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276</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AH Newco Equityholdings, LLC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1,967</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Anteriad Holdings, LP (f/k/a MeritDirect Holdings,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1,470</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3,562,500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4,406</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Topco, LP</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743,826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702</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Mars Intermediate Holdings II, Inc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498</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NXOF Holdings, Inc. (Tyto Athene, LLC)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ORL Holdco, Inc.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Signature CR Intermediate Holdco, Inc.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2,347</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TPC Holding Company, LP </w:t>
            </w:r>
            <w:r>
              <w:rPr>
                <w:rFonts w:ascii="Times New Roman;serif" w:hAnsi="Times New Roman;serif"/>
                <w:b w:val="false"/>
                <w:sz w:val="8"/>
              </w:rPr>
              <w:t>(8),(11)</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Food</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305</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TWD Parent Holdings, LLC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w:t>
            </w:r>
          </w:p>
        </w:tc>
        <w:tc>
          <w:tcPr>
            <w:tcW w:w="277" w:type="dxa"/>
            <w:tcBorders/>
            <w:shd w:fill="auto" w:val="clear"/>
            <w:vAlign w:val="center"/>
          </w:tcPr>
          <w:p>
            <w:pPr>
              <w:pStyle w:val="TableContents"/>
              <w:spacing w:before="0" w:after="0"/>
              <w:ind w:left="0" w:right="0" w:firstLine="80"/>
              <w:jc w:val="left"/>
              <w:rPr/>
            </w:pPr>
            <w:r>
              <w:rPr/>
              <w:t> </w:t>
            </w:r>
          </w:p>
        </w:tc>
      </w:tr>
      <w:tr>
        <w:trPr/>
        <w:tc>
          <w:tcPr>
            <w:tcW w:w="2315"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Preferred Equity/Partnership Interests</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8,590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12,219</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 xml:space="preserve">Common Equity/Partnership Interests/Warrants—23.0% of Net Assets </w:t>
            </w:r>
            <w:r>
              <w:rPr>
                <w:rFonts w:ascii="Times New Roman;serif" w:hAnsi="Times New Roman;serif"/>
                <w:b/>
                <w:sz w:val="8"/>
              </w:rPr>
              <w:t>(6)</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3" w:type="dxa"/>
            <w:gridSpan w:val="2"/>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righ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A1 Garage Equity, LLC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2,193,038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2,193</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Ad.net Holdings, Inc.</w:t>
            </w:r>
            <w:r>
              <w:rPr>
                <w:rFonts w:ascii="Times New Roman" w:hAnsi="Times New Roman"/>
                <w:sz w:val="12"/>
              </w:rPr>
              <w:t>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Affinion Group Holdings, Inc. (Warrants)</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04/10/2024</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77,190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pPr>
            <w:r>
              <w:rPr/>
              <w:t>—</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AG Investco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805,164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1,206</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AG Investco LP </w:t>
            </w:r>
            <w:r>
              <w:rPr>
                <w:rFonts w:ascii="Times New Roman;serif" w:hAnsi="Times New Roman;serif"/>
                <w:b w:val="false"/>
                <w:sz w:val="8"/>
              </w:rPr>
              <w:t>(7), (9)</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194,836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pPr>
            <w:r>
              <w:rPr/>
              <w:t>—</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Intermediate Company II, Inc.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AMCSI Crash Co-Invest, LP</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2,489,777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3,215</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AMCSI Crash Co-Invest, LP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510,223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pPr>
            <w:r>
              <w:rPr/>
              <w:t>—</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Anteriad Holdings, LP (f/k/a MeritDirect Holdings,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Athletico Holdings, LLC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7,566</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Atlas Investment Aggregator,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722</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BioDerm, Inc.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1,312</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Burgess Point Holdings, LP</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717</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Connatix Parent, LLC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57,416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491</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Cowboy Parent LLC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27,778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4,559</w:t>
            </w:r>
          </w:p>
        </w:tc>
        <w:tc>
          <w:tcPr>
            <w:tcW w:w="277" w:type="dxa"/>
            <w:tcBorders/>
            <w:shd w:fill="auto" w:val="clear"/>
            <w:vAlign w:val="center"/>
          </w:tcPr>
          <w:p>
            <w:pPr>
              <w:pStyle w:val="TableContents"/>
              <w:spacing w:before="0" w:after="0"/>
              <w:ind w:left="0" w:right="0" w:firstLine="80"/>
              <w:jc w:val="left"/>
              <w:rPr/>
            </w:pPr>
            <w:r>
              <w:rPr/>
              <w:t> </w:t>
            </w:r>
          </w:p>
        </w:tc>
      </w:tr>
      <w:tr>
        <w:trPr/>
        <w:tc>
          <w:tcPr>
            <w:tcW w:w="2315"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3" w:type="dxa"/>
            <w:gridSpan w:val="2"/>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righ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Acquisition Parent Holdings, L.P.</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145</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Delta InvestCo LP</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698,889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1,562</w:t>
            </w:r>
          </w:p>
        </w:tc>
        <w:tc>
          <w:tcPr>
            <w:tcW w:w="277" w:type="dxa"/>
            <w:tcBorders/>
            <w:shd w:fill="auto" w:val="clear"/>
            <w:vAlign w:val="center"/>
          </w:tcPr>
          <w:p>
            <w:pPr>
              <w:pStyle w:val="TableContents"/>
              <w:spacing w:before="0" w:after="0"/>
              <w:ind w:left="0" w:right="0" w:firstLine="80"/>
              <w:jc w:val="left"/>
              <w:rPr/>
            </w:pPr>
            <w:r>
              <w:rPr/>
              <w:t> </w:t>
            </w:r>
          </w:p>
        </w:tc>
      </w:tr>
      <w:tr>
        <w:trPr/>
        <w:tc>
          <w:tcPr>
            <w:tcW w:w="2315"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 xml:space="preserve">(Sigma Defense Systems,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3" w:type="dxa"/>
            <w:gridSpan w:val="2"/>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righ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Delta InvestCo LP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442,155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pPr>
            <w:r>
              <w:rPr/>
              <w:t>—</w:t>
            </w:r>
          </w:p>
        </w:tc>
        <w:tc>
          <w:tcPr>
            <w:tcW w:w="277" w:type="dxa"/>
            <w:tcBorders/>
            <w:shd w:fill="auto" w:val="clear"/>
            <w:vAlign w:val="center"/>
          </w:tcPr>
          <w:p>
            <w:pPr>
              <w:pStyle w:val="TableContents"/>
              <w:spacing w:before="0" w:after="0"/>
              <w:ind w:left="0" w:right="0" w:firstLine="80"/>
              <w:jc w:val="left"/>
              <w:rPr/>
            </w:pPr>
            <w:r>
              <w:rPr/>
              <w:t> </w:t>
            </w:r>
          </w:p>
        </w:tc>
      </w:tr>
      <w:tr>
        <w:trPr/>
        <w:tc>
          <w:tcPr>
            <w:tcW w:w="2315"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 xml:space="preserve">(Sigma Defense Systems, LLC) </w:t>
            </w:r>
            <w:r>
              <w:rPr>
                <w:rFonts w:ascii="Times New Roman;serif" w:hAnsi="Times New Roman;serif"/>
                <w:b w:val="false"/>
                <w:sz w:val="8"/>
              </w:rPr>
              <w:t>(7), (9)</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3" w:type="dxa"/>
            <w:gridSpan w:val="2"/>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righ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ECM Investors,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167,537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492</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eCommission Holding Corporation </w:t>
            </w:r>
            <w:r>
              <w:rPr>
                <w:rFonts w:ascii="Times New Roman;serif" w:hAnsi="Times New Roman;serif"/>
                <w:b w:val="false"/>
                <w:sz w:val="8"/>
              </w:rPr>
              <w:t>(11)</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1,542</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EDS Topco, LP</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938</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Exigo,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1,458,333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1,584</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Express Wash Topco, LLC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658,000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2,520</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FedHC InvestCo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1,378</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FedHC InvestCo LP </w:t>
            </w:r>
            <w:r>
              <w:rPr>
                <w:rFonts w:ascii="Times New Roman;serif" w:hAnsi="Times New Roman;serif"/>
                <w:b w:val="false"/>
                <w:sz w:val="8"/>
              </w:rPr>
              <w:t>(7),(9)</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27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1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FedHC InvestCo II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20,357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1,979</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Five Star Parent Holdings, LLC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655,714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656</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Gauge Lash Coinvest LLC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889,376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4,074</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Gauge Schlesinger Coinvest, LLC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277" w:type="dxa"/>
            <w:tcBorders/>
            <w:shd w:fill="auto" w:val="clear"/>
            <w:vAlign w:val="center"/>
          </w:tcPr>
          <w:p>
            <w:pPr>
              <w:pStyle w:val="TableContents"/>
              <w:spacing w:before="0" w:after="0"/>
              <w:ind w:left="0" w:right="0" w:hanging="0"/>
              <w:jc w:val="left"/>
              <w:rPr/>
            </w:pPr>
            <w:r>
              <w:rPr/>
              <w:t> </w:t>
            </w:r>
          </w:p>
        </w:tc>
      </w:tr>
      <w:tr>
        <w:trPr/>
        <w:tc>
          <w:tcPr>
            <w:tcW w:w="23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Gauge TVC Coinvest, LLC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810,645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3,543</w:t>
            </w:r>
          </w:p>
        </w:tc>
        <w:tc>
          <w:tcPr>
            <w:tcW w:w="277" w:type="dxa"/>
            <w:tcBorders/>
            <w:shd w:fill="auto" w:val="clear"/>
            <w:vAlign w:val="center"/>
          </w:tcPr>
          <w:p>
            <w:pPr>
              <w:pStyle w:val="TableContents"/>
              <w:spacing w:before="0" w:after="0"/>
              <w:ind w:left="0" w:right="0" w:firstLine="80"/>
              <w:jc w:val="left"/>
              <w:rPr/>
            </w:pPr>
            <w:r>
              <w:rPr/>
              <w:t> </w:t>
            </w:r>
          </w:p>
        </w:tc>
      </w:tr>
      <w:tr>
        <w:trPr/>
        <w:tc>
          <w:tcPr>
            <w:tcW w:w="2315"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3" w:type="dxa"/>
            <w:gridSpan w:val="2"/>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PENNANTPARK INVESTMENT CORPORATION AND SUBSIDIARIES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CONSOLIDATED SCHEDULE OF INVESTMENT (Unaudited) - (Continued)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March 31, 2023</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data)</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2080"/>
        <w:gridCol w:w="146"/>
        <w:gridCol w:w="323"/>
        <w:gridCol w:w="770"/>
        <w:gridCol w:w="146"/>
        <w:gridCol w:w="146"/>
        <w:gridCol w:w="1888"/>
        <w:gridCol w:w="146"/>
        <w:gridCol w:w="160"/>
        <w:gridCol w:w="381"/>
        <w:gridCol w:w="146"/>
        <w:gridCol w:w="146"/>
        <w:gridCol w:w="227"/>
        <w:gridCol w:w="541"/>
        <w:gridCol w:w="146"/>
        <w:gridCol w:w="146"/>
        <w:gridCol w:w="146"/>
        <w:gridCol w:w="646"/>
        <w:gridCol w:w="146"/>
        <w:gridCol w:w="146"/>
        <w:gridCol w:w="166"/>
        <w:gridCol w:w="436"/>
        <w:gridCol w:w="146"/>
        <w:gridCol w:w="146"/>
        <w:gridCol w:w="206"/>
        <w:gridCol w:w="542"/>
        <w:gridCol w:w="275"/>
      </w:tblGrid>
      <w:tr>
        <w:trPr/>
        <w:tc>
          <w:tcPr>
            <w:tcW w:w="20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0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GCOM InvestCo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487</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Go Dawgs Capital III, LP</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675,325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1,297</w:t>
            </w:r>
          </w:p>
        </w:tc>
        <w:tc>
          <w:tcPr>
            <w:tcW w:w="275" w:type="dxa"/>
            <w:tcBorders/>
            <w:shd w:fill="auto" w:val="clear"/>
            <w:vAlign w:val="center"/>
          </w:tcPr>
          <w:p>
            <w:pPr>
              <w:pStyle w:val="TableContents"/>
              <w:spacing w:before="0" w:after="0"/>
              <w:ind w:left="0" w:right="0" w:firstLine="80"/>
              <w:jc w:val="left"/>
              <w:rPr/>
            </w:pPr>
            <w:r>
              <w:rPr/>
              <w:t> </w:t>
            </w:r>
          </w:p>
        </w:tc>
      </w:tr>
      <w:tr>
        <w:trPr/>
        <w:tc>
          <w:tcPr>
            <w:tcW w:w="2080"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 xml:space="preserve">(American Insulated Glass,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0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Hancock Claims Consultants Investors,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376</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1,230</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V C, L.P.</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1,118,318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1,111</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Icon Partners V C, L.P. </w:t>
            </w:r>
            <w:r>
              <w:rPr>
                <w:rFonts w:ascii="Times New Roman;serif" w:hAnsi="Times New Roman;serif"/>
                <w:b w:val="false"/>
                <w:sz w:val="8"/>
              </w:rPr>
              <w:t>(7),(9)</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381,682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IHS Parent Holdngs, L.P.</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1,218,045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1,237</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Topco, LP</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743,826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pPr>
            <w:r>
              <w:rPr/>
              <w:t>—</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Infogroup Parent Holdings, Inc.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Other Media</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181,495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3,004</w:t>
            </w:r>
          </w:p>
        </w:tc>
        <w:tc>
          <w:tcPr>
            <w:tcW w:w="275" w:type="dxa"/>
            <w:tcBorders/>
            <w:shd w:fill="auto" w:val="clear"/>
            <w:vAlign w:val="center"/>
          </w:tcPr>
          <w:p>
            <w:pPr>
              <w:pStyle w:val="TableContents"/>
              <w:spacing w:before="0" w:after="0"/>
              <w:ind w:left="0" w:right="0" w:firstLine="80"/>
              <w:jc w:val="left"/>
              <w:rPr/>
            </w:pPr>
            <w:r>
              <w:rPr/>
              <w:t> </w:t>
            </w:r>
          </w:p>
        </w:tc>
      </w:tr>
      <w:tr>
        <w:trPr/>
        <w:tc>
          <w:tcPr>
            <w:tcW w:w="2080"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(Data Axle, Inc.)</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Ironclad Holdco, LLC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573</w:t>
            </w:r>
          </w:p>
        </w:tc>
        <w:tc>
          <w:tcPr>
            <w:tcW w:w="275" w:type="dxa"/>
            <w:tcBorders/>
            <w:shd w:fill="auto" w:val="clear"/>
            <w:vAlign w:val="center"/>
          </w:tcPr>
          <w:p>
            <w:pPr>
              <w:pStyle w:val="TableContents"/>
              <w:spacing w:before="0" w:after="0"/>
              <w:ind w:left="0" w:right="0" w:firstLine="80"/>
              <w:jc w:val="left"/>
              <w:rPr/>
            </w:pPr>
            <w:r>
              <w:rPr/>
              <w:t> </w:t>
            </w:r>
          </w:p>
        </w:tc>
      </w:tr>
      <w:tr>
        <w:trPr/>
        <w:tc>
          <w:tcPr>
            <w:tcW w:w="2080"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(Applied Technical Services, LLC)</w:t>
            </w:r>
            <w:r>
              <w:rPr>
                <w:rFonts w:ascii="Times New Roman" w:hAnsi="Times New Roman"/>
                <w:sz w:val="12"/>
              </w:rPr>
              <w:t>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ITC Infusion Co-invest, LP</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162,445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1,189</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ITC Rumba, LLC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375,675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4,216</w:t>
            </w:r>
          </w:p>
        </w:tc>
        <w:tc>
          <w:tcPr>
            <w:tcW w:w="275" w:type="dxa"/>
            <w:tcBorders/>
            <w:shd w:fill="auto" w:val="clear"/>
            <w:vAlign w:val="center"/>
          </w:tcPr>
          <w:p>
            <w:pPr>
              <w:pStyle w:val="TableContents"/>
              <w:spacing w:before="0" w:after="0"/>
              <w:ind w:left="0" w:right="0" w:firstLine="80"/>
              <w:jc w:val="left"/>
              <w:rPr/>
            </w:pPr>
            <w:r>
              <w:rPr/>
              <w:t> </w:t>
            </w:r>
          </w:p>
        </w:tc>
      </w:tr>
      <w:tr>
        <w:trPr/>
        <w:tc>
          <w:tcPr>
            <w:tcW w:w="2080"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(Cano Health, LLC)</w:t>
            </w:r>
            <w:r>
              <w:rPr>
                <w:rFonts w:ascii="Times New Roman" w:hAnsi="Times New Roman"/>
                <w:sz w:val="12"/>
              </w:rPr>
              <w:t>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Kentucky Racing Holdco, LLC (Warrants)</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Motels, Inns and Gaming</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161,252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1,433</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1,308,814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1,977</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KL Stockton Co-Invest LP</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382,353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1,087</w:t>
            </w:r>
          </w:p>
        </w:tc>
        <w:tc>
          <w:tcPr>
            <w:tcW w:w="275" w:type="dxa"/>
            <w:tcBorders/>
            <w:shd w:fill="auto" w:val="clear"/>
            <w:vAlign w:val="center"/>
          </w:tcPr>
          <w:p>
            <w:pPr>
              <w:pStyle w:val="TableContents"/>
              <w:spacing w:before="0" w:after="0"/>
              <w:ind w:left="0" w:right="0" w:firstLine="80"/>
              <w:jc w:val="left"/>
              <w:rPr/>
            </w:pPr>
            <w:r>
              <w:rPr/>
              <w:t> </w:t>
            </w:r>
          </w:p>
        </w:tc>
      </w:tr>
      <w:tr>
        <w:trPr/>
        <w:tc>
          <w:tcPr>
            <w:tcW w:w="2080"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 xml:space="preserve">(Any Hour Services)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0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Lariat ecoserv Co-Invest Holdings,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363,656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LEP Pequod Holdings, LP</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864,865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865</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Investment Holdco LLC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273,143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498</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LJ Avalon, LP</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851,087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851</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Lorient Peregrine Investments, LP</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335,590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4,452</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Mars Intermidiate Holdings II, Inc.</w:t>
            </w:r>
            <w:r>
              <w:rPr>
                <w:rFonts w:ascii="Times New Roman" w:hAnsi="Times New Roman"/>
                <w:sz w:val="12"/>
              </w:rPr>
              <w:t>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195</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MDI Aggregator, LP</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30,993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3,184</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Meadowlark Title,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815,385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147</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3,920,145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3,399</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NEPRT Parent Holdings, LLC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64</w:t>
            </w:r>
          </w:p>
        </w:tc>
        <w:tc>
          <w:tcPr>
            <w:tcW w:w="275" w:type="dxa"/>
            <w:tcBorders/>
            <w:shd w:fill="auto" w:val="clear"/>
            <w:vAlign w:val="center"/>
          </w:tcPr>
          <w:p>
            <w:pPr>
              <w:pStyle w:val="TableContents"/>
              <w:spacing w:before="0" w:after="0"/>
              <w:ind w:left="0" w:right="0" w:firstLine="80"/>
              <w:jc w:val="left"/>
              <w:rPr/>
            </w:pPr>
            <w:r>
              <w:rPr/>
              <w:t> </w:t>
            </w:r>
          </w:p>
        </w:tc>
      </w:tr>
      <w:tr>
        <w:trPr/>
        <w:tc>
          <w:tcPr>
            <w:tcW w:w="2080"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 xml:space="preserve">(Recteq,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North Haven Saints Equity Holdings, LP</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351,553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376</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NXOF Holdings, Inc.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pPr>
            <w:r>
              <w:rPr/>
              <w:t>—</w:t>
            </w:r>
          </w:p>
        </w:tc>
        <w:tc>
          <w:tcPr>
            <w:tcW w:w="275" w:type="dxa"/>
            <w:tcBorders/>
            <w:shd w:fill="auto" w:val="clear"/>
            <w:vAlign w:val="center"/>
          </w:tcPr>
          <w:p>
            <w:pPr>
              <w:pStyle w:val="TableContents"/>
              <w:spacing w:before="0" w:after="0"/>
              <w:ind w:left="0" w:right="0" w:firstLine="80"/>
              <w:jc w:val="left"/>
              <w:rPr/>
            </w:pPr>
            <w:r>
              <w:rPr/>
              <w:t> </w:t>
            </w:r>
          </w:p>
        </w:tc>
      </w:tr>
      <w:tr>
        <w:trPr/>
        <w:tc>
          <w:tcPr>
            <w:tcW w:w="2080"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(Tyto Athene, LLC)</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OceanSound Discovery Equity, LP</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98,286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1,950</w:t>
            </w:r>
          </w:p>
        </w:tc>
        <w:tc>
          <w:tcPr>
            <w:tcW w:w="275" w:type="dxa"/>
            <w:tcBorders/>
            <w:shd w:fill="auto" w:val="clear"/>
            <w:vAlign w:val="center"/>
          </w:tcPr>
          <w:p>
            <w:pPr>
              <w:pStyle w:val="TableContents"/>
              <w:spacing w:before="0" w:after="0"/>
              <w:ind w:left="0" w:right="0" w:firstLine="80"/>
              <w:jc w:val="left"/>
              <w:rPr/>
            </w:pPr>
            <w:r>
              <w:rPr/>
              <w:t> </w:t>
            </w:r>
          </w:p>
        </w:tc>
      </w:tr>
      <w:tr>
        <w:trPr/>
        <w:tc>
          <w:tcPr>
            <w:tcW w:w="2080"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 xml:space="preserve">(Holdco Sands Intermediate,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OHCP V BC COI, L.P.</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446,250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415</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OHCP V BC COI, L.P. </w:t>
            </w:r>
            <w:r>
              <w:rPr>
                <w:rFonts w:ascii="Times New Roman;serif" w:hAnsi="Times New Roman;serif"/>
                <w:b w:val="false"/>
                <w:sz w:val="8"/>
              </w:rPr>
              <w:t>(7),(9)</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303,750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ORL Holdco, Inc.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PennantPark-TSO Senior Loan Fund II, LP</w:t>
            </w:r>
          </w:p>
        </w:tc>
        <w:tc>
          <w:tcPr>
            <w:tcW w:w="146" w:type="dxa"/>
            <w:tcBorders/>
            <w:shd w:fill="auto" w:val="clear"/>
            <w:vAlign w:val="center"/>
          </w:tcPr>
          <w:p>
            <w:pPr>
              <w:pStyle w:val="TableContents"/>
              <w:spacing w:before="0" w:after="0"/>
              <w:ind w:left="0" w:right="0" w:hanging="0"/>
              <w:jc w:val="righ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center"/>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12,500,409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11,990</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Pink Lily Holdco,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401</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1,918,047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1,693</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Quad (U.S.) Co-Invest, L.P.</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2,958,706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3,238</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QuantiTech InvestCo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362</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QuantiTech InvestCo LP </w:t>
            </w:r>
            <w:r>
              <w:rPr>
                <w:rFonts w:ascii="Times New Roman;serif" w:hAnsi="Times New Roman;serif"/>
                <w:b w:val="false"/>
                <w:sz w:val="8"/>
              </w:rPr>
              <w:t>(7),(9)</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pPr>
            <w:r>
              <w:rPr/>
              <w:t>—</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QuantiTech InvestCo II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RFMG Parent, LP</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275" w:type="dxa"/>
            <w:tcBorders/>
            <w:shd w:fill="auto" w:val="clear"/>
            <w:vAlign w:val="center"/>
          </w:tcPr>
          <w:p>
            <w:pPr>
              <w:pStyle w:val="TableContents"/>
              <w:spacing w:before="0" w:after="0"/>
              <w:ind w:left="0" w:right="0" w:firstLine="80"/>
              <w:jc w:val="left"/>
              <w:rPr/>
            </w:pPr>
            <w:r>
              <w:rPr/>
              <w:t> </w:t>
            </w:r>
          </w:p>
        </w:tc>
      </w:tr>
      <w:tr>
        <w:trPr/>
        <w:tc>
          <w:tcPr>
            <w:tcW w:w="2080"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(Rancho Health MSO, Inc.)</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SBI Holdings Investments LLC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36,585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368</w:t>
            </w:r>
          </w:p>
        </w:tc>
        <w:tc>
          <w:tcPr>
            <w:tcW w:w="275" w:type="dxa"/>
            <w:tcBorders/>
            <w:shd w:fill="auto" w:val="clear"/>
            <w:vAlign w:val="center"/>
          </w:tcPr>
          <w:p>
            <w:pPr>
              <w:pStyle w:val="TableContents"/>
              <w:spacing w:before="0" w:after="0"/>
              <w:ind w:left="0" w:right="0" w:firstLine="80"/>
              <w:jc w:val="left"/>
              <w:rPr/>
            </w:pPr>
            <w:r>
              <w:rPr/>
              <w:t> </w:t>
            </w:r>
          </w:p>
        </w:tc>
      </w:tr>
      <w:tr>
        <w:trPr/>
        <w:tc>
          <w:tcPr>
            <w:tcW w:w="2080"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(Sales Benchmark Index LLC)</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Seaway Topco, LP</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2,840</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Signature CR Intermediate Holdco, Inc.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528</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SP L2 Holdings, LLC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881,966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539</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SSC Dominion Holdings, LLC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2,041</w:t>
            </w:r>
          </w:p>
        </w:tc>
        <w:tc>
          <w:tcPr>
            <w:tcW w:w="275" w:type="dxa"/>
            <w:tcBorders/>
            <w:shd w:fill="auto" w:val="clear"/>
            <w:vAlign w:val="center"/>
          </w:tcPr>
          <w:p>
            <w:pPr>
              <w:pStyle w:val="TableContents"/>
              <w:spacing w:before="0" w:after="0"/>
              <w:ind w:left="0" w:right="0" w:firstLine="80"/>
              <w:jc w:val="left"/>
              <w:rPr/>
            </w:pPr>
            <w:r>
              <w:rPr/>
              <w:t> </w:t>
            </w:r>
          </w:p>
        </w:tc>
      </w:tr>
      <w:tr>
        <w:trPr/>
        <w:tc>
          <w:tcPr>
            <w:tcW w:w="2080"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Class A (US Dominion, Inc.)</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SSC Dominion Holdings, LLC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3,049</w:t>
            </w:r>
          </w:p>
        </w:tc>
        <w:tc>
          <w:tcPr>
            <w:tcW w:w="275" w:type="dxa"/>
            <w:tcBorders/>
            <w:shd w:fill="auto" w:val="clear"/>
            <w:vAlign w:val="center"/>
          </w:tcPr>
          <w:p>
            <w:pPr>
              <w:pStyle w:val="TableContents"/>
              <w:spacing w:before="0" w:after="0"/>
              <w:ind w:left="0" w:right="0" w:firstLine="80"/>
              <w:jc w:val="left"/>
              <w:rPr/>
            </w:pPr>
            <w:r>
              <w:rPr/>
              <w:t> </w:t>
            </w:r>
          </w:p>
        </w:tc>
      </w:tr>
      <w:tr>
        <w:trPr/>
        <w:tc>
          <w:tcPr>
            <w:tcW w:w="2080"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Class B (US Dominion, Inc.)</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StellPen Holdings, LLC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153,846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162</w:t>
            </w:r>
          </w:p>
        </w:tc>
        <w:tc>
          <w:tcPr>
            <w:tcW w:w="275" w:type="dxa"/>
            <w:tcBorders/>
            <w:shd w:fill="auto" w:val="clear"/>
            <w:vAlign w:val="center"/>
          </w:tcPr>
          <w:p>
            <w:pPr>
              <w:pStyle w:val="TableContents"/>
              <w:spacing w:before="0" w:after="0"/>
              <w:ind w:left="0" w:right="0" w:firstLine="80"/>
              <w:jc w:val="left"/>
              <w:rPr/>
            </w:pPr>
            <w:r>
              <w:rPr/>
              <w:t> </w:t>
            </w:r>
          </w:p>
        </w:tc>
      </w:tr>
      <w:tr>
        <w:trPr/>
        <w:tc>
          <w:tcPr>
            <w:tcW w:w="2080"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0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TAC LifePort Holdings,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254,206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305</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Tower Arch Infolinks Media,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533,903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1,061</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Tower Arch Infolinks Media, LP</w:t>
            </w:r>
            <w:r>
              <w:rPr>
                <w:rFonts w:ascii="Times New Roman" w:hAnsi="Times New Roman"/>
                <w:sz w:val="12"/>
              </w:rPr>
              <w:t> </w:t>
            </w:r>
            <w:r>
              <w:rPr>
                <w:rFonts w:ascii="Times New Roman;serif" w:hAnsi="Times New Roman;serif"/>
                <w:b w:val="false"/>
                <w:sz w:val="8"/>
              </w:rPr>
              <w:t>(7), (9)</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361,541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pPr>
            <w:r>
              <w:rPr/>
              <w:t>—</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TPC Holding Company, LP</w:t>
            </w:r>
            <w:r>
              <w:rPr>
                <w:rFonts w:ascii="Times New Roman" w:hAnsi="Times New Roman"/>
                <w:sz w:val="12"/>
              </w:rPr>
              <w:t> </w:t>
            </w:r>
            <w:r>
              <w:rPr>
                <w:rFonts w:ascii="Times New Roman;serif" w:hAnsi="Times New Roman;serif"/>
                <w:b w:val="false"/>
                <w:sz w:val="8"/>
              </w:rPr>
              <w:t>(8). (11)</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Food</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275" w:type="dxa"/>
            <w:tcBorders/>
            <w:shd w:fill="auto" w:val="clear"/>
            <w:vAlign w:val="center"/>
          </w:tcPr>
          <w:p>
            <w:pPr>
              <w:pStyle w:val="TableContents"/>
              <w:spacing w:before="0" w:after="0"/>
              <w:ind w:left="0" w:right="0" w:hanging="0"/>
              <w:jc w:val="left"/>
              <w:rPr/>
            </w:pPr>
            <w:r>
              <w:rPr/>
              <w:t> </w:t>
            </w:r>
          </w:p>
        </w:tc>
      </w:tr>
      <w:tr>
        <w:trPr/>
        <w:tc>
          <w:tcPr>
            <w:tcW w:w="20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TWD Parent Holdings, LLC</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pPr>
            <w:r>
              <w:rPr/>
              <w:t>—</w:t>
            </w:r>
          </w:p>
        </w:tc>
        <w:tc>
          <w:tcPr>
            <w:tcW w:w="275" w:type="dxa"/>
            <w:tcBorders/>
            <w:shd w:fill="auto" w:val="clear"/>
            <w:vAlign w:val="center"/>
          </w:tcPr>
          <w:p>
            <w:pPr>
              <w:pStyle w:val="TableContents"/>
              <w:spacing w:before="0" w:after="0"/>
              <w:ind w:left="0" w:right="0" w:firstLine="80"/>
              <w:jc w:val="left"/>
              <w:rPr/>
            </w:pPr>
            <w:r>
              <w:rPr/>
              <w:t> </w:t>
            </w:r>
          </w:p>
        </w:tc>
      </w:tr>
      <w:tr>
        <w:trPr/>
        <w:tc>
          <w:tcPr>
            <w:tcW w:w="2080"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48"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PENNANTPARK INVESTMENT CORPORATION AND SUBSIDIARIES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CONSOLIDATED SCHEDULE OF INVESTMENT (Unaudited) - (Continued)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March 31, 2023</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data)</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2626"/>
        <w:gridCol w:w="146"/>
        <w:gridCol w:w="278"/>
        <w:gridCol w:w="663"/>
        <w:gridCol w:w="146"/>
        <w:gridCol w:w="146"/>
        <w:gridCol w:w="1341"/>
        <w:gridCol w:w="146"/>
        <w:gridCol w:w="151"/>
        <w:gridCol w:w="390"/>
        <w:gridCol w:w="211"/>
        <w:gridCol w:w="146"/>
        <w:gridCol w:w="196"/>
        <w:gridCol w:w="466"/>
        <w:gridCol w:w="146"/>
        <w:gridCol w:w="146"/>
        <w:gridCol w:w="166"/>
        <w:gridCol w:w="646"/>
        <w:gridCol w:w="146"/>
        <w:gridCol w:w="146"/>
        <w:gridCol w:w="166"/>
        <w:gridCol w:w="586"/>
        <w:gridCol w:w="146"/>
        <w:gridCol w:w="146"/>
        <w:gridCol w:w="170"/>
        <w:gridCol w:w="601"/>
        <w:gridCol w:w="276"/>
      </w:tblGrid>
      <w:tr>
        <w:trPr/>
        <w:tc>
          <w:tcPr>
            <w:tcW w:w="2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r>
      <w:tr>
        <w:trPr/>
        <w:tc>
          <w:tcPr>
            <w:tcW w:w="26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UniVista Insurance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482</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Urology Partners Co., L.P.</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1,111,111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1,122</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WCP Ivyrehab QP CF Feeder, LP</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3,762,257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3,620</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WCP Ivyrehab QP CF Feeder, LP - Unfunded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237,743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Parent, LP</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767</w:t>
            </w:r>
          </w:p>
        </w:tc>
        <w:tc>
          <w:tcPr>
            <w:tcW w:w="276" w:type="dxa"/>
            <w:tcBorders/>
            <w:shd w:fill="auto" w:val="clear"/>
            <w:vAlign w:val="center"/>
          </w:tcPr>
          <w:p>
            <w:pPr>
              <w:pStyle w:val="TableContents"/>
              <w:spacing w:before="0" w:after="0"/>
              <w:ind w:left="0" w:right="0" w:firstLine="80"/>
              <w:jc w:val="left"/>
              <w:rPr/>
            </w:pPr>
            <w:r>
              <w:rPr/>
              <w:t> </w:t>
            </w:r>
          </w:p>
        </w:tc>
      </w:tr>
      <w:tr>
        <w:trPr/>
        <w:tc>
          <w:tcPr>
            <w:tcW w:w="2626"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Common Equity/Partnership Interests/Warrants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97,124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113,870</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 in Non-Controlled, Non-Affiliated Portfolio Companies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876,705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879,572</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5" w:type="dxa"/>
            <w:gridSpan w:val="6"/>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 xml:space="preserve">Investments in Non-Controlled, Affiliated Portfolio Companies—10.5% of Net Assets </w:t>
            </w:r>
            <w:r>
              <w:rPr>
                <w:rFonts w:ascii="Times New Roman;serif" w:hAnsi="Times New Roman;serif"/>
                <w:b/>
                <w:sz w:val="8"/>
              </w:rPr>
              <w:t>(1), (2)</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First Lien Secured Debt—1.9% of Net Assets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6,263</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 - Unfunded Term Loan</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 - Junior Revolver</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3,333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3,333</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9,596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9,596</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Preferred Equity/Partnership Interests—6.8% of Net Assets</w:t>
            </w:r>
            <w:r>
              <w:rPr>
                <w:rFonts w:ascii="Times New Roman;serif" w:hAnsi="Times New Roman;serif"/>
                <w:b/>
                <w:sz w:val="8"/>
              </w:rPr>
              <w:t>(6)</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Cascade Environmental Holdings,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5,887,236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32,791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32,791</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Cascade Environmental Holdings, LLC - Series B</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834</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Preferred Equity/Partnership Interests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33,610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33,625</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 xml:space="preserve">Common Equity/Partnership Interests/Warrants—1.7% of Net Assets </w:t>
            </w:r>
            <w:r>
              <w:rPr>
                <w:rFonts w:ascii="Times New Roman;serif" w:hAnsi="Times New Roman;serif"/>
                <w:b/>
                <w:sz w:val="8"/>
              </w:rPr>
              <w:t>(6)</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Cascade Environmental Holdings, LLC</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7,444,347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JF Intermediate, LLC</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19,687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1,969</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72,917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6,786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6,617</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Common Equity/Partnership Interests/Warrants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11,607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8,586</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 in Non-Controlled, Affiliated Portfolio Companies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54,813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51,807</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 xml:space="preserve">Investments in Controlled, Affiliated Portfolio Companies—40.6% of Net Assets </w:t>
            </w:r>
            <w:r>
              <w:rPr>
                <w:rFonts w:ascii="Times New Roman;serif" w:hAnsi="Times New Roman;serif"/>
                <w:b/>
                <w:sz w:val="8"/>
              </w:rPr>
              <w:t>(1), (2)</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First Lien Secured Debt—9.9% of Net Assets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AKW Holdings Limited </w:t>
            </w:r>
            <w:r>
              <w:rPr>
                <w:rFonts w:ascii="Times New Roman;serif" w:hAnsi="Times New Roman;serif"/>
                <w:b w:val="false"/>
                <w:sz w:val="8"/>
              </w:rPr>
              <w:t>(8), (10), (11)</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39,722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54,580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49,114</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54,580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49,114</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Second Lien Secured Debt—0% of Net Assets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Mailsouth Inc.</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04/23/2025</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Printing and Publishing</w:t>
            </w:r>
          </w:p>
        </w:tc>
        <w:tc>
          <w:tcPr>
            <w:tcW w:w="146" w:type="dxa"/>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13,847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12,382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Second Lien Secured Debt</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12,382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Subordinated Debt—19.2% of Net Assets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PennantPark Senior Loan Fund, LLC </w:t>
            </w:r>
            <w:r>
              <w:rPr>
                <w:rFonts w:ascii="Times New Roman;serif" w:hAnsi="Times New Roman;serif"/>
                <w:b w:val="false"/>
                <w:sz w:val="8"/>
              </w:rPr>
              <w:t>(11)</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12.83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L+800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95,351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95,351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95,351</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Subordinated Debt</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95,351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95,351</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 xml:space="preserve">Common Equity—11.4% of Net Assets </w:t>
            </w:r>
            <w:r>
              <w:rPr>
                <w:rFonts w:ascii="Times New Roman;serif" w:hAnsi="Times New Roman;serif"/>
                <w:b/>
                <w:sz w:val="8"/>
              </w:rPr>
              <w:t>(6)</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AKW Holdings Limited </w:t>
            </w:r>
            <w:r>
              <w:rPr>
                <w:rFonts w:ascii="Times New Roman;serif" w:hAnsi="Times New Roman;serif"/>
                <w:b w:val="false"/>
                <w:sz w:val="8"/>
              </w:rPr>
              <w:t>(8), (10), (11)</w:t>
            </w:r>
          </w:p>
        </w:tc>
        <w:tc>
          <w:tcPr>
            <w:tcW w:w="1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3,293</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MSpark, LLC</w:t>
            </w:r>
          </w:p>
        </w:tc>
        <w:tc>
          <w:tcPr>
            <w:tcW w:w="1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Printing and Publishing</w:t>
            </w:r>
          </w:p>
        </w:tc>
        <w:tc>
          <w:tcPr>
            <w:tcW w:w="146" w:type="dxa"/>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51,151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16,516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PennantPark Senior Loan Fund, LLC</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54,058,415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54,121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53,374</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Common Equity</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70,769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56,667</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 in Controlled, Affiliated Portfolio Companies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233,082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201,132</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Investments—228.5% of Net Assets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1,164,600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1,132,511</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Cash and Cash Equivalents—12.7% of Net Assets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BlackRock Federal FD Institutional 30</w:t>
            </w:r>
          </w:p>
        </w:tc>
        <w:tc>
          <w:tcPr>
            <w:tcW w:w="146" w:type="dxa"/>
            <w:tcBorders/>
            <w:shd w:fill="auto" w:val="clear"/>
            <w:vAlign w:val="center"/>
          </w:tcPr>
          <w:p>
            <w:pPr>
              <w:pStyle w:val="TableContents"/>
              <w:spacing w:before="0" w:after="0"/>
              <w:ind w:left="0" w:right="0" w:hanging="0"/>
              <w:jc w:val="right"/>
              <w:rPr/>
            </w:pPr>
            <w:r>
              <w:rPr/>
              <w:t> </w:t>
            </w:r>
          </w:p>
        </w:tc>
        <w:tc>
          <w:tcPr>
            <w:tcW w:w="9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46,497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46,497</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BNY Mellon Cash Reserve and Cash</w:t>
            </w:r>
          </w:p>
        </w:tc>
        <w:tc>
          <w:tcPr>
            <w:tcW w:w="146" w:type="dxa"/>
            <w:tcBorders/>
            <w:shd w:fill="auto" w:val="clear"/>
            <w:vAlign w:val="center"/>
          </w:tcPr>
          <w:p>
            <w:pPr>
              <w:pStyle w:val="TableContents"/>
              <w:spacing w:before="0" w:after="0"/>
              <w:ind w:left="0" w:right="0" w:hanging="0"/>
              <w:jc w:val="right"/>
              <w:rPr/>
            </w:pPr>
            <w:r>
              <w:rPr/>
              <w:t> </w:t>
            </w:r>
          </w:p>
        </w:tc>
        <w:tc>
          <w:tcPr>
            <w:tcW w:w="9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16,608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16,638</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63,105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63,135</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 and Cash Equivalents—241.2% of Net Assets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1,227,705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1,195,646</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Liabilities in Excess of Other Assets—(141.2%) of Net Assets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(699,931</w:t>
            </w:r>
          </w:p>
        </w:tc>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Net Assets—100.0%</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495,715</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3"/>
        </w:rPr>
      </w:pPr>
      <w:r>
        <w:rPr>
          <w:rFonts w:ascii="Times New Roman" w:hAnsi="Times New Roman"/>
          <w:b w:val="false"/>
          <w:sz w:val="13"/>
        </w:rPr>
        <w:t>(1)</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 (See Note 6).</w:t>
      </w:r>
    </w:p>
    <w:p>
      <w:pPr>
        <w:pStyle w:val="TextBody"/>
        <w:spacing w:before="120" w:after="0"/>
        <w:jc w:val="left"/>
        <w:rPr>
          <w:rFonts w:ascii="Times New Roman" w:hAnsi="Times New Roman"/>
          <w:b w:val="false"/>
          <w:sz w:val="13"/>
        </w:rPr>
      </w:pPr>
      <w:r>
        <w:rPr>
          <w:rFonts w:ascii="Times New Roman" w:hAnsi="Times New Roman"/>
          <w:b w:val="false"/>
          <w:sz w:val="13"/>
        </w:rPr>
        <w:t>(2)</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pStyle w:val="TextBody"/>
        <w:spacing w:before="120" w:after="0"/>
        <w:jc w:val="left"/>
        <w:rPr>
          <w:rFonts w:ascii="Times New Roman" w:hAnsi="Times New Roman"/>
          <w:b w:val="false"/>
          <w:sz w:val="13"/>
        </w:rPr>
      </w:pPr>
      <w:r>
        <w:rPr>
          <w:rFonts w:ascii="Times New Roman" w:hAnsi="Times New Roman"/>
          <w:b w:val="false"/>
          <w:sz w:val="13"/>
        </w:rPr>
        <w:t>(3)</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Valued based on our accounting policy (See Note 2).</w:t>
      </w:r>
    </w:p>
    <w:p>
      <w:pPr>
        <w:pStyle w:val="TextBody"/>
        <w:spacing w:before="120" w:after="0"/>
        <w:jc w:val="left"/>
        <w:rPr>
          <w:rFonts w:ascii="Times New Roman" w:hAnsi="Times New Roman"/>
          <w:b w:val="false"/>
          <w:sz w:val="13"/>
        </w:rPr>
      </w:pPr>
      <w:r>
        <w:rPr>
          <w:rFonts w:ascii="Times New Roman" w:hAnsi="Times New Roman"/>
          <w:b w:val="false"/>
          <w:sz w:val="13"/>
        </w:rPr>
        <w:t>(4)</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Represents floating rate instruments that accrue interest at a predetermined spread relative to an index, typically the applicable London Interbank Offered Rate, or LIBOR or “L,” the Euro Interbank Offered Rate, or EURIBOR or “E”, Secured Overnight Financing Rate or "SOFR",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pStyle w:val="TextBody"/>
        <w:spacing w:before="120" w:after="0"/>
        <w:jc w:val="left"/>
        <w:rPr>
          <w:rFonts w:ascii="Times New Roman" w:hAnsi="Times New Roman"/>
          <w:b w:val="false"/>
          <w:sz w:val="13"/>
        </w:rPr>
      </w:pPr>
      <w:r>
        <w:rPr>
          <w:rFonts w:ascii="Times New Roman" w:hAnsi="Times New Roman"/>
          <w:b w:val="false"/>
          <w:sz w:val="13"/>
        </w:rPr>
        <w:t>(5)</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The security was not valued using significant unobservable inputs. The value of all other securities was determined using significant unobservable inputs (See Note 5).</w:t>
      </w:r>
    </w:p>
    <w:p>
      <w:pPr>
        <w:pStyle w:val="TextBody"/>
        <w:spacing w:before="120" w:after="0"/>
        <w:jc w:val="left"/>
        <w:rPr>
          <w:rFonts w:ascii="Times New Roman" w:hAnsi="Times New Roman"/>
          <w:b w:val="false"/>
          <w:sz w:val="13"/>
        </w:rPr>
      </w:pPr>
      <w:r>
        <w:rPr>
          <w:rFonts w:ascii="Times New Roman" w:hAnsi="Times New Roman"/>
          <w:b w:val="false"/>
          <w:sz w:val="13"/>
        </w:rPr>
        <w:t>(6)</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Non-income producing securities.</w:t>
      </w:r>
    </w:p>
    <w:p>
      <w:pPr>
        <w:pStyle w:val="TextBody"/>
        <w:spacing w:before="120" w:after="0"/>
        <w:jc w:val="left"/>
        <w:rPr>
          <w:rFonts w:ascii="Times New Roman" w:hAnsi="Times New Roman"/>
          <w:b w:val="false"/>
          <w:sz w:val="13"/>
        </w:rPr>
      </w:pPr>
      <w:r>
        <w:rPr>
          <w:rFonts w:ascii="Times New Roman" w:hAnsi="Times New Roman"/>
          <w:b w:val="false"/>
          <w:sz w:val="13"/>
        </w:rPr>
        <w:t>(7)</w:t>
      </w:r>
    </w:p>
    <w:p>
      <w:pPr>
        <w:pStyle w:val="TextBody"/>
        <w:spacing w:before="120" w:after="283"/>
        <w:jc w:val="left"/>
        <w:rPr>
          <w:rFonts w:ascii="Times New Roman;serif" w:hAnsi="Times New Roman;serif"/>
          <w:b w:val="false"/>
          <w:sz w:val="13"/>
        </w:rPr>
      </w:pPr>
      <w:r>
        <w:rPr>
          <w:rFonts w:ascii="Times New Roman;serif" w:hAnsi="Times New Roman;serif"/>
          <w:b w:val="false"/>
          <w:sz w:val="13"/>
        </w:rPr>
        <w:t>Represents the purchase of a security with delayed settlement or a revolving line of credit that is currently an unfunded investment. This security does not earn a basis point spread above an index while it is unfunded.</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PENNANTPARK INVESTMENT CORPORATION AND SUBSIDIARIES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CONSOLIDATED SCHEDULE OF INVESTMENT (Unaudited) - (Continued)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March 31, 2023</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data)</w:t>
      </w:r>
    </w:p>
    <w:p>
      <w:pPr>
        <w:pStyle w:val="TextBody"/>
        <w:spacing w:before="0" w:after="0"/>
        <w:jc w:val="left"/>
        <w:rPr/>
      </w:pPr>
      <w:r>
        <w:rPr/>
        <w:t> </w:t>
      </w:r>
    </w:p>
    <w:p>
      <w:pPr>
        <w:pStyle w:val="TextBody"/>
        <w:spacing w:before="120" w:after="0"/>
        <w:jc w:val="left"/>
        <w:rPr>
          <w:rFonts w:ascii="Times New Roman" w:hAnsi="Times New Roman"/>
          <w:b w:val="false"/>
          <w:sz w:val="13"/>
        </w:rPr>
      </w:pPr>
      <w:r>
        <w:rPr>
          <w:rFonts w:ascii="Times New Roman" w:hAnsi="Times New Roman"/>
          <w:b w:val="false"/>
          <w:sz w:val="13"/>
        </w:rPr>
        <w:t>(8)</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Non-U.S. company or principal place of business outside the United States.</w:t>
      </w:r>
    </w:p>
    <w:p>
      <w:pPr>
        <w:pStyle w:val="TextBody"/>
        <w:spacing w:before="120" w:after="0"/>
        <w:jc w:val="left"/>
        <w:rPr>
          <w:rFonts w:ascii="Times New Roman" w:hAnsi="Times New Roman"/>
          <w:b w:val="false"/>
          <w:sz w:val="13"/>
        </w:rPr>
      </w:pPr>
      <w:r>
        <w:rPr>
          <w:rFonts w:ascii="Times New Roman" w:hAnsi="Times New Roman"/>
          <w:b w:val="false"/>
          <w:sz w:val="13"/>
        </w:rPr>
        <w:t>(9)</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Investment is held through our Taxable Subsidiary (See Note 1).</w:t>
      </w:r>
    </w:p>
    <w:p>
      <w:pPr>
        <w:pStyle w:val="TextBody"/>
        <w:spacing w:before="120" w:after="0"/>
        <w:jc w:val="left"/>
        <w:rPr>
          <w:rFonts w:ascii="Times New Roman" w:hAnsi="Times New Roman"/>
          <w:b w:val="false"/>
          <w:sz w:val="13"/>
        </w:rPr>
      </w:pPr>
      <w:r>
        <w:rPr>
          <w:rFonts w:ascii="Times New Roman" w:hAnsi="Times New Roman"/>
          <w:b w:val="false"/>
          <w:sz w:val="13"/>
        </w:rPr>
        <w:t>(10)</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Par / Shares amount is denominated in British Pounds (£) as denoted.</w:t>
      </w:r>
    </w:p>
    <w:p>
      <w:pPr>
        <w:pStyle w:val="TextBody"/>
        <w:spacing w:before="120" w:after="0"/>
        <w:jc w:val="left"/>
        <w:rPr>
          <w:rFonts w:ascii="Times New Roman" w:hAnsi="Times New Roman"/>
          <w:b w:val="false"/>
          <w:sz w:val="13"/>
        </w:rPr>
      </w:pPr>
      <w:r>
        <w:rPr>
          <w:rFonts w:ascii="Times New Roman" w:hAnsi="Times New Roman"/>
          <w:b w:val="false"/>
          <w:sz w:val="13"/>
        </w:rPr>
        <w:t>(11)</w:t>
      </w:r>
    </w:p>
    <w:p>
      <w:pPr>
        <w:pStyle w:val="TextBody"/>
        <w:spacing w:before="120" w:after="283"/>
        <w:jc w:val="left"/>
        <w:rPr>
          <w:rFonts w:ascii="Times New Roman;serif" w:hAnsi="Times New Roman;serif"/>
          <w:b w:val="false"/>
          <w:sz w:val="13"/>
        </w:rPr>
      </w:pPr>
      <w:r>
        <w:rPr>
          <w:rFonts w:ascii="Times New Roman;serif" w:hAnsi="Times New Roman;serif"/>
          <w:b w:val="false"/>
          <w:sz w:val="13"/>
        </w:rPr>
        <w:t>The investment is treated as a non-qualifying asset under Section 55(a) of the 1940 Act. Under the 1940 Act, we may not acquire any non-qualifying asset unless, at the time the acquisition is made, qualifying assets represent at least 70% of our total assets. As of March 31, 2023, qualifying assets represent 79% of the Company’s total assets and non-qualifying assets represent 21% of the Company’s total assets.</w:t>
      </w:r>
    </w:p>
    <w:p>
      <w:pPr>
        <w:pStyle w:val="HorizontalLine"/>
        <w:rPr/>
      </w:pPr>
      <w:r>
        <w:rPr/>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PENNANTPARK INVESTMENT CORPORATION AND SUBSIDIARIES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CONSOLIDATED SCHEDULE OF INVESTMENT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SEPTEMBER 30, 2022</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data)</w:t>
      </w:r>
    </w:p>
    <w:tbl>
      <w:tblPr>
        <w:tblW w:w="10539" w:type="dxa"/>
        <w:jc w:val="left"/>
        <w:tblInd w:w="0" w:type="dxa"/>
        <w:tblCellMar>
          <w:top w:w="28" w:type="dxa"/>
          <w:left w:w="28" w:type="dxa"/>
          <w:bottom w:w="28" w:type="dxa"/>
          <w:right w:w="28" w:type="dxa"/>
        </w:tblCellMar>
      </w:tblPr>
      <w:tblGrid>
        <w:gridCol w:w="3009"/>
        <w:gridCol w:w="146"/>
        <w:gridCol w:w="957"/>
        <w:gridCol w:w="146"/>
        <w:gridCol w:w="1610"/>
        <w:gridCol w:w="146"/>
        <w:gridCol w:w="151"/>
        <w:gridCol w:w="390"/>
        <w:gridCol w:w="211"/>
        <w:gridCol w:w="146"/>
        <w:gridCol w:w="199"/>
        <w:gridCol w:w="473"/>
        <w:gridCol w:w="146"/>
        <w:gridCol w:w="146"/>
        <w:gridCol w:w="146"/>
        <w:gridCol w:w="436"/>
        <w:gridCol w:w="146"/>
        <w:gridCol w:w="146"/>
        <w:gridCol w:w="166"/>
        <w:gridCol w:w="436"/>
        <w:gridCol w:w="146"/>
        <w:gridCol w:w="146"/>
        <w:gridCol w:w="192"/>
        <w:gridCol w:w="505"/>
        <w:gridCol w:w="198"/>
      </w:tblGrid>
      <w:tr>
        <w:trPr/>
        <w:tc>
          <w:tcPr>
            <w:tcW w:w="30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30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 xml:space="preserve">Investments in Non-Controlled, Non-Affiliated Portfolio Companies—159.2% of Net Assets </w:t>
            </w:r>
            <w:r>
              <w:rPr>
                <w:rFonts w:ascii="Times New Roman;serif" w:hAnsi="Times New Roman;serif"/>
                <w:b/>
                <w:sz w:val="8"/>
              </w:rPr>
              <w:t>(1), (2)</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First Lien Secured Debt—100.5% of Net Assets</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Ad.net Acquisition,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05/06/2026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Technologies, LLC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07/24/2025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L+800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Altamira Technologies,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07/24/2025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Insulated Glass,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12/21/2023</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3,329</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Anteriad, LLC (f/k/a MeritDirect,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05/23/2024</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pPr>
            <w:r>
              <w:rPr/>
              <w:t>—</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Any Hour Services</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4,038</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Any Hour Services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1,324</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1,883</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Apex Service Partners,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1,367</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Applied Technical Services,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04/21/2023</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P+475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195</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Applied Technical Services,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Arcfield Acquisition Corp.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03/07/2028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Berwick Industrial Park</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04/28/2023</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Buildings and Real Estate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3,934</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 Inc.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07/01/2029</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4,900</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1,149</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Blackhawk Industrial Distribution, Inc.</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667</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Blackhawk Industrial Distribution,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Broder Bros., Co.</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12/02/2022</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10,096</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05/13/2028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39,401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38,644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38,810</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 -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05/13/2028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1,246</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Cartessa Aesthetics, LLC -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05/13/2028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08/20/2026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6,619</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CF512, Inc.(Revolver)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08/20/2026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Compex Legal Services, Inc.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02/09/2026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853</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Compex Legal Services, Inc.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02/07/2025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361</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Compex Legal Services,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02/07/2025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pPr>
            <w:r>
              <w:rPr/>
              <w:t>—</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Connatix Buyer, Inc.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01/13/2023</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Connatix Buyer,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07/13/2027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Services, Inc.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2,580</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Services, Inc.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Crane 1 Services,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DermaRite Industries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06/30/2023</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Manufacturing / Basic Industries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7,030</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12,742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12,736</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Dr. Squatch,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08/27/2026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764</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Dr. Squatch,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DRS Holdings III,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11/03/2025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ECL Entertainment,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05/01/2028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Motels, Inns and Gaming</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L+750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19,156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19,019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18,869</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ECM Industries, LLC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12/23/2025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7.93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277</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ECM Industries,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12/23/2025</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Exigo Intermediate II,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24,875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24,532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24,315</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Exigo Intermediate II, LLC</w:t>
            </w:r>
            <w:r>
              <w:rPr>
                <w:rFonts w:ascii="Times New Roman" w:hAnsi="Times New Roman"/>
                <w:sz w:val="12"/>
              </w:rPr>
              <w:t>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03/15/2024</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Exigo Intermediate II, LLC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363</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Exigo Intermediate II,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Fairbanks Morse Defense</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06/17/2028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682</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Gantech Acquisition Corp.</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16,548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16,305</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Gantech Acquisition Corp.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Gantech Acquisition Corp.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Graffiti Buyer, Inc.</w:t>
            </w:r>
            <w:r>
              <w:rPr>
                <w:rFonts w:ascii="Times New Roman" w:hAnsi="Times New Roman"/>
                <w:sz w:val="12"/>
              </w:rPr>
              <w:t>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08/10/2023</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Graffiti Buyer, Inc. (Revolver)</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357</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Graffiti Buyer,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Hancock Roofing and Construction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12/31/2022</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Hancock Roofing and Construction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266</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Hancock Roofing and Construction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0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Holdco Sands Intermediate, LLC</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11/23/2028</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1,879</w:t>
            </w:r>
          </w:p>
        </w:tc>
        <w:tc>
          <w:tcPr>
            <w:tcW w:w="198" w:type="dxa"/>
            <w:tcBorders/>
            <w:shd w:fill="auto" w:val="clear"/>
            <w:vAlign w:val="center"/>
          </w:tcPr>
          <w:p>
            <w:pPr>
              <w:pStyle w:val="TableContents"/>
              <w:spacing w:before="0" w:after="0"/>
              <w:ind w:left="0" w:right="0" w:hanging="0"/>
              <w:jc w:val="left"/>
              <w:rPr/>
            </w:pPr>
            <w:r>
              <w:rPr/>
              <w:t> </w:t>
            </w:r>
          </w:p>
        </w:tc>
      </w:tr>
      <w:tr>
        <w:trPr/>
        <w:tc>
          <w:tcPr>
            <w:tcW w:w="300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Holdco Sands Intermediate,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11/23/2027</w:t>
            </w:r>
          </w:p>
        </w:tc>
        <w:tc>
          <w:tcPr>
            <w:tcW w:w="146" w:type="dxa"/>
            <w:tcBorders/>
            <w:shd w:fill="auto" w:val="clear"/>
            <w:vAlign w:val="center"/>
          </w:tcPr>
          <w:p>
            <w:pPr>
              <w:pStyle w:val="TableContents"/>
              <w:spacing w:before="0" w:after="0"/>
              <w:ind w:left="0" w:right="0" w:hanging="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(79</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bl>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PENNANTPARK INVESTMENT CORPORATION AND SUBSIDIARIES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CONSOLIDATED SCHEDULE OF INVESTMENT - (Continued)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SEPTEMBER 30, 2022</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data)</w:t>
      </w:r>
    </w:p>
    <w:tbl>
      <w:tblPr>
        <w:tblW w:w="10539" w:type="dxa"/>
        <w:jc w:val="left"/>
        <w:tblInd w:w="0" w:type="dxa"/>
        <w:tblCellMar>
          <w:top w:w="28" w:type="dxa"/>
          <w:left w:w="28" w:type="dxa"/>
          <w:bottom w:w="28" w:type="dxa"/>
          <w:right w:w="28" w:type="dxa"/>
        </w:tblCellMar>
      </w:tblPr>
      <w:tblGrid>
        <w:gridCol w:w="2066"/>
        <w:gridCol w:w="146"/>
        <w:gridCol w:w="1057"/>
        <w:gridCol w:w="146"/>
        <w:gridCol w:w="2211"/>
        <w:gridCol w:w="146"/>
        <w:gridCol w:w="188"/>
        <w:gridCol w:w="486"/>
        <w:gridCol w:w="211"/>
        <w:gridCol w:w="146"/>
        <w:gridCol w:w="220"/>
        <w:gridCol w:w="523"/>
        <w:gridCol w:w="146"/>
        <w:gridCol w:w="146"/>
        <w:gridCol w:w="146"/>
        <w:gridCol w:w="436"/>
        <w:gridCol w:w="146"/>
        <w:gridCol w:w="146"/>
        <w:gridCol w:w="166"/>
        <w:gridCol w:w="436"/>
        <w:gridCol w:w="146"/>
        <w:gridCol w:w="146"/>
        <w:gridCol w:w="202"/>
        <w:gridCol w:w="532"/>
        <w:gridCol w:w="199"/>
      </w:tblGrid>
      <w:tr>
        <w:trPr/>
        <w:tc>
          <w:tcPr>
            <w:tcW w:w="2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20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271</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HV Watterson Holdings,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 - (Revolver)</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193</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HV Watterson Holdings, LLC - (Revolver)</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HW Holdco, LLC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10,061</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HW Holdco,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HW Holdco,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III, LP</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05/11/2028</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727</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IDC Infusion Services, Inc.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3,574</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IDC Infusion Services,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(187</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IG Investments Holdings,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09/22/2027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Imagine Acquisitionco,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Imagine Acquisitionco,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Inception Fertility Ventures, LLC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12/07/2023</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L+715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20,506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20,239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20,301</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Infolinks Media Buyco,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11/01/2023</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Integrity Marketing Acquisition, LLC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08/27/2025</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9,876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9,831</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ITI Holdings, Inc.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03/03/2028</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8,749</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ITI Holdings, Inc. (Revolver)</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03/03/2028</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292</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ITI Holdings,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03/03/2028</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K2 Pure Solutions NoCal, L.P.</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L+800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11,678</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K2 Pure Solutions NoCal, L.P.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pPr>
            <w:r>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24,341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23,807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23,855</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 (Revolver)</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4,757</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02/18/2027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11.78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2,771</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 (Revolver)</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556</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Lash OpCo,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LAV Gear Holdings, Inc.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10/31/2024</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L+750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2,013</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(PIK 5.50%)</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34" w:type="dxa"/>
            <w:gridSpan w:val="2"/>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righ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Ledge Lounger, Inc.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9,040</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Ledge Lounger,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Buyer Inc.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02/03/2026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2,148</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Buyer Inc. (Revolver)</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02/03/2026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489</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Lightspeed Buyer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02/03/2026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Limerick Town Cener, LLC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09/27/2023</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Real Estate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2,970</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LSF9 Atlantis Holdings, LLC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03/31/2029</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SOFR+725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5,685</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Mars Acquisition Holdings Corp. (Revolver)</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MBS Holdings,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04/16/2027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MDI Buyer, Inc.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14,112</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MDI Buyer, Inc. Term Loan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MDI Buyer,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Acquirer, LLC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1,307</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Meadowlark Acquirer, LLC Term Loan I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pPr>
            <w:r>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Meadowlark Acquirer, LLC Term Loan II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pPr>
            <w:r>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Meadowlark Acquirer,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663</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Municipal Emergency Services, Inc.</w:t>
            </w:r>
            <w:r>
              <w:rPr>
                <w:rFonts w:ascii="Times New Roman" w:hAnsi="Times New Roman"/>
                <w:sz w:val="12"/>
              </w:rPr>
              <w:t>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 (Revolver)</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266</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Municipal Emergency Services,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NBH Group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08/19/2026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pPr>
            <w:r>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Neptune Flood Incorporated</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10/14/2026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4,423</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OIS Management Services,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07/09/2026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pPr>
            <w:r>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One Stop Mailing, LLC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05/07/2027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Cargo Transport</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6,798</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ORL Acquisition, Inc.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09/03/2027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4,454</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ORL Acquisition,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09/03/2027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pPr>
            <w:r>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9.81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15,391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15,189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15,083</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 (Revolver)</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9.81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1,739</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Ox Two, LLC (Revolver)</w:t>
            </w:r>
            <w:r>
              <w:rPr>
                <w:rFonts w:ascii="Times New Roman" w:hAnsi="Times New Roman"/>
                <w:sz w:val="12"/>
              </w:rPr>
              <w:t>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PL Acquisitionco, LLC (Revolver)</w:t>
            </w:r>
            <w:r>
              <w:rPr>
                <w:rFonts w:ascii="Times New Roman" w:hAnsi="Times New Roman"/>
                <w:sz w:val="12"/>
              </w:rPr>
              <w:t>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11/09/2027</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PRA Events, Inc.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08/07/2025</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L+1,050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24,907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21,694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24,907</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(PIK 10.5%)</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34" w:type="dxa"/>
            <w:gridSpan w:val="2"/>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righ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PRA Events, Inc. (Revolver)</w:t>
            </w:r>
            <w:r>
              <w:rPr>
                <w:rFonts w:ascii="Times New Roman" w:hAnsi="Times New Roman"/>
                <w:sz w:val="12"/>
              </w:rPr>
              <w:t>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08/07/2025</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L+1,050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pPr>
            <w:r>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35,340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34,826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34,987</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Pragmatic Institute, LLC Term Loan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pPr>
            <w:r>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 (Revolver)</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949</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Pragmatic Institute, LL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666</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 (Revolver)</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207</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Quantic Electronics,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Questex, LLC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09/09/2024</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21,436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21,168</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Questex,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09/09/2024</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Radius Aerospace, Inc. (Revolver)</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03/31/2025</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877</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Radius Aerospace,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03/31/2025</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Rancho Health MSO, Inc.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pPr>
            <w:r>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Rancho Health MSO,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pPr>
            <w:r>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Reception Purchaser, LLC</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02/28/2028</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5,701</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Recteq, LLC (Revolver)</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01/29/2026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302</w:t>
            </w:r>
          </w:p>
        </w:tc>
        <w:tc>
          <w:tcPr>
            <w:tcW w:w="199" w:type="dxa"/>
            <w:tcBorders/>
            <w:shd w:fill="auto" w:val="clear"/>
            <w:vAlign w:val="center"/>
          </w:tcPr>
          <w:p>
            <w:pPr>
              <w:pStyle w:val="TableContents"/>
              <w:spacing w:before="0" w:after="0"/>
              <w:ind w:left="0" w:right="0" w:hanging="0"/>
              <w:jc w:val="left"/>
              <w:rPr/>
            </w:pPr>
            <w:r>
              <w:rPr/>
              <w:t> </w:t>
            </w:r>
          </w:p>
        </w:tc>
      </w:tr>
      <w:tr>
        <w:trPr/>
        <w:tc>
          <w:tcPr>
            <w:tcW w:w="206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Recteq,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105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01/29/2026</w:t>
            </w:r>
          </w:p>
        </w:tc>
        <w:tc>
          <w:tcPr>
            <w:tcW w:w="146" w:type="dxa"/>
            <w:tcBorders/>
            <w:shd w:fill="auto" w:val="clear"/>
            <w:vAlign w:val="center"/>
          </w:tcPr>
          <w:p>
            <w:pPr>
              <w:pStyle w:val="TableContents"/>
              <w:spacing w:before="0" w:after="0"/>
              <w:ind w:left="0" w:right="0" w:hanging="0"/>
              <w:jc w:val="left"/>
              <w:rPr/>
            </w:pPr>
            <w:r>
              <w:rPr/>
              <w:t> </w:t>
            </w:r>
          </w:p>
        </w:tc>
        <w:tc>
          <w:tcPr>
            <w:tcW w:w="22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PENNANTPARK INVESTMENT CORPORATION AND SUBSIDIARIES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CONSOLIDATED SCHEDULE OF INVESTMENT (Unaudited) - (Continued)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SEPTEMBER 30, 2022</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data)</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2552"/>
        <w:gridCol w:w="146"/>
        <w:gridCol w:w="291"/>
        <w:gridCol w:w="693"/>
        <w:gridCol w:w="146"/>
        <w:gridCol w:w="146"/>
        <w:gridCol w:w="1568"/>
        <w:gridCol w:w="146"/>
        <w:gridCol w:w="171"/>
        <w:gridCol w:w="443"/>
        <w:gridCol w:w="211"/>
        <w:gridCol w:w="146"/>
        <w:gridCol w:w="204"/>
        <w:gridCol w:w="487"/>
        <w:gridCol w:w="146"/>
        <w:gridCol w:w="146"/>
        <w:gridCol w:w="146"/>
        <w:gridCol w:w="496"/>
        <w:gridCol w:w="146"/>
        <w:gridCol w:w="146"/>
        <w:gridCol w:w="166"/>
        <w:gridCol w:w="496"/>
        <w:gridCol w:w="146"/>
        <w:gridCol w:w="146"/>
        <w:gridCol w:w="184"/>
        <w:gridCol w:w="550"/>
        <w:gridCol w:w="275"/>
      </w:tblGrid>
      <w:tr>
        <w:trPr/>
        <w:tc>
          <w:tcPr>
            <w:tcW w:w="25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5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Research Now Group, Inc. and Dynata,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Riverpoint Medical,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06/20/2025</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Riverside Assessments,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03/10/2025</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12,705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12,648</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Sales Benchmark Index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01/03/2025</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Sargent &amp; Greenleaf Inc. (Revolver)</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587</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Sargent &amp; Greenleaf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Schlesinger Global, Inc.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4,571</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Schlesinger Global, Inc. (Revolver)</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(PIK 0.5%)</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34"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Schlesinger Global, Inc. (Revolver)</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pPr>
            <w:r>
              <w:rPr/>
              <w:t>—</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Seaway Buyer,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06/13/2029</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4,728</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Seaway Buyer, LLC (Revolver)</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06/13/2029</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Shiftkey,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06/21/2027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17,955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17,784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17,722</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Sigma Defense Systems,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L+850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31,680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31,004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31,047</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Sigma Defense Systems, LLC (Revolver)</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L+850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1,108</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Sigma Defense Systems,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Signature Systems Holding Company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05/03/2024</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Solutionreach,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01/17/2024</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Communications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Spear Education,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02/26/2025</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12,018</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9,433</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Spendmend Holdings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03/01/2023</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 - Funded Revolver</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182</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Spendmend Holdings LLC - Unfunded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System Planning and Analysis, Inc. - (Revolver) </w:t>
            </w:r>
            <w:r>
              <w:rPr>
                <w:rFonts w:ascii="Times New Roman;serif" w:hAnsi="Times New Roman;serif"/>
                <w:b w:val="false"/>
                <w:sz w:val="8"/>
              </w:rPr>
              <w:t>(7)</w:t>
            </w:r>
            <w:r>
              <w:rPr>
                <w:rFonts w:ascii="Times New Roman" w:hAnsi="Times New Roman"/>
                <w:sz w:val="12"/>
              </w:rPr>
              <w:t> </w:t>
            </w:r>
            <w:r>
              <w:rPr>
                <w:rFonts w:ascii="Times New Roman;serif" w:hAnsi="Times New Roman;serif"/>
                <w:b w:val="false"/>
                <w:sz w:val="12"/>
              </w:rPr>
              <w:br/>
              <w:t>(f/k/a Management Consulting &amp; Research,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The Bluebird Group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07/27/2026</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4,933</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The Bluebird Group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07/27/2026</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1,745</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The Vertex Companies,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 (Revolver)</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147</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The Vertex Companies,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03/26/2026</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12,864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12,543</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TVC Enterprises,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03/26/2026</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TWS Acquisition Corporation</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06/16/2025</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1,137</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TWS Acquisition Corporation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06/16/2025</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Tyto Athene,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04/01/2026</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Unique Indoor Comfort,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05/24/2027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27,233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26,904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26,634</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Unique Indoor Comfort, LLC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05/24/2027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16,140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(194</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Unique Indoor Comfort, LLC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05/24/2027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L+875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25,368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24,881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16,946</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02/27/2026</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3,716</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Wildcat Buyerco, Inc. (Revolver)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02/27/2026</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Zips Car Wash,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03/01/2024</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L+725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2,562</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599,263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588,267</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Second Lien Secured Debt—22.2% of Net Assets</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34"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Atlas Purchaser, Inc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05/07/2029</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L+900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16,551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14,909</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Best Practice Associates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06/29/2027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L+900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17,825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17,506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17,290</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Burgess Point Purchaser Corporation</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07/28/2030</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L+900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7,680</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Data Axle, Inc.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04/03/2024</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Other Media</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L+925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20,288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20,196</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ENC Parent Corporation</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08/19/2029</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L+750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7,125</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Halo Buyer, Inc.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07/06/2026</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1M L+825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32,164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31,769</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Inventus Power, Inc.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09/29/2024</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L+850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16,593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16,387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16,344</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QuantiTech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02/04/2027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L+1,000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VT Topco, Inc.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08/17/2026</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9.87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L+675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14,932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14,475</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Second Lien Secured Debt</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133,160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129,936</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Subordinated Debt/Corporate Notes—9.1% of Net Assets</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34"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Express Wash Acquisition Company,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01/15/2029</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15.31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L+1,150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20,278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20,359</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Flock Financial,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05/26/2027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33,190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32,895</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Subordinated Debt/Corporate Notes</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53,468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53,254</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 xml:space="preserve">Preferred Equity/Partnership Interests—1.3% of Net Assets </w:t>
            </w:r>
            <w:r>
              <w:rPr>
                <w:rFonts w:ascii="Times New Roman;serif" w:hAnsi="Times New Roman;serif"/>
                <w:b/>
                <w:sz w:val="8"/>
              </w:rPr>
              <w:t>(6)</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34"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Ad.net Holdings, Inc.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267</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AH Newco Equityholdings, LLC</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2,127</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Anteriad Holdings, LP (f/k/a MeritDirect Holdings,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1,427</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Topco, LP</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743,826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704</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Mars Intermediate Holdings II, Inc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484</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NXOF Holdings, Inc. (Tyto Athene, LLC)</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227</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ORL Holdco, Inc.</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Signature CR Intermediate Holdco, Inc.</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1,932</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TPC Holding Company, LP </w:t>
            </w:r>
            <w:r>
              <w:rPr>
                <w:rFonts w:ascii="Times New Roman;serif" w:hAnsi="Times New Roman;serif"/>
                <w:b w:val="false"/>
                <w:sz w:val="8"/>
              </w:rPr>
              <w:t>(8),(11)</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Food</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TWD Parent Holdings, LLC</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c>
          <w:tcPr>
            <w:tcW w:w="275" w:type="dxa"/>
            <w:tcBorders/>
            <w:shd w:fill="auto" w:val="clear"/>
            <w:vAlign w:val="center"/>
          </w:tcPr>
          <w:p>
            <w:pPr>
              <w:pStyle w:val="TableContents"/>
              <w:spacing w:before="0" w:after="0"/>
              <w:ind w:left="0" w:right="0" w:firstLine="80"/>
              <w:jc w:val="left"/>
              <w:rPr/>
            </w:pPr>
            <w:r>
              <w:rPr/>
              <w:t> </w:t>
            </w:r>
          </w:p>
        </w:tc>
      </w:tr>
      <w:tr>
        <w:trPr/>
        <w:tc>
          <w:tcPr>
            <w:tcW w:w="2552"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Preferred Equity/Partnership Interests</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7,325</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 xml:space="preserve">Common Equity/Partnership Interests/Warrants—26.2% of Net Assets </w:t>
            </w:r>
            <w:r>
              <w:rPr>
                <w:rFonts w:ascii="Times New Roman;serif" w:hAnsi="Times New Roman;serif"/>
                <w:b/>
                <w:sz w:val="8"/>
              </w:rPr>
              <w:t>(6)</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34" w:type="dxa"/>
            <w:gridSpan w:val="2"/>
            <w:tcBorders/>
            <w:shd w:fill="auto" w:val="clear"/>
            <w:vAlign w:val="center"/>
          </w:tcPr>
          <w:p>
            <w:pPr>
              <w:pStyle w:val="TableContents"/>
              <w:spacing w:before="0" w:after="0"/>
              <w:ind w:left="0" w:right="0" w:hanging="0"/>
              <w:jc w:val="right"/>
              <w:rPr/>
            </w:pPr>
            <w:r>
              <w:rPr/>
              <w:t> </w:t>
            </w:r>
          </w:p>
        </w:tc>
        <w:tc>
          <w:tcPr>
            <w:tcW w:w="275" w:type="dxa"/>
            <w:tcBorders/>
            <w:shd w:fill="auto" w:val="clear"/>
            <w:vAlign w:val="center"/>
          </w:tcPr>
          <w:p>
            <w:pPr>
              <w:pStyle w:val="TableContents"/>
              <w:spacing w:before="0" w:after="0"/>
              <w:ind w:left="0" w:right="0" w:hanging="0"/>
              <w:jc w:val="righ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Ad.net Holdings, Inc.</w:t>
            </w:r>
            <w:r>
              <w:rPr>
                <w:rFonts w:ascii="Times New Roman" w:hAnsi="Times New Roman"/>
                <w:sz w:val="12"/>
              </w:rPr>
              <w:t>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Affinion Group Holdings, Inc. (Warrants)</w:t>
            </w:r>
          </w:p>
        </w:tc>
        <w:tc>
          <w:tcPr>
            <w:tcW w:w="146" w:type="dxa"/>
            <w:tcBorders/>
            <w:shd w:fill="auto" w:val="clear"/>
            <w:vAlign w:val="center"/>
          </w:tcPr>
          <w:p>
            <w:pPr>
              <w:pStyle w:val="TableContents"/>
              <w:spacing w:before="0" w:after="0"/>
              <w:ind w:left="0" w:right="0" w:hanging="0"/>
              <w:jc w:val="left"/>
              <w:rPr/>
            </w:pPr>
            <w:r>
              <w:rPr/>
              <w:t> </w:t>
            </w:r>
          </w:p>
        </w:tc>
        <w:tc>
          <w:tcPr>
            <w:tcW w:w="98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04/10/2024</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77,190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pPr>
            <w:r>
              <w:rPr/>
              <w:t>—</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AG Investco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805,164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1,127</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AG Investco LP </w:t>
            </w:r>
            <w:r>
              <w:rPr>
                <w:rFonts w:ascii="Times New Roman;serif" w:hAnsi="Times New Roman;serif"/>
                <w:b w:val="false"/>
                <w:sz w:val="8"/>
              </w:rPr>
              <w:t>(7), (9)</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194,836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pPr>
            <w:r>
              <w:rPr/>
              <w:t>—</w:t>
            </w:r>
          </w:p>
        </w:tc>
        <w:tc>
          <w:tcPr>
            <w:tcW w:w="275" w:type="dxa"/>
            <w:tcBorders/>
            <w:shd w:fill="auto" w:val="clear"/>
            <w:vAlign w:val="center"/>
          </w:tcPr>
          <w:p>
            <w:pPr>
              <w:pStyle w:val="TableContents"/>
              <w:spacing w:before="0" w:after="0"/>
              <w:ind w:left="0" w:right="0" w:hanging="0"/>
              <w:jc w:val="left"/>
              <w:rPr/>
            </w:pPr>
            <w:r>
              <w:rPr/>
              <w:t> </w:t>
            </w:r>
          </w:p>
        </w:tc>
      </w:tr>
      <w:tr>
        <w:trPr/>
        <w:tc>
          <w:tcPr>
            <w:tcW w:w="255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Intermediate Company II, Inc.</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79</w:t>
            </w:r>
          </w:p>
        </w:tc>
        <w:tc>
          <w:tcPr>
            <w:tcW w:w="275"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PENNANTPARK INVESTMENT CORPORATION AND SUBSIDIARIES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CONSOLIDATED SCHEDULE OF INVESTMENT (Unaudited) - (Continued)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SEPTEMBER 30, 2022</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data)</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2267"/>
        <w:gridCol w:w="146"/>
        <w:gridCol w:w="305"/>
        <w:gridCol w:w="727"/>
        <w:gridCol w:w="146"/>
        <w:gridCol w:w="146"/>
        <w:gridCol w:w="1828"/>
        <w:gridCol w:w="146"/>
        <w:gridCol w:w="160"/>
        <w:gridCol w:w="381"/>
        <w:gridCol w:w="146"/>
        <w:gridCol w:w="146"/>
        <w:gridCol w:w="215"/>
        <w:gridCol w:w="511"/>
        <w:gridCol w:w="146"/>
        <w:gridCol w:w="146"/>
        <w:gridCol w:w="146"/>
        <w:gridCol w:w="646"/>
        <w:gridCol w:w="146"/>
        <w:gridCol w:w="146"/>
        <w:gridCol w:w="166"/>
        <w:gridCol w:w="436"/>
        <w:gridCol w:w="146"/>
        <w:gridCol w:w="146"/>
        <w:gridCol w:w="200"/>
        <w:gridCol w:w="525"/>
        <w:gridCol w:w="274"/>
      </w:tblGrid>
      <w:tr>
        <w:trPr/>
        <w:tc>
          <w:tcPr>
            <w:tcW w:w="22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r>
      <w:tr>
        <w:trPr/>
        <w:tc>
          <w:tcPr>
            <w:tcW w:w="2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AMCSI Crash Co-Invest, LP</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2,419,200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2,470</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AMCSI Crash Co-Invest, LP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580,800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pPr>
            <w:r>
              <w:rPr/>
              <w:t>—</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Anteriad Holdings, LP (f/k/a MeritDirect Holdings,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270</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Athletico Holdings,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9,516</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Atlas Investment Aggregator,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1,219</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Burgess Point Holdings, LP</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690</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3,562,500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3,716</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CI (Allied) Investment Holdings,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120,962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1,651</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 xml:space="preserve">(PRA Events, Inc.)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Connatix Parent,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57,416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689</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Cowboy Parent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26,360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4,011</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Acquisition Parent Holdings, L.P.</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Delta InvestCo LP</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698,889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1,425</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 xml:space="preserve">(Sigma Defense Systems,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Delta InvestCo LP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442,155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pPr>
            <w:r>
              <w:rPr/>
              <w:t>—</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 xml:space="preserve">(Sigma Defense Systems, LLC) </w:t>
            </w:r>
            <w:r>
              <w:rPr>
                <w:rFonts w:ascii="Times New Roman;serif" w:hAnsi="Times New Roman;serif"/>
                <w:b w:val="false"/>
                <w:sz w:val="8"/>
              </w:rPr>
              <w:t>(7), (9)</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ECM Investors,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167,537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358</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eCommission Holding Corporation </w:t>
            </w:r>
            <w:r>
              <w:rPr>
                <w:rFonts w:ascii="Times New Roman;serif" w:hAnsi="Times New Roman;serif"/>
                <w:b w:val="false"/>
                <w:sz w:val="8"/>
              </w:rPr>
              <w:t>(11)</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1,391</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Exigo,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1,458,333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1,288</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Express Wash Topco,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658,000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3,369</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FedHC InvestCo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1,441</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FedHC InvestCo LP </w:t>
            </w:r>
            <w:r>
              <w:rPr>
                <w:rFonts w:ascii="Times New Roman;serif" w:hAnsi="Times New Roman;serif"/>
                <w:b w:val="false"/>
                <w:sz w:val="8"/>
              </w:rPr>
              <w:t>(7),(9)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pPr>
            <w:r>
              <w:rPr/>
              <w:t>—</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FedHC InvestCo II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20,357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2,253</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Gauge Lash Coinvest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889,376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4,208</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Gauge Schlesinger Coinvest,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Gauge TVC Coinvest,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810,645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3,229</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GCOM InvestCo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587</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Go Dawgs Capital III, LP</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675,325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783</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 xml:space="preserve">(American Insulated Glass,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Green Veracity Holdings, LP - Class A</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5,700</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(VT Topco, Inc.)</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Hancock Claims Consultants Investors,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477</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1,387</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V C, L.P.</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1,111,111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1,194</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Icon Partners V C, L.P. </w:t>
            </w:r>
            <w:r>
              <w:rPr>
                <w:rFonts w:ascii="Times New Roman;serif" w:hAnsi="Times New Roman;serif"/>
                <w:b w:val="false"/>
                <w:sz w:val="8"/>
              </w:rPr>
              <w:t>(7),(9)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388,889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pPr>
            <w:r>
              <w:rPr/>
              <w:t>—</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Topco, LP</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743,826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pPr>
            <w:r>
              <w:rPr/>
              <w:t>—</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Infogroup Parent Holdings, Inc.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Other Media</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181,495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3,270</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(Data Axle, Inc.)</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Ironclad Holdco,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592</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(Applied Technical Services, LLC)</w:t>
            </w:r>
            <w:r>
              <w:rPr>
                <w:rFonts w:ascii="Times New Roman" w:hAnsi="Times New Roman"/>
                <w:sz w:val="12"/>
              </w:rPr>
              <w:t>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ITC Infusion Co-invest, LP</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113,839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1,199</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ITC Rumba,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375,675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42,031</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(Cano Health, LLC)</w:t>
            </w:r>
            <w:r>
              <w:rPr>
                <w:rFonts w:ascii="Times New Roman" w:hAnsi="Times New Roman"/>
                <w:sz w:val="12"/>
              </w:rPr>
              <w:t>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JWC-WE Holdings, L.P.</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pPr>
            <w:r>
              <w:rPr/>
              <w:t>—</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 xml:space="preserve">(Walker Edison Furniture Company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Kentucky Racing Holdco, LLC (Warrants)</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Motels, Inns and Gaming</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161,252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1,774</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1,308,814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1,854</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KL Stockton Co-Invest LP</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382,353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643</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 xml:space="preserve">(Any Hour Services)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Lariat ecoserv Co-Invest Holdings,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363,656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1,376</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Investment Holdco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273,143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373</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Mars Intermidiate Holdings II, Inc.</w:t>
            </w:r>
            <w:r>
              <w:rPr>
                <w:rFonts w:ascii="Times New Roman" w:hAnsi="Times New Roman"/>
                <w:sz w:val="12"/>
              </w:rPr>
              <w:t>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MDI Aggregator, LP</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1,925,990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1,926</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Meadowlark Title,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815,385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897</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3,920,145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2,990</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NEPRT Parent Holdings,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243</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 xml:space="preserve">(Recteq,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North Haven Saints Equity Holdings, LP</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351,553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373</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NXOF Holdings, Inc.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(Tyto Athene, LLC)</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OceanSound Discovery Equity, LP</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98,286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1,651</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 w:hAnsi="Times New Roman"/>
                <w:sz w:val="12"/>
              </w:rPr>
            </w:pPr>
            <w:r>
              <w:rPr>
                <w:rFonts w:ascii="Times New Roman;serif" w:hAnsi="Times New Roman;serif"/>
                <w:b w:val="false"/>
                <w:sz w:val="12"/>
              </w:rPr>
              <w:t xml:space="preserve">(Holdco Sands Intermediate,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OHCP V BC COI, L.P.</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446,250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382</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OHCP V BC COI, L.P. </w:t>
            </w:r>
            <w:r>
              <w:rPr>
                <w:rFonts w:ascii="Times New Roman;serif" w:hAnsi="Times New Roman;serif"/>
                <w:b w:val="false"/>
                <w:sz w:val="8"/>
              </w:rPr>
              <w:t>(7),(9)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303,750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Oral Surgery (ITC) Holdings,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173</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ORL Holdco, Inc.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PennantPark-TSO Senior Loan Fund II, LP</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center"/>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15,038,871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15,571</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Pink Lily Holdco,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550</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1,918,047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1,918</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QuantiTech InvestCo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352</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QuantiTech InvestCo LP </w:t>
            </w:r>
            <w:r>
              <w:rPr>
                <w:rFonts w:ascii="Times New Roman;serif" w:hAnsi="Times New Roman;serif"/>
                <w:b w:val="false"/>
                <w:sz w:val="8"/>
              </w:rPr>
              <w:t>(7),(9)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pPr>
            <w:r>
              <w:rPr/>
              <w:t>—</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QuantiTech InvestCo II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RFMG Parent, LP</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1,090</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(Rancho Health MSO, Inc.)</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SBI Holdings Investments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36,585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359</w:t>
            </w:r>
          </w:p>
        </w:tc>
        <w:tc>
          <w:tcPr>
            <w:tcW w:w="274" w:type="dxa"/>
            <w:tcBorders/>
            <w:shd w:fill="auto" w:val="clear"/>
            <w:vAlign w:val="center"/>
          </w:tcPr>
          <w:p>
            <w:pPr>
              <w:pStyle w:val="TableContents"/>
              <w:spacing w:before="0" w:after="0"/>
              <w:ind w:left="0" w:right="0" w:firstLine="80"/>
              <w:jc w:val="left"/>
              <w:rPr/>
            </w:pPr>
            <w:r>
              <w:rPr/>
              <w:t> </w:t>
            </w:r>
          </w:p>
        </w:tc>
      </w:tr>
      <w:tr>
        <w:trPr/>
        <w:tc>
          <w:tcPr>
            <w:tcW w:w="2267"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(Sales Benchmark Index LLC)</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25" w:type="dxa"/>
            <w:gridSpan w:val="2"/>
            <w:tcBorders/>
            <w:shd w:fill="auto" w:val="clear"/>
            <w:vAlign w:val="center"/>
          </w:tcPr>
          <w:p>
            <w:pPr>
              <w:pStyle w:val="TableContents"/>
              <w:spacing w:before="0" w:after="0"/>
              <w:ind w:left="0" w:right="0" w:hanging="0"/>
              <w:jc w:val="right"/>
              <w:rPr/>
            </w:pPr>
            <w:r>
              <w:rPr/>
              <w:t> </w:t>
            </w:r>
          </w:p>
        </w:tc>
        <w:tc>
          <w:tcPr>
            <w:tcW w:w="274" w:type="dxa"/>
            <w:tcBorders/>
            <w:shd w:fill="auto" w:val="clear"/>
            <w:vAlign w:val="center"/>
          </w:tcPr>
          <w:p>
            <w:pPr>
              <w:pStyle w:val="TableContents"/>
              <w:spacing w:before="0" w:after="0"/>
              <w:ind w:left="0" w:right="0" w:hanging="0"/>
              <w:jc w:val="righ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Seaway Topco, LP</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2,981</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Signature CR Intermediate Holdco, Inc.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pPr>
            <w:r>
              <w:rPr/>
              <w:t>—</w:t>
            </w:r>
          </w:p>
        </w:tc>
        <w:tc>
          <w:tcPr>
            <w:tcW w:w="274" w:type="dxa"/>
            <w:tcBorders/>
            <w:shd w:fill="auto" w:val="clear"/>
            <w:vAlign w:val="center"/>
          </w:tcPr>
          <w:p>
            <w:pPr>
              <w:pStyle w:val="TableContents"/>
              <w:spacing w:before="0" w:after="0"/>
              <w:ind w:left="0" w:right="0" w:hanging="0"/>
              <w:jc w:val="left"/>
              <w:rPr/>
            </w:pPr>
            <w:r>
              <w:rPr/>
              <w:t> </w:t>
            </w:r>
          </w:p>
        </w:tc>
      </w:tr>
      <w:tr>
        <w:trPr/>
        <w:tc>
          <w:tcPr>
            <w:tcW w:w="22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SP L2 Holdings, LLC</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881,966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913</w:t>
            </w:r>
          </w:p>
        </w:tc>
        <w:tc>
          <w:tcPr>
            <w:tcW w:w="274"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PENNANTPARK INVESTMENT CORPORATION AND SUBSIDIARIES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CONSOLIDATED SCHEDULE OF INVESTMENT (Unaudited) - (Continued)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SEPTEMBER 30, 2022</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data)</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2626"/>
        <w:gridCol w:w="146"/>
        <w:gridCol w:w="278"/>
        <w:gridCol w:w="663"/>
        <w:gridCol w:w="146"/>
        <w:gridCol w:w="146"/>
        <w:gridCol w:w="1341"/>
        <w:gridCol w:w="146"/>
        <w:gridCol w:w="151"/>
        <w:gridCol w:w="390"/>
        <w:gridCol w:w="211"/>
        <w:gridCol w:w="146"/>
        <w:gridCol w:w="196"/>
        <w:gridCol w:w="466"/>
        <w:gridCol w:w="146"/>
        <w:gridCol w:w="146"/>
        <w:gridCol w:w="166"/>
        <w:gridCol w:w="646"/>
        <w:gridCol w:w="146"/>
        <w:gridCol w:w="146"/>
        <w:gridCol w:w="166"/>
        <w:gridCol w:w="586"/>
        <w:gridCol w:w="146"/>
        <w:gridCol w:w="146"/>
        <w:gridCol w:w="170"/>
        <w:gridCol w:w="601"/>
        <w:gridCol w:w="276"/>
      </w:tblGrid>
      <w:tr>
        <w:trPr/>
        <w:tc>
          <w:tcPr>
            <w:tcW w:w="2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r>
      <w:tr>
        <w:trPr/>
        <w:tc>
          <w:tcPr>
            <w:tcW w:w="26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SSC Dominion Holdings, LLC</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2,041</w:t>
            </w:r>
          </w:p>
        </w:tc>
        <w:tc>
          <w:tcPr>
            <w:tcW w:w="276" w:type="dxa"/>
            <w:tcBorders/>
            <w:shd w:fill="auto" w:val="clear"/>
            <w:vAlign w:val="center"/>
          </w:tcPr>
          <w:p>
            <w:pPr>
              <w:pStyle w:val="TableContents"/>
              <w:spacing w:before="0" w:after="0"/>
              <w:ind w:left="0" w:right="0" w:firstLine="80"/>
              <w:jc w:val="left"/>
              <w:rPr/>
            </w:pPr>
            <w:r>
              <w:rPr/>
              <w:t> </w:t>
            </w:r>
          </w:p>
        </w:tc>
      </w:tr>
      <w:tr>
        <w:trPr/>
        <w:tc>
          <w:tcPr>
            <w:tcW w:w="2626"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Class A (US Dominion, Inc.)</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SSC Dominion Holdings, LLC</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4,389</w:t>
            </w:r>
          </w:p>
        </w:tc>
        <w:tc>
          <w:tcPr>
            <w:tcW w:w="276" w:type="dxa"/>
            <w:tcBorders/>
            <w:shd w:fill="auto" w:val="clear"/>
            <w:vAlign w:val="center"/>
          </w:tcPr>
          <w:p>
            <w:pPr>
              <w:pStyle w:val="TableContents"/>
              <w:spacing w:before="0" w:after="0"/>
              <w:ind w:left="0" w:right="0" w:firstLine="80"/>
              <w:jc w:val="left"/>
              <w:rPr/>
            </w:pPr>
            <w:r>
              <w:rPr/>
              <w:t> </w:t>
            </w:r>
          </w:p>
        </w:tc>
      </w:tr>
      <w:tr>
        <w:trPr/>
        <w:tc>
          <w:tcPr>
            <w:tcW w:w="2626"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Class B (US Dominion, Inc.)</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StellPen Holdings, LLC</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153,846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152</w:t>
            </w:r>
          </w:p>
        </w:tc>
        <w:tc>
          <w:tcPr>
            <w:tcW w:w="276" w:type="dxa"/>
            <w:tcBorders/>
            <w:shd w:fill="auto" w:val="clear"/>
            <w:vAlign w:val="center"/>
          </w:tcPr>
          <w:p>
            <w:pPr>
              <w:pStyle w:val="TableContents"/>
              <w:spacing w:before="0" w:after="0"/>
              <w:ind w:left="0" w:right="0" w:firstLine="80"/>
              <w:jc w:val="left"/>
              <w:rPr/>
            </w:pPr>
            <w:r>
              <w:rPr/>
              <w:t> </w:t>
            </w:r>
          </w:p>
        </w:tc>
      </w:tr>
      <w:tr>
        <w:trPr/>
        <w:tc>
          <w:tcPr>
            <w:tcW w:w="2626"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TAC LifePort Holdings,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232,558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296</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Tower Arch Infolinks Media, LP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531,293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896</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Tower Arch Infolinks Media, LP</w:t>
            </w:r>
            <w:r>
              <w:rPr>
                <w:rFonts w:ascii="Times New Roman" w:hAnsi="Times New Roman"/>
                <w:sz w:val="12"/>
              </w:rPr>
              <w:t> </w:t>
            </w:r>
            <w:r>
              <w:rPr>
                <w:rFonts w:ascii="Times New Roman;serif" w:hAnsi="Times New Roman;serif"/>
                <w:b w:val="false"/>
                <w:sz w:val="8"/>
              </w:rPr>
              <w:t>(7), (9)</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364,151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TPC Holding Company, LP</w:t>
            </w:r>
            <w:r>
              <w:rPr>
                <w:rFonts w:ascii="Times New Roman" w:hAnsi="Times New Roman"/>
                <w:sz w:val="12"/>
              </w:rPr>
              <w:t> </w:t>
            </w:r>
            <w:r>
              <w:rPr>
                <w:rFonts w:ascii="Times New Roman;serif" w:hAnsi="Times New Roman;serif"/>
                <w:b w:val="false"/>
                <w:sz w:val="8"/>
              </w:rPr>
              <w:t>(8). (11)</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Food</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TWD Parent Holdings, LLC</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276" w:type="dxa"/>
            <w:tcBorders/>
            <w:shd w:fill="auto" w:val="clear"/>
            <w:vAlign w:val="center"/>
          </w:tcPr>
          <w:p>
            <w:pPr>
              <w:pStyle w:val="TableContents"/>
              <w:spacing w:before="0" w:after="0"/>
              <w:ind w:left="0" w:right="0" w:firstLine="80"/>
              <w:jc w:val="left"/>
              <w:rPr/>
            </w:pPr>
            <w:r>
              <w:rPr/>
              <w:t> </w:t>
            </w:r>
          </w:p>
        </w:tc>
      </w:tr>
      <w:tr>
        <w:trPr/>
        <w:tc>
          <w:tcPr>
            <w:tcW w:w="2626"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U.S. Well Services, Inc. - Class A </w:t>
            </w:r>
            <w:r>
              <w:rPr>
                <w:rFonts w:ascii="Times New Roman;serif" w:hAnsi="Times New Roman;serif"/>
                <w:b w:val="false"/>
                <w:sz w:val="8"/>
              </w:rPr>
              <w:t>(5), (11)</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Oil and Gas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60,057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304</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UniVista Insurance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454</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WCP Ivyrehab QP CF Feeder, LP</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3,762,257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3,762</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WCP Ivyrehab QP CF Feeder, LP - Unfunded </w:t>
            </w:r>
            <w:r>
              <w:rPr>
                <w:rFonts w:ascii="Times New Roman;serif" w:hAnsi="Times New Roman;serif"/>
                <w:b w:val="false"/>
                <w:sz w:val="8"/>
              </w:rPr>
              <w:t>(7)</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237,743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Parent, LP</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616</w:t>
            </w:r>
          </w:p>
        </w:tc>
        <w:tc>
          <w:tcPr>
            <w:tcW w:w="276" w:type="dxa"/>
            <w:tcBorders/>
            <w:shd w:fill="auto" w:val="clear"/>
            <w:vAlign w:val="center"/>
          </w:tcPr>
          <w:p>
            <w:pPr>
              <w:pStyle w:val="TableContents"/>
              <w:spacing w:before="0" w:after="0"/>
              <w:ind w:left="0" w:right="0" w:firstLine="80"/>
              <w:jc w:val="left"/>
              <w:rPr/>
            </w:pPr>
            <w:r>
              <w:rPr/>
              <w:t> </w:t>
            </w:r>
          </w:p>
        </w:tc>
      </w:tr>
      <w:tr>
        <w:trPr/>
        <w:tc>
          <w:tcPr>
            <w:tcW w:w="2626" w:type="dxa"/>
            <w:tcBorders/>
            <w:shd w:fill="auto" w:val="clear"/>
            <w:vAlign w:val="center"/>
          </w:tcPr>
          <w:p>
            <w:pPr>
              <w:pStyle w:val="TableContents"/>
              <w:spacing w:before="0" w:after="0"/>
              <w:ind w:left="8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Common Equity/Partnership Interests/Warrants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91,596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153,373</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 in Non-Controlled, Non-Affiliated Portfolio Companies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882,513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932,155</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5" w:type="dxa"/>
            <w:gridSpan w:val="6"/>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 xml:space="preserve">Investments in Non-Controlled, Affiliated Portfolio Companies—5.9% of Net Assets </w:t>
            </w:r>
            <w:r>
              <w:rPr>
                <w:rFonts w:ascii="Times New Roman;serif" w:hAnsi="Times New Roman;serif"/>
                <w:b/>
                <w:sz w:val="8"/>
              </w:rPr>
              <w:t>(1), (2)</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Preferred Equity/Partnership Interests—5.6% of Net Assets</w:t>
            </w:r>
            <w:r>
              <w:rPr>
                <w:rFonts w:ascii="Times New Roman;serif" w:hAnsi="Times New Roman;serif"/>
                <w:b/>
                <w:sz w:val="8"/>
              </w:rPr>
              <w:t>(6)</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Cascade Environmental Holdings,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5,887,236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32,791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32,791</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Preferred Equity/Partnership Interests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32,791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32,791</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 xml:space="preserve">Common Equity/Partnership Interests/Warrants—0.3% of Net Assets </w:t>
            </w:r>
            <w:r>
              <w:rPr>
                <w:rFonts w:ascii="Times New Roman;serif" w:hAnsi="Times New Roman;serif"/>
                <w:b/>
                <w:sz w:val="8"/>
              </w:rPr>
              <w:t>(6)</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Cascade Environmental Holdings, LLC</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7,444,347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JF Intermediate, LLC</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19,687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1,969</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Common Equity/Partnership Interests/Warrants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1,969</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 in Non-Controlled, Affiliated Portfolio Companies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37,612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34,760</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 xml:space="preserve">Investments in Controlled, Affiliated Portfolio Companies—44.3% of Net Assets </w:t>
            </w:r>
            <w:r>
              <w:rPr>
                <w:rFonts w:ascii="Times New Roman;serif" w:hAnsi="Times New Roman;serif"/>
                <w:b/>
                <w:sz w:val="8"/>
              </w:rPr>
              <w:t>(1), (2)</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First Lien Secured Debt—7.3% of Net Assets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AKW Holdings Limited </w:t>
            </w:r>
            <w:r>
              <w:rPr>
                <w:rFonts w:ascii="Times New Roman;serif" w:hAnsi="Times New Roman;serif"/>
                <w:b w:val="false"/>
                <w:sz w:val="8"/>
              </w:rPr>
              <w:t>(8), (10), (11)</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03/13/2024</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52,792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42,698</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52,792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42,698</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Second Lien Secured Debt—0% of Net Assets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Mailsouth Inc.</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04/23/2025</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Printing and Publishing</w:t>
            </w:r>
          </w:p>
        </w:tc>
        <w:tc>
          <w:tcPr>
            <w:tcW w:w="146" w:type="dxa"/>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12,846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Second Lien Secured Debt</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Subordinated Debt—15.0% of Net Assets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PennantPark Senior Loan Fund, LLC </w:t>
            </w:r>
            <w:r>
              <w:rPr>
                <w:rFonts w:ascii="Times New Roman;serif" w:hAnsi="Times New Roman;serif"/>
                <w:b w:val="false"/>
                <w:sz w:val="8"/>
              </w:rPr>
              <w:t>(11)</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07/31/2027</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3M L+800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88,011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88,011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88,011</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Subordinated Debt</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88,011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88,011</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 xml:space="preserve">Common Equity—22.0% of Net Assets </w:t>
            </w:r>
            <w:r>
              <w:rPr>
                <w:rFonts w:ascii="Times New Roman;serif" w:hAnsi="Times New Roman;serif"/>
                <w:b/>
                <w:sz w:val="8"/>
              </w:rPr>
              <w:t>(6)</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AKW Holdings Limited </w:t>
            </w:r>
            <w:r>
              <w:rPr>
                <w:rFonts w:ascii="Times New Roman;serif" w:hAnsi="Times New Roman;serif"/>
                <w:b w:val="false"/>
                <w:sz w:val="8"/>
              </w:rPr>
              <w:t>(8), (10), (11)</w:t>
            </w:r>
          </w:p>
        </w:tc>
        <w:tc>
          <w:tcPr>
            <w:tcW w:w="1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3,297</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MSpark, LLC</w:t>
            </w:r>
          </w:p>
        </w:tc>
        <w:tc>
          <w:tcPr>
            <w:tcW w:w="1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Printing and Publishing</w:t>
            </w:r>
          </w:p>
        </w:tc>
        <w:tc>
          <w:tcPr>
            <w:tcW w:w="146" w:type="dxa"/>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51,151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16,516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PennantPark Senior Loan Fund, LLC</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49,298,789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49,362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51,098</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RAM Energy Holdings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4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Energy and Utilities</w:t>
            </w:r>
          </w:p>
        </w:tc>
        <w:tc>
          <w:tcPr>
            <w:tcW w:w="146" w:type="dxa"/>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180,805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162,708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74,282</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Common Equity</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228,718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128,677</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 in Controlled, Affiliated Portfolio Companies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381,904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259,386</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Investments—209.4% of Net Assets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1,302,029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1,226,301</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Cash and Cash Equivalents—9.0% of Net Assets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BlackRock Federal FD Institutional 30</w:t>
            </w:r>
          </w:p>
        </w:tc>
        <w:tc>
          <w:tcPr>
            <w:tcW w:w="146" w:type="dxa"/>
            <w:tcBorders/>
            <w:shd w:fill="auto" w:val="clear"/>
            <w:vAlign w:val="center"/>
          </w:tcPr>
          <w:p>
            <w:pPr>
              <w:pStyle w:val="TableContents"/>
              <w:spacing w:before="0" w:after="0"/>
              <w:ind w:left="0" w:right="0" w:hanging="0"/>
              <w:jc w:val="right"/>
              <w:rPr/>
            </w:pPr>
            <w:r>
              <w:rPr/>
              <w:t> </w:t>
            </w:r>
          </w:p>
        </w:tc>
        <w:tc>
          <w:tcPr>
            <w:tcW w:w="9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39,122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39,122</w:t>
            </w:r>
          </w:p>
        </w:tc>
        <w:tc>
          <w:tcPr>
            <w:tcW w:w="276"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BNY Mellon Cash Reserve and Cash</w:t>
            </w:r>
          </w:p>
        </w:tc>
        <w:tc>
          <w:tcPr>
            <w:tcW w:w="146" w:type="dxa"/>
            <w:tcBorders/>
            <w:shd w:fill="auto" w:val="clear"/>
            <w:vAlign w:val="center"/>
          </w:tcPr>
          <w:p>
            <w:pPr>
              <w:pStyle w:val="TableContents"/>
              <w:spacing w:before="0" w:after="0"/>
              <w:ind w:left="0" w:right="0" w:hanging="0"/>
              <w:jc w:val="right"/>
              <w:rPr/>
            </w:pPr>
            <w:r>
              <w:rPr/>
              <w:t> </w:t>
            </w:r>
          </w:p>
        </w:tc>
        <w:tc>
          <w:tcPr>
            <w:tcW w:w="9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13,544</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52,844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52,666</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 and Cash Equivalents—218.4% of Net Assets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1,354,873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1,278,967</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Liabilities in Excess of Other Assets—(118.4%) of Net Assets</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(693,402</w:t>
            </w:r>
          </w:p>
        </w:tc>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Net Assets—100.0%</w:t>
            </w:r>
          </w:p>
        </w:tc>
        <w:tc>
          <w:tcPr>
            <w:tcW w:w="146"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585,565</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3"/>
        </w:rPr>
      </w:pPr>
      <w:r>
        <w:rPr>
          <w:rFonts w:ascii="Times New Roman" w:hAnsi="Times New Roman"/>
          <w:b w:val="false"/>
          <w:sz w:val="13"/>
        </w:rPr>
        <w:t>(1)</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pStyle w:val="TextBody"/>
        <w:spacing w:before="120" w:after="0"/>
        <w:jc w:val="left"/>
        <w:rPr>
          <w:rFonts w:ascii="Times New Roman" w:hAnsi="Times New Roman"/>
          <w:b w:val="false"/>
          <w:sz w:val="13"/>
        </w:rPr>
      </w:pPr>
      <w:r>
        <w:rPr>
          <w:rFonts w:ascii="Times New Roman" w:hAnsi="Times New Roman"/>
          <w:b w:val="false"/>
          <w:sz w:val="13"/>
        </w:rPr>
        <w:t>(2)</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pStyle w:val="TextBody"/>
        <w:spacing w:before="120" w:after="0"/>
        <w:jc w:val="left"/>
        <w:rPr>
          <w:rFonts w:ascii="Times New Roman" w:hAnsi="Times New Roman"/>
          <w:b w:val="false"/>
          <w:sz w:val="13"/>
        </w:rPr>
      </w:pPr>
      <w:r>
        <w:rPr>
          <w:rFonts w:ascii="Times New Roman" w:hAnsi="Times New Roman"/>
          <w:b w:val="false"/>
          <w:sz w:val="13"/>
        </w:rPr>
        <w:t>(3)</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Valued based on our accounting policy (See Note 2).</w:t>
      </w:r>
    </w:p>
    <w:p>
      <w:pPr>
        <w:pStyle w:val="TextBody"/>
        <w:spacing w:before="120" w:after="0"/>
        <w:jc w:val="left"/>
        <w:rPr>
          <w:rFonts w:ascii="Times New Roman" w:hAnsi="Times New Roman"/>
          <w:b w:val="false"/>
          <w:sz w:val="13"/>
        </w:rPr>
      </w:pPr>
      <w:r>
        <w:rPr>
          <w:rFonts w:ascii="Times New Roman" w:hAnsi="Times New Roman"/>
          <w:b w:val="false"/>
          <w:sz w:val="13"/>
        </w:rPr>
        <w:t>(4)</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Represents floating rate instruments that accrue interest at a predetermined spread relative to an index, typically the applicable London Interbank Offered Rate, or LIBOR or “L,” the Euro Interbank Offered Rate, or EURIBOR or “E”, Secured Overnight Financing Rate or "SOFR",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pStyle w:val="TextBody"/>
        <w:spacing w:before="120" w:after="0"/>
        <w:jc w:val="left"/>
        <w:rPr>
          <w:rFonts w:ascii="Times New Roman" w:hAnsi="Times New Roman"/>
          <w:b w:val="false"/>
          <w:sz w:val="13"/>
        </w:rPr>
      </w:pPr>
      <w:r>
        <w:rPr>
          <w:rFonts w:ascii="Times New Roman" w:hAnsi="Times New Roman"/>
          <w:b w:val="false"/>
          <w:sz w:val="13"/>
        </w:rPr>
        <w:t>(5)</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The security was not valued using significant unobservable inputs. The value of all other securities was determined using significant unobservable inputs (See Note 5).</w:t>
      </w:r>
    </w:p>
    <w:p>
      <w:pPr>
        <w:pStyle w:val="TextBody"/>
        <w:spacing w:before="120" w:after="0"/>
        <w:jc w:val="left"/>
        <w:rPr>
          <w:rFonts w:ascii="Times New Roman" w:hAnsi="Times New Roman"/>
          <w:b w:val="false"/>
          <w:sz w:val="13"/>
        </w:rPr>
      </w:pPr>
      <w:r>
        <w:rPr>
          <w:rFonts w:ascii="Times New Roman" w:hAnsi="Times New Roman"/>
          <w:b w:val="false"/>
          <w:sz w:val="13"/>
        </w:rPr>
        <w:t>(6)</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Non-income producing securities.</w:t>
      </w:r>
    </w:p>
    <w:p>
      <w:pPr>
        <w:pStyle w:val="TextBody"/>
        <w:spacing w:before="120" w:after="0"/>
        <w:jc w:val="left"/>
        <w:rPr>
          <w:rFonts w:ascii="Times New Roman" w:hAnsi="Times New Roman"/>
          <w:b w:val="false"/>
          <w:sz w:val="13"/>
        </w:rPr>
      </w:pPr>
      <w:r>
        <w:rPr>
          <w:rFonts w:ascii="Times New Roman" w:hAnsi="Times New Roman"/>
          <w:b w:val="false"/>
          <w:sz w:val="13"/>
        </w:rPr>
        <w:t>(7)</w:t>
      </w:r>
    </w:p>
    <w:p>
      <w:pPr>
        <w:pStyle w:val="TextBody"/>
        <w:spacing w:before="120" w:after="283"/>
        <w:jc w:val="left"/>
        <w:rPr>
          <w:rFonts w:ascii="Times New Roman;serif" w:hAnsi="Times New Roman;serif"/>
          <w:b w:val="false"/>
          <w:sz w:val="13"/>
        </w:rPr>
      </w:pPr>
      <w:r>
        <w:rPr>
          <w:rFonts w:ascii="Times New Roman;serif" w:hAnsi="Times New Roman;serif"/>
          <w:b w:val="false"/>
          <w:sz w:val="13"/>
        </w:rPr>
        <w:t xml:space="preserve">Represents the purchase of a security with delayed settlement or a revolving line of credit that is currently an unfunded investment. This security does not earn a basis point spread above an index while it is unfunded.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PENNANTPARK INVESTMENT CORPORATION AND SUBSIDIARIES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CONSOLIDATED SCHEDULE OF INVESTMENT (Unaudited) - (Continued)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SEPTEMBER 30, 2022</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data)</w:t>
      </w:r>
    </w:p>
    <w:p>
      <w:pPr>
        <w:pStyle w:val="TextBody"/>
        <w:spacing w:before="0" w:after="0"/>
        <w:jc w:val="left"/>
        <w:rPr/>
      </w:pPr>
      <w:r>
        <w:rPr/>
        <w:t> </w:t>
      </w:r>
    </w:p>
    <w:p>
      <w:pPr>
        <w:pStyle w:val="TextBody"/>
        <w:spacing w:before="120" w:after="0"/>
        <w:jc w:val="left"/>
        <w:rPr>
          <w:rFonts w:ascii="Times New Roman" w:hAnsi="Times New Roman"/>
          <w:b w:val="false"/>
          <w:sz w:val="13"/>
        </w:rPr>
      </w:pPr>
      <w:r>
        <w:rPr>
          <w:rFonts w:ascii="Times New Roman" w:hAnsi="Times New Roman"/>
          <w:b w:val="false"/>
          <w:sz w:val="13"/>
        </w:rPr>
        <w:t>(8)</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Non-U.S. company or principal place of business outside the United States.</w:t>
      </w:r>
    </w:p>
    <w:p>
      <w:pPr>
        <w:pStyle w:val="TextBody"/>
        <w:spacing w:before="120" w:after="0"/>
        <w:jc w:val="left"/>
        <w:rPr>
          <w:rFonts w:ascii="Times New Roman" w:hAnsi="Times New Roman"/>
          <w:b w:val="false"/>
          <w:sz w:val="13"/>
        </w:rPr>
      </w:pPr>
      <w:r>
        <w:rPr>
          <w:rFonts w:ascii="Times New Roman" w:hAnsi="Times New Roman"/>
          <w:b w:val="false"/>
          <w:sz w:val="13"/>
        </w:rPr>
        <w:t>(9)</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Investment is held through our Taxable Subsidiary (See Note 1).</w:t>
      </w:r>
    </w:p>
    <w:p>
      <w:pPr>
        <w:pStyle w:val="TextBody"/>
        <w:spacing w:before="120" w:after="0"/>
        <w:jc w:val="left"/>
        <w:rPr>
          <w:rFonts w:ascii="Times New Roman" w:hAnsi="Times New Roman"/>
          <w:b w:val="false"/>
          <w:sz w:val="13"/>
        </w:rPr>
      </w:pPr>
      <w:r>
        <w:rPr>
          <w:rFonts w:ascii="Times New Roman" w:hAnsi="Times New Roman"/>
          <w:b w:val="false"/>
          <w:sz w:val="13"/>
        </w:rPr>
        <w:t>(10)</w:t>
      </w:r>
    </w:p>
    <w:p>
      <w:pPr>
        <w:pStyle w:val="TextBody"/>
        <w:spacing w:before="120" w:after="0"/>
        <w:jc w:val="left"/>
        <w:rPr>
          <w:rFonts w:ascii="Times New Roman;serif" w:hAnsi="Times New Roman;serif"/>
          <w:b w:val="false"/>
          <w:sz w:val="13"/>
        </w:rPr>
      </w:pPr>
      <w:r>
        <w:rPr>
          <w:rFonts w:ascii="Times New Roman;serif" w:hAnsi="Times New Roman;serif"/>
          <w:b w:val="false"/>
          <w:sz w:val="13"/>
        </w:rPr>
        <w:t>Par / Shares amount is denominated in British Pounds (£) as denoted.</w:t>
      </w:r>
    </w:p>
    <w:p>
      <w:pPr>
        <w:pStyle w:val="TextBody"/>
        <w:spacing w:before="120" w:after="0"/>
        <w:jc w:val="left"/>
        <w:rPr>
          <w:rFonts w:ascii="Times New Roman" w:hAnsi="Times New Roman"/>
          <w:b w:val="false"/>
          <w:sz w:val="13"/>
        </w:rPr>
      </w:pPr>
      <w:r>
        <w:rPr>
          <w:rFonts w:ascii="Times New Roman" w:hAnsi="Times New Roman"/>
          <w:b w:val="false"/>
          <w:sz w:val="13"/>
        </w:rPr>
        <w:t>(11)</w:t>
      </w:r>
    </w:p>
    <w:p>
      <w:pPr>
        <w:pStyle w:val="TextBody"/>
        <w:spacing w:before="120" w:after="283"/>
        <w:jc w:val="left"/>
        <w:rPr>
          <w:rFonts w:ascii="Times New Roman;serif" w:hAnsi="Times New Roman;serif"/>
          <w:b w:val="false"/>
          <w:sz w:val="13"/>
        </w:rPr>
      </w:pPr>
      <w:r>
        <w:rPr>
          <w:rFonts w:ascii="Times New Roman;serif" w:hAnsi="Times New Roman;serif"/>
          <w:b w:val="false"/>
          <w:sz w:val="13"/>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88% of the Company’s total assets and non-qualifying assets represent 12% of the Company’s total assets.</w:t>
      </w:r>
    </w:p>
    <w:p>
      <w:pPr>
        <w:pStyle w:val="TextBody"/>
        <w:spacing w:before="0" w:after="0"/>
        <w:jc w:val="left"/>
        <w:rPr>
          <w:rFonts w:ascii="Times New Roman" w:hAnsi="Times New Roman"/>
          <w:sz w:val="20"/>
        </w:rPr>
      </w:pPr>
      <w:r>
        <w:rPr>
          <w:rFonts w:ascii="Times New Roman;serif" w:hAnsi="Times New Roman;serif"/>
          <w:b w:val="false"/>
          <w:sz w:val="13"/>
        </w:rPr>
        <w:br/>
      </w:r>
      <w:r>
        <w:rPr>
          <w:rFonts w:ascii="Times New Roman" w:hAnsi="Times New Roman"/>
          <w:sz w:val="20"/>
        </w:rPr>
        <w:t> </w:t>
      </w:r>
    </w:p>
    <w:p>
      <w:pPr>
        <w:pStyle w:val="HorizontalLine"/>
        <w:pBdr>
          <w:bottom w:val="double" w:sz="2" w:space="0" w:color="808080"/>
        </w:pBdr>
        <w:spacing w:before="0" w:after="283"/>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14556</Words>
  <CharactersWithSpaces>106954</CharactersWithSpaces>
  <Paragraphs>20027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