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10, 2025</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jc w:val="both"/>
        <w:ind w:right="300"/>
        <w:spacing w:after="0" w:line="282" w:lineRule="auto"/>
        <w:rPr>
          <w:sz w:val="20"/>
          <w:szCs w:val="20"/>
          <w:color w:val="auto"/>
        </w:rPr>
      </w:pPr>
      <w:r>
        <w:rPr>
          <w:rFonts w:ascii="Times New Roman" w:cs="Times New Roman" w:eastAsia="Times New Roman" w:hAnsi="Times New Roman"/>
          <w:sz w:val="18"/>
          <w:szCs w:val="18"/>
          <w:color w:val="auto"/>
        </w:rPr>
        <w:t>On February 10, 2025, PennantPark Investment Corporation (the "Company") issued a press release announcing its financial results for the first quarter ended December 31, 2024. A copy of the press release is furnished as Exhibit 99.1 to this report pursuant to Item 2.02 on Form 8-K and Regulation FD.</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including Exhibit 99.1 furnished herewith,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0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tab/>
        <w:t>Press Release of PennantPark Investment Corporation dated February 10, 2025</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478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w w:val="99"/>
              </w:rPr>
              <w:t>PennantPark Investment Corporation</w:t>
            </w:r>
          </w:p>
        </w:tc>
      </w:tr>
      <w:tr>
        <w:trPr>
          <w:trHeight w:val="68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10, 2025</w:t>
            </w:r>
          </w:p>
        </w:tc>
        <w:tc>
          <w:tcPr>
            <w:tcW w:w="478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480" w:type="dxa"/>
            <w:vAlign w:val="bottom"/>
          </w:tcPr>
          <w:p>
            <w:pPr>
              <w:spacing w:after="0"/>
              <w:rPr>
                <w:sz w:val="20"/>
                <w:szCs w:val="20"/>
                <w:color w:val="auto"/>
              </w:rPr>
            </w:pPr>
          </w:p>
        </w:tc>
      </w:tr>
      <w:tr>
        <w:trPr>
          <w:trHeight w:val="243"/>
        </w:trPr>
        <w:tc>
          <w:tcPr>
            <w:tcW w:w="36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Announces Financial Results for the Quarter Ended December 31, 2024</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MIAMI, Feb. 10, 2025 (GLOBE NEWSWIRE) -- PennantPark Investment Corporation (NYSE: PNNT) announced today its financial results for the first quarter ended December 31,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HIGHLIGHTS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Quarter ended December 31, 2024 (unaudited)</w:t>
      </w:r>
    </w:p>
    <w:p>
      <w:pPr>
        <w:spacing w:after="0"/>
        <w:rPr>
          <w:sz w:val="20"/>
          <w:szCs w:val="20"/>
          <w:color w:val="auto"/>
        </w:rPr>
      </w:pPr>
      <w:r>
        <w:rPr>
          <w:rFonts w:ascii="Times New Roman" w:cs="Times New Roman" w:eastAsia="Times New Roman" w:hAnsi="Times New Roman"/>
          <w:sz w:val="22"/>
          <w:szCs w:val="22"/>
          <w:color w:val="auto"/>
        </w:rPr>
        <w:t>($ in millions, except per share amounts)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79"/>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Assets and Liabilities:</w:t>
            </w:r>
          </w:p>
        </w:tc>
        <w:tc>
          <w:tcPr>
            <w:tcW w:w="2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15"/>
        </w:trPr>
        <w:tc>
          <w:tcPr>
            <w:tcW w:w="7600" w:type="dxa"/>
            <w:vAlign w:val="bottom"/>
          </w:tcPr>
          <w:p>
            <w:pPr>
              <w:ind w:left="200"/>
              <w:spacing w:after="0" w:line="314" w:lineRule="exact"/>
              <w:rPr>
                <w:sz w:val="20"/>
                <w:szCs w:val="20"/>
                <w:color w:val="auto"/>
              </w:rPr>
            </w:pPr>
            <w:r>
              <w:rPr>
                <w:rFonts w:ascii="Times New Roman" w:cs="Times New Roman" w:eastAsia="Times New Roman" w:hAnsi="Times New Roman"/>
                <w:sz w:val="22"/>
                <w:szCs w:val="22"/>
                <w:color w:val="auto"/>
              </w:rPr>
              <w:t xml:space="preserve">Investment portfolio </w:t>
            </w:r>
            <w:r>
              <w:rPr>
                <w:rFonts w:ascii="Times New Roman" w:cs="Times New Roman" w:eastAsia="Times New Roman" w:hAnsi="Times New Roman"/>
                <w:sz w:val="35"/>
                <w:szCs w:val="35"/>
                <w:color w:val="auto"/>
                <w:vertAlign w:val="superscript"/>
              </w:rPr>
              <w:t>(1)</w:t>
            </w:r>
          </w:p>
        </w:tc>
        <w:tc>
          <w:tcPr>
            <w:tcW w:w="26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1,298.1</w:t>
            </w:r>
          </w:p>
        </w:tc>
      </w:tr>
      <w:tr>
        <w:trPr>
          <w:trHeight w:val="270"/>
        </w:trPr>
        <w:tc>
          <w:tcPr>
            <w:tcW w:w="76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assets</w:t>
            </w:r>
          </w:p>
        </w:tc>
        <w:tc>
          <w:tcPr>
            <w:tcW w:w="26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494.3</w:t>
            </w:r>
          </w:p>
        </w:tc>
      </w:tr>
      <w:tr>
        <w:trPr>
          <w:trHeight w:val="270"/>
        </w:trPr>
        <w:tc>
          <w:tcPr>
            <w:tcW w:w="76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GAAP net asset value per share</w:t>
            </w:r>
          </w:p>
        </w:tc>
        <w:tc>
          <w:tcPr>
            <w:tcW w:w="26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7.57</w:t>
            </w:r>
          </w:p>
        </w:tc>
      </w:tr>
      <w:tr>
        <w:trPr>
          <w:trHeight w:val="279"/>
        </w:trPr>
        <w:tc>
          <w:tcPr>
            <w:tcW w:w="76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Quarterly increase in GAAP net asset value per share</w:t>
            </w:r>
          </w:p>
        </w:tc>
        <w:tc>
          <w:tcPr>
            <w:tcW w:w="26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w:t>
            </w:r>
          </w:p>
        </w:tc>
      </w:tr>
      <w:tr>
        <w:trPr>
          <w:trHeight w:val="324"/>
        </w:trPr>
        <w:tc>
          <w:tcPr>
            <w:tcW w:w="7600" w:type="dxa"/>
            <w:vAlign w:val="bottom"/>
          </w:tcPr>
          <w:p>
            <w:pPr>
              <w:ind w:left="200"/>
              <w:spacing w:after="0" w:line="324" w:lineRule="exact"/>
              <w:rPr>
                <w:sz w:val="20"/>
                <w:szCs w:val="20"/>
                <w:color w:val="auto"/>
              </w:rPr>
            </w:pPr>
            <w:r>
              <w:rPr>
                <w:rFonts w:ascii="Times New Roman" w:cs="Times New Roman" w:eastAsia="Times New Roman" w:hAnsi="Times New Roman"/>
                <w:sz w:val="22"/>
                <w:szCs w:val="22"/>
                <w:color w:val="auto"/>
              </w:rPr>
              <w:t xml:space="preserve">Adjusted net asset value per share </w:t>
            </w:r>
            <w:r>
              <w:rPr>
                <w:rFonts w:ascii="Times New Roman" w:cs="Times New Roman" w:eastAsia="Times New Roman" w:hAnsi="Times New Roman"/>
                <w:sz w:val="35"/>
                <w:szCs w:val="35"/>
                <w:color w:val="auto"/>
                <w:vertAlign w:val="superscript"/>
              </w:rPr>
              <w:t>(2)</w:t>
            </w:r>
          </w:p>
        </w:tc>
        <w:tc>
          <w:tcPr>
            <w:tcW w:w="26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7.57</w:t>
            </w:r>
          </w:p>
        </w:tc>
      </w:tr>
      <w:tr>
        <w:trPr>
          <w:trHeight w:val="475"/>
        </w:trPr>
        <w:tc>
          <w:tcPr>
            <w:tcW w:w="76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 xml:space="preserve">Quarterly increase in adjusted net asset value per share </w:t>
            </w:r>
            <w:r>
              <w:rPr>
                <w:rFonts w:ascii="Times New Roman" w:cs="Times New Roman" w:eastAsia="Times New Roman" w:hAnsi="Times New Roman"/>
                <w:sz w:val="35"/>
                <w:szCs w:val="35"/>
                <w:color w:val="auto"/>
                <w:vertAlign w:val="superscript"/>
              </w:rPr>
              <w:t>(2)</w:t>
            </w:r>
          </w:p>
        </w:tc>
        <w:tc>
          <w:tcPr>
            <w:tcW w:w="26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w:t>
            </w:r>
          </w:p>
        </w:tc>
      </w:tr>
      <w:tr>
        <w:trPr>
          <w:trHeight w:val="380"/>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Credit Facility</w:t>
            </w:r>
          </w:p>
        </w:tc>
        <w:tc>
          <w:tcPr>
            <w:tcW w:w="26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460.0</w:t>
            </w:r>
          </w:p>
        </w:tc>
      </w:tr>
      <w:tr>
        <w:trPr>
          <w:trHeight w:val="270"/>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2026 Notes</w:t>
            </w:r>
          </w:p>
        </w:tc>
        <w:tc>
          <w:tcPr>
            <w:tcW w:w="26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148.8</w:t>
            </w:r>
          </w:p>
        </w:tc>
      </w:tr>
      <w:tr>
        <w:trPr>
          <w:trHeight w:val="270"/>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2026-2 Notes</w:t>
            </w:r>
          </w:p>
        </w:tc>
        <w:tc>
          <w:tcPr>
            <w:tcW w:w="26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163.3</w:t>
            </w:r>
          </w:p>
        </w:tc>
      </w:tr>
      <w:tr>
        <w:trPr>
          <w:trHeight w:val="270"/>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Regulatory debt to equity</w:t>
            </w:r>
          </w:p>
        </w:tc>
        <w:tc>
          <w:tcPr>
            <w:tcW w:w="264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1.58x</w:t>
            </w:r>
          </w:p>
        </w:tc>
      </w:tr>
      <w:tr>
        <w:trPr>
          <w:trHeight w:val="282"/>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Weighted average yield on debt investments</w:t>
            </w:r>
          </w:p>
        </w:tc>
        <w:tc>
          <w:tcPr>
            <w:tcW w:w="26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w:t>
            </w:r>
          </w:p>
        </w:tc>
      </w:tr>
      <w:tr>
        <w:trPr>
          <w:trHeight w:val="528"/>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Operating Results:</w:t>
            </w:r>
          </w:p>
        </w:tc>
        <w:tc>
          <w:tcPr>
            <w:tcW w:w="2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76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investment income</w:t>
            </w:r>
          </w:p>
        </w:tc>
        <w:tc>
          <w:tcPr>
            <w:tcW w:w="26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13.0</w:t>
            </w:r>
          </w:p>
        </w:tc>
      </w:tr>
      <w:tr>
        <w:trPr>
          <w:trHeight w:val="279"/>
        </w:trPr>
        <w:tc>
          <w:tcPr>
            <w:tcW w:w="76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investment income per share</w:t>
            </w:r>
          </w:p>
        </w:tc>
        <w:tc>
          <w:tcPr>
            <w:tcW w:w="26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0.20</w:t>
            </w:r>
          </w:p>
        </w:tc>
      </w:tr>
      <w:tr>
        <w:trPr>
          <w:trHeight w:val="315"/>
        </w:trPr>
        <w:tc>
          <w:tcPr>
            <w:tcW w:w="7600" w:type="dxa"/>
            <w:vAlign w:val="bottom"/>
          </w:tcPr>
          <w:p>
            <w:pPr>
              <w:ind w:left="200"/>
              <w:spacing w:after="0" w:line="314" w:lineRule="exact"/>
              <w:rPr>
                <w:sz w:val="20"/>
                <w:szCs w:val="20"/>
                <w:color w:val="auto"/>
              </w:rPr>
            </w:pPr>
            <w:r>
              <w:rPr>
                <w:rFonts w:ascii="Times New Roman" w:cs="Times New Roman" w:eastAsia="Times New Roman" w:hAnsi="Times New Roman"/>
                <w:sz w:val="22"/>
                <w:szCs w:val="22"/>
                <w:color w:val="auto"/>
              </w:rPr>
              <w:t xml:space="preserve">Core net investment income per share </w:t>
            </w:r>
            <w:r>
              <w:rPr>
                <w:rFonts w:ascii="Times New Roman" w:cs="Times New Roman" w:eastAsia="Times New Roman" w:hAnsi="Times New Roman"/>
                <w:sz w:val="35"/>
                <w:szCs w:val="35"/>
                <w:color w:val="auto"/>
                <w:vertAlign w:val="superscript"/>
              </w:rPr>
              <w:t>(3)</w:t>
            </w:r>
          </w:p>
        </w:tc>
        <w:tc>
          <w:tcPr>
            <w:tcW w:w="26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0.20</w:t>
            </w:r>
          </w:p>
        </w:tc>
      </w:tr>
      <w:tr>
        <w:trPr>
          <w:trHeight w:val="282"/>
        </w:trPr>
        <w:tc>
          <w:tcPr>
            <w:tcW w:w="76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Distributions declared per share</w:t>
            </w:r>
          </w:p>
        </w:tc>
        <w:tc>
          <w:tcPr>
            <w:tcW w:w="26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0.24</w:t>
            </w:r>
          </w:p>
        </w:tc>
      </w:tr>
      <w:tr>
        <w:trPr>
          <w:trHeight w:val="528"/>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Portfolio Activity:</w:t>
            </w:r>
          </w:p>
        </w:tc>
        <w:tc>
          <w:tcPr>
            <w:tcW w:w="2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76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Purchases of investments*</w:t>
            </w:r>
          </w:p>
        </w:tc>
        <w:tc>
          <w:tcPr>
            <w:tcW w:w="26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295.7</w:t>
            </w:r>
          </w:p>
        </w:tc>
      </w:tr>
      <w:tr>
        <w:trPr>
          <w:trHeight w:val="282"/>
        </w:trPr>
        <w:tc>
          <w:tcPr>
            <w:tcW w:w="76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Sales and repayments of investments*</w:t>
            </w:r>
          </w:p>
        </w:tc>
        <w:tc>
          <w:tcPr>
            <w:tcW w:w="26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353.7</w:t>
            </w:r>
          </w:p>
        </w:tc>
      </w:tr>
      <w:tr>
        <w:trPr>
          <w:trHeight w:val="528"/>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PSLF Portfolio data:</w:t>
            </w:r>
          </w:p>
        </w:tc>
        <w:tc>
          <w:tcPr>
            <w:tcW w:w="2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76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PSLF investment portfolio</w:t>
            </w:r>
          </w:p>
        </w:tc>
        <w:tc>
          <w:tcPr>
            <w:tcW w:w="26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1,275.1</w:t>
            </w:r>
          </w:p>
        </w:tc>
      </w:tr>
      <w:tr>
        <w:trPr>
          <w:trHeight w:val="270"/>
        </w:trPr>
        <w:tc>
          <w:tcPr>
            <w:tcW w:w="76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Purchases of investments</w:t>
            </w:r>
          </w:p>
        </w:tc>
        <w:tc>
          <w:tcPr>
            <w:tcW w:w="26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353.8</w:t>
            </w:r>
          </w:p>
        </w:tc>
      </w:tr>
      <w:tr>
        <w:trPr>
          <w:trHeight w:val="282"/>
        </w:trPr>
        <w:tc>
          <w:tcPr>
            <w:tcW w:w="76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Sales and repayments of investments</w:t>
            </w:r>
          </w:p>
        </w:tc>
        <w:tc>
          <w:tcPr>
            <w:tcW w:w="26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109.1</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w:t>
      </w:r>
    </w:p>
    <w:p>
      <w:pPr>
        <w:spacing w:after="0" w:line="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 excludes U.S. Government Securities</w:t>
      </w:r>
    </w:p>
    <w:p>
      <w:pPr>
        <w:spacing w:after="0" w:line="182" w:lineRule="exact"/>
        <w:rPr>
          <w:sz w:val="20"/>
          <w:szCs w:val="20"/>
          <w:color w:val="auto"/>
        </w:rPr>
      </w:pPr>
    </w:p>
    <w:p>
      <w:pPr>
        <w:ind w:left="540" w:right="20" w:hanging="208"/>
        <w:spacing w:after="0" w:line="258" w:lineRule="auto"/>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investments in PennantPark Senior Loan Fund, LLC ("PSLF"), an unconsolidated joint venture, totaling $208.2 million, at fair value.</w:t>
      </w:r>
    </w:p>
    <w:p>
      <w:pPr>
        <w:spacing w:after="0" w:line="50" w:lineRule="exact"/>
        <w:rPr>
          <w:rFonts w:ascii="Times New Roman" w:cs="Times New Roman" w:eastAsia="Times New Roman" w:hAnsi="Times New Roman"/>
          <w:sz w:val="22"/>
          <w:szCs w:val="22"/>
          <w:color w:val="auto"/>
        </w:rPr>
      </w:pPr>
    </w:p>
    <w:p>
      <w:pPr>
        <w:jc w:val="both"/>
        <w:ind w:left="540" w:hanging="208"/>
        <w:spacing w:after="0" w:line="238" w:lineRule="auto"/>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is a non-GAAP financial measure. The Company believes that this number provides useful information to investors and management because it reflects the Company’s financial performance excluding the impact of unrealized gain on the Company's multi-currency, senior secured revolving credit facility with Truist Bank, as amended, the “Credit Facility." The presentation of this additional information is not meant to be considered in isolation or as a substitute for financial results prepared in accordance with GAAP.</w:t>
      </w:r>
    </w:p>
    <w:p>
      <w:pPr>
        <w:spacing w:after="0" w:line="68" w:lineRule="exact"/>
        <w:rPr>
          <w:rFonts w:ascii="Times New Roman" w:cs="Times New Roman" w:eastAsia="Times New Roman" w:hAnsi="Times New Roman"/>
          <w:sz w:val="22"/>
          <w:szCs w:val="22"/>
          <w:color w:val="auto"/>
        </w:rPr>
      </w:pPr>
    </w:p>
    <w:p>
      <w:pPr>
        <w:jc w:val="both"/>
        <w:ind w:left="540" w:hanging="208"/>
        <w:spacing w:after="0" w:line="238" w:lineRule="auto"/>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quarter ended December 31, 2024, there were no one-time events, resulting in $0.20 of Core NII..</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AT 12:00 P.M. EST ON FEBRUARY 11, 2025</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PennantPark Investment Corporation (“we,” “our,” “us” or the “Company”) will also host a conference call at 12:00 p.m. (Eastern Time) on Tuesday, February 11, 2025 to discuss its financial results. All interested parties are welcome to participate. You can access the conference call by dialing toll-free (888) 394-8218 approximately 5-10 minutes prior to the call. International</w:t>
      </w:r>
    </w:p>
    <w:p>
      <w:pPr>
        <w:sectPr>
          <w:pgSz w:w="11900" w:h="16868" w:orient="portrait"/>
          <w:cols w:equalWidth="0" w:num="1">
            <w:col w:w="11240"/>
          </w:cols>
          <w:pgMar w:left="320" w:top="108" w:right="339" w:bottom="0" w:gutter="0" w:footer="0" w:header="0"/>
        </w:sectPr>
      </w:pPr>
    </w:p>
    <w:bookmarkStart w:id="4" w:name="page5"/>
    <w:bookmarkEnd w:id="4"/>
    <w:p>
      <w:pPr>
        <w:jc w:val="both"/>
        <w:spacing w:after="0" w:line="244" w:lineRule="auto"/>
        <w:rPr>
          <w:sz w:val="20"/>
          <w:szCs w:val="20"/>
          <w:color w:val="auto"/>
        </w:rPr>
      </w:pPr>
      <w:r>
        <w:rPr>
          <w:rFonts w:ascii="Times New Roman" w:cs="Times New Roman" w:eastAsia="Times New Roman" w:hAnsi="Times New Roman"/>
          <w:sz w:val="22"/>
          <w:szCs w:val="22"/>
          <w:color w:val="auto"/>
        </w:rPr>
        <w:t>callers should dial (646) 828-8193. All callers should reference conference ID #9452525 or PennantPark Investment Corporation. An archived replay will also be available on a webcast link located on the Quarterly Earnings page in the Investor section of PennantPark’s website.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PORTFOLIO AND INVESTMENT ACTIVITY</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are pleased to announce another quarter of solid NAV and credit performance,” said Arthur Penn, Chairman and CEO. “Our earnings stream continues to be strong and is driven in part by the excellent returns generated by our PSLF Joint Venture. Additionally, our dividend stream is supported by substantial spillover income."</w:t>
      </w:r>
    </w:p>
    <w:p>
      <w:pPr>
        <w:spacing w:after="0" w:line="17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As of December 31, 2024, our portfolio totaled $1,298.1 million and consisted of $575.0 million or 44% of first lien secured debt, $124.8 million or 10% of U.S. Government Securities, $50.0 million or 4% of second lien secured debt, $206.1 million or 16% of subordinated debt (including $132.2 million or 10% in PSLF) and $342.2 million or 26% of preferred and common equity (including $76.0 million or 6% in PSLF). Our interest bearing debt portfolio consisted of 92% variable-rate investments and 8% fixed-rate investments. As of December 31, 2024, we had two portfolio companies on non-accrual, representing 4.3% and 1.5% percent of our overall portfolio on a cost and fair value basis, respectively. Overall, the portfolio had net unrealized appreciation of $13.6 million as of December 31, 2024. Our overall portfolio consisted of 158 companies with an average investment size of $7.4 million (excluding U.S. Government Securities), had a weighted average yield on interest bearing debt investments of 12.0%.</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As of September 30, 2024, our portfolio totaled $1,328.1 million and consisted of $667.9 million or 50% of first lien secured debt, $99.6 million or 8% of U.S. Government Securities, $67.2 million or 5% of second lien secured debt, $181.7 million or 14% of subordinated debt (including $115.9 million or 9% in PSLF) and $311.7 million or 23% of preferred and common equity (including $67.9 million or 5% in PSLF). Our interest bearing debt portfolio consisted of 94% variable-rate investments and 6% fixed-rate investments. As of September 30, 2024, we had two portfolio companies on non-accrual, representing 4.1% and 2.3% percent of our overall portfolio on a cost and fair value basis, respectively. Overall, the portfolio had net unrealized appreciation of $11.2 million as of September 30, 2024. Our overall portfolio consisted of 152 companies with an average investment size of $8.1 million (excluding U.S. Government Securities), had a weighted average yield on interest bearing debt investments of 12.3%.</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For the three months ended December 31, 2024, we invested $295.7 million in 12 new and 61 existing portfolio companies with a weighted average yield on debt investments of 10.6% (excluding U.S. Government Securities). For the three months ended December 31, 2024, sales and repayments of investments totaled $353.7 million (excluding U.S. Government Securities).</w:t>
      </w:r>
    </w:p>
    <w:p>
      <w:pPr>
        <w:spacing w:after="0" w:line="15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three months ended December 31, 2023, we invested $231.1 million in 12 new and 32 existing portfolio companies with a weighted average yield on debt investments of 11.9%. For the three months ended December 31, 2023, sales and repayments of investments totaled $71.0 million (excluding U.S. Government Securities).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PennantPark Senior Loan Fund, LLC</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of December 31, 2024, PSLF’s portfolio totaled $1,275.1 million, consisted of 112 companies with an average investment size of $11.4 million and had a weighted average yield interest bearing debt investments of 10.7%.</w:t>
      </w:r>
    </w:p>
    <w:p>
      <w:pPr>
        <w:spacing w:after="0" w:line="15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As of September 30, 2024, PSLF’s portfolio totaled $1,031.2 million, consisted of 102 companies with an average investment size of $10.1 million and had a weighted average yield interest bearing debt investments of 11.3%.</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three months ended December 31, 2024, PSLF invested $353.8 million (including $286.6 million was purchased from the Company) in 15 new and 43 existing portfolio companies at weighted average yield interest bearing debt investments of 10.5%. PSLF’s sales and repayments of investments for the same period totaled $109.1 million.</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three months ended December 31, 2023, PSLF invested $81.0 million (including $50.8 million were purchased from the Company) in five new and seven existing portfolio companies at weighted average yield on interest bearing debt investments of 12.7%. PSLF’s sales and repayments of investments for the same period totaled $29.1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Set forth below are the results of operations during the three months ended December 31, 2024 and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 Income</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For the three months ended December 31, 2024, investment income was $34.2 million, which was attributable to $25.2 million from first lien secured debt, $2.0 million from second lien secured debt, $1.1 million from subordinated debt and $5.9 million from other investments, respectively. For the three months ended December 31, 2023, investment income was $34.3 million, which was attributable to $25.1 million from first lien secured debt, $2.6 million from second lien secured debt, $1.3 million from subordinated debt and $5.3 million from preferred and common equity, respectively. The decrease in investment income for the three months ended December 31, 2024 was primarily due to the changes in our portfolio and investment yields.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Expenses</w:t>
      </w:r>
    </w:p>
    <w:p>
      <w:pPr>
        <w:sectPr>
          <w:pgSz w:w="11900" w:h="16838" w:orient="portrait"/>
          <w:cols w:equalWidth="0" w:num="1">
            <w:col w:w="11240"/>
          </w:cols>
          <w:pgMar w:left="320" w:top="112" w:right="339" w:bottom="63" w:gutter="0" w:footer="0" w:header="0"/>
        </w:sectPr>
      </w:pPr>
    </w:p>
    <w:bookmarkStart w:id="5" w:name="page6"/>
    <w:bookmarkEnd w:id="5"/>
    <w:p>
      <w:pPr>
        <w:spacing w:after="0" w:line="10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the three months ended December 31, 2024, expenses totaled $21.2 million and were comprised of $11.7 million of debt related interest and expenses, $4.3 million of base management fees, $2.8 million of incentive fees, $1.7 million of general and administrative expenses and $0.7 million of provision for excise taxes. For the three months ended December 31, 2023, expenses totaled $18.7 million, and were comprised of; $9.6 million of debt-related interest and expenses, $4.0 million of base management fees, $3.3 million of incentive fees, $1.4 million of general and administrative expenses and $0.4 million of provision for excise taxes. The increase in expenses for the three months ended December 31, 2024 was primarily due an increase in debt related interest and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Investment Income</w:t>
      </w:r>
    </w:p>
    <w:p>
      <w:pPr>
        <w:spacing w:after="0" w:line="21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For the three months ended December 31, 2024 and 2023, net investment income totaled $13.0 million, or $0.20 per share and $15.7 million, or $0.24 per share. The decrease in net investment income for the three months ended December 31, 2024 was primarily due to increase in interest expense.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Realized Gains or Losses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three months ended December 31, 2024 and 2023, net realized gains (losses) totaled $(2.6) million and $1.8 million, respectively. The change in realized gains (losses) was primarily due to changes in the market conditions of our investments and the values at which they were realized.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Unrealized Appreciation or Depreciation on Investments and Debt</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the three months ended December 31, 2024 and 2023, we reported net change in unrealized appreciation (depreciation) on investments of $2.4 million and $(5.0) million, respectively. As of December 31, 2024 and September 30, 2024, our net unrealized appreciation (depreciation) on investments totaled $13.6 million and $11.2 million, respectively. The net change in unrealized depreciation on our investments was primarily due to changes in the capital market conditions of our investments and the values at which they were realized.</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the three months ended December 31, 2024 and 2023, the Truist Credit Facility had a net change in unrealized appreciation (depreciation) of $3.3 million and $(2.0) million, respectively. As of December 31, 2024 and September 30, 2024, the net unrealized appreciation (depreciation) on the Truist Credit Facility totaled $4.4 million and $1.1 million, respectively. The net change in unrealized depreciation was primarily due to changes in the capital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Change in Net Assets Resulting from Operations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the three months ended December 31, 2024 and 2023, net increase (decrease) in net assets resulting from operations totaled $16.1 million or $0.25 per share and $10.7 million or $0.16 per share, respectively. The increase in net assets from operations for the three months ended December 31, 2024 was primarily due to a decrease in the net realized and unrealized depreciation in the portfolio primarily driven by changes in market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Our liquidity and capital resources are derived primarily from cash flows from operations, including investment sales and repayments, income earned, proceeds of securities offerings and debt financings. Our primary use of funds from operations includes investments in portfolio companies and payments of interest expense, fees and other operating expenses we incur. We have used, and expect to continue to use, our debt capital, proceeds from the rotation of our portfolio and proceeds from public and private offerings of securities to finance our investment objectives and operations.</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of December 31, 2024 and September 30, 2024, we had $464.5 million and $461.5 million, respectively, in outstanding borrowings under the Truist Credit Facility. The Truist Credit Facility had a weighted average interest rate of 6.8% and 7.2%, respectively, exclusive of the fee on undrawn commitments. As of December 31, 2024 and September 30, 2024, we had $10.5 million and $13.5 million of unused borrowing capacity under the Truist Credit Facility, respectively, subject to leverage and borrowing base restrictions.</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of December 31, 2024 and September 30, 2024, we had cash and cash equivalents of $55.9 million and $49.9 million, respectively, available for investing and general corporate purposes. We believe our liquidity and capital resources are sufficient to allows us to effectively operate our business.</w:t>
      </w:r>
    </w:p>
    <w:p>
      <w:pPr>
        <w:spacing w:after="0" w:line="173"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For the three months ended December 31, 2024, our operating activities provided cash of $18.7 million and our financing activities used cash of $12.7 million. Our operating activities provided cash primarily due to our investment activities and our financing activities used cash primarily for distributions paid to stockholders.</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three months ended December 31, 2023, our operating activities used cash of $155.1 million and our financing activities provided cash of $153.2 million. Our operating activities used cash primarily due to our investment activities and our financing activities provided cash primarily from borrowings under the Truist Credit Facility.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DISTRIBUTIONS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During the three months ended December 31, 2024, we declared distributions of $0.24 per share, for total distributions of $15.7 million. During the three months ended December 31, 2023, we declared distributions of $0.21 per share, for total distributions of</w:t>
      </w:r>
    </w:p>
    <w:p>
      <w:pPr>
        <w:sectPr>
          <w:pgSz w:w="11900" w:h="16945" w:orient="portrait"/>
          <w:cols w:equalWidth="0" w:num="1">
            <w:col w:w="11240"/>
          </w:cols>
          <w:pgMar w:left="320" w:top="111" w:right="339" w:bottom="0" w:gutter="0" w:footer="0" w:header="0"/>
        </w:sectPr>
      </w:pPr>
    </w:p>
    <w:bookmarkStart w:id="6" w:name="page7"/>
    <w:bookmarkEnd w:id="6"/>
    <w:p>
      <w:pPr>
        <w:jc w:val="both"/>
        <w:spacing w:after="0" w:line="238" w:lineRule="auto"/>
        <w:rPr>
          <w:sz w:val="20"/>
          <w:szCs w:val="20"/>
          <w:color w:val="auto"/>
        </w:rPr>
      </w:pPr>
      <w:r>
        <w:rPr>
          <w:rFonts w:ascii="Times New Roman" w:cs="Times New Roman" w:eastAsia="Times New Roman" w:hAnsi="Times New Roman"/>
          <w:sz w:val="22"/>
          <w:szCs w:val="22"/>
          <w:color w:val="auto"/>
        </w:rPr>
        <w:t>$13.7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DEVELOPMENTS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multi-currency Truist Credit Facility was upsized to $500.0 million (increased from $475 million in February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AVAILABLE INFORMATION</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 xml:space="preserve">The Company makes available on its website its Quarterly Report on Form 10-Q filed with the SEC and stockholders may find the report on our website at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PENNANTPARK INVESTMENT CORPORATION AND SUBSIDIARIES CONSOLIDATED STATEMENTS OF ASSETS AND LIABILITIES </w:t>
      </w:r>
      <w:r>
        <w:rPr>
          <w:rFonts w:ascii="Times New Roman" w:cs="Times New Roman" w:eastAsia="Times New Roman" w:hAnsi="Times New Roman"/>
          <w:sz w:val="22"/>
          <w:szCs w:val="22"/>
          <w:color w:val="auto"/>
        </w:rPr>
        <w:t>(In thousands, except share data)</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gridSpan w:val="3"/>
          </w:tcPr>
          <w:p>
            <w:pPr>
              <w:jc w:val="right"/>
              <w:ind w:right="300"/>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3"/>
                <w:szCs w:val="23"/>
                <w:color w:val="auto"/>
              </w:rPr>
            </w:pPr>
          </w:p>
        </w:tc>
        <w:tc>
          <w:tcPr>
            <w:tcW w:w="2020" w:type="dxa"/>
            <w:vAlign w:val="bottom"/>
            <w:gridSpan w:val="3"/>
          </w:tcPr>
          <w:p>
            <w:pPr>
              <w:jc w:val="right"/>
              <w:ind w:right="240"/>
              <w:spacing w:after="0"/>
              <w:rPr>
                <w:sz w:val="20"/>
                <w:szCs w:val="20"/>
                <w:color w:val="auto"/>
              </w:rPr>
            </w:pPr>
            <w:r>
              <w:rPr>
                <w:rFonts w:ascii="Times New Roman" w:cs="Times New Roman" w:eastAsia="Times New Roman" w:hAnsi="Times New Roman"/>
                <w:sz w:val="22"/>
                <w:szCs w:val="22"/>
                <w:b w:val="1"/>
                <w:bCs w:val="1"/>
                <w:color w:val="auto"/>
                <w:w w:val="98"/>
              </w:rPr>
              <w:t>December 31, 2024</w:t>
            </w:r>
          </w:p>
        </w:tc>
        <w:tc>
          <w:tcPr>
            <w:tcW w:w="180" w:type="dxa"/>
            <w:vAlign w:val="bottom"/>
          </w:tcPr>
          <w:p>
            <w:pPr>
              <w:spacing w:after="0"/>
              <w:rPr>
                <w:sz w:val="23"/>
                <w:szCs w:val="23"/>
                <w:color w:val="auto"/>
              </w:rPr>
            </w:pPr>
          </w:p>
        </w:tc>
        <w:tc>
          <w:tcPr>
            <w:tcW w:w="1620" w:type="dxa"/>
            <w:vAlign w:val="bottom"/>
          </w:tcPr>
          <w:p>
            <w:pPr>
              <w:jc w:val="right"/>
              <w:ind w:right="5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73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240" w:type="dxa"/>
            <w:vAlign w:val="bottom"/>
          </w:tcPr>
          <w:p>
            <w:pPr>
              <w:spacing w:after="0"/>
              <w:rPr>
                <w:sz w:val="24"/>
                <w:szCs w:val="24"/>
                <w:color w:val="auto"/>
              </w:rPr>
            </w:pPr>
          </w:p>
        </w:tc>
        <w:tc>
          <w:tcPr>
            <w:tcW w:w="1780" w:type="dxa"/>
            <w:vAlign w:val="bottom"/>
            <w:gridSpan w:val="2"/>
          </w:tcPr>
          <w:p>
            <w:pPr>
              <w:jc w:val="right"/>
              <w:ind w:right="580"/>
              <w:spacing w:after="0"/>
              <w:rPr>
                <w:sz w:val="20"/>
                <w:szCs w:val="20"/>
                <w:color w:val="auto"/>
              </w:rPr>
            </w:pPr>
            <w:r>
              <w:rPr>
                <w:rFonts w:ascii="Times New Roman" w:cs="Times New Roman" w:eastAsia="Times New Roman" w:hAnsi="Times New Roman"/>
                <w:sz w:val="22"/>
                <w:szCs w:val="22"/>
                <w:b w:val="1"/>
                <w:bCs w:val="1"/>
                <w:color w:val="auto"/>
              </w:rPr>
              <w:t>(unaudited)</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300" w:type="dxa"/>
            <w:vAlign w:val="bottom"/>
            <w:vMerge w:val="continue"/>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Investments at fair value</w:t>
            </w:r>
          </w:p>
        </w:tc>
        <w:tc>
          <w:tcPr>
            <w:tcW w:w="2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3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Non-controlled, non-affiliated investments (amortized cost—$856,406 and</w:t>
            </w: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$916,168, respectively)</w:t>
            </w: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845,829</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910,323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3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Non-controlled, affiliated investments (amortized cost—$57,109 and $56,734,</w:t>
            </w: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respectively)</w:t>
            </w:r>
          </w:p>
        </w:tc>
        <w:tc>
          <w:tcPr>
            <w:tcW w:w="240" w:type="dxa"/>
            <w:vAlign w:val="bottom"/>
          </w:tcPr>
          <w:p>
            <w:pPr>
              <w:spacing w:after="0"/>
              <w:rPr>
                <w:sz w:val="23"/>
                <w:szCs w:val="23"/>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11,032</w:t>
            </w:r>
          </w:p>
        </w:tc>
        <w:tc>
          <w:tcPr>
            <w:tcW w:w="180" w:type="dxa"/>
            <w:vAlign w:val="bottom"/>
          </w:tcPr>
          <w:p>
            <w:pPr>
              <w:spacing w:after="0"/>
              <w:rPr>
                <w:sz w:val="23"/>
                <w:szCs w:val="23"/>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33,423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3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Controlled, affiliated investments (amortized cost—$370,967 and $343,970,</w:t>
            </w: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respectively)</w:t>
            </w:r>
          </w:p>
        </w:tc>
        <w:tc>
          <w:tcPr>
            <w:tcW w:w="240" w:type="dxa"/>
            <w:vAlign w:val="bottom"/>
          </w:tcPr>
          <w:p>
            <w:pPr>
              <w:spacing w:after="0"/>
              <w:rPr>
                <w:sz w:val="24"/>
                <w:szCs w:val="24"/>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441,205</w:t>
            </w:r>
          </w:p>
        </w:tc>
        <w:tc>
          <w:tcPr>
            <w:tcW w:w="180" w:type="dxa"/>
            <w:vAlign w:val="bottom"/>
          </w:tcPr>
          <w:p>
            <w:pPr>
              <w:spacing w:after="0"/>
              <w:rPr>
                <w:sz w:val="24"/>
                <w:szCs w:val="24"/>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384,304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7300" w:type="dxa"/>
            <w:vAlign w:val="bottom"/>
          </w:tcPr>
          <w:p>
            <w:pPr>
              <w:ind w:left="120"/>
              <w:spacing w:after="0" w:line="251" w:lineRule="exact"/>
              <w:rPr>
                <w:sz w:val="20"/>
                <w:szCs w:val="20"/>
                <w:color w:val="auto"/>
              </w:rPr>
            </w:pPr>
            <w:r>
              <w:rPr>
                <w:rFonts w:ascii="Times New Roman" w:cs="Times New Roman" w:eastAsia="Times New Roman" w:hAnsi="Times New Roman"/>
                <w:sz w:val="22"/>
                <w:szCs w:val="22"/>
                <w:color w:val="auto"/>
              </w:rPr>
              <w:t>Total investments (amortized cost—$1,284,482 and $1,316,872, respectively)</w:t>
            </w:r>
          </w:p>
        </w:tc>
        <w:tc>
          <w:tcPr>
            <w:tcW w:w="24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1,298,066</w:t>
            </w:r>
          </w:p>
        </w:tc>
        <w:tc>
          <w:tcPr>
            <w:tcW w:w="2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2"/>
          </w:tcPr>
          <w:p>
            <w:pPr>
              <w:jc w:val="right"/>
              <w:ind w:right="20"/>
              <w:spacing w:after="0" w:line="251" w:lineRule="exact"/>
              <w:rPr>
                <w:sz w:val="20"/>
                <w:szCs w:val="20"/>
                <w:color w:val="auto"/>
              </w:rPr>
            </w:pPr>
            <w:r>
              <w:rPr>
                <w:rFonts w:ascii="Times New Roman" w:cs="Times New Roman" w:eastAsia="Times New Roman" w:hAnsi="Times New Roman"/>
                <w:sz w:val="22"/>
                <w:szCs w:val="22"/>
                <w:color w:val="auto"/>
              </w:rPr>
              <w:t>1,328,050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 (cost—$55,868 and $49,833, respectively)</w:t>
            </w:r>
          </w:p>
        </w:tc>
        <w:tc>
          <w:tcPr>
            <w:tcW w:w="240" w:type="dxa"/>
            <w:vAlign w:val="bottom"/>
          </w:tcPr>
          <w:p>
            <w:pPr>
              <w:spacing w:after="0"/>
              <w:rPr>
                <w:sz w:val="23"/>
                <w:szCs w:val="23"/>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55,851</w:t>
            </w:r>
          </w:p>
        </w:tc>
        <w:tc>
          <w:tcPr>
            <w:tcW w:w="180" w:type="dxa"/>
            <w:vAlign w:val="bottom"/>
          </w:tcPr>
          <w:p>
            <w:pPr>
              <w:spacing w:after="0"/>
              <w:rPr>
                <w:sz w:val="23"/>
                <w:szCs w:val="23"/>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49,861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Interest receivable</w:t>
            </w:r>
          </w:p>
        </w:tc>
        <w:tc>
          <w:tcPr>
            <w:tcW w:w="240" w:type="dxa"/>
            <w:vAlign w:val="bottom"/>
          </w:tcPr>
          <w:p>
            <w:pPr>
              <w:spacing w:after="0"/>
              <w:rPr>
                <w:sz w:val="23"/>
                <w:szCs w:val="23"/>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5,227</w:t>
            </w:r>
          </w:p>
        </w:tc>
        <w:tc>
          <w:tcPr>
            <w:tcW w:w="180" w:type="dxa"/>
            <w:vAlign w:val="bottom"/>
          </w:tcPr>
          <w:p>
            <w:pPr>
              <w:spacing w:after="0"/>
              <w:rPr>
                <w:sz w:val="23"/>
                <w:szCs w:val="23"/>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5,261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Receivable for investments sold</w:t>
            </w:r>
          </w:p>
        </w:tc>
        <w:tc>
          <w:tcPr>
            <w:tcW w:w="240" w:type="dxa"/>
            <w:vAlign w:val="bottom"/>
          </w:tcPr>
          <w:p>
            <w:pPr>
              <w:spacing w:after="0"/>
              <w:rPr>
                <w:sz w:val="23"/>
                <w:szCs w:val="23"/>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47,230</w:t>
            </w:r>
          </w:p>
        </w:tc>
        <w:tc>
          <w:tcPr>
            <w:tcW w:w="180" w:type="dxa"/>
            <w:vAlign w:val="bottom"/>
          </w:tcPr>
          <w:p>
            <w:pPr>
              <w:spacing w:after="0"/>
              <w:rPr>
                <w:sz w:val="23"/>
                <w:szCs w:val="23"/>
                <w:color w:val="auto"/>
              </w:rPr>
            </w:pP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Distribution receivable</w:t>
            </w:r>
          </w:p>
        </w:tc>
        <w:tc>
          <w:tcPr>
            <w:tcW w:w="240" w:type="dxa"/>
            <w:vAlign w:val="bottom"/>
          </w:tcPr>
          <w:p>
            <w:pPr>
              <w:spacing w:after="0"/>
              <w:rPr>
                <w:sz w:val="23"/>
                <w:szCs w:val="23"/>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5,359</w:t>
            </w:r>
          </w:p>
        </w:tc>
        <w:tc>
          <w:tcPr>
            <w:tcW w:w="180" w:type="dxa"/>
            <w:vAlign w:val="bottom"/>
          </w:tcPr>
          <w:p>
            <w:pPr>
              <w:spacing w:after="0"/>
              <w:rPr>
                <w:sz w:val="23"/>
                <w:szCs w:val="23"/>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5,417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Due from affiliates</w:t>
            </w:r>
          </w:p>
        </w:tc>
        <w:tc>
          <w:tcPr>
            <w:tcW w:w="240" w:type="dxa"/>
            <w:vAlign w:val="bottom"/>
          </w:tcPr>
          <w:p>
            <w:pPr>
              <w:spacing w:after="0"/>
              <w:rPr>
                <w:sz w:val="23"/>
                <w:szCs w:val="23"/>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144</w:t>
            </w:r>
          </w:p>
        </w:tc>
        <w:tc>
          <w:tcPr>
            <w:tcW w:w="180" w:type="dxa"/>
            <w:vAlign w:val="bottom"/>
          </w:tcPr>
          <w:p>
            <w:pPr>
              <w:spacing w:after="0"/>
              <w:rPr>
                <w:sz w:val="23"/>
                <w:szCs w:val="23"/>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228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Prepaid expenses and other assets</w:t>
            </w:r>
          </w:p>
        </w:tc>
        <w:tc>
          <w:tcPr>
            <w:tcW w:w="240" w:type="dxa"/>
            <w:vAlign w:val="bottom"/>
          </w:tcPr>
          <w:p>
            <w:pPr>
              <w:spacing w:after="0"/>
              <w:rPr>
                <w:sz w:val="24"/>
                <w:szCs w:val="24"/>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214</w:t>
            </w:r>
          </w:p>
        </w:tc>
        <w:tc>
          <w:tcPr>
            <w:tcW w:w="180" w:type="dxa"/>
            <w:vAlign w:val="bottom"/>
          </w:tcPr>
          <w:p>
            <w:pPr>
              <w:spacing w:after="0"/>
              <w:rPr>
                <w:sz w:val="24"/>
                <w:szCs w:val="24"/>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269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3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assets</w:t>
            </w:r>
          </w:p>
        </w:tc>
        <w:tc>
          <w:tcPr>
            <w:tcW w:w="240" w:type="dxa"/>
            <w:vAlign w:val="bottom"/>
            <w:tcBorders>
              <w:top w:val="single" w:sz="8" w:color="auto"/>
            </w:tcBorders>
          </w:tcPr>
          <w:p>
            <w:pPr>
              <w:spacing w:after="0"/>
              <w:rPr>
                <w:sz w:val="23"/>
                <w:szCs w:val="23"/>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1,412,091</w:t>
            </w:r>
          </w:p>
        </w:tc>
        <w:tc>
          <w:tcPr>
            <w:tcW w:w="2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6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1,389,086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30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Liabilities</w:t>
            </w:r>
          </w:p>
        </w:tc>
        <w:tc>
          <w:tcPr>
            <w:tcW w:w="24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Truist Credit Facility payable, at fair value (cost—$464,456 and $461,456,</w:t>
            </w: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respectively)</w:t>
            </w:r>
          </w:p>
        </w:tc>
        <w:tc>
          <w:tcPr>
            <w:tcW w:w="240" w:type="dxa"/>
            <w:vAlign w:val="bottom"/>
          </w:tcPr>
          <w:p>
            <w:pPr>
              <w:spacing w:after="0"/>
              <w:rPr>
                <w:sz w:val="23"/>
                <w:szCs w:val="23"/>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460,033</w:t>
            </w:r>
          </w:p>
        </w:tc>
        <w:tc>
          <w:tcPr>
            <w:tcW w:w="180" w:type="dxa"/>
            <w:vAlign w:val="bottom"/>
          </w:tcPr>
          <w:p>
            <w:pPr>
              <w:spacing w:after="0"/>
              <w:rPr>
                <w:sz w:val="23"/>
                <w:szCs w:val="23"/>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460,361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2026 Notes payable, net (par— $150,000)</w:t>
            </w:r>
          </w:p>
        </w:tc>
        <w:tc>
          <w:tcPr>
            <w:tcW w:w="240" w:type="dxa"/>
            <w:vAlign w:val="bottom"/>
          </w:tcPr>
          <w:p>
            <w:pPr>
              <w:spacing w:after="0"/>
              <w:rPr>
                <w:sz w:val="23"/>
                <w:szCs w:val="23"/>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148,796</w:t>
            </w:r>
          </w:p>
        </w:tc>
        <w:tc>
          <w:tcPr>
            <w:tcW w:w="180" w:type="dxa"/>
            <w:vAlign w:val="bottom"/>
          </w:tcPr>
          <w:p>
            <w:pPr>
              <w:spacing w:after="0"/>
              <w:rPr>
                <w:sz w:val="23"/>
                <w:szCs w:val="23"/>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148,571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2026 Notes-2 payable, net (par— $165,000)</w:t>
            </w:r>
          </w:p>
        </w:tc>
        <w:tc>
          <w:tcPr>
            <w:tcW w:w="240" w:type="dxa"/>
            <w:vAlign w:val="bottom"/>
          </w:tcPr>
          <w:p>
            <w:pPr>
              <w:spacing w:after="0"/>
              <w:rPr>
                <w:sz w:val="23"/>
                <w:szCs w:val="23"/>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163,293</w:t>
            </w:r>
          </w:p>
        </w:tc>
        <w:tc>
          <w:tcPr>
            <w:tcW w:w="180" w:type="dxa"/>
            <w:vAlign w:val="bottom"/>
          </w:tcPr>
          <w:p>
            <w:pPr>
              <w:spacing w:after="0"/>
              <w:rPr>
                <w:sz w:val="23"/>
                <w:szCs w:val="23"/>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163,080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Payable for investment purchased</w:t>
            </w:r>
          </w:p>
        </w:tc>
        <w:tc>
          <w:tcPr>
            <w:tcW w:w="240" w:type="dxa"/>
            <w:vAlign w:val="bottom"/>
          </w:tcPr>
          <w:p>
            <w:pPr>
              <w:spacing w:after="0"/>
              <w:rPr>
                <w:sz w:val="23"/>
                <w:szCs w:val="23"/>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125,050</w:t>
            </w:r>
          </w:p>
        </w:tc>
        <w:tc>
          <w:tcPr>
            <w:tcW w:w="180" w:type="dxa"/>
            <w:vAlign w:val="bottom"/>
          </w:tcPr>
          <w:p>
            <w:pPr>
              <w:spacing w:after="0"/>
              <w:rPr>
                <w:sz w:val="23"/>
                <w:szCs w:val="23"/>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100,096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Distributions payable</w:t>
            </w:r>
          </w:p>
        </w:tc>
        <w:tc>
          <w:tcPr>
            <w:tcW w:w="240" w:type="dxa"/>
            <w:vAlign w:val="bottom"/>
          </w:tcPr>
          <w:p>
            <w:pPr>
              <w:spacing w:after="0"/>
              <w:rPr>
                <w:sz w:val="23"/>
                <w:szCs w:val="23"/>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5,224</w:t>
            </w:r>
          </w:p>
        </w:tc>
        <w:tc>
          <w:tcPr>
            <w:tcW w:w="180" w:type="dxa"/>
            <w:vAlign w:val="bottom"/>
          </w:tcPr>
          <w:p>
            <w:pPr>
              <w:spacing w:after="0"/>
              <w:rPr>
                <w:sz w:val="23"/>
                <w:szCs w:val="23"/>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5,224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Base management fee payable</w:t>
            </w:r>
          </w:p>
        </w:tc>
        <w:tc>
          <w:tcPr>
            <w:tcW w:w="240" w:type="dxa"/>
            <w:vAlign w:val="bottom"/>
          </w:tcPr>
          <w:p>
            <w:pPr>
              <w:spacing w:after="0"/>
              <w:rPr>
                <w:sz w:val="23"/>
                <w:szCs w:val="23"/>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4,268</w:t>
            </w:r>
          </w:p>
        </w:tc>
        <w:tc>
          <w:tcPr>
            <w:tcW w:w="180" w:type="dxa"/>
            <w:vAlign w:val="bottom"/>
          </w:tcPr>
          <w:p>
            <w:pPr>
              <w:spacing w:after="0"/>
              <w:rPr>
                <w:sz w:val="23"/>
                <w:szCs w:val="23"/>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4,297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Incentive fee payable</w:t>
            </w:r>
          </w:p>
        </w:tc>
        <w:tc>
          <w:tcPr>
            <w:tcW w:w="240" w:type="dxa"/>
            <w:vAlign w:val="bottom"/>
          </w:tcPr>
          <w:p>
            <w:pPr>
              <w:spacing w:after="0"/>
              <w:rPr>
                <w:sz w:val="23"/>
                <w:szCs w:val="23"/>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2,756</w:t>
            </w:r>
          </w:p>
        </w:tc>
        <w:tc>
          <w:tcPr>
            <w:tcW w:w="180" w:type="dxa"/>
            <w:vAlign w:val="bottom"/>
          </w:tcPr>
          <w:p>
            <w:pPr>
              <w:spacing w:after="0"/>
              <w:rPr>
                <w:sz w:val="23"/>
                <w:szCs w:val="23"/>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3,057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Accounts payable and accrued expenses</w:t>
            </w:r>
          </w:p>
        </w:tc>
        <w:tc>
          <w:tcPr>
            <w:tcW w:w="240" w:type="dxa"/>
            <w:vAlign w:val="bottom"/>
          </w:tcPr>
          <w:p>
            <w:pPr>
              <w:spacing w:after="0"/>
              <w:rPr>
                <w:sz w:val="23"/>
                <w:szCs w:val="23"/>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5,500</w:t>
            </w:r>
          </w:p>
        </w:tc>
        <w:tc>
          <w:tcPr>
            <w:tcW w:w="180" w:type="dxa"/>
            <w:vAlign w:val="bottom"/>
          </w:tcPr>
          <w:p>
            <w:pPr>
              <w:spacing w:after="0"/>
              <w:rPr>
                <w:sz w:val="23"/>
                <w:szCs w:val="23"/>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4,053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Interest payable on debt</w:t>
            </w:r>
          </w:p>
        </w:tc>
        <w:tc>
          <w:tcPr>
            <w:tcW w:w="240" w:type="dxa"/>
            <w:vAlign w:val="bottom"/>
          </w:tcPr>
          <w:p>
            <w:pPr>
              <w:spacing w:after="0"/>
              <w:rPr>
                <w:sz w:val="23"/>
                <w:szCs w:val="23"/>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2,850</w:t>
            </w:r>
          </w:p>
        </w:tc>
        <w:tc>
          <w:tcPr>
            <w:tcW w:w="180" w:type="dxa"/>
            <w:vAlign w:val="bottom"/>
          </w:tcPr>
          <w:p>
            <w:pPr>
              <w:spacing w:after="0"/>
              <w:rPr>
                <w:sz w:val="23"/>
                <w:szCs w:val="23"/>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6,406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Due to affiliates</w:t>
            </w:r>
          </w:p>
        </w:tc>
        <w:tc>
          <w:tcPr>
            <w:tcW w:w="240" w:type="dxa"/>
            <w:vAlign w:val="bottom"/>
          </w:tcPr>
          <w:p>
            <w:pPr>
              <w:spacing w:after="0"/>
              <w:rPr>
                <w:sz w:val="24"/>
                <w:szCs w:val="24"/>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4"/>
                <w:szCs w:val="24"/>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3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liabilities</w:t>
            </w:r>
          </w:p>
        </w:tc>
        <w:tc>
          <w:tcPr>
            <w:tcW w:w="240" w:type="dxa"/>
            <w:vAlign w:val="bottom"/>
            <w:tcBorders>
              <w:top w:val="single" w:sz="8" w:color="auto"/>
            </w:tcBorders>
          </w:tcPr>
          <w:p>
            <w:pPr>
              <w:spacing w:after="0"/>
              <w:rPr>
                <w:sz w:val="23"/>
                <w:szCs w:val="23"/>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917,770</w:t>
            </w:r>
          </w:p>
        </w:tc>
        <w:tc>
          <w:tcPr>
            <w:tcW w:w="2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6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895,178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30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Net assets</w:t>
            </w:r>
          </w:p>
        </w:tc>
        <w:tc>
          <w:tcPr>
            <w:tcW w:w="24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65,296,094 and 65,296,094 shares issued and outstanding,</w:t>
            </w: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respectively</w:t>
            </w: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Par value $0.001 per share and 200,000,000 shares authorized</w:t>
            </w:r>
          </w:p>
        </w:tc>
        <w:tc>
          <w:tcPr>
            <w:tcW w:w="240" w:type="dxa"/>
            <w:vAlign w:val="bottom"/>
          </w:tcPr>
          <w:p>
            <w:pPr>
              <w:spacing w:after="0"/>
              <w:rPr>
                <w:sz w:val="23"/>
                <w:szCs w:val="23"/>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65</w:t>
            </w:r>
          </w:p>
        </w:tc>
        <w:tc>
          <w:tcPr>
            <w:tcW w:w="180" w:type="dxa"/>
            <w:vAlign w:val="bottom"/>
          </w:tcPr>
          <w:p>
            <w:pPr>
              <w:spacing w:after="0"/>
              <w:rPr>
                <w:sz w:val="23"/>
                <w:szCs w:val="23"/>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Paid-in capital in excess of par value</w:t>
            </w:r>
          </w:p>
        </w:tc>
        <w:tc>
          <w:tcPr>
            <w:tcW w:w="240" w:type="dxa"/>
            <w:vAlign w:val="bottom"/>
          </w:tcPr>
          <w:p>
            <w:pPr>
              <w:spacing w:after="0"/>
              <w:rPr>
                <w:sz w:val="23"/>
                <w:szCs w:val="23"/>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743,968</w:t>
            </w:r>
          </w:p>
        </w:tc>
        <w:tc>
          <w:tcPr>
            <w:tcW w:w="180" w:type="dxa"/>
            <w:vAlign w:val="bottom"/>
          </w:tcPr>
          <w:p>
            <w:pPr>
              <w:spacing w:after="0"/>
              <w:rPr>
                <w:sz w:val="23"/>
                <w:szCs w:val="23"/>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743,968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Accumulated deficit</w:t>
            </w:r>
          </w:p>
        </w:tc>
        <w:tc>
          <w:tcPr>
            <w:tcW w:w="240" w:type="dxa"/>
            <w:vAlign w:val="bottom"/>
          </w:tcPr>
          <w:p>
            <w:pPr>
              <w:spacing w:after="0"/>
              <w:rPr>
                <w:sz w:val="24"/>
                <w:szCs w:val="24"/>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(249,712)</w:t>
            </w:r>
          </w:p>
        </w:tc>
        <w:tc>
          <w:tcPr>
            <w:tcW w:w="18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(250,125)</w:t>
            </w:r>
          </w:p>
        </w:tc>
        <w:tc>
          <w:tcPr>
            <w:tcW w:w="0" w:type="dxa"/>
            <w:vAlign w:val="bottom"/>
          </w:tcPr>
          <w:p>
            <w:pPr>
              <w:spacing w:after="0"/>
              <w:rPr>
                <w:sz w:val="1"/>
                <w:szCs w:val="1"/>
                <w:color w:val="auto"/>
              </w:rPr>
            </w:pPr>
          </w:p>
        </w:tc>
      </w:tr>
      <w:tr>
        <w:trPr>
          <w:trHeight w:val="265"/>
        </w:trPr>
        <w:tc>
          <w:tcPr>
            <w:tcW w:w="73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net assets</w:t>
            </w:r>
          </w:p>
        </w:tc>
        <w:tc>
          <w:tcPr>
            <w:tcW w:w="2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494,321</w:t>
            </w:r>
          </w:p>
        </w:tc>
        <w:tc>
          <w:tcPr>
            <w:tcW w:w="200" w:type="dxa"/>
            <w:vAlign w:val="bottom"/>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493,908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3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liabilities and net assets</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1,412,091</w:t>
            </w:r>
          </w:p>
        </w:tc>
        <w:tc>
          <w:tcPr>
            <w:tcW w:w="2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1,389,086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asset value per share</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7.57</w:t>
            </w:r>
          </w:p>
        </w:tc>
        <w:tc>
          <w:tcPr>
            <w:tcW w:w="200" w:type="dxa"/>
            <w:vAlign w:val="bottom"/>
            <w:vMerge w:val="continue"/>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7.56</w:t>
            </w:r>
          </w:p>
        </w:tc>
        <w:tc>
          <w:tcPr>
            <w:tcW w:w="20" w:type="dxa"/>
            <w:vAlign w:val="bottom"/>
            <w:tcBorders>
              <w:bottom w:val="single" w:sz="8" w:color="auto"/>
            </w:tcBorders>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jc w:val="center"/>
        <w:spacing w:after="0" w:line="230" w:lineRule="auto"/>
        <w:rPr>
          <w:sz w:val="20"/>
          <w:szCs w:val="20"/>
          <w:color w:val="auto"/>
        </w:rPr>
      </w:pPr>
      <w:r>
        <w:rPr>
          <w:rFonts w:ascii="Times New Roman" w:cs="Times New Roman" w:eastAsia="Times New Roman" w:hAnsi="Times New Roman"/>
          <w:sz w:val="22"/>
          <w:szCs w:val="22"/>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7300" w:type="dxa"/>
            <w:vAlign w:val="bottom"/>
          </w:tcPr>
          <w:p>
            <w:pPr>
              <w:spacing w:after="0"/>
              <w:rPr>
                <w:sz w:val="24"/>
                <w:szCs w:val="24"/>
                <w:color w:val="auto"/>
              </w:rPr>
            </w:pPr>
          </w:p>
        </w:tc>
        <w:tc>
          <w:tcPr>
            <w:tcW w:w="3880" w:type="dxa"/>
            <w:vAlign w:val="bottom"/>
            <w:gridSpan w:val="7"/>
          </w:tcPr>
          <w:p>
            <w:pPr>
              <w:jc w:val="right"/>
              <w:ind w:right="340"/>
              <w:spacing w:after="0"/>
              <w:rPr>
                <w:sz w:val="20"/>
                <w:szCs w:val="20"/>
                <w:color w:val="auto"/>
              </w:rPr>
            </w:pPr>
            <w:r>
              <w:rPr>
                <w:rFonts w:ascii="Times New Roman" w:cs="Times New Roman" w:eastAsia="Times New Roman" w:hAnsi="Times New Roman"/>
                <w:sz w:val="22"/>
                <w:szCs w:val="22"/>
                <w:b w:val="1"/>
                <w:bCs w:val="1"/>
                <w:color w:val="auto"/>
              </w:rPr>
              <w:t>Three Months Ended December 31,</w:t>
            </w:r>
          </w:p>
        </w:tc>
        <w:tc>
          <w:tcPr>
            <w:tcW w:w="0" w:type="dxa"/>
            <w:vAlign w:val="bottom"/>
          </w:tcPr>
          <w:p>
            <w:pPr>
              <w:spacing w:after="0"/>
              <w:rPr>
                <w:sz w:val="1"/>
                <w:szCs w:val="1"/>
                <w:color w:val="auto"/>
              </w:rPr>
            </w:pPr>
          </w:p>
        </w:tc>
      </w:tr>
      <w:tr>
        <w:trPr>
          <w:trHeight w:val="264"/>
        </w:trPr>
        <w:tc>
          <w:tcPr>
            <w:tcW w:w="73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Investment income:</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2024</w:t>
            </w:r>
          </w:p>
        </w:tc>
        <w:tc>
          <w:tcPr>
            <w:tcW w:w="6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b w:val="1"/>
                <w:bCs w:val="1"/>
                <w:color w:val="auto"/>
              </w:rPr>
              <w:t>2023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00" w:type="dxa"/>
            <w:vAlign w:val="bottom"/>
            <w:vMerge w:val="continue"/>
          </w:tcPr>
          <w:p>
            <w:pPr>
              <w:spacing w:after="0"/>
              <w:rPr>
                <w:sz w:val="21"/>
                <w:szCs w:val="21"/>
                <w:color w:val="auto"/>
              </w:rPr>
            </w:pPr>
          </w:p>
        </w:tc>
        <w:tc>
          <w:tcPr>
            <w:tcW w:w="1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From non-controlled, non-affiliated investments:</w:t>
            </w: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w:t>
            </w:r>
          </w:p>
        </w:tc>
        <w:tc>
          <w:tcPr>
            <w:tcW w:w="1180" w:type="dxa"/>
            <w:vAlign w:val="bottom"/>
          </w:tcPr>
          <w:p>
            <w:pPr>
              <w:jc w:val="right"/>
              <w:ind w:right="952"/>
              <w:spacing w:after="0"/>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18,767</w:t>
            </w:r>
          </w:p>
        </w:tc>
        <w:tc>
          <w:tcPr>
            <w:tcW w:w="4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21,068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Payment-in-kind</w:t>
            </w:r>
          </w:p>
        </w:tc>
        <w:tc>
          <w:tcPr>
            <w:tcW w:w="118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1,421</w:t>
            </w:r>
          </w:p>
        </w:tc>
        <w:tc>
          <w:tcPr>
            <w:tcW w:w="400" w:type="dxa"/>
            <w:vAlign w:val="bottom"/>
          </w:tcPr>
          <w:p>
            <w:pPr>
              <w:spacing w:after="0"/>
              <w:rPr>
                <w:sz w:val="23"/>
                <w:szCs w:val="23"/>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Dividend income</w:t>
            </w:r>
          </w:p>
        </w:tc>
        <w:tc>
          <w:tcPr>
            <w:tcW w:w="118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508</w:t>
            </w:r>
          </w:p>
        </w:tc>
        <w:tc>
          <w:tcPr>
            <w:tcW w:w="400" w:type="dxa"/>
            <w:vAlign w:val="bottom"/>
          </w:tcPr>
          <w:p>
            <w:pPr>
              <w:spacing w:after="0"/>
              <w:rPr>
                <w:sz w:val="23"/>
                <w:szCs w:val="23"/>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692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income</w:t>
            </w:r>
          </w:p>
        </w:tc>
        <w:tc>
          <w:tcPr>
            <w:tcW w:w="118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582</w:t>
            </w:r>
          </w:p>
        </w:tc>
        <w:tc>
          <w:tcPr>
            <w:tcW w:w="400" w:type="dxa"/>
            <w:vAlign w:val="bottom"/>
          </w:tcPr>
          <w:p>
            <w:pPr>
              <w:spacing w:after="0"/>
              <w:rPr>
                <w:sz w:val="23"/>
                <w:szCs w:val="23"/>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1,425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From non-controlled, affiliated investments:</w:t>
            </w: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Payment-in-kind</w:t>
            </w:r>
          </w:p>
        </w:tc>
        <w:tc>
          <w:tcPr>
            <w:tcW w:w="118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400" w:type="dxa"/>
            <w:vAlign w:val="bottom"/>
          </w:tcPr>
          <w:p>
            <w:pPr>
              <w:spacing w:after="0"/>
              <w:rPr>
                <w:sz w:val="23"/>
                <w:szCs w:val="23"/>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347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From controlled, affiliated investments:</w:t>
            </w: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w:t>
            </w:r>
          </w:p>
        </w:tc>
        <w:tc>
          <w:tcPr>
            <w:tcW w:w="118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7,255</w:t>
            </w:r>
          </w:p>
        </w:tc>
        <w:tc>
          <w:tcPr>
            <w:tcW w:w="400" w:type="dxa"/>
            <w:vAlign w:val="bottom"/>
          </w:tcPr>
          <w:p>
            <w:pPr>
              <w:spacing w:after="0"/>
              <w:rPr>
                <w:sz w:val="23"/>
                <w:szCs w:val="23"/>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5,481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Payment-in-kind</w:t>
            </w:r>
          </w:p>
        </w:tc>
        <w:tc>
          <w:tcPr>
            <w:tcW w:w="118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823</w:t>
            </w:r>
          </w:p>
        </w:tc>
        <w:tc>
          <w:tcPr>
            <w:tcW w:w="400" w:type="dxa"/>
            <w:vAlign w:val="bottom"/>
          </w:tcPr>
          <w:p>
            <w:pPr>
              <w:spacing w:after="0"/>
              <w:rPr>
                <w:sz w:val="23"/>
                <w:szCs w:val="23"/>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632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3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Dividend income</w:t>
            </w:r>
          </w:p>
        </w:tc>
        <w:tc>
          <w:tcPr>
            <w:tcW w:w="118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4,851</w:t>
            </w:r>
          </w:p>
        </w:tc>
        <w:tc>
          <w:tcPr>
            <w:tcW w:w="400" w:type="dxa"/>
            <w:vAlign w:val="bottom"/>
          </w:tcPr>
          <w:p>
            <w:pPr>
              <w:spacing w:after="0"/>
              <w:rPr>
                <w:sz w:val="24"/>
                <w:szCs w:val="24"/>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4,689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3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Total investment income</w:t>
            </w:r>
          </w:p>
        </w:tc>
        <w:tc>
          <w:tcPr>
            <w:tcW w:w="118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34,207</w:t>
            </w:r>
          </w:p>
        </w:tc>
        <w:tc>
          <w:tcPr>
            <w:tcW w:w="20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4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34,336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30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Expenses:</w:t>
            </w:r>
          </w:p>
        </w:tc>
        <w:tc>
          <w:tcPr>
            <w:tcW w:w="11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 and expenses on debt</w:t>
            </w:r>
          </w:p>
        </w:tc>
        <w:tc>
          <w:tcPr>
            <w:tcW w:w="118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11,741</w:t>
            </w:r>
          </w:p>
        </w:tc>
        <w:tc>
          <w:tcPr>
            <w:tcW w:w="400" w:type="dxa"/>
            <w:vAlign w:val="bottom"/>
          </w:tcPr>
          <w:p>
            <w:pPr>
              <w:spacing w:after="0"/>
              <w:rPr>
                <w:sz w:val="23"/>
                <w:szCs w:val="23"/>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9,557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Base management fee</w:t>
            </w:r>
          </w:p>
        </w:tc>
        <w:tc>
          <w:tcPr>
            <w:tcW w:w="118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4,268</w:t>
            </w:r>
          </w:p>
        </w:tc>
        <w:tc>
          <w:tcPr>
            <w:tcW w:w="400" w:type="dxa"/>
            <w:vAlign w:val="bottom"/>
          </w:tcPr>
          <w:p>
            <w:pPr>
              <w:spacing w:after="0"/>
              <w:rPr>
                <w:sz w:val="23"/>
                <w:szCs w:val="23"/>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4,004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Incentive fee</w:t>
            </w:r>
          </w:p>
        </w:tc>
        <w:tc>
          <w:tcPr>
            <w:tcW w:w="118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2,756</w:t>
            </w:r>
          </w:p>
        </w:tc>
        <w:tc>
          <w:tcPr>
            <w:tcW w:w="400" w:type="dxa"/>
            <w:vAlign w:val="bottom"/>
          </w:tcPr>
          <w:p>
            <w:pPr>
              <w:spacing w:after="0"/>
              <w:rPr>
                <w:sz w:val="23"/>
                <w:szCs w:val="23"/>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3,321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General and administrative expenses</w:t>
            </w:r>
          </w:p>
        </w:tc>
        <w:tc>
          <w:tcPr>
            <w:tcW w:w="118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1,250</w:t>
            </w:r>
          </w:p>
        </w:tc>
        <w:tc>
          <w:tcPr>
            <w:tcW w:w="400" w:type="dxa"/>
            <w:vAlign w:val="bottom"/>
          </w:tcPr>
          <w:p>
            <w:pPr>
              <w:spacing w:after="0"/>
              <w:rPr>
                <w:sz w:val="23"/>
                <w:szCs w:val="23"/>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1,214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3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Administrative services expenses</w:t>
            </w:r>
          </w:p>
        </w:tc>
        <w:tc>
          <w:tcPr>
            <w:tcW w:w="118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500</w:t>
            </w:r>
          </w:p>
        </w:tc>
        <w:tc>
          <w:tcPr>
            <w:tcW w:w="400" w:type="dxa"/>
            <w:vAlign w:val="bottom"/>
          </w:tcPr>
          <w:p>
            <w:pPr>
              <w:spacing w:after="0"/>
              <w:rPr>
                <w:sz w:val="24"/>
                <w:szCs w:val="24"/>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189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3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Expenses before provision for taxes</w:t>
            </w:r>
          </w:p>
        </w:tc>
        <w:tc>
          <w:tcPr>
            <w:tcW w:w="1180" w:type="dxa"/>
            <w:vAlign w:val="bottom"/>
            <w:tcBorders>
              <w:top w:val="single" w:sz="8" w:color="auto"/>
              <w:bottom w:val="single" w:sz="8" w:color="auto"/>
            </w:tcBorders>
          </w:tcPr>
          <w:p>
            <w:pPr>
              <w:spacing w:after="0"/>
              <w:rPr>
                <w:sz w:val="23"/>
                <w:szCs w:val="2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20,515</w:t>
            </w:r>
          </w:p>
        </w:tc>
        <w:tc>
          <w:tcPr>
            <w:tcW w:w="200" w:type="dxa"/>
            <w:vAlign w:val="bottom"/>
          </w:tcPr>
          <w:p>
            <w:pPr>
              <w:spacing w:after="0"/>
              <w:rPr>
                <w:sz w:val="23"/>
                <w:szCs w:val="23"/>
                <w:color w:val="auto"/>
              </w:rPr>
            </w:pPr>
          </w:p>
        </w:tc>
        <w:tc>
          <w:tcPr>
            <w:tcW w:w="400" w:type="dxa"/>
            <w:vAlign w:val="bottom"/>
            <w:tcBorders>
              <w:top w:val="single" w:sz="8" w:color="auto"/>
              <w:bottom w:val="single" w:sz="8" w:color="auto"/>
            </w:tcBorders>
          </w:tcPr>
          <w:p>
            <w:pPr>
              <w:spacing w:after="0"/>
              <w:rPr>
                <w:sz w:val="23"/>
                <w:szCs w:val="23"/>
                <w:color w:val="auto"/>
              </w:rPr>
            </w:pPr>
          </w:p>
        </w:tc>
        <w:tc>
          <w:tcPr>
            <w:tcW w:w="14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18,285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3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Provision for taxes on net investment income</w:t>
            </w:r>
          </w:p>
        </w:tc>
        <w:tc>
          <w:tcPr>
            <w:tcW w:w="1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700</w:t>
            </w:r>
          </w:p>
        </w:tc>
        <w:tc>
          <w:tcPr>
            <w:tcW w:w="2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393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3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Net expenses</w:t>
            </w:r>
          </w:p>
        </w:tc>
        <w:tc>
          <w:tcPr>
            <w:tcW w:w="1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21,215</w:t>
            </w:r>
          </w:p>
        </w:tc>
        <w:tc>
          <w:tcPr>
            <w:tcW w:w="2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18,678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3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Net investment income</w:t>
            </w:r>
          </w:p>
        </w:tc>
        <w:tc>
          <w:tcPr>
            <w:tcW w:w="1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12,992</w:t>
            </w: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15,658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0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Realized and unrealized gain (loss) on investments and debt:</w:t>
            </w:r>
          </w:p>
        </w:tc>
        <w:tc>
          <w:tcPr>
            <w:tcW w:w="11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Net realized gain (loss) on investments and debt:</w:t>
            </w: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non-affiliated investments</w:t>
            </w:r>
          </w:p>
        </w:tc>
        <w:tc>
          <w:tcPr>
            <w:tcW w:w="1180" w:type="dxa"/>
            <w:vAlign w:val="bottom"/>
          </w:tcPr>
          <w:p>
            <w:pPr>
              <w:spacing w:after="0"/>
              <w:rPr>
                <w:sz w:val="23"/>
                <w:szCs w:val="2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(2,560)</w:t>
            </w:r>
          </w:p>
        </w:tc>
        <w:tc>
          <w:tcPr>
            <w:tcW w:w="400" w:type="dxa"/>
            <w:vAlign w:val="bottom"/>
          </w:tcPr>
          <w:p>
            <w:pPr>
              <w:spacing w:after="0"/>
              <w:rPr>
                <w:sz w:val="23"/>
                <w:szCs w:val="23"/>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2,581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3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and controlled, affiliated investments</w:t>
            </w:r>
          </w:p>
        </w:tc>
        <w:tc>
          <w:tcPr>
            <w:tcW w:w="118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40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(750)</w:t>
            </w:r>
          </w:p>
        </w:tc>
        <w:tc>
          <w:tcPr>
            <w:tcW w:w="0" w:type="dxa"/>
            <w:vAlign w:val="bottom"/>
          </w:tcPr>
          <w:p>
            <w:pPr>
              <w:spacing w:after="0"/>
              <w:rPr>
                <w:sz w:val="1"/>
                <w:szCs w:val="1"/>
                <w:color w:val="auto"/>
              </w:rPr>
            </w:pPr>
          </w:p>
        </w:tc>
      </w:tr>
      <w:tr>
        <w:trPr>
          <w:trHeight w:val="265"/>
        </w:trPr>
        <w:tc>
          <w:tcPr>
            <w:tcW w:w="73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Net realized gain (loss) on investments and debt</w:t>
            </w:r>
          </w:p>
        </w:tc>
        <w:tc>
          <w:tcPr>
            <w:tcW w:w="118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6"/>
              </w:rPr>
              <w:t>(2,560)</w:t>
            </w:r>
          </w:p>
        </w:tc>
        <w:tc>
          <w:tcPr>
            <w:tcW w:w="20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4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1,831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30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Net change in unrealized appreciation (depreciation) on:</w:t>
            </w:r>
          </w:p>
        </w:tc>
        <w:tc>
          <w:tcPr>
            <w:tcW w:w="11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non-affiliated investments</w:t>
            </w:r>
          </w:p>
        </w:tc>
        <w:tc>
          <w:tcPr>
            <w:tcW w:w="1180" w:type="dxa"/>
            <w:vAlign w:val="bottom"/>
          </w:tcPr>
          <w:p>
            <w:pPr>
              <w:spacing w:after="0"/>
              <w:rPr>
                <w:sz w:val="23"/>
                <w:szCs w:val="2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(4,777)</w:t>
            </w:r>
          </w:p>
        </w:tc>
        <w:tc>
          <w:tcPr>
            <w:tcW w:w="400" w:type="dxa"/>
            <w:vAlign w:val="bottom"/>
          </w:tcPr>
          <w:p>
            <w:pPr>
              <w:spacing w:after="0"/>
              <w:rPr>
                <w:sz w:val="23"/>
                <w:szCs w:val="23"/>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(12,270)</w:t>
            </w:r>
          </w:p>
        </w:tc>
        <w:tc>
          <w:tcPr>
            <w:tcW w:w="0" w:type="dxa"/>
            <w:vAlign w:val="bottom"/>
          </w:tcPr>
          <w:p>
            <w:pPr>
              <w:spacing w:after="0"/>
              <w:rPr>
                <w:sz w:val="1"/>
                <w:szCs w:val="1"/>
                <w:color w:val="auto"/>
              </w:rPr>
            </w:pPr>
          </w:p>
        </w:tc>
      </w:tr>
      <w:tr>
        <w:trPr>
          <w:trHeight w:val="270"/>
        </w:trPr>
        <w:tc>
          <w:tcPr>
            <w:tcW w:w="73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and controlled, affiliated investments</w:t>
            </w:r>
          </w:p>
        </w:tc>
        <w:tc>
          <w:tcPr>
            <w:tcW w:w="118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7,138</w:t>
            </w:r>
          </w:p>
        </w:tc>
        <w:tc>
          <w:tcPr>
            <w:tcW w:w="400" w:type="dxa"/>
            <w:vAlign w:val="bottom"/>
          </w:tcPr>
          <w:p>
            <w:pPr>
              <w:spacing w:after="0"/>
              <w:rPr>
                <w:sz w:val="23"/>
                <w:szCs w:val="23"/>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7,324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Provision for taxes on unrealized appreciation (depreciation) on investments</w:t>
            </w:r>
          </w:p>
        </w:tc>
        <w:tc>
          <w:tcPr>
            <w:tcW w:w="1180" w:type="dxa"/>
            <w:vAlign w:val="bottom"/>
          </w:tcPr>
          <w:p>
            <w:pPr>
              <w:spacing w:after="0"/>
              <w:rPr>
                <w:sz w:val="23"/>
                <w:szCs w:val="2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(37)</w:t>
            </w:r>
          </w:p>
        </w:tc>
        <w:tc>
          <w:tcPr>
            <w:tcW w:w="400" w:type="dxa"/>
            <w:vAlign w:val="bottom"/>
          </w:tcPr>
          <w:p>
            <w:pPr>
              <w:spacing w:after="0"/>
              <w:rPr>
                <w:sz w:val="23"/>
                <w:szCs w:val="23"/>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150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3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Debt appreciation (depreciation)</w:t>
            </w:r>
          </w:p>
        </w:tc>
        <w:tc>
          <w:tcPr>
            <w:tcW w:w="118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3,328</w:t>
            </w:r>
          </w:p>
        </w:tc>
        <w:tc>
          <w:tcPr>
            <w:tcW w:w="40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(2,040)</w:t>
            </w:r>
          </w:p>
        </w:tc>
        <w:tc>
          <w:tcPr>
            <w:tcW w:w="0" w:type="dxa"/>
            <w:vAlign w:val="bottom"/>
          </w:tcPr>
          <w:p>
            <w:pPr>
              <w:spacing w:after="0"/>
              <w:rPr>
                <w:sz w:val="1"/>
                <w:szCs w:val="1"/>
                <w:color w:val="auto"/>
              </w:rPr>
            </w:pPr>
          </w:p>
        </w:tc>
      </w:tr>
      <w:tr>
        <w:trPr>
          <w:trHeight w:val="207"/>
        </w:trPr>
        <w:tc>
          <w:tcPr>
            <w:tcW w:w="7300" w:type="dxa"/>
            <w:vAlign w:val="bottom"/>
          </w:tcPr>
          <w:p>
            <w:pPr>
              <w:ind w:left="200"/>
              <w:spacing w:after="0" w:line="206" w:lineRule="exact"/>
              <w:rPr>
                <w:sz w:val="20"/>
                <w:szCs w:val="20"/>
                <w:color w:val="auto"/>
              </w:rPr>
            </w:pPr>
            <w:r>
              <w:rPr>
                <w:rFonts w:ascii="Times New Roman" w:cs="Times New Roman" w:eastAsia="Times New Roman" w:hAnsi="Times New Roman"/>
                <w:sz w:val="22"/>
                <w:szCs w:val="22"/>
                <w:b w:val="1"/>
                <w:bCs w:val="1"/>
                <w:color w:val="auto"/>
              </w:rPr>
              <w:t>Net change in unrealized appreciation (depreciation) on investments and</w:t>
            </w:r>
          </w:p>
        </w:tc>
        <w:tc>
          <w:tcPr>
            <w:tcW w:w="1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73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debt</w:t>
            </w:r>
          </w:p>
        </w:tc>
        <w:tc>
          <w:tcPr>
            <w:tcW w:w="118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5,652</w:t>
            </w:r>
          </w:p>
        </w:tc>
        <w:tc>
          <w:tcPr>
            <w:tcW w:w="40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(6,836)</w:t>
            </w:r>
          </w:p>
        </w:tc>
        <w:tc>
          <w:tcPr>
            <w:tcW w:w="0" w:type="dxa"/>
            <w:vAlign w:val="bottom"/>
          </w:tcPr>
          <w:p>
            <w:pPr>
              <w:spacing w:after="0"/>
              <w:rPr>
                <w:sz w:val="1"/>
                <w:szCs w:val="1"/>
                <w:color w:val="auto"/>
              </w:rPr>
            </w:pPr>
          </w:p>
        </w:tc>
      </w:tr>
      <w:tr>
        <w:trPr>
          <w:trHeight w:val="265"/>
        </w:trPr>
        <w:tc>
          <w:tcPr>
            <w:tcW w:w="7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realized and unrealized gain (loss) from investments and debt</w:t>
            </w:r>
          </w:p>
        </w:tc>
        <w:tc>
          <w:tcPr>
            <w:tcW w:w="118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3,092</w:t>
            </w:r>
          </w:p>
        </w:tc>
        <w:tc>
          <w:tcPr>
            <w:tcW w:w="20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(5,005)</w:t>
            </w:r>
          </w:p>
        </w:tc>
        <w:tc>
          <w:tcPr>
            <w:tcW w:w="6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increase (decrease) in net assets resulting from operations</w:t>
            </w:r>
          </w:p>
        </w:tc>
        <w:tc>
          <w:tcPr>
            <w:tcW w:w="1180" w:type="dxa"/>
            <w:vAlign w:val="bottom"/>
            <w:tcBorders>
              <w:top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w w:val="9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16,084</w:t>
            </w:r>
          </w:p>
        </w:tc>
        <w:tc>
          <w:tcPr>
            <w:tcW w:w="200" w:type="dxa"/>
            <w:vAlign w:val="bottom"/>
          </w:tcPr>
          <w:p>
            <w:pPr>
              <w:spacing w:after="0"/>
              <w:rPr>
                <w:sz w:val="22"/>
                <w:szCs w:val="22"/>
                <w:color w:val="auto"/>
              </w:rPr>
            </w:pPr>
          </w:p>
        </w:tc>
        <w:tc>
          <w:tcPr>
            <w:tcW w:w="40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14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10,653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line="232" w:lineRule="exact"/>
              <w:rPr>
                <w:sz w:val="20"/>
                <w:szCs w:val="20"/>
                <w:color w:val="auto"/>
              </w:rPr>
            </w:pPr>
            <w:r>
              <w:rPr>
                <w:rFonts w:ascii="Times New Roman" w:cs="Times New Roman" w:eastAsia="Times New Roman" w:hAnsi="Times New Roman"/>
                <w:sz w:val="22"/>
                <w:szCs w:val="22"/>
                <w:b w:val="1"/>
                <w:bCs w:val="1"/>
                <w:color w:val="auto"/>
              </w:rPr>
              <w:t>Net increase (decrease) in net assets resulting from operations per common</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7300" w:type="dxa"/>
            <w:vAlign w:val="bottom"/>
            <w:vMerge w:val="continue"/>
          </w:tcPr>
          <w:p>
            <w:pPr>
              <w:spacing w:after="0"/>
              <w:rPr>
                <w:sz w:val="16"/>
                <w:szCs w:val="16"/>
                <w:color w:val="auto"/>
              </w:rPr>
            </w:pPr>
          </w:p>
        </w:tc>
        <w:tc>
          <w:tcPr>
            <w:tcW w:w="1180" w:type="dxa"/>
            <w:vAlign w:val="bottom"/>
            <w:vMerge w:val="restart"/>
          </w:tcPr>
          <w:p>
            <w:pPr>
              <w:jc w:val="right"/>
              <w:ind w:right="952"/>
              <w:spacing w:after="0"/>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22"/>
                <w:szCs w:val="22"/>
                <w:color w:val="auto"/>
              </w:rPr>
              <w:t>0.25</w:t>
            </w:r>
          </w:p>
        </w:tc>
        <w:tc>
          <w:tcPr>
            <w:tcW w:w="400" w:type="dxa"/>
            <w:vAlign w:val="bottom"/>
            <w:vMerge w:val="restart"/>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14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2"/>
                <w:szCs w:val="22"/>
                <w:color w:val="auto"/>
              </w:rPr>
              <w:t>0.16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7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share</w:t>
            </w:r>
          </w:p>
        </w:tc>
        <w:tc>
          <w:tcPr>
            <w:tcW w:w="1180" w:type="dxa"/>
            <w:vAlign w:val="bottom"/>
            <w:vMerge w:val="continue"/>
          </w:tcPr>
          <w:p>
            <w:pPr>
              <w:spacing w:after="0"/>
              <w:rPr>
                <w:sz w:val="22"/>
                <w:szCs w:val="22"/>
                <w:color w:val="auto"/>
              </w:rPr>
            </w:pPr>
          </w:p>
        </w:tc>
        <w:tc>
          <w:tcPr>
            <w:tcW w:w="840" w:type="dxa"/>
            <w:vAlign w:val="bottom"/>
            <w:gridSpan w:val="2"/>
            <w:vMerge w:val="continue"/>
          </w:tcPr>
          <w:p>
            <w:pPr>
              <w:spacing w:after="0"/>
              <w:rPr>
                <w:sz w:val="22"/>
                <w:szCs w:val="22"/>
                <w:color w:val="auto"/>
              </w:rPr>
            </w:pPr>
          </w:p>
        </w:tc>
        <w:tc>
          <w:tcPr>
            <w:tcW w:w="400" w:type="dxa"/>
            <w:vAlign w:val="bottom"/>
            <w:vMerge w:val="continue"/>
          </w:tcPr>
          <w:p>
            <w:pPr>
              <w:spacing w:after="0"/>
              <w:rPr>
                <w:sz w:val="22"/>
                <w:szCs w:val="22"/>
                <w:color w:val="auto"/>
              </w:rPr>
            </w:pPr>
          </w:p>
        </w:tc>
        <w:tc>
          <w:tcPr>
            <w:tcW w:w="142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Net investment income per common share</w:t>
            </w:r>
          </w:p>
        </w:tc>
        <w:tc>
          <w:tcPr>
            <w:tcW w:w="118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w w:val="9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0.20</w:t>
            </w:r>
          </w:p>
        </w:tc>
        <w:tc>
          <w:tcPr>
            <w:tcW w:w="200" w:type="dxa"/>
            <w:vAlign w:val="bottom"/>
            <w:vMerge w:val="continue"/>
          </w:tcPr>
          <w:p>
            <w:pPr>
              <w:spacing w:after="0"/>
              <w:rPr>
                <w:sz w:val="22"/>
                <w:szCs w:val="22"/>
                <w:color w:val="auto"/>
              </w:rPr>
            </w:pPr>
          </w:p>
        </w:tc>
        <w:tc>
          <w:tcPr>
            <w:tcW w:w="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0.24</w:t>
            </w:r>
          </w:p>
        </w:tc>
        <w:tc>
          <w:tcPr>
            <w:tcW w:w="20" w:type="dxa"/>
            <w:vAlign w:val="bottom"/>
            <w:tcBorders>
              <w:bottom w:val="single" w:sz="8" w:color="auto"/>
            </w:tcBorders>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PENNANTPARK INVESTMENT CORPORATION</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or the Company, is a business development company that invests primarily in U.S. middle-market companies in the form of first lien secured debt, second lien secured debt, subordinated debt and equity investments. PennantPark Investment Corporation is managed by PennantPark Investment Advisers, LLC.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PENNANTPARK INVESTMENT ADVISERS, LLC</w:t>
      </w:r>
    </w:p>
    <w:p>
      <w:pPr>
        <w:sectPr>
          <w:pgSz w:w="11900" w:h="16838" w:orient="portrait"/>
          <w:cols w:equalWidth="0" w:num="1">
            <w:col w:w="11240"/>
          </w:cols>
          <w:pgMar w:left="320" w:top="851" w:right="339" w:bottom="266" w:gutter="0" w:footer="0" w:header="0"/>
        </w:sectPr>
      </w:pPr>
    </w:p>
    <w:bookmarkStart w:id="8" w:name="page9"/>
    <w:bookmarkEnd w:id="8"/>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$9.4 billion of investable capital, including available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(2)(B) of the Securities Exchange Act of 1934, as amended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94"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22"/>
          <w:szCs w:val="22"/>
          <w:color w:val="auto"/>
        </w:rPr>
        <w:t>Contact:</w:t>
      </w:r>
      <w:r>
        <w:rPr>
          <w:sz w:val="20"/>
          <w:szCs w:val="20"/>
          <w:color w:val="auto"/>
        </w:rPr>
        <w:tab/>
      </w:r>
      <w:r>
        <w:rPr>
          <w:rFonts w:ascii="Times New Roman" w:cs="Times New Roman" w:eastAsia="Times New Roman" w:hAnsi="Times New Roman"/>
          <w:sz w:val="22"/>
          <w:szCs w:val="22"/>
          <w:color w:val="auto"/>
        </w:rPr>
        <w:t>Richard T. Allorto, Jr.</w:t>
      </w:r>
    </w:p>
    <w:p>
      <w:pPr>
        <w:spacing w:after="0" w:line="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7" w:lineRule="exact"/>
        <w:rPr>
          <w:sz w:val="20"/>
          <w:szCs w:val="20"/>
          <w:color w:val="auto"/>
        </w:rPr>
      </w:pPr>
    </w:p>
    <w:p>
      <w:pPr>
        <w:ind w:left="1160" w:right="8080" w:hanging="5"/>
        <w:spacing w:after="0" w:line="296" w:lineRule="auto"/>
        <w:tabs>
          <w:tab w:leader="none" w:pos="168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905-1000 </w:t>
      </w:r>
      <w:r>
        <w:rPr>
          <w:rFonts w:ascii="Times New Roman" w:cs="Times New Roman" w:eastAsia="Times New Roman" w:hAnsi="Times New Roman"/>
          <w:sz w:val="21"/>
          <w:szCs w:val="21"/>
          <w:u w:val="single" w:color="auto"/>
          <w:color w:val="auto"/>
        </w:rPr>
        <w:t>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2025-02-10T15:18:42Z</dcterms:created>
  <dcterms:modified xsi:type="dcterms:W3CDTF">2025-02-10T15:18:42Z</dcterms:modified>
</cp:coreProperties>
</file>