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31750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6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CURRENT REPORT</w:t>
      </w:r>
    </w:p>
    <w:p>
      <w:pPr>
        <w:spacing w:after="0" w:line="15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Date of Report: January 16, 2025</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8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9" w:lineRule="exact"/>
        <w:rPr>
          <w:sz w:val="24"/>
          <w:szCs w:val="24"/>
          <w:color w:val="auto"/>
        </w:rPr>
      </w:pPr>
    </w:p>
    <w:tbl>
      <w:tblPr>
        <w:tblLayout w:type="fixed"/>
        <w:tblInd w:w="2300" w:type="dxa"/>
        <w:tblCellMar>
          <w:top w:w="0" w:type="dxa"/>
          <w:left w:w="0" w:type="dxa"/>
          <w:bottom w:w="0" w:type="dxa"/>
          <w:right w:w="0" w:type="dxa"/>
        </w:tblCellMar>
      </w:tblPr>
      <w:tr>
        <w:trPr>
          <w:trHeight w:val="220"/>
        </w:trPr>
        <w:tc>
          <w:tcPr>
            <w:tcW w:w="22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814-00736</w:t>
            </w:r>
          </w:p>
        </w:tc>
        <w:tc>
          <w:tcPr>
            <w:tcW w:w="2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20-8250744</w:t>
            </w:r>
          </w:p>
        </w:tc>
      </w:tr>
      <w:tr>
        <w:trPr>
          <w:trHeight w:val="216"/>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 File</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Number)</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200" w:lineRule="exact"/>
        <w:rPr>
          <w:sz w:val="24"/>
          <w:szCs w:val="24"/>
          <w:color w:val="auto"/>
        </w:rPr>
      </w:pPr>
    </w:p>
    <w:p>
      <w:pPr>
        <w:spacing w:after="0" w:line="385"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3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1691 Michigan Avenue</w:t>
            </w:r>
          </w:p>
        </w:tc>
        <w:tc>
          <w:tcPr>
            <w:tcW w:w="34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33139</w:t>
            </w:r>
          </w:p>
        </w:tc>
        <w:tc>
          <w:tcPr>
            <w:tcW w:w="0" w:type="dxa"/>
            <w:vAlign w:val="bottom"/>
          </w:tcPr>
          <w:p>
            <w:pPr>
              <w:spacing w:after="0"/>
              <w:rPr>
                <w:sz w:val="1"/>
                <w:szCs w:val="1"/>
                <w:color w:val="auto"/>
              </w:rPr>
            </w:pPr>
          </w:p>
        </w:tc>
      </w:tr>
      <w:tr>
        <w:trPr>
          <w:trHeight w:val="112"/>
        </w:trPr>
        <w:tc>
          <w:tcPr>
            <w:tcW w:w="30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40" w:type="dxa"/>
            <w:vAlign w:val="bottom"/>
            <w:vMerge w:val="continue"/>
          </w:tcPr>
          <w:p>
            <w:pPr>
              <w:spacing w:after="0"/>
              <w:rPr>
                <w:sz w:val="9"/>
                <w:szCs w:val="9"/>
                <w:color w:val="auto"/>
              </w:rPr>
            </w:pPr>
          </w:p>
        </w:tc>
        <w:tc>
          <w:tcPr>
            <w:tcW w:w="3460" w:type="dxa"/>
            <w:vAlign w:val="bottom"/>
            <w:vMerge w:val="restart"/>
          </w:tcPr>
          <w:p>
            <w:pPr>
              <w:jc w:val="center"/>
              <w:ind w:left="25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26"/>
        </w:trPr>
        <w:tc>
          <w:tcPr>
            <w:tcW w:w="3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4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4"/>
        </w:trPr>
        <w:tc>
          <w:tcPr>
            <w:tcW w:w="3040" w:type="dxa"/>
            <w:vAlign w:val="bottom"/>
          </w:tcPr>
          <w:p>
            <w:pPr>
              <w:spacing w:after="0"/>
              <w:rPr>
                <w:sz w:val="24"/>
                <w:szCs w:val="24"/>
                <w:color w:val="auto"/>
              </w:rPr>
            </w:pPr>
          </w:p>
        </w:tc>
        <w:tc>
          <w:tcPr>
            <w:tcW w:w="3460" w:type="dxa"/>
            <w:vAlign w:val="bottom"/>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(786) 297-9500</w:t>
            </w:r>
          </w:p>
        </w:tc>
        <w:tc>
          <w:tcPr>
            <w:tcW w:w="0" w:type="dxa"/>
            <w:vAlign w:val="bottom"/>
          </w:tcPr>
          <w:p>
            <w:pPr>
              <w:spacing w:after="0"/>
              <w:rPr>
                <w:sz w:val="1"/>
                <w:szCs w:val="1"/>
                <w:color w:val="auto"/>
              </w:rPr>
            </w:pPr>
          </w:p>
        </w:tc>
      </w:tr>
      <w:tr>
        <w:trPr>
          <w:trHeight w:val="234"/>
        </w:trPr>
        <w:tc>
          <w:tcPr>
            <w:tcW w:w="650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331"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9"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right="2840" w:firstLine="8"/>
        <w:spacing w:after="0" w:line="420" w:lineRule="auto"/>
        <w:tabs>
          <w:tab w:leader="none" w:pos="20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386" w:right="479" w:bottom="1440" w:gutter="0" w:footer="0" w:header="0"/>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PNNT</w:t>
      </w:r>
    </w:p>
    <w:p>
      <w:pPr>
        <w:spacing w:after="0" w:line="20" w:lineRule="exact"/>
        <w:rPr>
          <w:sz w:val="24"/>
          <w:szCs w:val="24"/>
          <w:color w:val="auto"/>
        </w:rPr>
      </w:pPr>
      <w:r>
        <w:rPr>
          <w:sz w:val="24"/>
          <w:szCs w:val="24"/>
          <w:color w:val="auto"/>
        </w:rPr>
        <w:br w:type="column"/>
      </w: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 New York Stock Exchange</w:t>
      </w:r>
    </w:p>
    <w:p>
      <w:pPr>
        <w:spacing w:after="0" w:line="200" w:lineRule="exact"/>
        <w:rPr>
          <w:sz w:val="24"/>
          <w:szCs w:val="24"/>
          <w:color w:val="auto"/>
        </w:rPr>
      </w:pPr>
    </w:p>
    <w:p>
      <w:pPr>
        <w:sectPr>
          <w:pgSz w:w="11900" w:h="16838" w:orient="portrait"/>
          <w:cols w:equalWidth="0" w:num="3">
            <w:col w:w="4060" w:space="720"/>
            <w:col w:w="1840" w:space="720"/>
            <w:col w:w="3760"/>
          </w:cols>
          <w:pgMar w:left="320" w:top="1386"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Wingdings" w:cs="Wingdings" w:eastAsia="Wingdings" w:hAnsi="Wingdings"/>
          <w:sz w:val="18"/>
          <w:szCs w:val="18"/>
          <w:b w:val="1"/>
          <w:bCs w:val="1"/>
          <w:color w:val="auto"/>
        </w:rPr>
        <w:t></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86" w:right="479" w:bottom="1440" w:gutter="0" w:footer="0" w:header="0"/>
          <w:type w:val="continuous"/>
        </w:sectPr>
      </w:pPr>
    </w:p>
    <w:bookmarkStart w:id="1" w:name="page2"/>
    <w:bookmarkEnd w:id="1"/>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of Results as of December 31, 2024</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January 16, 2025, PennantPark Investment Corporation (the “Company”) announced certain preliminary estimates of its financial results for the quarter ended December 31, 2024.</w:t>
      </w:r>
    </w:p>
    <w:p>
      <w:pPr>
        <w:spacing w:after="0" w:line="289" w:lineRule="exact"/>
        <w:rPr>
          <w:sz w:val="20"/>
          <w:szCs w:val="20"/>
          <w:color w:val="auto"/>
        </w:rPr>
      </w:pPr>
    </w:p>
    <w:p>
      <w:pPr>
        <w:ind w:left="1020" w:hanging="511"/>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estimated to be between $7.55 and $7.60 per common share at December 31, 2024. This compares to a net asset value per common share of $7.56 at September 30, 2024.</w:t>
      </w:r>
    </w:p>
    <w:p>
      <w:pPr>
        <w:spacing w:after="0" w:line="53" w:lineRule="exact"/>
        <w:rPr>
          <w:rFonts w:ascii="Times New Roman" w:cs="Times New Roman" w:eastAsia="Times New Roman" w:hAnsi="Times New Roman"/>
          <w:sz w:val="18"/>
          <w:szCs w:val="18"/>
          <w:color w:val="auto"/>
        </w:rPr>
      </w:pPr>
    </w:p>
    <w:p>
      <w:pPr>
        <w:ind w:left="1020" w:hanging="511"/>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is estimated to be between $0.19 and $0.21 per common share for the quarter ended December 31, 2024. This compares to net investment income of $0.22 per common share for the quarter ended September 30, 2024.</w:t>
      </w:r>
    </w:p>
    <w:p>
      <w:pPr>
        <w:spacing w:after="0" w:line="33" w:lineRule="exact"/>
        <w:rPr>
          <w:rFonts w:ascii="Times New Roman" w:cs="Times New Roman" w:eastAsia="Times New Roman" w:hAnsi="Times New Roman"/>
          <w:sz w:val="18"/>
          <w:szCs w:val="18"/>
          <w:color w:val="auto"/>
        </w:rPr>
      </w:pPr>
    </w:p>
    <w:p>
      <w:pPr>
        <w:ind w:left="1020" w:hanging="511"/>
        <w:spacing w:after="0" w:line="233"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net investment income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is estimated to be between $0.19 and $0.21 per common share for the quarter ended December 31, 2024. This compares to core net investment income of $0.22 per common share for the quarter ended September 30, 2024.</w:t>
      </w:r>
    </w:p>
    <w:p>
      <w:pPr>
        <w:spacing w:after="0" w:line="9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portfolio at fair value was $1.30 billion, compared to $1.33 billion as of September 30, 2024.</w:t>
      </w:r>
    </w:p>
    <w:p>
      <w:pPr>
        <w:spacing w:after="0" w:line="117" w:lineRule="exact"/>
        <w:rPr>
          <w:rFonts w:ascii="Times New Roman" w:cs="Times New Roman" w:eastAsia="Times New Roman" w:hAnsi="Times New Roman"/>
          <w:sz w:val="18"/>
          <w:szCs w:val="18"/>
          <w:color w:val="auto"/>
        </w:rPr>
      </w:pPr>
    </w:p>
    <w:p>
      <w:pPr>
        <w:ind w:left="1020" w:hanging="511"/>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there were two loans on non-accrual representing 4.3% of the portfolio at cost and 1.5% at fair market value versus two loans on non-accrual at September 30, 2024 representing 4.1% of the portfolio at cost and 2.3% at fair market value.</w:t>
      </w:r>
    </w:p>
    <w:p>
      <w:pPr>
        <w:spacing w:after="0" w:line="53" w:lineRule="exact"/>
        <w:rPr>
          <w:rFonts w:ascii="Times New Roman" w:cs="Times New Roman" w:eastAsia="Times New Roman" w:hAnsi="Times New Roman"/>
          <w:sz w:val="18"/>
          <w:szCs w:val="18"/>
          <w:color w:val="auto"/>
        </w:rPr>
      </w:pPr>
    </w:p>
    <w:p>
      <w:pPr>
        <w:jc w:val="both"/>
        <w:ind w:left="1020" w:hanging="511"/>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had approximately $779.5 million of total debt consisting of, $464.5 million of borrowings outstanding under the Company’s multi-currency senior secured revolving credit facility with Truist Bank, as amended and restated (the “Credit Facility”), at cost, $150.0 million in aggregate principal amount of 4.5% Notes due 2026 outstanding, and $165.0 million in aggregate principal amount of 4.0% Notes due 2026 outstanding.</w:t>
      </w:r>
    </w:p>
    <w:p>
      <w:pPr>
        <w:spacing w:after="0" w:line="7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we had approximately $66.4 million in cash and unused capacity under the Credit Facility.</w:t>
      </w:r>
    </w:p>
    <w:p>
      <w:pPr>
        <w:spacing w:after="0" w:line="117" w:lineRule="exact"/>
        <w:rPr>
          <w:rFonts w:ascii="Times New Roman" w:cs="Times New Roman" w:eastAsia="Times New Roman" w:hAnsi="Times New Roman"/>
          <w:sz w:val="18"/>
          <w:szCs w:val="18"/>
          <w:color w:val="auto"/>
        </w:rPr>
      </w:pPr>
    </w:p>
    <w:p>
      <w:pPr>
        <w:ind w:left="1020" w:hanging="511"/>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PennantPark Senior Loan Fund, LLC, the Company’s joint venture, had approximately $370.1 million in cash and unused capacity under its credit facility.</w:t>
      </w:r>
    </w:p>
    <w:p>
      <w:pPr>
        <w:spacing w:after="0" w:line="14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These estimates are subject to the completion of the Company’s financial closing procedures and are not a comprehensive statement of the Company’s financial position, results of operations or cash flows for the quarter ended December 31, 2024. Final results may differ materially from these estimates as a result of the completion of the Company’s financial closing procedures, as well as any subsequent events, including the discovery of information affecting fair values of the Company’s portfolio investments as of December 31, 2024, arising between the date hereof and the completion of the Company’s financial statements and the filing of the Company’s Form 10-Q for the quarter then ended.</w:t>
      </w:r>
    </w:p>
    <w:p>
      <w:pPr>
        <w:spacing w:after="0" w:line="1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preliminary financial estimates provided herein have been prepared by, and are the responsibility of the 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Supplemental information regarding core net investment income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December 31, 2024, there were no one-time or non-recurring investment income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1827530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2.02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420370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right="60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January 16, 2025</w:t>
      </w:r>
      <w:r>
        <w:rPr>
          <w:sz w:val="20"/>
          <w:szCs w:val="20"/>
          <w:color w:val="auto"/>
        </w:rPr>
        <w:tab/>
      </w:r>
      <w:r>
        <w:rPr>
          <w:rFonts w:ascii="Times New Roman" w:cs="Times New Roman" w:eastAsia="Times New Roman" w:hAnsi="Times New Roman"/>
          <w:sz w:val="17"/>
          <w:szCs w:val="17"/>
          <w:b w:val="1"/>
          <w:bCs w:val="1"/>
          <w:color w:val="auto"/>
        </w:rPr>
        <w:t>PENNANTPARK INVESTMENT CORPORATION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T. Allorto, Jr.</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499110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40"/>
      </w:cols>
      <w:pgMar w:left="34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2025-01-16T15:15:54Z</dcterms:created>
  <dcterms:modified xsi:type="dcterms:W3CDTF">2025-01-16T15:15:54Z</dcterms:modified>
</cp:coreProperties>
</file>